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sft-20230930.htm"/>
      <w:bookmarkStart w:id="1" w:name="ksmsft20230930"/>
      <w:bookmarkEnd w:id="0"/>
      <w:bookmarkEnd w:id="1"/>
      <w:r>
        <w:rPr/>
        <w:t> </w:t>
      </w:r>
    </w:p>
    <w:p>
      <w:pPr>
        <w:pStyle w:val="TextBody"/>
        <w:bidi w:val="0"/>
        <w:jc w:val="both"/>
        <w:rPr/>
      </w:pPr>
      <w:r>
        <w:rPr/>
        <w:t> </w:t>
      </w:r>
    </w:p>
    <w:p>
      <w:pPr>
        <w:pStyle w:val="TextBody"/>
        <w:pBdr>
          <w:top w:val="single" w:sz="8" w:space="1" w:color="000000"/>
        </w:pBdr>
        <w:bidi w:val="0"/>
        <w:jc w:val="both"/>
        <w:rPr/>
      </w:pPr>
      <w:r>
        <w:rPr/>
        <w:t> </w:t>
      </w:r>
    </w:p>
    <w:p>
      <w:pPr>
        <w:pStyle w:val="TextBody"/>
        <w:bidi w:val="0"/>
        <w:spacing w:before="2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
        <w:gridCol w:w="9817"/>
      </w:tblGrid>
      <w:tr>
        <w:trPr/>
        <w:tc>
          <w:tcPr>
            <w:tcW w:w="388" w:type="dxa"/>
            <w:tcBorders/>
            <w:vAlign w:val="center"/>
          </w:tcPr>
          <w:p>
            <w:pPr>
              <w:pStyle w:val="TableContents"/>
              <w:bidi w:val="0"/>
              <w:spacing w:before="0" w:after="283"/>
              <w:jc w:val="left"/>
              <w:rPr>
                <w:sz w:val="4"/>
                <w:szCs w:val="4"/>
              </w:rPr>
            </w:pPr>
            <w:r>
              <w:rPr>
                <w:sz w:val="4"/>
                <w:szCs w:val="4"/>
              </w:rPr>
            </w:r>
          </w:p>
        </w:tc>
        <w:tc>
          <w:tcPr>
            <w:tcW w:w="9817" w:type="dxa"/>
            <w:tcBorders/>
            <w:vAlign w:val="center"/>
          </w:tcPr>
          <w:p>
            <w:pPr>
              <w:pStyle w:val="TableContents"/>
              <w:bidi w:val="0"/>
              <w:spacing w:before="0" w:after="283"/>
              <w:jc w:val="left"/>
              <w:rPr>
                <w:sz w:val="4"/>
                <w:szCs w:val="4"/>
              </w:rPr>
            </w:pPr>
            <w:r>
              <w:rPr>
                <w:sz w:val="4"/>
                <w:szCs w:val="4"/>
              </w:rPr>
            </w:r>
          </w:p>
        </w:tc>
      </w:tr>
      <w:tr>
        <w:trPr/>
        <w:tc>
          <w:tcPr>
            <w:tcW w:w="388" w:type="dxa"/>
            <w:tcBorders/>
            <w:vAlign w:val="center"/>
          </w:tcPr>
          <w:p>
            <w:pPr>
              <w:pStyle w:val="TableContents"/>
              <w:bidi w:val="0"/>
              <w:spacing w:before="0" w:after="283"/>
              <w:jc w:val="left"/>
              <w:rPr>
                <w:color w:val="000000"/>
              </w:rPr>
            </w:pPr>
            <w:r>
              <w:rPr>
                <w:color w:val="000000"/>
              </w:rPr>
              <w:t>☒</w:t>
            </w:r>
          </w:p>
        </w:tc>
        <w:tc>
          <w:tcPr>
            <w:tcW w:w="9817"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rFonts w:ascii="Arial" w:hAnsi="Arial"/>
                <w:b/>
                <w:color w:val="000000"/>
                <w:sz w:val="16"/>
              </w:rPr>
            </w:pPr>
            <w:r>
              <w:rPr>
                <w:rFonts w:ascii="Arial" w:hAnsi="Arial"/>
                <w:b/>
                <w:color w:val="000000"/>
                <w:sz w:val="16"/>
              </w:rPr>
              <w:t>For the Quarterly Period Ended September 30, 2023</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center"/>
              <w:rPr>
                <w:rFonts w:ascii="Arial" w:hAnsi="Arial"/>
                <w:b/>
                <w:color w:val="000000"/>
                <w:sz w:val="20"/>
              </w:rPr>
            </w:pPr>
            <w:r>
              <w:rPr>
                <w:rFonts w:ascii="Arial" w:hAnsi="Arial"/>
                <w:b/>
                <w:color w:val="000000"/>
                <w:sz w:val="20"/>
              </w:rPr>
              <w:t>OR</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388" w:type="dxa"/>
            <w:tcBorders/>
            <w:vAlign w:val="center"/>
          </w:tcPr>
          <w:p>
            <w:pPr>
              <w:pStyle w:val="TableContents"/>
              <w:bidi w:val="0"/>
              <w:spacing w:before="0" w:after="283"/>
              <w:jc w:val="left"/>
              <w:rPr>
                <w:color w:val="000000"/>
              </w:rPr>
            </w:pPr>
            <w:r>
              <w:rPr>
                <w:color w:val="000000"/>
              </w:rPr>
              <w:t xml:space="preserve">☐ </w:t>
            </w:r>
          </w:p>
        </w:tc>
        <w:tc>
          <w:tcPr>
            <w:tcW w:w="9817"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rFonts w:ascii="Arial" w:hAnsi="Arial"/>
                <w:b/>
                <w:color w:val="000000"/>
                <w:sz w:val="16"/>
              </w:rPr>
            </w:pPr>
            <w:r>
              <w:rPr>
                <w:rFonts w:ascii="Arial" w:hAnsi="Arial"/>
                <w:b/>
                <w:color w:val="000000"/>
                <w:sz w:val="16"/>
              </w:rPr>
              <w:t>For the Transition Period From to</w:t>
            </w:r>
          </w:p>
        </w:tc>
      </w:tr>
    </w:tbl>
    <w:p>
      <w:pPr>
        <w:pStyle w:val="TextBody"/>
        <w:bidi w:val="0"/>
        <w:spacing w:before="40" w:after="283"/>
        <w:jc w:val="center"/>
        <w:rPr>
          <w:rFonts w:ascii="Arial" w:hAnsi="Arial"/>
          <w:b/>
          <w:color w:val="000000"/>
          <w:sz w:val="20"/>
        </w:rPr>
      </w:pPr>
      <w:r>
        <w:rPr>
          <w:rFonts w:ascii="Arial" w:hAnsi="Arial"/>
          <w:b/>
          <w:color w:val="000000"/>
          <w:sz w:val="20"/>
        </w:rPr>
        <w:t>Commission File Number 001-37845</w:t>
      </w:r>
    </w:p>
    <w:p>
      <w:pPr>
        <w:pStyle w:val="TextBody"/>
        <w:bidi w:val="0"/>
        <w:jc w:val="center"/>
        <w:rPr/>
      </w:pPr>
      <w:r>
        <w:rPr/>
        <w:t> </w:t>
      </w:r>
    </w:p>
    <w:p>
      <w:pPr>
        <w:pStyle w:val="TextBody"/>
        <w:bidi w:val="0"/>
        <w:jc w:val="center"/>
        <w:rPr>
          <w:rFonts w:ascii="Arial" w:hAnsi="Arial"/>
          <w:b/>
          <w:color w:val="000000"/>
          <w:sz w:val="48"/>
        </w:rPr>
      </w:pPr>
      <w:r>
        <w:rPr>
          <w:rFonts w:ascii="Arial" w:hAnsi="Arial"/>
          <w:b/>
          <w:color w:val="000000"/>
          <w:sz w:val="48"/>
        </w:rPr>
        <w:t>MICROSOFT CORPORATION</w:t>
      </w:r>
    </w:p>
    <w:tbl>
      <w:tblPr>
        <w:tblW w:w="3448" w:type="dxa"/>
        <w:jc w:val="left"/>
        <w:tblInd w:w="0" w:type="dxa"/>
        <w:tblLayout w:type="fixed"/>
        <w:tblCellMar>
          <w:top w:w="28" w:type="dxa"/>
          <w:left w:w="28" w:type="dxa"/>
          <w:bottom w:w="28" w:type="dxa"/>
          <w:right w:w="28" w:type="dxa"/>
        </w:tblCellMar>
      </w:tblPr>
      <w:tblGrid>
        <w:gridCol w:w="2281"/>
        <w:gridCol w:w="146"/>
        <w:gridCol w:w="10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Washington</w:t>
            </w:r>
          </w:p>
        </w:tc>
        <w:tc>
          <w:tcPr>
            <w:tcW w:w="146" w:type="dxa"/>
            <w:tcBorders/>
            <w:vAlign w:val="center"/>
          </w:tcPr>
          <w:p>
            <w:pPr>
              <w:pStyle w:val="TableContents"/>
              <w:bidi w:val="0"/>
              <w:spacing w:before="0" w:after="283"/>
              <w:jc w:val="center"/>
              <w:rPr/>
            </w:pPr>
            <w:r>
              <w:rPr/>
              <w:t> </w:t>
            </w:r>
          </w:p>
        </w:tc>
        <w:tc>
          <w:tcPr>
            <w:tcW w:w="1021"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91-1144442</w:t>
            </w:r>
          </w:p>
        </w:tc>
      </w:tr>
      <w:tr>
        <w:trPr/>
        <w:tc>
          <w:tcPr>
            <w:tcW w:w="2281" w:type="dxa"/>
            <w:tcBorders/>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OF INCORPORATION)</w:t>
            </w:r>
          </w:p>
        </w:tc>
        <w:tc>
          <w:tcPr>
            <w:tcW w:w="146" w:type="dxa"/>
            <w:tcBorders/>
            <w:vAlign w:val="center"/>
          </w:tcPr>
          <w:p>
            <w:pPr>
              <w:pStyle w:val="TableContents"/>
              <w:bidi w:val="0"/>
              <w:spacing w:before="0" w:after="283"/>
              <w:jc w:val="center"/>
              <w:rPr/>
            </w:pPr>
            <w:r>
              <w:rPr/>
              <w:t> </w:t>
            </w:r>
          </w:p>
        </w:tc>
        <w:tc>
          <w:tcPr>
            <w:tcW w:w="1021" w:type="dxa"/>
            <w:tcBorders/>
            <w:vAlign w:val="center"/>
          </w:tcPr>
          <w:p>
            <w:pPr>
              <w:pStyle w:val="TableContents"/>
              <w:bidi w:val="0"/>
              <w:spacing w:before="0" w:after="283"/>
              <w:jc w:val="center"/>
              <w:rPr>
                <w:rFonts w:ascii="Arial" w:hAnsi="Arial"/>
                <w:b/>
                <w:color w:val="000000"/>
                <w:sz w:val="15"/>
              </w:rPr>
            </w:pPr>
            <w:r>
              <w:rPr>
                <w:rFonts w:ascii="Arial" w:hAnsi="Arial"/>
                <w:b/>
                <w:color w:val="000000"/>
                <w:sz w:val="15"/>
              </w:rPr>
              <w:t>(I.R.S. ID)</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aps/>
          <w:color w:val="000000"/>
          <w:sz w:val="17"/>
        </w:rPr>
        <w:t>ONE MICROSOFT WAY, REDMOND,</w:t>
      </w:r>
      <w:r>
        <w:rPr>
          <w:rFonts w:ascii="Times New Roman" w:hAnsi="Times New Roman"/>
          <w:color w:val="000000"/>
          <w:sz w:val="20"/>
        </w:rPr>
        <w:t xml:space="preserve"> </w:t>
      </w:r>
      <w:r>
        <w:rPr>
          <w:rFonts w:ascii="Arial" w:hAnsi="Arial"/>
          <w:b/>
          <w:caps/>
          <w:color w:val="000000"/>
          <w:sz w:val="17"/>
        </w:rPr>
        <w:t>Washington</w:t>
      </w:r>
      <w:r>
        <w:rPr>
          <w:rFonts w:ascii="Times New Roman" w:hAnsi="Times New Roman"/>
          <w:color w:val="000000"/>
          <w:sz w:val="20"/>
        </w:rPr>
        <w:t xml:space="preserve"> </w:t>
      </w:r>
      <w:r>
        <w:rPr>
          <w:rFonts w:ascii="Arial" w:hAnsi="Arial"/>
          <w:b/>
          <w:caps/>
          <w:color w:val="000000"/>
          <w:sz w:val="17"/>
        </w:rPr>
        <w:t>98052-6399</w:t>
      </w:r>
    </w:p>
    <w:p>
      <w:pPr>
        <w:pStyle w:val="TextBody"/>
        <w:bidi w:val="0"/>
        <w:jc w:val="center"/>
        <w:rPr>
          <w:rFonts w:ascii="Arial" w:hAnsi="Arial"/>
          <w:b/>
          <w:color w:val="000000"/>
          <w:sz w:val="17"/>
        </w:rPr>
      </w:pPr>
      <w:r>
        <w:rPr>
          <w:rFonts w:ascii="Arial" w:hAnsi="Arial"/>
          <w:b/>
          <w:color w:val="000000"/>
          <w:sz w:val="17"/>
        </w:rPr>
        <w:t>(425) 882-8080</w:t>
      </w:r>
    </w:p>
    <w:p>
      <w:pPr>
        <w:pStyle w:val="TextBody"/>
        <w:bidi w:val="0"/>
        <w:jc w:val="center"/>
        <w:rPr>
          <w:rFonts w:ascii="Arial" w:hAnsi="Arial"/>
          <w:b/>
          <w:sz w:val="17"/>
        </w:rPr>
      </w:pPr>
      <w:r>
        <w:rPr>
          <w:rFonts w:ascii="Arial" w:hAnsi="Arial"/>
          <w:b/>
          <w:sz w:val="17"/>
        </w:rPr>
        <w:t>www.microsoft.com/investor</w:t>
      </w:r>
    </w:p>
    <w:tbl>
      <w:tblPr>
        <w:tblW w:w="8455" w:type="dxa"/>
        <w:jc w:val="left"/>
        <w:tblInd w:w="0" w:type="dxa"/>
        <w:tblLayout w:type="fixed"/>
        <w:tblCellMar>
          <w:top w:w="28" w:type="dxa"/>
          <w:left w:w="28" w:type="dxa"/>
          <w:bottom w:w="28" w:type="dxa"/>
          <w:right w:w="28" w:type="dxa"/>
        </w:tblCellMar>
      </w:tblPr>
      <w:tblGrid>
        <w:gridCol w:w="3916"/>
        <w:gridCol w:w="146"/>
        <w:gridCol w:w="1246"/>
        <w:gridCol w:w="146"/>
        <w:gridCol w:w="300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left"/>
              <w:rPr/>
            </w:pPr>
            <w:r>
              <w:rPr/>
              <w:t> </w:t>
            </w:r>
          </w:p>
        </w:tc>
      </w:tr>
      <w:tr>
        <w:trPr/>
        <w:tc>
          <w:tcPr>
            <w:tcW w:w="8455" w:type="dxa"/>
            <w:gridSpan w:val="5"/>
            <w:tcBorders/>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Securities registered pursuant to Section 12(b) of the Act:</w:t>
            </w:r>
          </w:p>
        </w:tc>
      </w:tr>
      <w:tr>
        <w:trPr/>
        <w:tc>
          <w:tcPr>
            <w:tcW w:w="8455" w:type="dxa"/>
            <w:gridSpan w:val="5"/>
            <w:tcBorders/>
            <w:vAlign w:val="center"/>
          </w:tcPr>
          <w:p>
            <w:pPr>
              <w:pStyle w:val="TableContents"/>
              <w:bidi w:val="0"/>
              <w:spacing w:before="0" w:after="283"/>
              <w:jc w:val="left"/>
              <w:rPr/>
            </w:pPr>
            <w:r>
              <w:rPr/>
              <w:t> </w:t>
            </w:r>
          </w:p>
        </w:tc>
      </w:tr>
      <w:tr>
        <w:trPr/>
        <w:tc>
          <w:tcPr>
            <w:tcW w:w="3916" w:type="dxa"/>
            <w:tcBorders/>
            <w:vAlign w:val="center"/>
          </w:tcPr>
          <w:p>
            <w:pPr>
              <w:pStyle w:val="TableContents"/>
              <w:bidi w:val="0"/>
              <w:spacing w:before="0" w:after="283"/>
              <w:jc w:val="left"/>
              <w:rPr>
                <w:rFonts w:ascii="Arial" w:hAnsi="Arial"/>
                <w:b w:val="false"/>
                <w:color w:val="000000"/>
                <w:sz w:val="17"/>
              </w:rPr>
            </w:pPr>
            <w:r>
              <w:rPr>
                <w:rFonts w:ascii="Arial" w:hAnsi="Arial"/>
                <w:b w:val="false"/>
                <w:color w:val="000000"/>
                <w:sz w:val="17"/>
              </w:rPr>
              <w:t>Title of each class</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Arial" w:hAnsi="Arial"/>
                <w:b w:val="false"/>
                <w:color w:val="000000"/>
                <w:sz w:val="17"/>
              </w:rPr>
            </w:pPr>
            <w:r>
              <w:rPr>
                <w:rFonts w:ascii="Arial" w:hAnsi="Arial"/>
                <w:b w:val="false"/>
                <w:color w:val="000000"/>
                <w:sz w:val="17"/>
              </w:rPr>
              <w:t>Trading Symbol</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b w:val="false"/>
                <w:color w:val="000000"/>
                <w:sz w:val="17"/>
              </w:rPr>
            </w:pPr>
            <w:r>
              <w:rPr>
                <w:rFonts w:ascii="Arial" w:hAnsi="Arial"/>
                <w:b w:val="false"/>
                <w:color w:val="000000"/>
                <w:sz w:val="17"/>
              </w:rPr>
              <w:t>Name of exchange on which registered</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left"/>
              <w:rPr/>
            </w:pPr>
            <w:r>
              <w:rPr/>
              <w:t> </w:t>
            </w:r>
          </w:p>
        </w:tc>
      </w:tr>
      <w:tr>
        <w:trPr/>
        <w:tc>
          <w:tcPr>
            <w:tcW w:w="3916" w:type="dxa"/>
            <w:tcBorders/>
            <w:vAlign w:val="center"/>
          </w:tcPr>
          <w:p>
            <w:pPr>
              <w:pStyle w:val="TableContents"/>
              <w:bidi w:val="0"/>
              <w:spacing w:before="0" w:after="283"/>
              <w:jc w:val="left"/>
              <w:rPr>
                <w:rFonts w:ascii="Arial" w:hAnsi="Arial"/>
                <w:b/>
                <w:color w:val="000000"/>
                <w:sz w:val="17"/>
              </w:rPr>
            </w:pPr>
            <w:r>
              <w:rPr>
                <w:rFonts w:ascii="Arial" w:hAnsi="Arial"/>
                <w:b/>
                <w:color w:val="000000"/>
                <w:sz w:val="17"/>
              </w:rPr>
              <w:t>Common stock, $0.00000625 par value per share</w:t>
            </w:r>
          </w:p>
        </w:tc>
        <w:tc>
          <w:tcPr>
            <w:tcW w:w="14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vAlign w:val="center"/>
          </w:tcPr>
          <w:p>
            <w:pPr>
              <w:pStyle w:val="TableContents"/>
              <w:bidi w:val="0"/>
              <w:spacing w:before="0" w:after="283"/>
              <w:jc w:val="left"/>
              <w:rPr>
                <w:rFonts w:ascii="Arial" w:hAnsi="Arial"/>
                <w:b/>
                <w:color w:val="000000"/>
                <w:sz w:val="17"/>
              </w:rPr>
            </w:pPr>
            <w:r>
              <w:rPr>
                <w:rFonts w:ascii="Arial" w:hAnsi="Arial"/>
                <w:b/>
                <w:color w:val="000000"/>
                <w:sz w:val="17"/>
              </w:rPr>
              <w:t>3.125% Notes due 2028</w:t>
            </w:r>
          </w:p>
        </w:tc>
        <w:tc>
          <w:tcPr>
            <w:tcW w:w="14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vAlign w:val="center"/>
          </w:tcPr>
          <w:p>
            <w:pPr>
              <w:pStyle w:val="TableContents"/>
              <w:bidi w:val="0"/>
              <w:spacing w:before="0" w:after="283"/>
              <w:jc w:val="left"/>
              <w:rPr>
                <w:rFonts w:ascii="Arial" w:hAnsi="Arial"/>
                <w:b/>
                <w:color w:val="000000"/>
                <w:sz w:val="17"/>
              </w:rPr>
            </w:pPr>
            <w:r>
              <w:rPr>
                <w:rFonts w:ascii="Arial" w:hAnsi="Arial"/>
                <w:b/>
                <w:color w:val="000000"/>
                <w:sz w:val="17"/>
              </w:rPr>
              <w:t>2.625% Notes due 2033</w:t>
            </w:r>
          </w:p>
        </w:tc>
        <w:tc>
          <w:tcPr>
            <w:tcW w:w="14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bl>
    <w:p>
      <w:pPr>
        <w:pStyle w:val="TextBody"/>
        <w:bidi w:val="0"/>
        <w:spacing w:before="80" w:after="283"/>
        <w:jc w:val="both"/>
        <w:rPr>
          <w:rFonts w:ascii="Times New Roman" w:hAnsi="Times New Roman"/>
          <w:sz w:val="20"/>
        </w:rPr>
      </w:pPr>
      <w:r>
        <w:rPr>
          <w:rFonts w:ascii="Arial" w:hAnsi="Arial"/>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b w:val="false"/>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b w:val="false"/>
          <w:color w:val="000000"/>
          <w:sz w:val="17"/>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2011"/>
        <w:gridCol w:w="146"/>
        <w:gridCol w:w="238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Times New Roman" w:hAnsi="Times New Roman"/>
                <w:sz w:val="17"/>
              </w:rPr>
            </w:pPr>
            <w:r>
              <w:rPr>
                <w:rFonts w:ascii="Arial" w:hAnsi="Arial"/>
                <w:b w:val="false"/>
                <w:color w:val="000000"/>
                <w:sz w:val="17"/>
              </w:rPr>
              <w:t>Large Accelerated Filer</w:t>
            </w:r>
            <w:r>
              <w:rPr>
                <w:rFonts w:ascii="Times New Roman" w:hAnsi="Times New Roman"/>
                <w:color w:val="000000"/>
                <w:sz w:val="17"/>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rFonts w:ascii="Times New Roman" w:hAnsi="Times New Roman"/>
                <w:sz w:val="17"/>
              </w:rPr>
            </w:pPr>
            <w:r>
              <w:rPr>
                <w:rFonts w:ascii="Arial" w:hAnsi="Arial"/>
                <w:b w:val="false"/>
                <w:color w:val="000000"/>
                <w:sz w:val="17"/>
              </w:rPr>
              <w:t xml:space="preserve">Accelerated Filer </w:t>
            </w:r>
            <w:r>
              <w:rPr>
                <w:rFonts w:ascii="Times New Roman" w:hAnsi="Times New Roman"/>
                <w:color w:val="000000"/>
                <w:sz w:val="17"/>
              </w:rPr>
              <w:t>☐</w:t>
            </w:r>
          </w:p>
        </w:tc>
      </w:tr>
      <w:tr>
        <w:trPr/>
        <w:tc>
          <w:tcPr>
            <w:tcW w:w="2011" w:type="dxa"/>
            <w:tcBorders/>
            <w:vAlign w:val="center"/>
          </w:tcPr>
          <w:p>
            <w:pPr>
              <w:pStyle w:val="TableContents"/>
              <w:bidi w:val="0"/>
              <w:spacing w:before="0" w:after="283"/>
              <w:jc w:val="left"/>
              <w:rPr>
                <w:rFonts w:ascii="Times New Roman" w:hAnsi="Times New Roman"/>
                <w:sz w:val="17"/>
              </w:rPr>
            </w:pPr>
            <w:r>
              <w:rPr>
                <w:rFonts w:ascii="Arial" w:hAnsi="Arial"/>
                <w:b w:val="false"/>
                <w:color w:val="000000"/>
                <w:sz w:val="17"/>
              </w:rPr>
              <w:t xml:space="preserve">Non-accelerated Filer </w:t>
            </w:r>
            <w:r>
              <w:rPr>
                <w:rFonts w:ascii="Times New Roman" w:hAnsi="Times New Roman"/>
                <w:color w:val="000000"/>
                <w:sz w:val="17"/>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rFonts w:ascii="Times New Roman" w:hAnsi="Times New Roman"/>
                <w:sz w:val="17"/>
              </w:rPr>
            </w:pPr>
            <w:r>
              <w:rPr>
                <w:rFonts w:ascii="Arial" w:hAnsi="Arial"/>
                <w:b w:val="false"/>
                <w:color w:val="000000"/>
                <w:sz w:val="17"/>
              </w:rPr>
              <w:t xml:space="preserve">Smaller Reporting Company </w:t>
            </w:r>
            <w:r>
              <w:rPr>
                <w:rFonts w:ascii="Times New Roman" w:hAnsi="Times New Roman"/>
                <w:color w:val="000000"/>
                <w:sz w:val="17"/>
              </w:rPr>
              <w:t>☐</w:t>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bidi w:val="0"/>
              <w:spacing w:before="0" w:after="283"/>
              <w:jc w:val="left"/>
              <w:rPr>
                <w:rFonts w:ascii="Times New Roman" w:hAnsi="Times New Roman"/>
                <w:sz w:val="17"/>
              </w:rPr>
            </w:pPr>
            <w:r>
              <w:rPr>
                <w:rFonts w:ascii="Arial" w:hAnsi="Arial"/>
                <w:b w:val="false"/>
                <w:color w:val="000000"/>
                <w:sz w:val="17"/>
              </w:rPr>
              <w:t xml:space="preserve">Emerging Growth Company </w:t>
            </w: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b w:val="false"/>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b w:val="false"/>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val="false"/>
          <w:color w:val="000000"/>
          <w:sz w:val="17"/>
        </w:rPr>
        <w:t>Indicate the number of shares outstanding of each of the issuer’s classes of common stock, as of the latest practicable date.</w:t>
      </w:r>
      <w:r>
        <w:rPr>
          <w:rFonts w:ascii="Times New Roman" w:hAnsi="Times New Roman"/>
          <w:color w:val="000000"/>
          <w:sz w:val="20"/>
        </w:rPr>
        <w:t xml:space="preserve"> </w:t>
      </w:r>
    </w:p>
    <w:tbl>
      <w:tblPr>
        <w:tblW w:w="6898" w:type="dxa"/>
        <w:jc w:val="left"/>
        <w:tblInd w:w="0" w:type="dxa"/>
        <w:tblLayout w:type="fixed"/>
        <w:tblCellMar>
          <w:top w:w="28" w:type="dxa"/>
          <w:left w:w="28" w:type="dxa"/>
          <w:bottom w:w="28" w:type="dxa"/>
          <w:right w:w="28" w:type="dxa"/>
        </w:tblCellMar>
      </w:tblPr>
      <w:tblGrid>
        <w:gridCol w:w="3751"/>
        <w:gridCol w:w="109"/>
        <w:gridCol w:w="2701"/>
        <w:gridCol w:w="146"/>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Class</w:t>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Outstanding as of October 19, 2023</w:t>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 </w:t>
            </w:r>
          </w:p>
        </w:tc>
      </w:tr>
      <w:tr>
        <w:trPr/>
        <w:tc>
          <w:tcPr>
            <w:tcW w:w="656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jc w:val="left"/>
              <w:rPr>
                <w:sz w:val="4"/>
                <w:szCs w:val="4"/>
              </w:rPr>
            </w:pPr>
            <w:r>
              <w:rPr>
                <w:sz w:val="4"/>
                <w:szCs w:val="4"/>
              </w:rPr>
            </w:r>
          </w:p>
        </w:tc>
        <w:tc>
          <w:tcPr>
            <w:tcW w:w="3147" w:type="dxa"/>
            <w:gridSpan w:val="4"/>
            <w:tcBorders/>
            <w:vAlign w:val="center"/>
          </w:tcPr>
          <w:p>
            <w:pPr>
              <w:pStyle w:val="TableContents"/>
              <w:bidi w:val="0"/>
              <w:spacing w:before="0" w:after="283"/>
              <w:jc w:val="left"/>
              <w:rPr/>
            </w:pPr>
            <w:r>
              <w:rPr/>
              <w:t> </w:t>
            </w:r>
          </w:p>
        </w:tc>
      </w:tr>
      <w:tr>
        <w:trPr/>
        <w:tc>
          <w:tcPr>
            <w:tcW w:w="3751" w:type="dxa"/>
            <w:tcBorders/>
            <w:vAlign w:val="center"/>
          </w:tcPr>
          <w:p>
            <w:pPr>
              <w:pStyle w:val="TableContents"/>
              <w:bidi w:val="0"/>
              <w:spacing w:before="0" w:after="283"/>
              <w:jc w:val="left"/>
              <w:rPr>
                <w:rFonts w:ascii="Times New Roman" w:hAnsi="Times New Roman"/>
                <w:sz w:val="20"/>
              </w:rPr>
            </w:pPr>
            <w:r>
              <w:rPr>
                <w:rFonts w:ascii="Arial" w:hAnsi="Arial"/>
                <w:b w:val="false"/>
                <w:color w:val="000000"/>
                <w:sz w:val="17"/>
              </w:rPr>
              <w:t>Common Stock, $0.00000625</w:t>
            </w:r>
            <w:r>
              <w:rPr>
                <w:rFonts w:ascii="Times New Roman" w:hAnsi="Times New Roman"/>
                <w:color w:val="000000"/>
                <w:sz w:val="20"/>
              </w:rPr>
              <w:t> </w:t>
            </w:r>
            <w:r>
              <w:rPr>
                <w:rFonts w:ascii="Arial" w:hAnsi="Arial"/>
                <w:b w:val="false"/>
                <w:color w:val="000000"/>
                <w:sz w:val="17"/>
              </w:rPr>
              <w:t>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right"/>
              <w:rPr>
                <w:rFonts w:ascii="Times New Roman" w:hAnsi="Times New Roman"/>
                <w:sz w:val="20"/>
              </w:rPr>
            </w:pPr>
            <w:r>
              <w:rPr>
                <w:rFonts w:ascii="Arial" w:hAnsi="Arial"/>
                <w:b w:val="false"/>
                <w:color w:val="000000"/>
                <w:sz w:val="17"/>
              </w:rPr>
              <w:t>7,432,262,329</w:t>
            </w:r>
            <w:r>
              <w:rPr>
                <w:rFonts w:ascii="Times New Roman" w:hAnsi="Times New Roman"/>
                <w:color w:val="000000"/>
                <w:sz w:val="20"/>
              </w:rPr>
              <w:t> </w:t>
            </w:r>
            <w:r>
              <w:rPr>
                <w:rFonts w:ascii="Arial" w:hAnsi="Arial"/>
                <w:b w:val="false"/>
                <w:color w:val="000000"/>
                <w:sz w:val="17"/>
              </w:rPr>
              <w:t>shares</w:t>
            </w:r>
          </w:p>
        </w:tc>
        <w:tc>
          <w:tcPr>
            <w:tcW w:w="337" w:type="dxa"/>
            <w:gridSpan w:val="2"/>
            <w:tcBorders/>
            <w:vAlign w:val="center"/>
          </w:tcPr>
          <w:p>
            <w:pPr>
              <w:pStyle w:val="TableContents"/>
              <w:bidi w:val="0"/>
              <w:spacing w:before="0" w:after="283"/>
              <w:jc w:val="left"/>
              <w:rPr>
                <w:sz w:val="4"/>
                <w:szCs w:val="4"/>
              </w:rPr>
            </w:pPr>
            <w:r>
              <w:rPr>
                <w:sz w:val="4"/>
                <w:szCs w:val="4"/>
              </w:rPr>
            </w:r>
          </w:p>
        </w:tc>
      </w:tr>
    </w:tbl>
    <w:p>
      <w:pPr>
        <w:pStyle w:val="TextBody"/>
        <w:pBdr>
          <w:top w:val="single" w:sz="6"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MICROSOFT CORPORATION</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color w:val="000000"/>
          <w:sz w:val="20"/>
        </w:rPr>
        <w:t>FORM 10-Q</w:t>
      </w:r>
      <w:r>
        <w:rPr>
          <w:rFonts w:ascii="Times New Roman" w:hAnsi="Times New Roman"/>
          <w:color w:val="000000"/>
          <w:sz w:val="20"/>
        </w:rPr>
        <w:t xml:space="preserve"> </w:t>
      </w:r>
    </w:p>
    <w:p>
      <w:pPr>
        <w:pStyle w:val="TextBody"/>
        <w:bidi w:val="0"/>
        <w:spacing w:before="90" w:after="283"/>
        <w:jc w:val="center"/>
        <w:rPr>
          <w:rFonts w:ascii="Arial" w:hAnsi="Arial"/>
          <w:b/>
          <w:color w:val="000000"/>
          <w:sz w:val="20"/>
        </w:rPr>
      </w:pPr>
      <w:r>
        <w:rPr>
          <w:rFonts w:ascii="Arial" w:hAnsi="Arial"/>
          <w:b/>
          <w:color w:val="000000"/>
          <w:sz w:val="20"/>
        </w:rPr>
        <w:t>For the Quarter Ended September 30, 2023</w:t>
      </w:r>
    </w:p>
    <w:p>
      <w:pPr>
        <w:pStyle w:val="TextBody"/>
        <w:bidi w:val="0"/>
        <w:spacing w:before="90" w:after="283"/>
        <w:jc w:val="center"/>
        <w:rPr>
          <w:rFonts w:ascii="Times New Roman" w:hAnsi="Times New Roman"/>
          <w:sz w:val="20"/>
        </w:rPr>
      </w:pPr>
      <w:r>
        <w:rPr>
          <w:rFonts w:ascii="Arial" w:hAnsi="Arial"/>
          <w:b/>
          <w:color w:val="000000"/>
          <w:sz w:val="20"/>
        </w:rPr>
        <w:t>INDEX</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2"/>
        <w:gridCol w:w="819"/>
        <w:gridCol w:w="264"/>
        <w:gridCol w:w="7691"/>
        <w:gridCol w:w="529"/>
      </w:tblGrid>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9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sz w:val="4"/>
                <w:szCs w:val="4"/>
              </w:rPr>
            </w:pPr>
            <w:r>
              <w:rPr>
                <w:sz w:val="4"/>
                <w:szCs w:val="4"/>
              </w:rPr>
            </w:r>
          </w:p>
        </w:tc>
        <w:tc>
          <w:tcPr>
            <w:tcW w:w="8774" w:type="dxa"/>
            <w:gridSpan w:val="3"/>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Page</w:t>
            </w:r>
          </w:p>
        </w:tc>
      </w:tr>
      <w:tr>
        <w:trPr/>
        <w:tc>
          <w:tcPr>
            <w:tcW w:w="90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74" w:type="dxa"/>
            <w:gridSpan w:val="3"/>
            <w:tcBorders/>
            <w:vAlign w:val="center"/>
          </w:tcPr>
          <w:p>
            <w:pPr>
              <w:pStyle w:val="TableContents"/>
              <w:bidi w:val="0"/>
              <w:spacing w:before="0" w:after="283"/>
              <w:jc w:val="left"/>
              <w:rPr/>
            </w:pPr>
            <w:hyperlink w:anchor="part_i_financial_information">
              <w:r>
                <w:rPr>
                  <w:rStyle w:val="InternetLink"/>
                  <w:rFonts w:ascii="Arial" w:hAnsi="Arial"/>
                  <w:b/>
                  <w:color w:val="000000"/>
                  <w:sz w:val="20"/>
                </w:rPr>
                <w:t>FINANCIAL INFORMATION</w:t>
              </w:r>
            </w:hyperlink>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7955" w:type="dxa"/>
            <w:gridSpan w:val="2"/>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7955" w:type="dxa"/>
            <w:gridSpan w:val="2"/>
            <w:tcBorders/>
            <w:vAlign w:val="center"/>
          </w:tcPr>
          <w:p>
            <w:pPr>
              <w:pStyle w:val="TableContents"/>
              <w:bidi w:val="0"/>
              <w:spacing w:before="0" w:after="283"/>
              <w:jc w:val="left"/>
              <w:rPr/>
            </w:pPr>
            <w:hyperlink w:anchor="item_1_financial_statements">
              <w:r>
                <w:rPr>
                  <w:rStyle w:val="InternetLink"/>
                  <w:rFonts w:ascii="Arial" w:hAnsi="Arial"/>
                  <w:b w:val="false"/>
                  <w:color w:val="000000"/>
                  <w:sz w:val="20"/>
                </w:rPr>
                <w:t>Financial Statements</w:t>
              </w:r>
            </w:hyperlink>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w:t>
            </w:r>
          </w:p>
        </w:tc>
        <w:tc>
          <w:tcPr>
            <w:tcW w:w="7691" w:type="dxa"/>
            <w:tcBorders/>
            <w:vAlign w:val="center"/>
          </w:tcPr>
          <w:p>
            <w:pPr>
              <w:pStyle w:val="TableContents"/>
              <w:bidi w:val="0"/>
              <w:spacing w:before="0" w:after="283"/>
              <w:jc w:val="left"/>
              <w:rPr/>
            </w:pPr>
            <w:hyperlink w:anchor="income_statements">
              <w:r>
                <w:rPr>
                  <w:rStyle w:val="InternetLink"/>
                  <w:rFonts w:ascii="Arial" w:hAnsi="Arial"/>
                  <w:b w:val="false"/>
                  <w:color w:val="000000"/>
                  <w:sz w:val="20"/>
                </w:rPr>
                <w:t>Income Statements for the Three Months Ended September 30, 2023 and 2022</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b)</w:t>
            </w:r>
          </w:p>
        </w:tc>
        <w:tc>
          <w:tcPr>
            <w:tcW w:w="7691" w:type="dxa"/>
            <w:tcBorders/>
            <w:vAlign w:val="center"/>
          </w:tcPr>
          <w:p>
            <w:pPr>
              <w:pStyle w:val="TableContents"/>
              <w:bidi w:val="0"/>
              <w:spacing w:before="0" w:after="283"/>
              <w:jc w:val="left"/>
              <w:rPr/>
            </w:pPr>
            <w:hyperlink w:anchor="comprehensive_income_statements">
              <w:r>
                <w:rPr>
                  <w:rStyle w:val="InternetLink"/>
                  <w:rFonts w:ascii="Arial" w:hAnsi="Arial"/>
                  <w:b w:val="false"/>
                  <w:color w:val="000000"/>
                  <w:sz w:val="20"/>
                </w:rPr>
                <w:t>Comprehensive Income Statements for the Three Months Ended September 30, 2023 and 2022</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w:t>
            </w:r>
          </w:p>
        </w:tc>
        <w:tc>
          <w:tcPr>
            <w:tcW w:w="7691" w:type="dxa"/>
            <w:tcBorders/>
            <w:vAlign w:val="center"/>
          </w:tcPr>
          <w:p>
            <w:pPr>
              <w:pStyle w:val="TableContents"/>
              <w:bidi w:val="0"/>
              <w:spacing w:before="0" w:after="283"/>
              <w:jc w:val="left"/>
              <w:rPr/>
            </w:pPr>
            <w:hyperlink w:anchor="balance_sheets">
              <w:r>
                <w:rPr>
                  <w:rStyle w:val="InternetLink"/>
                  <w:rFonts w:ascii="Arial" w:hAnsi="Arial"/>
                  <w:b w:val="false"/>
                  <w:color w:val="000000"/>
                  <w:sz w:val="20"/>
                </w:rPr>
                <w:t>Balance Sheets as of September 30, 2023 and June 30, 2023</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w:t>
            </w:r>
          </w:p>
        </w:tc>
        <w:tc>
          <w:tcPr>
            <w:tcW w:w="7691" w:type="dxa"/>
            <w:tcBorders/>
            <w:vAlign w:val="center"/>
          </w:tcPr>
          <w:p>
            <w:pPr>
              <w:pStyle w:val="TableContents"/>
              <w:bidi w:val="0"/>
              <w:spacing w:before="0" w:after="283"/>
              <w:jc w:val="left"/>
              <w:rPr/>
            </w:pPr>
            <w:hyperlink w:anchor="cash_flows_statements">
              <w:r>
                <w:rPr>
                  <w:rStyle w:val="InternetLink"/>
                  <w:rFonts w:ascii="Arial" w:hAnsi="Arial"/>
                  <w:b w:val="false"/>
                  <w:color w:val="000000"/>
                  <w:sz w:val="20"/>
                </w:rPr>
                <w:t>Cash Flows Statements for the Three Months Ended September 30, 2023 and 2022</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w:t>
            </w:r>
          </w:p>
        </w:tc>
        <w:tc>
          <w:tcPr>
            <w:tcW w:w="7691" w:type="dxa"/>
            <w:tcBorders/>
            <w:vAlign w:val="center"/>
          </w:tcPr>
          <w:p>
            <w:pPr>
              <w:pStyle w:val="TableContents"/>
              <w:bidi w:val="0"/>
              <w:spacing w:before="0" w:after="283"/>
              <w:jc w:val="left"/>
              <w:rPr/>
            </w:pPr>
            <w:hyperlink w:anchor="stockholders_equity_statements">
              <w:r>
                <w:rPr>
                  <w:rStyle w:val="InternetLink"/>
                  <w:rFonts w:ascii="Arial" w:hAnsi="Arial"/>
                  <w:b w:val="false"/>
                  <w:color w:val="000000"/>
                  <w:sz w:val="20"/>
                </w:rPr>
                <w:t>Stockholders’ Equity Statements for the Three Months Ended September 30, 2023 and 2022</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w:t>
            </w:r>
          </w:p>
        </w:tc>
        <w:tc>
          <w:tcPr>
            <w:tcW w:w="7691" w:type="dxa"/>
            <w:tcBorders/>
            <w:vAlign w:val="center"/>
          </w:tcPr>
          <w:p>
            <w:pPr>
              <w:pStyle w:val="TableContents"/>
              <w:bidi w:val="0"/>
              <w:spacing w:before="0" w:after="283"/>
              <w:jc w:val="left"/>
              <w:rPr/>
            </w:pPr>
            <w:hyperlink w:anchor="notes_to_financial_statements">
              <w:r>
                <w:rPr>
                  <w:rStyle w:val="InternetLink"/>
                  <w:rFonts w:ascii="Arial" w:hAnsi="Arial"/>
                  <w:b w:val="false"/>
                  <w:color w:val="000000"/>
                  <w:sz w:val="20"/>
                </w:rPr>
                <w:t>Notes to Financial Statements</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w:t>
            </w:r>
          </w:p>
        </w:tc>
        <w:tc>
          <w:tcPr>
            <w:tcW w:w="7691" w:type="dxa"/>
            <w:tcBorders/>
            <w:vAlign w:val="center"/>
          </w:tcPr>
          <w:p>
            <w:pPr>
              <w:pStyle w:val="TableContents"/>
              <w:bidi w:val="0"/>
              <w:spacing w:before="0" w:after="283"/>
              <w:jc w:val="left"/>
              <w:rPr/>
            </w:pPr>
            <w:hyperlink w:anchor="report_independent_registered_public_acc">
              <w:r>
                <w:rPr>
                  <w:rStyle w:val="InternetLink"/>
                  <w:rFonts w:ascii="Arial" w:hAnsi="Arial"/>
                  <w:b w:val="false"/>
                  <w:color w:val="000000"/>
                  <w:sz w:val="20"/>
                </w:rPr>
                <w:t>Report of Independent Registered Public Accounting Firm</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7955" w:type="dxa"/>
            <w:gridSpan w:val="2"/>
            <w:tcBorders/>
            <w:vAlign w:val="center"/>
          </w:tcPr>
          <w:p>
            <w:pPr>
              <w:pStyle w:val="TableContents"/>
              <w:bidi w:val="0"/>
              <w:spacing w:before="0" w:after="283"/>
              <w:jc w:val="left"/>
              <w:rPr/>
            </w:pPr>
            <w:hyperlink w:anchor="item_2_managements_discussion_analysis_f">
              <w:r>
                <w:rPr>
                  <w:rStyle w:val="InternetLink"/>
                  <w:rFonts w:ascii="Arial" w:hAnsi="Arial"/>
                  <w:b w:val="false"/>
                  <w:color w:val="000000"/>
                  <w:sz w:val="20"/>
                </w:rPr>
                <w:t>Management’s Discussion and Analysis of Financial Condition and Results of Operations</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3.</w:t>
            </w:r>
          </w:p>
        </w:tc>
        <w:tc>
          <w:tcPr>
            <w:tcW w:w="7955" w:type="dxa"/>
            <w:gridSpan w:val="2"/>
            <w:tcBorders/>
            <w:vAlign w:val="center"/>
          </w:tcPr>
          <w:p>
            <w:pPr>
              <w:pStyle w:val="TableContents"/>
              <w:bidi w:val="0"/>
              <w:spacing w:before="0" w:after="283"/>
              <w:jc w:val="left"/>
              <w:rPr/>
            </w:pPr>
            <w:hyperlink w:anchor="item_3_quantitative_qualitative_disclosu">
              <w:r>
                <w:rPr>
                  <w:rStyle w:val="InternetLink"/>
                  <w:rFonts w:ascii="Arial" w:hAnsi="Arial"/>
                  <w:b w:val="false"/>
                  <w:color w:val="000000"/>
                  <w:sz w:val="20"/>
                </w:rPr>
                <w:t>Quantitative and Qualitative Disclosures About Market Risk</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4.</w:t>
            </w:r>
          </w:p>
        </w:tc>
        <w:tc>
          <w:tcPr>
            <w:tcW w:w="7955" w:type="dxa"/>
            <w:gridSpan w:val="2"/>
            <w:tcBorders/>
            <w:vAlign w:val="center"/>
          </w:tcPr>
          <w:p>
            <w:pPr>
              <w:pStyle w:val="TableContents"/>
              <w:bidi w:val="0"/>
              <w:spacing w:before="0" w:after="283"/>
              <w:jc w:val="left"/>
              <w:rPr/>
            </w:pPr>
            <w:hyperlink w:anchor="item_4_controls_procedures">
              <w:r>
                <w:rPr>
                  <w:rStyle w:val="InternetLink"/>
                  <w:rFonts w:ascii="Arial" w:hAnsi="Arial"/>
                  <w:b w:val="false"/>
                  <w:color w:val="000000"/>
                  <w:sz w:val="20"/>
                </w:rPr>
                <w:t>Controls and Procedures</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rFonts w:ascii="Times New Roman" w:hAnsi="Times New Roman"/>
                <w:sz w:val="20"/>
              </w:rPr>
            </w:pPr>
            <w:r>
              <w:rPr>
                <w:rFonts w:ascii="Arial" w:hAnsi="Arial"/>
                <w:b/>
                <w:color w:val="000000"/>
                <w:sz w:val="20"/>
              </w:rPr>
              <w:t>PART II.</w:t>
            </w:r>
            <w:r>
              <w:rPr>
                <w:rFonts w:ascii="Times New Roman" w:hAnsi="Times New Roman"/>
                <w:color w:val="000000"/>
                <w:sz w:val="20"/>
              </w:rPr>
              <w:t xml:space="preserve"> </w:t>
            </w:r>
          </w:p>
        </w:tc>
        <w:tc>
          <w:tcPr>
            <w:tcW w:w="8774" w:type="dxa"/>
            <w:gridSpan w:val="3"/>
            <w:tcBorders/>
            <w:vAlign w:val="center"/>
          </w:tcPr>
          <w:p>
            <w:pPr>
              <w:pStyle w:val="TableContents"/>
              <w:bidi w:val="0"/>
              <w:spacing w:before="0" w:after="283"/>
              <w:jc w:val="left"/>
              <w:rPr/>
            </w:pPr>
            <w:hyperlink w:anchor="part_ii_or_information">
              <w:r>
                <w:rPr>
                  <w:rStyle w:val="InternetLink"/>
                  <w:rFonts w:ascii="Arial" w:hAnsi="Arial"/>
                  <w:b/>
                  <w:color w:val="000000"/>
                  <w:sz w:val="20"/>
                </w:rPr>
                <w:t>OTHER INFORMATION</w:t>
              </w:r>
            </w:hyperlink>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w:t>
            </w:r>
          </w:p>
        </w:tc>
        <w:tc>
          <w:tcPr>
            <w:tcW w:w="7955" w:type="dxa"/>
            <w:gridSpan w:val="2"/>
            <w:tcBorders/>
            <w:vAlign w:val="center"/>
          </w:tcPr>
          <w:p>
            <w:pPr>
              <w:pStyle w:val="TableContents"/>
              <w:bidi w:val="0"/>
              <w:spacing w:before="0" w:after="283"/>
              <w:jc w:val="left"/>
              <w:rPr/>
            </w:pPr>
            <w:hyperlink w:anchor="item_1_legal_proceedings">
              <w:r>
                <w:rPr>
                  <w:rStyle w:val="InternetLink"/>
                  <w:rFonts w:ascii="Arial" w:hAnsi="Arial"/>
                  <w:b w:val="false"/>
                  <w:color w:val="000000"/>
                  <w:sz w:val="20"/>
                </w:rPr>
                <w:t>Legal Proceedings</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1A.</w:t>
            </w:r>
          </w:p>
        </w:tc>
        <w:tc>
          <w:tcPr>
            <w:tcW w:w="7955" w:type="dxa"/>
            <w:gridSpan w:val="2"/>
            <w:tcBorders/>
            <w:vAlign w:val="center"/>
          </w:tcPr>
          <w:p>
            <w:pPr>
              <w:pStyle w:val="TableContents"/>
              <w:bidi w:val="0"/>
              <w:spacing w:before="0" w:after="283"/>
              <w:jc w:val="left"/>
              <w:rPr/>
            </w:pPr>
            <w:hyperlink w:anchor="item_1a_risk_factors">
              <w:r>
                <w:rPr>
                  <w:rStyle w:val="InternetLink"/>
                  <w:rFonts w:ascii="Arial" w:hAnsi="Arial"/>
                  <w:b w:val="false"/>
                  <w:color w:val="000000"/>
                  <w:sz w:val="20"/>
                </w:rPr>
                <w:t>Risk Factors</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2.</w:t>
            </w:r>
          </w:p>
        </w:tc>
        <w:tc>
          <w:tcPr>
            <w:tcW w:w="7955" w:type="dxa"/>
            <w:gridSpan w:val="2"/>
            <w:tcBorders/>
            <w:vAlign w:val="center"/>
          </w:tcPr>
          <w:p>
            <w:pPr>
              <w:pStyle w:val="TableContents"/>
              <w:bidi w:val="0"/>
              <w:spacing w:before="0" w:after="283"/>
              <w:jc w:val="left"/>
              <w:rPr/>
            </w:pPr>
            <w:hyperlink w:anchor="item_2_unregistered_sales_equity_securit">
              <w:r>
                <w:rPr>
                  <w:rStyle w:val="InternetLink"/>
                  <w:rFonts w:ascii="Arial" w:hAnsi="Arial"/>
                  <w:b w:val="false"/>
                  <w:color w:val="000000"/>
                  <w:sz w:val="20"/>
                </w:rPr>
                <w:t>Unregistered Sales of Equity Securities and Use of Proceeds</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5.</w:t>
            </w:r>
          </w:p>
        </w:tc>
        <w:tc>
          <w:tcPr>
            <w:tcW w:w="7955" w:type="dxa"/>
            <w:gridSpan w:val="2"/>
            <w:tcBorders/>
            <w:vAlign w:val="center"/>
          </w:tcPr>
          <w:p>
            <w:pPr>
              <w:pStyle w:val="TableContents"/>
              <w:bidi w:val="0"/>
              <w:spacing w:before="0" w:after="283"/>
              <w:jc w:val="left"/>
              <w:rPr/>
            </w:pPr>
            <w:hyperlink w:anchor="item_5">
              <w:r>
                <w:rPr>
                  <w:rStyle w:val="InternetLink"/>
                  <w:rFonts w:ascii="Arial" w:hAnsi="Arial"/>
                  <w:b w:val="false"/>
                  <w:color w:val="000000"/>
                  <w:sz w:val="20"/>
                </w:rPr>
                <w:t>Other Information</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w:t>
            </w:r>
          </w:p>
        </w:tc>
      </w:tr>
      <w:tr>
        <w:trPr/>
        <w:tc>
          <w:tcPr>
            <w:tcW w:w="902"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left"/>
              <w:rPr/>
            </w:pPr>
            <w:r>
              <w:rPr/>
              <w:t> </w:t>
            </w:r>
          </w:p>
        </w:tc>
        <w:tc>
          <w:tcPr>
            <w:tcW w:w="7955" w:type="dxa"/>
            <w:gridSpan w:val="2"/>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Item 6.</w:t>
            </w:r>
          </w:p>
        </w:tc>
        <w:tc>
          <w:tcPr>
            <w:tcW w:w="7955" w:type="dxa"/>
            <w:gridSpan w:val="2"/>
            <w:tcBorders/>
            <w:vAlign w:val="center"/>
          </w:tcPr>
          <w:p>
            <w:pPr>
              <w:pStyle w:val="TableContents"/>
              <w:bidi w:val="0"/>
              <w:spacing w:before="0" w:after="283"/>
              <w:jc w:val="left"/>
              <w:rPr/>
            </w:pPr>
            <w:hyperlink w:anchor="item_6_exhibits">
              <w:r>
                <w:rPr>
                  <w:rStyle w:val="InternetLink"/>
                  <w:rFonts w:ascii="Arial" w:hAnsi="Arial"/>
                  <w:b w:val="false"/>
                  <w:color w:val="000000"/>
                  <w:sz w:val="20"/>
                </w:rPr>
                <w:t>Exhibits</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w:t>
            </w:r>
          </w:p>
        </w:tc>
      </w:tr>
      <w:tr>
        <w:trPr/>
        <w:tc>
          <w:tcPr>
            <w:tcW w:w="90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69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r>
      <w:tr>
        <w:trPr/>
        <w:tc>
          <w:tcPr>
            <w:tcW w:w="9676" w:type="dxa"/>
            <w:gridSpan w:val="4"/>
            <w:tcBorders/>
            <w:vAlign w:val="center"/>
          </w:tcPr>
          <w:p>
            <w:pPr>
              <w:pStyle w:val="TableContents"/>
              <w:bidi w:val="0"/>
              <w:spacing w:before="0" w:after="283"/>
              <w:jc w:val="left"/>
              <w:rPr/>
            </w:pPr>
            <w:hyperlink w:anchor="signatures">
              <w:r>
                <w:rPr>
                  <w:rStyle w:val="InternetLink"/>
                  <w:rFonts w:ascii="Arial" w:hAnsi="Arial"/>
                  <w:b/>
                  <w:color w:val="000000"/>
                  <w:sz w:val="20"/>
                </w:rPr>
                <w:t>SIGNATURE</w:t>
              </w:r>
            </w:hyperlink>
          </w:p>
        </w:tc>
        <w:tc>
          <w:tcPr>
            <w:tcW w:w="529"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2</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2" w:name="part_i_financial_information"/>
      <w:bookmarkEnd w:id="2"/>
      <w:r>
        <w:rPr>
          <w:rFonts w:ascii="Arial" w:hAnsi="Arial"/>
          <w:b/>
          <w:color w:val="000000"/>
          <w:sz w:val="20"/>
        </w:rPr>
        <w:t>PART I. FINANCIAL INFORMATION</w:t>
      </w:r>
    </w:p>
    <w:p>
      <w:pPr>
        <w:pStyle w:val="TextBody"/>
        <w:bidi w:val="0"/>
        <w:spacing w:before="90" w:after="283"/>
        <w:jc w:val="center"/>
        <w:rPr>
          <w:rFonts w:ascii="Arial" w:hAnsi="Arial"/>
          <w:b/>
          <w:color w:val="000000"/>
          <w:sz w:val="24"/>
        </w:rPr>
      </w:pPr>
      <w:bookmarkStart w:id="3" w:name="item_1_financial_statements"/>
      <w:bookmarkEnd w:id="3"/>
      <w:r>
        <w:rPr>
          <w:rFonts w:ascii="Arial" w:hAnsi="Arial"/>
          <w:b/>
          <w:color w:val="000000"/>
          <w:sz w:val="24"/>
        </w:rPr>
        <w:t>ITEM 1. FINANCIAL STATEMENTS</w:t>
      </w:r>
    </w:p>
    <w:p>
      <w:pPr>
        <w:pStyle w:val="TextBody"/>
        <w:bidi w:val="0"/>
        <w:spacing w:before="90" w:after="283"/>
        <w:jc w:val="center"/>
        <w:rPr>
          <w:rFonts w:ascii="Times New Roman" w:hAnsi="Times New Roman"/>
          <w:sz w:val="20"/>
        </w:rPr>
      </w:pPr>
      <w:bookmarkStart w:id="4" w:name="income_statements"/>
      <w:bookmarkEnd w:id="4"/>
      <w:r>
        <w:rPr>
          <w:rFonts w:ascii="Arial" w:hAnsi="Arial"/>
          <w:b/>
          <w:color w:val="000000"/>
          <w:sz w:val="20"/>
        </w:rPr>
        <w:t>INCOME STATEMENTS</w:t>
      </w:r>
      <w:r>
        <w:rPr>
          <w:rFonts w:ascii="Times New Roman" w:hAnsi="Times New Roman"/>
          <w:color w:val="000000"/>
          <w:sz w:val="20"/>
        </w:rPr>
        <w:t xml:space="preserve"> </w:t>
      </w:r>
    </w:p>
    <w:p>
      <w:pPr>
        <w:pStyle w:val="TextBody"/>
        <w:bidi w:val="0"/>
        <w:jc w:val="left"/>
        <w:rPr/>
      </w:pPr>
      <w:r>
        <w:rPr/>
        <w:t> </w:t>
      </w:r>
    </w:p>
    <w:tbl>
      <w:tblPr>
        <w:tblW w:w="6877" w:type="dxa"/>
        <w:jc w:val="left"/>
        <w:tblInd w:w="0" w:type="dxa"/>
        <w:tblLayout w:type="fixed"/>
        <w:tblCellMar>
          <w:top w:w="28" w:type="dxa"/>
          <w:left w:w="28" w:type="dxa"/>
          <w:bottom w:w="28" w:type="dxa"/>
          <w:right w:w="28" w:type="dxa"/>
        </w:tblCellMar>
      </w:tblPr>
      <w:tblGrid>
        <w:gridCol w:w="3856"/>
        <w:gridCol w:w="146"/>
        <w:gridCol w:w="211"/>
        <w:gridCol w:w="691"/>
        <w:gridCol w:w="146"/>
        <w:gridCol w:w="211"/>
        <w:gridCol w:w="691"/>
        <w:gridCol w:w="925"/>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vAlign w:val="center"/>
          </w:tcPr>
          <w:p>
            <w:pPr>
              <w:pStyle w:val="TableContents"/>
              <w:bidi w:val="0"/>
              <w:spacing w:before="0" w:after="283"/>
              <w:jc w:val="left"/>
              <w:rPr/>
            </w:pPr>
            <w:r>
              <w:rPr/>
              <w:t> </w:t>
            </w:r>
          </w:p>
        </w:tc>
        <w:tc>
          <w:tcPr>
            <w:tcW w:w="1950" w:type="dxa"/>
            <w:gridSpan w:val="5"/>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lef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925" w:type="dxa"/>
            <w:tcBorders/>
            <w:vAlign w:val="center"/>
          </w:tcPr>
          <w:p>
            <w:pPr>
              <w:pStyle w:val="TableContents"/>
              <w:bidi w:val="0"/>
              <w:spacing w:before="0" w:after="283"/>
              <w:jc w:val="righ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pPr>
            <w:r>
              <w:rPr/>
              <w:t> </w:t>
            </w:r>
          </w:p>
        </w:tc>
        <w:tc>
          <w:tcPr>
            <w:tcW w:w="925" w:type="dxa"/>
            <w:tcBorders/>
            <w:shd w:fill="E5E5E5" w:val="clear"/>
            <w:vAlign w:val="center"/>
          </w:tcPr>
          <w:p>
            <w:pPr>
              <w:pStyle w:val="TableContents"/>
              <w:bidi w:val="0"/>
              <w:spacing w:before="0" w:after="283"/>
              <w:ind w:left="0" w:right="0" w:firstLine="490"/>
              <w:jc w:val="lef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Product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15,535</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15,741</w:t>
            </w:r>
          </w:p>
        </w:tc>
        <w:tc>
          <w:tcPr>
            <w:tcW w:w="925" w:type="dxa"/>
            <w:tcBorders/>
            <w:vAlign w:val="center"/>
          </w:tcPr>
          <w:p>
            <w:pPr>
              <w:pStyle w:val="TableContents"/>
              <w:bidi w:val="0"/>
              <w:spacing w:before="0" w:after="283"/>
              <w:ind w:left="0" w:right="0" w:firstLine="490"/>
              <w:jc w:val="lef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Service and other</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40,982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34,381</w:t>
            </w:r>
          </w:p>
        </w:tc>
        <w:tc>
          <w:tcPr>
            <w:tcW w:w="925" w:type="dxa"/>
            <w:tcBorders/>
            <w:shd w:fill="E5E5E5" w:val="cle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734"/>
              <w:jc w:val="left"/>
              <w:rPr/>
            </w:pPr>
            <w:r>
              <w:rPr/>
              <w:t> </w:t>
            </w:r>
          </w:p>
        </w:tc>
      </w:tr>
      <w:tr>
        <w:trPr/>
        <w:tc>
          <w:tcPr>
            <w:tcW w:w="3856" w:type="dxa"/>
            <w:tcBorders/>
            <w:vAlign w:val="center"/>
          </w:tcPr>
          <w:p>
            <w:pPr>
              <w:pStyle w:val="TableContents"/>
              <w:pBdr/>
              <w:bidi w:val="0"/>
              <w:spacing w:before="0" w:after="283"/>
              <w:ind w:left="489" w:right="0" w:hanging="245"/>
              <w:jc w:val="left"/>
              <w:rPr>
                <w:rFonts w:ascii="Arial" w:hAnsi="Arial"/>
                <w:b w:val="false"/>
                <w:color w:val="000000"/>
                <w:sz w:val="20"/>
              </w:rPr>
            </w:pPr>
            <w:r>
              <w:rPr>
                <w:rFonts w:ascii="Arial" w:hAnsi="Arial"/>
                <w:b w:val="false"/>
                <w:color w:val="000000"/>
                <w:sz w:val="20"/>
              </w:rPr>
              <w:t>Total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56,517</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50,122</w:t>
            </w:r>
          </w:p>
        </w:tc>
        <w:tc>
          <w:tcPr>
            <w:tcW w:w="925" w:type="dxa"/>
            <w:tcBorders/>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Cost of 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pPr>
            <w:r>
              <w:rPr/>
              <w:t> </w:t>
            </w:r>
          </w:p>
        </w:tc>
        <w:tc>
          <w:tcPr>
            <w:tcW w:w="925" w:type="dxa"/>
            <w:tcBorders/>
            <w:shd w:fill="E5E5E5" w:val="clear"/>
            <w:vAlign w:val="center"/>
          </w:tcPr>
          <w:p>
            <w:pPr>
              <w:pStyle w:val="TableContents"/>
              <w:bidi w:val="0"/>
              <w:spacing w:before="0" w:after="283"/>
              <w:ind w:left="0" w:right="0" w:firstLine="490"/>
              <w:jc w:val="lef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Product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3,531</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4,302</w:t>
            </w:r>
          </w:p>
        </w:tc>
        <w:tc>
          <w:tcPr>
            <w:tcW w:w="925" w:type="dxa"/>
            <w:tcBorders/>
            <w:vAlign w:val="center"/>
          </w:tcPr>
          <w:p>
            <w:pPr>
              <w:pStyle w:val="TableContents"/>
              <w:bidi w:val="0"/>
              <w:spacing w:before="0" w:after="283"/>
              <w:ind w:left="0" w:right="0" w:firstLine="490"/>
              <w:jc w:val="lef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Service and other</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12,771</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11,150</w:t>
            </w:r>
          </w:p>
        </w:tc>
        <w:tc>
          <w:tcPr>
            <w:tcW w:w="925" w:type="dxa"/>
            <w:tcBorders/>
            <w:shd w:fill="E5E5E5" w:val="clear"/>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720"/>
              <w:jc w:val="left"/>
              <w:rPr/>
            </w:pPr>
            <w:r>
              <w:rPr/>
              <w:t> </w:t>
            </w:r>
          </w:p>
        </w:tc>
      </w:tr>
      <w:tr>
        <w:trPr/>
        <w:tc>
          <w:tcPr>
            <w:tcW w:w="3856" w:type="dxa"/>
            <w:tcBorders/>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Total cost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16,302</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15,452</w:t>
            </w:r>
          </w:p>
        </w:tc>
        <w:tc>
          <w:tcPr>
            <w:tcW w:w="925" w:type="dxa"/>
            <w:tcBorders/>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720"/>
              <w:jc w:val="left"/>
              <w:rPr/>
            </w:pPr>
            <w:r>
              <w:rPr/>
              <w:t> </w:t>
            </w:r>
          </w:p>
        </w:tc>
      </w:tr>
      <w:tr>
        <w:trPr/>
        <w:tc>
          <w:tcPr>
            <w:tcW w:w="3856"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Gross margin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40,215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34,670</w:t>
            </w:r>
          </w:p>
        </w:tc>
        <w:tc>
          <w:tcPr>
            <w:tcW w:w="925" w:type="dxa"/>
            <w:tcBorders/>
            <w:shd w:fill="E5E5E5" w:val="clear"/>
            <w:vAlign w:val="center"/>
          </w:tcPr>
          <w:p>
            <w:pPr>
              <w:pStyle w:val="TableContents"/>
              <w:bidi w:val="0"/>
              <w:spacing w:before="0" w:after="283"/>
              <w:ind w:left="0" w:right="0" w:firstLine="245"/>
              <w:jc w:val="lef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Research and development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6,659</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6,628</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Sales and marketing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5,187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5,126</w:t>
            </w:r>
          </w:p>
        </w:tc>
        <w:tc>
          <w:tcPr>
            <w:tcW w:w="925" w:type="dxa"/>
            <w:tcBorders/>
            <w:shd w:fill="E5E5E5" w:val="clear"/>
            <w:vAlign w:val="center"/>
          </w:tcPr>
          <w:p>
            <w:pPr>
              <w:pStyle w:val="TableContents"/>
              <w:bidi w:val="0"/>
              <w:spacing w:before="0" w:after="283"/>
              <w:ind w:left="0" w:right="0" w:firstLine="245"/>
              <w:jc w:val="lef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General and administrative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1,474</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1,398</w:t>
            </w:r>
          </w:p>
        </w:tc>
        <w:tc>
          <w:tcPr>
            <w:tcW w:w="925" w:type="dxa"/>
            <w:tcBorders/>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26,895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21,518</w:t>
            </w:r>
          </w:p>
        </w:tc>
        <w:tc>
          <w:tcPr>
            <w:tcW w:w="925" w:type="dxa"/>
            <w:tcBorders/>
            <w:shd w:fill="E5E5E5" w:val="clear"/>
            <w:vAlign w:val="center"/>
          </w:tcPr>
          <w:p>
            <w:pPr>
              <w:pStyle w:val="TableContents"/>
              <w:bidi w:val="0"/>
              <w:spacing w:before="0" w:after="283"/>
              <w:ind w:left="0" w:right="0" w:firstLine="245"/>
              <w:jc w:val="lef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income,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389</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w:t>
            </w:r>
          </w:p>
        </w:tc>
        <w:tc>
          <w:tcPr>
            <w:tcW w:w="925" w:type="dxa"/>
            <w:tcBorders/>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Income before income taxes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27,284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21,572</w:t>
            </w:r>
          </w:p>
        </w:tc>
        <w:tc>
          <w:tcPr>
            <w:tcW w:w="925" w:type="dxa"/>
            <w:tcBorders/>
            <w:shd w:fill="E5E5E5" w:val="clear"/>
            <w:vAlign w:val="center"/>
          </w:tcPr>
          <w:p>
            <w:pPr>
              <w:pStyle w:val="TableContents"/>
              <w:bidi w:val="0"/>
              <w:spacing w:before="0" w:after="283"/>
              <w:ind w:left="0" w:right="0" w:firstLine="245"/>
              <w:jc w:val="lef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Provision for income taxes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4,993</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4,016</w:t>
            </w:r>
          </w:p>
        </w:tc>
        <w:tc>
          <w:tcPr>
            <w:tcW w:w="925" w:type="dxa"/>
            <w:tcBorders/>
            <w:vAlign w:val="center"/>
          </w:tcPr>
          <w:p>
            <w:pPr>
              <w:pStyle w:val="TableContents"/>
              <w:bidi w:val="0"/>
              <w:spacing w:before="0" w:after="283"/>
              <w:jc w:val="lef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22,291</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17,556</w:t>
            </w:r>
          </w:p>
        </w:tc>
        <w:tc>
          <w:tcPr>
            <w:tcW w:w="925" w:type="dxa"/>
            <w:tcBorders/>
            <w:shd w:fill="E5E5E5" w:val="cle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Earnings per share: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490"/>
              <w:jc w:val="lef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Basic</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w:t>
            </w:r>
          </w:p>
        </w:tc>
        <w:tc>
          <w:tcPr>
            <w:tcW w:w="925" w:type="dxa"/>
            <w:tcBorders/>
            <w:shd w:fill="E5E5E5" w:val="clear"/>
            <w:vAlign w:val="center"/>
          </w:tcPr>
          <w:p>
            <w:pPr>
              <w:pStyle w:val="TableContents"/>
              <w:bidi w:val="0"/>
              <w:spacing w:before="0" w:after="283"/>
              <w:ind w:left="0" w:right="0" w:firstLine="490"/>
              <w:jc w:val="lef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Diluted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2.99</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w:t>
            </w:r>
          </w:p>
        </w:tc>
        <w:tc>
          <w:tcPr>
            <w:tcW w:w="925"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Weighted average shares outstanding: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pPr>
            <w:r>
              <w:rPr/>
              <w:t> </w:t>
            </w:r>
          </w:p>
        </w:tc>
        <w:tc>
          <w:tcPr>
            <w:tcW w:w="925" w:type="dxa"/>
            <w:tcBorders/>
            <w:shd w:fill="E5E5E5" w:val="clear"/>
            <w:vAlign w:val="center"/>
          </w:tcPr>
          <w:p>
            <w:pPr>
              <w:pStyle w:val="TableContents"/>
              <w:bidi w:val="0"/>
              <w:spacing w:before="0" w:after="283"/>
              <w:ind w:left="0" w:right="0" w:firstLine="490"/>
              <w:jc w:val="lef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Basic</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7,429</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7,457</w:t>
            </w:r>
          </w:p>
        </w:tc>
        <w:tc>
          <w:tcPr>
            <w:tcW w:w="925" w:type="dxa"/>
            <w:tcBorders/>
            <w:vAlign w:val="center"/>
          </w:tcPr>
          <w:p>
            <w:pPr>
              <w:pStyle w:val="TableContents"/>
              <w:bidi w:val="0"/>
              <w:spacing w:before="0" w:after="283"/>
              <w:ind w:left="0" w:right="0" w:firstLine="490"/>
              <w:jc w:val="lef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Diluted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7,462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7,485</w:t>
            </w:r>
          </w:p>
        </w:tc>
        <w:tc>
          <w:tcPr>
            <w:tcW w:w="925" w:type="dxa"/>
            <w:tcBorders/>
            <w:shd w:fill="E5E5E5" w:val="clear"/>
            <w:vAlign w:val="center"/>
          </w:tcPr>
          <w:p>
            <w:pPr>
              <w:pStyle w:val="TableContents"/>
              <w:bidi w:val="0"/>
              <w:spacing w:before="0" w:after="283"/>
              <w:jc w:val="lef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16"/>
        </w:rPr>
      </w:pPr>
      <w:r>
        <w:rPr>
          <w:rFonts w:ascii="Arial" w:hAnsi="Arial"/>
          <w:b w:val="false"/>
          <w:color w:val="000000"/>
          <w:sz w:val="16"/>
        </w:rPr>
        <w:t>3</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5" w:name="comprehensive_income_statements"/>
      <w:bookmarkEnd w:id="5"/>
      <w:r>
        <w:rPr>
          <w:rFonts w:ascii="Arial" w:hAnsi="Arial"/>
          <w:b/>
          <w:color w:val="000000"/>
          <w:sz w:val="20"/>
        </w:rPr>
        <w:t>COMPREHENSIVE INCOME STATEMENTS</w:t>
      </w:r>
    </w:p>
    <w:p>
      <w:pPr>
        <w:pStyle w:val="TextBody"/>
        <w:bidi w:val="0"/>
        <w:jc w:val="left"/>
        <w:rPr/>
      </w:pPr>
      <w:r>
        <w:rPr/>
        <w:t> </w:t>
      </w:r>
    </w:p>
    <w:tbl>
      <w:tblPr>
        <w:tblW w:w="7257" w:type="dxa"/>
        <w:jc w:val="left"/>
        <w:tblInd w:w="0" w:type="dxa"/>
        <w:tblLayout w:type="fixed"/>
        <w:tblCellMar>
          <w:top w:w="28" w:type="dxa"/>
          <w:left w:w="28" w:type="dxa"/>
          <w:bottom w:w="28" w:type="dxa"/>
          <w:right w:w="28" w:type="dxa"/>
        </w:tblCellMar>
      </w:tblPr>
      <w:tblGrid>
        <w:gridCol w:w="4216"/>
        <w:gridCol w:w="146"/>
        <w:gridCol w:w="211"/>
        <w:gridCol w:w="691"/>
        <w:gridCol w:w="166"/>
        <w:gridCol w:w="211"/>
        <w:gridCol w:w="691"/>
        <w:gridCol w:w="925"/>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vAlign w:val="center"/>
          </w:tcPr>
          <w:p>
            <w:pPr>
              <w:pStyle w:val="TableContents"/>
              <w:bidi w:val="0"/>
              <w:spacing w:before="0" w:after="283"/>
              <w:jc w:val="left"/>
              <w:rPr/>
            </w:pPr>
            <w:r>
              <w:rPr/>
              <w:t> </w:t>
            </w:r>
          </w:p>
        </w:tc>
        <w:tc>
          <w:tcPr>
            <w:tcW w:w="1970" w:type="dxa"/>
            <w:gridSpan w:val="5"/>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left"/>
              <w:rPr/>
            </w:pPr>
            <w:r>
              <w:rPr/>
              <w:t> </w:t>
            </w:r>
          </w:p>
        </w:tc>
      </w:tr>
      <w:tr>
        <w:trPr/>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70" w:type="dxa"/>
            <w:gridSpan w:val="5"/>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970" w:type="dxa"/>
            <w:gridSpan w:val="5"/>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925"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283"/>
              <w:jc w:val="left"/>
              <w:rPr>
                <w:sz w:val="4"/>
                <w:szCs w:val="4"/>
              </w:rPr>
            </w:pPr>
            <w:r>
              <w:rPr>
                <w:sz w:val="4"/>
                <w:szCs w:val="4"/>
              </w:rPr>
            </w:r>
          </w:p>
        </w:tc>
        <w:tc>
          <w:tcPr>
            <w:tcW w:w="1214" w:type="dxa"/>
            <w:gridSpan w:val="4"/>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r>
      <w:tr>
        <w:trPr/>
        <w:tc>
          <w:tcPr>
            <w:tcW w:w="421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22,291</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17,556</w:t>
            </w:r>
          </w:p>
        </w:tc>
        <w:tc>
          <w:tcPr>
            <w:tcW w:w="925" w:type="dxa"/>
            <w:tcBorders/>
            <w:shd w:fill="E5E5E5" w:val="cle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421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comprehensive income (loss), net of tax:</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ind w:left="0" w:right="0" w:firstLine="490"/>
              <w:jc w:val="left"/>
              <w:rPr/>
            </w:pPr>
            <w:r>
              <w:rPr/>
              <w:t> </w:t>
            </w:r>
          </w:p>
        </w:tc>
      </w:tr>
      <w:tr>
        <w:trPr/>
        <w:tc>
          <w:tcPr>
            <w:tcW w:w="421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Net change related to derivatives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925" w:type="dxa"/>
            <w:tcBorders/>
            <w:shd w:fill="E5E5E5" w:val="clear"/>
            <w:vAlign w:val="center"/>
          </w:tcPr>
          <w:p>
            <w:pPr>
              <w:pStyle w:val="TableContents"/>
              <w:bidi w:val="0"/>
              <w:spacing w:before="0" w:after="283"/>
              <w:ind w:left="0" w:right="0" w:firstLine="490"/>
              <w:jc w:val="left"/>
              <w:rPr/>
            </w:pPr>
            <w:r>
              <w:rPr/>
              <w:t> </w:t>
            </w:r>
          </w:p>
        </w:tc>
      </w:tr>
      <w:tr>
        <w:trPr/>
        <w:tc>
          <w:tcPr>
            <w:tcW w:w="421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Net change related to investments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(1,897</w:t>
            </w:r>
          </w:p>
        </w:tc>
        <w:tc>
          <w:tcPr>
            <w:tcW w:w="925" w:type="dxa"/>
            <w:tcBorders/>
            <w:vAlign w:val="center"/>
          </w:tcPr>
          <w:p>
            <w:pPr>
              <w:pStyle w:val="TableContents"/>
              <w:bidi w:val="0"/>
              <w:spacing w:before="0" w:after="283"/>
              <w:ind w:left="0" w:right="0" w:firstLine="490"/>
              <w:jc w:val="left"/>
              <w:rPr>
                <w:rFonts w:ascii="Arial" w:hAnsi="Arial"/>
                <w:b w:val="false"/>
                <w:color w:val="000000"/>
                <w:sz w:val="20"/>
              </w:rPr>
            </w:pPr>
            <w:r>
              <w:rPr>
                <w:rFonts w:ascii="Arial" w:hAnsi="Arial"/>
                <w:b w:val="false"/>
                <w:color w:val="000000"/>
                <w:sz w:val="20"/>
              </w:rPr>
              <w:t>)</w:t>
            </w:r>
          </w:p>
        </w:tc>
      </w:tr>
      <w:tr>
        <w:trPr/>
        <w:tc>
          <w:tcPr>
            <w:tcW w:w="421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Translation adjustments and other</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(775</w:t>
            </w:r>
          </w:p>
        </w:tc>
        <w:tc>
          <w:tcPr>
            <w:tcW w:w="925"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734"/>
              <w:jc w:val="left"/>
              <w:rPr/>
            </w:pPr>
            <w:r>
              <w:rPr/>
              <w:t> </w:t>
            </w:r>
          </w:p>
        </w:tc>
      </w:tr>
      <w:tr>
        <w:trPr/>
        <w:tc>
          <w:tcPr>
            <w:tcW w:w="4216" w:type="dxa"/>
            <w:tcBorders/>
            <w:vAlign w:val="center"/>
          </w:tcPr>
          <w:p>
            <w:pPr>
              <w:pStyle w:val="TableContents"/>
              <w:pBdr/>
              <w:bidi w:val="0"/>
              <w:spacing w:before="0" w:after="283"/>
              <w:ind w:left="489" w:right="0" w:hanging="245"/>
              <w:jc w:val="left"/>
              <w:rPr>
                <w:rFonts w:ascii="Arial" w:hAnsi="Arial"/>
                <w:b w:val="false"/>
                <w:color w:val="000000"/>
                <w:sz w:val="20"/>
              </w:rPr>
            </w:pPr>
            <w:r>
              <w:rPr>
                <w:rFonts w:ascii="Arial" w:hAnsi="Arial"/>
                <w:b w:val="false"/>
                <w:color w:val="000000"/>
                <w:sz w:val="20"/>
              </w:rPr>
              <w:t>Other comprehensive loss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(2,665</w:t>
            </w:r>
          </w:p>
        </w:tc>
        <w:tc>
          <w:tcPr>
            <w:tcW w:w="925"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421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Comprehensive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21,697</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14,891</w:t>
            </w:r>
          </w:p>
        </w:tc>
        <w:tc>
          <w:tcPr>
            <w:tcW w:w="925" w:type="dxa"/>
            <w:tcBorders/>
            <w:shd w:fill="E5E5E5" w:val="cle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16"/>
        </w:rPr>
      </w:pPr>
      <w:r>
        <w:rPr>
          <w:rFonts w:ascii="Arial" w:hAnsi="Arial"/>
          <w:b w:val="false"/>
          <w:color w:val="000000"/>
          <w:sz w:val="16"/>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6" w:name="balance_sheets"/>
      <w:bookmarkEnd w:id="6"/>
      <w:r>
        <w:rPr>
          <w:rFonts w:ascii="Arial" w:hAnsi="Arial"/>
          <w:b/>
          <w:color w:val="000000"/>
          <w:sz w:val="20"/>
        </w:rPr>
        <w:t>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12"/>
        <w:gridCol w:w="146"/>
        <w:gridCol w:w="235"/>
        <w:gridCol w:w="890"/>
        <w:gridCol w:w="166"/>
        <w:gridCol w:w="146"/>
        <w:gridCol w:w="211"/>
        <w:gridCol w:w="796"/>
        <w:gridCol w:w="1403"/>
      </w:tblGrid>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6212"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vAlign w:val="center"/>
          </w:tcPr>
          <w:p>
            <w:pPr>
              <w:pStyle w:val="TableContents"/>
              <w:bidi w:val="0"/>
              <w:spacing w:before="0" w:after="283"/>
              <w:jc w:val="left"/>
              <w:rPr>
                <w:sz w:val="4"/>
                <w:szCs w:val="4"/>
              </w:rPr>
            </w:pPr>
            <w:r>
              <w:rPr>
                <w:sz w:val="4"/>
                <w:szCs w:val="4"/>
              </w:rPr>
            </w:r>
          </w:p>
        </w:tc>
        <w:tc>
          <w:tcPr>
            <w:tcW w:w="2444" w:type="dxa"/>
            <w:gridSpan w:val="6"/>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8802"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12" w:type="dxa"/>
            <w:tcBorders/>
            <w:vAlign w:val="center"/>
          </w:tcPr>
          <w:p>
            <w:pPr>
              <w:pStyle w:val="TableContents"/>
              <w:bidi w:val="0"/>
              <w:spacing w:before="0" w:after="283"/>
              <w:jc w:val="left"/>
              <w:rPr>
                <w:sz w:val="4"/>
                <w:szCs w:val="4"/>
              </w:rPr>
            </w:pPr>
            <w:r>
              <w:rPr>
                <w:sz w:val="4"/>
                <w:szCs w:val="4"/>
              </w:rPr>
            </w:r>
          </w:p>
        </w:tc>
        <w:tc>
          <w:tcPr>
            <w:tcW w:w="1437" w:type="dxa"/>
            <w:gridSpan w:val="4"/>
            <w:tcBorders/>
            <w:vAlign w:val="center"/>
          </w:tcPr>
          <w:p>
            <w:pPr>
              <w:pStyle w:val="TableContents"/>
              <w:bidi w:val="0"/>
              <w:spacing w:before="0" w:after="283"/>
              <w:jc w:val="left"/>
              <w:rPr/>
            </w:pPr>
            <w:r>
              <w:rPr/>
              <w:t> </w:t>
            </w:r>
          </w:p>
        </w:tc>
        <w:tc>
          <w:tcPr>
            <w:tcW w:w="2556" w:type="dxa"/>
            <w:gridSpan w:val="4"/>
            <w:tcBorders/>
            <w:vAlign w:val="center"/>
          </w:tcPr>
          <w:p>
            <w:pPr>
              <w:pStyle w:val="TableContents"/>
              <w:bidi w:val="0"/>
              <w:spacing w:before="0" w:after="283"/>
              <w:jc w:val="left"/>
              <w:rPr/>
            </w:pPr>
            <w:r>
              <w:rPr/>
              <w:t> </w:t>
            </w:r>
          </w:p>
        </w:tc>
      </w:tr>
      <w:tr>
        <w:trPr/>
        <w:tc>
          <w:tcPr>
            <w:tcW w:w="62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June 30,</w:t>
              <w:br/>
              <w:t>2023</w:t>
            </w:r>
          </w:p>
        </w:tc>
        <w:tc>
          <w:tcPr>
            <w:tcW w:w="1403" w:type="dxa"/>
            <w:tcBorders/>
            <w:vAlign w:val="center"/>
          </w:tcPr>
          <w:p>
            <w:pPr>
              <w:pStyle w:val="TableContents"/>
              <w:bidi w:val="0"/>
              <w:spacing w:before="0" w:after="283"/>
              <w:jc w:val="left"/>
              <w:rPr>
                <w:sz w:val="4"/>
                <w:szCs w:val="4"/>
              </w:rPr>
            </w:pPr>
            <w:r>
              <w:rPr>
                <w:sz w:val="4"/>
                <w:szCs w:val="4"/>
              </w:rPr>
            </w:r>
          </w:p>
        </w:tc>
      </w:tr>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ind w:left="0" w:right="0" w:firstLine="245"/>
              <w:jc w:val="left"/>
              <w:rPr/>
            </w:pPr>
            <w:r>
              <w:rPr/>
              <w:t> </w:t>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403"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Current assets: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80,452</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34,704</w:t>
            </w:r>
          </w:p>
        </w:tc>
        <w:tc>
          <w:tcPr>
            <w:tcW w:w="1403"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Short-term investments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63,499</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76,558</w:t>
            </w:r>
          </w:p>
        </w:tc>
        <w:tc>
          <w:tcPr>
            <w:tcW w:w="1403" w:type="dxa"/>
            <w:tcBorders/>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720"/>
              <w:jc w:val="left"/>
              <w:rPr/>
            </w:pPr>
            <w:r>
              <w:rPr/>
              <w:t> </w:t>
            </w:r>
          </w:p>
        </w:tc>
      </w:tr>
      <w:tr>
        <w:trPr/>
        <w:tc>
          <w:tcPr>
            <w:tcW w:w="6212"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Total cash, cash equivalents, and short-term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143,951</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111,262</w:t>
            </w:r>
          </w:p>
        </w:tc>
        <w:tc>
          <w:tcPr>
            <w:tcW w:w="1403"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vAlign w:val="center"/>
          </w:tcPr>
          <w:p>
            <w:pPr>
              <w:pStyle w:val="TableContents"/>
              <w:pBdr/>
              <w:bidi w:val="0"/>
              <w:spacing w:before="0" w:after="283"/>
              <w:ind w:left="245" w:right="0" w:hanging="245"/>
              <w:jc w:val="left"/>
              <w:rPr>
                <w:rFonts w:ascii="Times New Roman" w:hAnsi="Times New Roman"/>
                <w:sz w:val="20"/>
              </w:rPr>
            </w:pPr>
            <w:r>
              <w:rPr>
                <w:rFonts w:ascii="Arial" w:hAnsi="Arial"/>
                <w:b w:val="false"/>
                <w:color w:val="000000"/>
                <w:sz w:val="20"/>
              </w:rPr>
              <w:t xml:space="preserve">Accounts receivable, net of allowance for doubtful accounts of </w:t>
            </w:r>
            <w:r>
              <w:rPr>
                <w:rFonts w:ascii="Arial" w:hAnsi="Arial"/>
                <w:b/>
                <w:color w:val="000000"/>
                <w:sz w:val="20"/>
              </w:rPr>
              <w:t>$512</w:t>
            </w:r>
            <w:r>
              <w:rPr>
                <w:rFonts w:ascii="Times New Roman" w:hAnsi="Times New Roman"/>
                <w:color w:val="000000"/>
                <w:sz w:val="20"/>
              </w:rPr>
              <w:t> </w:t>
            </w:r>
            <w:r>
              <w:rPr>
                <w:rFonts w:ascii="Arial" w:hAnsi="Arial"/>
                <w:b w:val="false"/>
                <w:color w:val="000000"/>
                <w:sz w:val="20"/>
              </w:rPr>
              <w:t>and $650</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36,953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48,688</w:t>
            </w:r>
          </w:p>
        </w:tc>
        <w:tc>
          <w:tcPr>
            <w:tcW w:w="1403"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Inventories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3,000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2,500</w:t>
            </w:r>
          </w:p>
        </w:tc>
        <w:tc>
          <w:tcPr>
            <w:tcW w:w="1403"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Other current assets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23,682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21,807</w:t>
            </w:r>
          </w:p>
        </w:tc>
        <w:tc>
          <w:tcPr>
            <w:tcW w:w="1403" w:type="dxa"/>
            <w:tcBorders/>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720"/>
              <w:jc w:val="left"/>
              <w:rPr/>
            </w:pPr>
            <w:r>
              <w:rPr/>
              <w:t> </w:t>
            </w:r>
          </w:p>
        </w:tc>
      </w:tr>
      <w:tr>
        <w:trPr/>
        <w:tc>
          <w:tcPr>
            <w:tcW w:w="6212"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Total current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207,586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184,257</w:t>
            </w:r>
          </w:p>
        </w:tc>
        <w:tc>
          <w:tcPr>
            <w:tcW w:w="1403"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 xml:space="preserve">Property and equipment, net of accumulated depreciation of </w:t>
            </w:r>
            <w:r>
              <w:rPr>
                <w:rFonts w:ascii="Arial" w:hAnsi="Arial"/>
                <w:b/>
                <w:color w:val="000000"/>
                <w:sz w:val="20"/>
              </w:rPr>
              <w:t>$69,486</w:t>
            </w:r>
            <w:r>
              <w:rPr>
                <w:rFonts w:ascii="Times New Roman" w:hAnsi="Times New Roman"/>
                <w:color w:val="000000"/>
                <w:sz w:val="20"/>
              </w:rPr>
              <w:t> </w:t>
            </w:r>
            <w:r>
              <w:rPr>
                <w:rFonts w:ascii="Arial" w:hAnsi="Arial"/>
                <w:b w:val="false"/>
                <w:color w:val="000000"/>
                <w:sz w:val="20"/>
              </w:rPr>
              <w:t>and</w:t>
            </w:r>
            <w:r>
              <w:rPr>
                <w:rFonts w:ascii="Times New Roman" w:hAnsi="Times New Roman"/>
                <w:color w:val="000000"/>
                <w:sz w:val="20"/>
              </w:rPr>
              <w:t xml:space="preserve"> </w:t>
            </w:r>
            <w:r>
              <w:rPr>
                <w:rFonts w:ascii="Arial" w:hAnsi="Arial"/>
                <w:b w:val="false"/>
                <w:color w:val="000000"/>
                <w:sz w:val="20"/>
              </w:rPr>
              <w:t>$68,251</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102,502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95,641</w:t>
            </w:r>
          </w:p>
        </w:tc>
        <w:tc>
          <w:tcPr>
            <w:tcW w:w="1403"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lease right-of-use assets</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15,435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14,346</w:t>
            </w:r>
          </w:p>
        </w:tc>
        <w:tc>
          <w:tcPr>
            <w:tcW w:w="1403" w:type="dxa"/>
            <w:tcBorders/>
            <w:shd w:fill="E5E5E5" w:val="clear"/>
            <w:vAlign w:val="center"/>
          </w:tcPr>
          <w:p>
            <w:pPr>
              <w:pStyle w:val="TableContents"/>
              <w:bidi w:val="0"/>
              <w:spacing w:before="0" w:after="283"/>
              <w:ind w:left="0" w:right="0" w:firstLine="245"/>
              <w:jc w:val="left"/>
              <w:rPr/>
            </w:pPr>
            <w:r>
              <w:rPr/>
              <w:t> </w:t>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Equity investments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11,423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9,879</w:t>
            </w:r>
          </w:p>
        </w:tc>
        <w:tc>
          <w:tcPr>
            <w:tcW w:w="1403"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Goodwill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67,790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67,886</w:t>
            </w:r>
          </w:p>
        </w:tc>
        <w:tc>
          <w:tcPr>
            <w:tcW w:w="1403"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Intangible assets, net</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8,895</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9,366</w:t>
            </w:r>
          </w:p>
        </w:tc>
        <w:tc>
          <w:tcPr>
            <w:tcW w:w="1403"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long-term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32,154</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30,601</w:t>
            </w:r>
          </w:p>
        </w:tc>
        <w:tc>
          <w:tcPr>
            <w:tcW w:w="1403" w:type="dxa"/>
            <w:tcBorders/>
            <w:shd w:fill="E5E5E5" w:val="clear"/>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1210"/>
              <w:jc w:val="left"/>
              <w:rPr/>
            </w:pPr>
            <w:r>
              <w:rPr/>
              <w:t> </w:t>
            </w:r>
          </w:p>
        </w:tc>
      </w:tr>
      <w:tr>
        <w:trPr/>
        <w:tc>
          <w:tcPr>
            <w:tcW w:w="6212" w:type="dxa"/>
            <w:tcBorders/>
            <w:vAlign w:val="center"/>
          </w:tcPr>
          <w:p>
            <w:pPr>
              <w:pStyle w:val="TableContents"/>
              <w:pBdr/>
              <w:bidi w:val="0"/>
              <w:spacing w:before="0" w:after="283"/>
              <w:ind w:left="965" w:right="0" w:hanging="245"/>
              <w:jc w:val="left"/>
              <w:rPr>
                <w:rFonts w:ascii="Arial" w:hAnsi="Arial"/>
                <w:b w:val="false"/>
                <w:color w:val="000000"/>
                <w:sz w:val="20"/>
              </w:rPr>
            </w:pPr>
            <w:r>
              <w:rPr>
                <w:rFonts w:ascii="Arial" w:hAnsi="Arial"/>
                <w:b w:val="false"/>
                <w:color w:val="000000"/>
                <w:sz w:val="20"/>
              </w:rPr>
              <w:t>Total assets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445,785</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411,976</w:t>
            </w:r>
          </w:p>
        </w:tc>
        <w:tc>
          <w:tcPr>
            <w:tcW w:w="1403" w:type="dxa"/>
            <w:tcBorders/>
            <w:vAlign w:val="center"/>
          </w:tcPr>
          <w:p>
            <w:pPr>
              <w:pStyle w:val="TableContents"/>
              <w:bidi w:val="0"/>
              <w:spacing w:before="0" w:after="283"/>
              <w:jc w:val="left"/>
              <w:rPr>
                <w:sz w:val="4"/>
                <w:szCs w:val="4"/>
              </w:rPr>
            </w:pPr>
            <w:r>
              <w:rPr>
                <w:sz w:val="4"/>
                <w:szCs w:val="4"/>
              </w:rPr>
            </w:r>
          </w:p>
        </w:tc>
      </w:tr>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245"/>
              <w:jc w:val="left"/>
              <w:rPr/>
            </w:pPr>
            <w:r>
              <w:rPr/>
              <w:t> </w:t>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Liabilities and stockholders’ 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403"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Accounts payable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19,307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18,095</w:t>
            </w:r>
          </w:p>
        </w:tc>
        <w:tc>
          <w:tcPr>
            <w:tcW w:w="1403"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Short-term debt</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25,808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03" w:type="dxa"/>
            <w:tcBorders/>
            <w:vAlign w:val="center"/>
          </w:tcPr>
          <w:p>
            <w:pPr>
              <w:pStyle w:val="TableContents"/>
              <w:bidi w:val="0"/>
              <w:spacing w:before="0" w:after="283"/>
              <w:ind w:left="0" w:right="0" w:firstLine="490"/>
              <w:jc w:val="left"/>
              <w:rPr/>
            </w:pPr>
            <w:r>
              <w:rPr/>
              <w:t> </w:t>
            </w:r>
          </w:p>
        </w:tc>
      </w:tr>
      <w:tr>
        <w:trPr/>
        <w:tc>
          <w:tcPr>
            <w:tcW w:w="6212"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Current portion of long-term debt</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3,748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5,247</w:t>
            </w:r>
          </w:p>
        </w:tc>
        <w:tc>
          <w:tcPr>
            <w:tcW w:w="1403" w:type="dxa"/>
            <w:tcBorders/>
            <w:shd w:fill="E5E5E5" w:val="clear"/>
            <w:vAlign w:val="center"/>
          </w:tcPr>
          <w:p>
            <w:pPr>
              <w:pStyle w:val="TableContents"/>
              <w:bidi w:val="0"/>
              <w:spacing w:before="0" w:after="283"/>
              <w:ind w:left="0" w:right="0" w:firstLine="490"/>
              <w:jc w:val="left"/>
              <w:rPr/>
            </w:pPr>
            <w:r>
              <w:rPr/>
              <w:t> </w:t>
            </w:r>
          </w:p>
        </w:tc>
      </w:tr>
      <w:tr>
        <w:trPr/>
        <w:tc>
          <w:tcPr>
            <w:tcW w:w="6212"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Accrued compensation</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6,990</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11,009</w:t>
            </w:r>
          </w:p>
        </w:tc>
        <w:tc>
          <w:tcPr>
            <w:tcW w:w="1403"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Short-term income taxes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8,035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4,152</w:t>
            </w:r>
          </w:p>
        </w:tc>
        <w:tc>
          <w:tcPr>
            <w:tcW w:w="1403"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Short-term unearned revenue</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46,429</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50,901</w:t>
            </w:r>
          </w:p>
        </w:tc>
        <w:tc>
          <w:tcPr>
            <w:tcW w:w="1403"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Other current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14,475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14,745</w:t>
            </w:r>
          </w:p>
        </w:tc>
        <w:tc>
          <w:tcPr>
            <w:tcW w:w="1403" w:type="dxa"/>
            <w:tcBorders/>
            <w:shd w:fill="E5E5E5" w:val="clear"/>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720"/>
              <w:jc w:val="left"/>
              <w:rPr/>
            </w:pPr>
            <w:r>
              <w:rPr/>
              <w:t> </w:t>
            </w:r>
          </w:p>
        </w:tc>
      </w:tr>
      <w:tr>
        <w:trPr/>
        <w:tc>
          <w:tcPr>
            <w:tcW w:w="6212" w:type="dxa"/>
            <w:tcBorders/>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Total 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124,792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104,149</w:t>
            </w:r>
          </w:p>
        </w:tc>
        <w:tc>
          <w:tcPr>
            <w:tcW w:w="1403"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Long-term debt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41,946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41,990</w:t>
            </w:r>
          </w:p>
        </w:tc>
        <w:tc>
          <w:tcPr>
            <w:tcW w:w="1403"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Long-term income taxes</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22,983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25,560</w:t>
            </w:r>
          </w:p>
        </w:tc>
        <w:tc>
          <w:tcPr>
            <w:tcW w:w="1403" w:type="dxa"/>
            <w:tcBorders/>
            <w:vAlign w:val="center"/>
          </w:tcPr>
          <w:p>
            <w:pPr>
              <w:pStyle w:val="TableContents"/>
              <w:bidi w:val="0"/>
              <w:spacing w:before="0" w:after="283"/>
              <w:ind w:left="0" w:right="0" w:firstLine="245"/>
              <w:jc w:val="left"/>
              <w:rPr/>
            </w:pPr>
            <w:r>
              <w:rPr/>
              <w:t> </w:t>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Long-term unearned 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2,759</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2,912</w:t>
            </w:r>
          </w:p>
        </w:tc>
        <w:tc>
          <w:tcPr>
            <w:tcW w:w="1403"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Deferred income taxes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470</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433</w:t>
            </w:r>
          </w:p>
        </w:tc>
        <w:tc>
          <w:tcPr>
            <w:tcW w:w="1403"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lease liabilities</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13,487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12,728</w:t>
            </w:r>
          </w:p>
        </w:tc>
        <w:tc>
          <w:tcPr>
            <w:tcW w:w="1403" w:type="dxa"/>
            <w:tcBorders/>
            <w:shd w:fill="E5E5E5" w:val="clear"/>
            <w:vAlign w:val="center"/>
          </w:tcPr>
          <w:p>
            <w:pPr>
              <w:pStyle w:val="TableContents"/>
              <w:bidi w:val="0"/>
              <w:spacing w:before="0" w:after="283"/>
              <w:ind w:left="0" w:right="0" w:firstLine="245"/>
              <w:jc w:val="left"/>
              <w:rPr/>
            </w:pPr>
            <w:r>
              <w:rPr/>
              <w:t> </w:t>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long-term liabilities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18,634</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17,981</w:t>
            </w:r>
          </w:p>
        </w:tc>
        <w:tc>
          <w:tcPr>
            <w:tcW w:w="1403" w:type="dxa"/>
            <w:tcBorders/>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965"/>
              <w:jc w:val="left"/>
              <w:rPr/>
            </w:pPr>
            <w:r>
              <w:rPr/>
              <w:t> </w:t>
            </w:r>
          </w:p>
        </w:tc>
      </w:tr>
      <w:tr>
        <w:trPr/>
        <w:tc>
          <w:tcPr>
            <w:tcW w:w="6212" w:type="dxa"/>
            <w:tcBorders/>
            <w:shd w:fill="E5E5E5" w:val="clear"/>
            <w:vAlign w:val="center"/>
          </w:tcPr>
          <w:p>
            <w:pPr>
              <w:pStyle w:val="TableContents"/>
              <w:pBdr/>
              <w:bidi w:val="0"/>
              <w:spacing w:before="0" w:after="283"/>
              <w:ind w:left="720" w:right="0" w:hanging="245"/>
              <w:jc w:val="left"/>
              <w:rPr>
                <w:rFonts w:ascii="Arial" w:hAnsi="Arial"/>
                <w:b w:val="false"/>
                <w:color w:val="000000"/>
                <w:sz w:val="20"/>
              </w:rPr>
            </w:pPr>
            <w:r>
              <w:rPr>
                <w:rFonts w:ascii="Arial" w:hAnsi="Arial"/>
                <w:b w:val="false"/>
                <w:color w:val="000000"/>
                <w:sz w:val="20"/>
              </w:rPr>
              <w:t>Total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225,071</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205,753</w:t>
            </w:r>
          </w:p>
        </w:tc>
        <w:tc>
          <w:tcPr>
            <w:tcW w:w="1403" w:type="dxa"/>
            <w:tcBorders/>
            <w:shd w:fill="E5E5E5" w:val="clear"/>
            <w:vAlign w:val="center"/>
          </w:tcPr>
          <w:p>
            <w:pPr>
              <w:pStyle w:val="TableContents"/>
              <w:bidi w:val="0"/>
              <w:spacing w:before="0" w:after="283"/>
              <w:jc w:val="left"/>
              <w:rPr>
                <w:sz w:val="4"/>
                <w:szCs w:val="4"/>
              </w:rPr>
            </w:pPr>
            <w:r>
              <w:rPr>
                <w:sz w:val="4"/>
                <w:szCs w:val="4"/>
              </w:rPr>
            </w:r>
          </w:p>
        </w:tc>
      </w:tr>
      <w:tr>
        <w:trPr/>
        <w:tc>
          <w:tcPr>
            <w:tcW w:w="621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ind w:left="0" w:right="0" w:firstLine="245"/>
              <w:jc w:val="left"/>
              <w:rPr/>
            </w:pPr>
            <w:r>
              <w:rPr/>
              <w:t> </w:t>
            </w:r>
          </w:p>
        </w:tc>
      </w:tr>
      <w:tr>
        <w:trPr/>
        <w:tc>
          <w:tcPr>
            <w:tcW w:w="6212"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Commitments and contingencies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Stockholders’ 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403"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vAlign w:val="center"/>
          </w:tcPr>
          <w:p>
            <w:pPr>
              <w:pStyle w:val="TableContents"/>
              <w:pBdr/>
              <w:bidi w:val="0"/>
              <w:spacing w:before="0" w:after="283"/>
              <w:ind w:left="245" w:right="0" w:hanging="245"/>
              <w:jc w:val="left"/>
              <w:rPr>
                <w:rFonts w:ascii="Times New Roman" w:hAnsi="Times New Roman"/>
                <w:sz w:val="20"/>
              </w:rPr>
            </w:pPr>
            <w:r>
              <w:rPr>
                <w:rFonts w:ascii="Arial" w:hAnsi="Arial"/>
                <w:b w:val="false"/>
                <w:color w:val="000000"/>
                <w:sz w:val="20"/>
              </w:rPr>
              <w:t xml:space="preserve">Common stock and paid-in capital – shares authorized 24,000; outstanding </w:t>
            </w:r>
            <w:r>
              <w:rPr>
                <w:rFonts w:ascii="Arial" w:hAnsi="Arial"/>
                <w:b/>
                <w:color w:val="000000"/>
                <w:sz w:val="20"/>
              </w:rPr>
              <w:t>7,431</w:t>
            </w:r>
            <w:r>
              <w:rPr>
                <w:rFonts w:ascii="Times New Roman" w:hAnsi="Times New Roman"/>
                <w:color w:val="000000"/>
                <w:sz w:val="20"/>
              </w:rPr>
              <w:t> </w:t>
            </w:r>
            <w:r>
              <w:rPr>
                <w:rFonts w:ascii="Arial" w:hAnsi="Arial"/>
                <w:b w:val="false"/>
                <w:color w:val="000000"/>
                <w:sz w:val="20"/>
              </w:rPr>
              <w:t>and 7,432</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95,508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93,718</w:t>
            </w:r>
          </w:p>
        </w:tc>
        <w:tc>
          <w:tcPr>
            <w:tcW w:w="1403"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Retained earnings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132,143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118,848</w:t>
            </w:r>
          </w:p>
        </w:tc>
        <w:tc>
          <w:tcPr>
            <w:tcW w:w="1403"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12"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Accumulated other comprehensive loss</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(6,937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(6,343</w:t>
            </w:r>
          </w:p>
        </w:tc>
        <w:tc>
          <w:tcPr>
            <w:tcW w:w="1403"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ind w:left="0" w:right="0" w:firstLine="965"/>
              <w:jc w:val="left"/>
              <w:rPr/>
            </w:pPr>
            <w:r>
              <w:rPr/>
              <w:t> </w:t>
            </w:r>
          </w:p>
        </w:tc>
      </w:tr>
      <w:tr>
        <w:trPr/>
        <w:tc>
          <w:tcPr>
            <w:tcW w:w="6212" w:type="dxa"/>
            <w:tcBorders/>
            <w:shd w:fill="E5E5E5" w:val="clear"/>
            <w:vAlign w:val="center"/>
          </w:tcPr>
          <w:p>
            <w:pPr>
              <w:pStyle w:val="TableContents"/>
              <w:pBdr/>
              <w:bidi w:val="0"/>
              <w:spacing w:before="0" w:after="283"/>
              <w:ind w:left="720" w:right="0" w:hanging="245"/>
              <w:jc w:val="left"/>
              <w:rPr>
                <w:rFonts w:ascii="Arial" w:hAnsi="Arial"/>
                <w:b w:val="false"/>
                <w:color w:val="000000"/>
                <w:sz w:val="20"/>
              </w:rPr>
            </w:pPr>
            <w:r>
              <w:rPr>
                <w:rFonts w:ascii="Arial" w:hAnsi="Arial"/>
                <w:b w:val="false"/>
                <w:color w:val="000000"/>
                <w:sz w:val="20"/>
              </w:rPr>
              <w:t>Total stockholders’ 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220,714</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206,223</w:t>
            </w:r>
          </w:p>
        </w:tc>
        <w:tc>
          <w:tcPr>
            <w:tcW w:w="1403" w:type="dxa"/>
            <w:tcBorders/>
            <w:shd w:fill="E5E5E5" w:val="clear"/>
            <w:vAlign w:val="center"/>
          </w:tcPr>
          <w:p>
            <w:pPr>
              <w:pStyle w:val="TableContents"/>
              <w:bidi w:val="0"/>
              <w:spacing w:before="0" w:after="283"/>
              <w:jc w:val="left"/>
              <w:rPr>
                <w:sz w:val="4"/>
                <w:szCs w:val="4"/>
              </w:rPr>
            </w:pPr>
            <w:r>
              <w:rPr>
                <w:sz w:val="4"/>
                <w:szCs w:val="4"/>
              </w:rPr>
            </w:r>
          </w:p>
        </w:tc>
      </w:tr>
      <w:tr>
        <w:trPr/>
        <w:tc>
          <w:tcPr>
            <w:tcW w:w="621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ind w:left="0" w:right="0" w:firstLine="1210"/>
              <w:jc w:val="left"/>
              <w:rPr/>
            </w:pPr>
            <w:r>
              <w:rPr/>
              <w:t> </w:t>
            </w:r>
          </w:p>
        </w:tc>
      </w:tr>
      <w:tr>
        <w:trPr/>
        <w:tc>
          <w:tcPr>
            <w:tcW w:w="6212" w:type="dxa"/>
            <w:tcBorders/>
            <w:vAlign w:val="center"/>
          </w:tcPr>
          <w:p>
            <w:pPr>
              <w:pStyle w:val="TableContents"/>
              <w:pBdr/>
              <w:bidi w:val="0"/>
              <w:spacing w:before="0" w:after="283"/>
              <w:ind w:left="965" w:right="0" w:hanging="245"/>
              <w:jc w:val="left"/>
              <w:rPr>
                <w:rFonts w:ascii="Arial" w:hAnsi="Arial"/>
                <w:b w:val="false"/>
                <w:color w:val="000000"/>
                <w:sz w:val="20"/>
              </w:rPr>
            </w:pPr>
            <w:r>
              <w:rPr>
                <w:rFonts w:ascii="Arial" w:hAnsi="Arial"/>
                <w:b w:val="false"/>
                <w:color w:val="000000"/>
                <w:sz w:val="20"/>
              </w:rPr>
              <w:t>Total liabilities and stockholders’ equity</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445,785</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411,976</w:t>
            </w:r>
          </w:p>
        </w:tc>
        <w:tc>
          <w:tcPr>
            <w:tcW w:w="1403" w:type="dxa"/>
            <w:tcBorders/>
            <w:vAlign w:val="center"/>
          </w:tcPr>
          <w:p>
            <w:pPr>
              <w:pStyle w:val="TableContents"/>
              <w:bidi w:val="0"/>
              <w:spacing w:before="0" w:after="283"/>
              <w:jc w:val="left"/>
              <w:rPr>
                <w:sz w:val="4"/>
                <w:szCs w:val="4"/>
              </w:rPr>
            </w:pPr>
            <w:r>
              <w:rPr>
                <w:sz w:val="4"/>
                <w:szCs w:val="4"/>
              </w:rPr>
            </w:r>
          </w:p>
        </w:tc>
      </w:tr>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Refer to accompanying notes.</w:t>
      </w:r>
    </w:p>
    <w:p>
      <w:pPr>
        <w:pStyle w:val="TextBody"/>
        <w:bidi w:val="0"/>
        <w:spacing w:before="240" w:after="283"/>
        <w:jc w:val="center"/>
        <w:rPr>
          <w:rFonts w:ascii="Arial" w:hAnsi="Arial"/>
          <w:b w:val="false"/>
          <w:color w:val="000000"/>
          <w:sz w:val="16"/>
        </w:rPr>
      </w:pPr>
      <w:r>
        <w:rPr>
          <w:rFonts w:ascii="Arial" w:hAnsi="Arial"/>
          <w:b w:val="false"/>
          <w:color w:val="000000"/>
          <w:sz w:val="16"/>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7" w:name="cash_flows_statements"/>
      <w:bookmarkEnd w:id="7"/>
      <w:r>
        <w:rPr>
          <w:rFonts w:ascii="Arial" w:hAnsi="Arial"/>
          <w:b/>
          <w:color w:val="000000"/>
          <w:sz w:val="20"/>
        </w:rPr>
        <w:t>CASH FLOWS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7"/>
        <w:gridCol w:w="146"/>
        <w:gridCol w:w="211"/>
        <w:gridCol w:w="691"/>
        <w:gridCol w:w="166"/>
        <w:gridCol w:w="146"/>
        <w:gridCol w:w="211"/>
        <w:gridCol w:w="751"/>
        <w:gridCol w:w="1156"/>
      </w:tblGrid>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672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vAlign w:val="center"/>
          </w:tcPr>
          <w:p>
            <w:pPr>
              <w:pStyle w:val="TableContents"/>
              <w:bidi w:val="0"/>
              <w:spacing w:before="0" w:after="283"/>
              <w:jc w:val="left"/>
              <w:rPr/>
            </w:pPr>
            <w:r>
              <w:rPr/>
              <w:t> </w:t>
            </w:r>
          </w:p>
        </w:tc>
        <w:tc>
          <w:tcPr>
            <w:tcW w:w="2176" w:type="dxa"/>
            <w:gridSpan w:val="6"/>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jc w:val="right"/>
              <w:rPr/>
            </w:pPr>
            <w:r>
              <w:rPr/>
              <w:t> </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76" w:type="dxa"/>
            <w:gridSpan w:val="6"/>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156" w:type="dxa"/>
            <w:tcBorders/>
            <w:vAlign w:val="center"/>
          </w:tcPr>
          <w:p>
            <w:pPr>
              <w:pStyle w:val="TableContents"/>
              <w:bidi w:val="0"/>
              <w:spacing w:before="0" w:after="283"/>
              <w:jc w:val="left"/>
              <w:rPr>
                <w:sz w:val="4"/>
                <w:szCs w:val="4"/>
              </w:rPr>
            </w:pPr>
            <w:r>
              <w:rPr>
                <w:sz w:val="4"/>
                <w:szCs w:val="4"/>
              </w:rPr>
            </w:r>
          </w:p>
        </w:tc>
      </w:tr>
      <w:tr>
        <w:trPr/>
        <w:tc>
          <w:tcPr>
            <w:tcW w:w="6727" w:type="dxa"/>
            <w:tcBorders/>
            <w:vAlign w:val="center"/>
          </w:tcPr>
          <w:p>
            <w:pPr>
              <w:pStyle w:val="TableContents"/>
              <w:bidi w:val="0"/>
              <w:spacing w:before="0" w:after="283"/>
              <w:jc w:val="left"/>
              <w:rPr>
                <w:sz w:val="4"/>
                <w:szCs w:val="4"/>
              </w:rPr>
            </w:pPr>
            <w:r>
              <w:rPr>
                <w:sz w:val="4"/>
                <w:szCs w:val="4"/>
              </w:rPr>
            </w:r>
          </w:p>
        </w:tc>
        <w:tc>
          <w:tcPr>
            <w:tcW w:w="1214" w:type="dxa"/>
            <w:gridSpan w:val="4"/>
            <w:tcBorders/>
            <w:vAlign w:val="center"/>
          </w:tcPr>
          <w:p>
            <w:pPr>
              <w:pStyle w:val="TableContents"/>
              <w:bidi w:val="0"/>
              <w:spacing w:before="0" w:after="283"/>
              <w:jc w:val="left"/>
              <w:rPr/>
            </w:pPr>
            <w:r>
              <w:rPr/>
              <w:t> </w:t>
            </w:r>
          </w:p>
        </w:tc>
        <w:tc>
          <w:tcPr>
            <w:tcW w:w="2264" w:type="dxa"/>
            <w:gridSpan w:val="4"/>
            <w:tcBorders/>
            <w:vAlign w:val="center"/>
          </w:tcPr>
          <w:p>
            <w:pPr>
              <w:pStyle w:val="TableContents"/>
              <w:bidi w:val="0"/>
              <w:spacing w:before="0" w:after="283"/>
              <w:ind w:left="0" w:right="0" w:firstLine="245"/>
              <w:jc w:val="left"/>
              <w:rPr/>
            </w:pPr>
            <w:r>
              <w:rPr/>
              <w:t> </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Operations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left"/>
              <w:rPr>
                <w:sz w:val="4"/>
                <w:szCs w:val="4"/>
              </w:rPr>
            </w:pPr>
            <w:r>
              <w:rPr>
                <w:sz w:val="4"/>
                <w:szCs w:val="4"/>
              </w:rPr>
            </w:r>
          </w:p>
        </w:tc>
        <w:tc>
          <w:tcPr>
            <w:tcW w:w="115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income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22,291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17,556</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Adjustments to reconcile net income to net cash from operations: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pPr>
            <w:r>
              <w:rPr/>
              <w:t> </w:t>
            </w:r>
          </w:p>
        </w:tc>
        <w:tc>
          <w:tcPr>
            <w:tcW w:w="1156" w:type="dxa"/>
            <w:tcBorders/>
            <w:shd w:fill="E5E5E5" w:val="clear"/>
            <w:vAlign w:val="center"/>
          </w:tcPr>
          <w:p>
            <w:pPr>
              <w:pStyle w:val="TableContents"/>
              <w:bidi w:val="0"/>
              <w:spacing w:before="0" w:after="283"/>
              <w:ind w:left="0" w:right="0" w:firstLine="490"/>
              <w:jc w:val="left"/>
              <w:rPr/>
            </w:pPr>
            <w:r>
              <w:rPr/>
              <w:t> </w:t>
            </w:r>
          </w:p>
        </w:tc>
      </w:tr>
      <w:tr>
        <w:trPr/>
        <w:tc>
          <w:tcPr>
            <w:tcW w:w="6727"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Depreciation, amortization, and other</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3,921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2,790</w:t>
            </w:r>
          </w:p>
        </w:tc>
        <w:tc>
          <w:tcPr>
            <w:tcW w:w="1156" w:type="dxa"/>
            <w:tcBorders/>
            <w:vAlign w:val="center"/>
          </w:tcPr>
          <w:p>
            <w:pPr>
              <w:pStyle w:val="TableContents"/>
              <w:bidi w:val="0"/>
              <w:spacing w:before="0" w:after="283"/>
              <w:ind w:left="0" w:right="0" w:firstLine="490"/>
              <w:jc w:val="left"/>
              <w:rPr/>
            </w:pPr>
            <w:r>
              <w:rPr/>
              <w:t> </w:t>
            </w:r>
          </w:p>
        </w:tc>
      </w:tr>
      <w:tr>
        <w:trPr/>
        <w:tc>
          <w:tcPr>
            <w:tcW w:w="6727"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Stock-based compensation expense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2,507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2,192</w:t>
            </w:r>
          </w:p>
        </w:tc>
        <w:tc>
          <w:tcPr>
            <w:tcW w:w="1156" w:type="dxa"/>
            <w:tcBorders/>
            <w:shd w:fill="E5E5E5" w:val="clear"/>
            <w:vAlign w:val="center"/>
          </w:tcPr>
          <w:p>
            <w:pPr>
              <w:pStyle w:val="TableContents"/>
              <w:bidi w:val="0"/>
              <w:spacing w:before="0" w:after="283"/>
              <w:ind w:left="0" w:right="0" w:firstLine="490"/>
              <w:jc w:val="left"/>
              <w:rPr/>
            </w:pPr>
            <w:r>
              <w:rPr/>
              <w:t> </w:t>
            </w:r>
          </w:p>
        </w:tc>
      </w:tr>
      <w:tr>
        <w:trPr/>
        <w:tc>
          <w:tcPr>
            <w:tcW w:w="6727"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Net recognized losses (gains) on investments and 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w:t>
            </w:r>
          </w:p>
        </w:tc>
        <w:tc>
          <w:tcPr>
            <w:tcW w:w="1156" w:type="dxa"/>
            <w:tcBorders/>
            <w:vAlign w:val="center"/>
          </w:tcPr>
          <w:p>
            <w:pPr>
              <w:pStyle w:val="TableContents"/>
              <w:bidi w:val="0"/>
              <w:spacing w:before="0" w:after="283"/>
              <w:ind w:left="0" w:right="0" w:firstLine="490"/>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Deferred income taxes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(568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(1,191</w:t>
            </w:r>
          </w:p>
        </w:tc>
        <w:tc>
          <w:tcPr>
            <w:tcW w:w="1156" w:type="dxa"/>
            <w:tcBorders/>
            <w:shd w:fill="E5E5E5" w:val="clear"/>
            <w:vAlign w:val="center"/>
          </w:tcPr>
          <w:p>
            <w:pPr>
              <w:pStyle w:val="TableContents"/>
              <w:bidi w:val="0"/>
              <w:spacing w:before="0" w:after="283"/>
              <w:ind w:left="0" w:right="0" w:firstLine="490"/>
              <w:jc w:val="left"/>
              <w:rPr>
                <w:rFonts w:ascii="Arial" w:hAnsi="Arial"/>
                <w:b w:val="false"/>
                <w:color w:val="000000"/>
                <w:sz w:val="20"/>
              </w:rPr>
            </w:pPr>
            <w:r>
              <w:rPr>
                <w:rFonts w:ascii="Arial" w:hAnsi="Arial"/>
                <w:b w:val="false"/>
                <w:color w:val="000000"/>
                <w:sz w:val="20"/>
              </w:rPr>
              <w:t>)</w:t>
            </w:r>
          </w:p>
        </w:tc>
      </w:tr>
      <w:tr>
        <w:trPr/>
        <w:tc>
          <w:tcPr>
            <w:tcW w:w="6727"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Changes in operating assets and liabilities: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720"/>
              <w:jc w:val="left"/>
              <w:rPr/>
            </w:pPr>
            <w:r>
              <w:rPr/>
              <w:t> </w:t>
            </w:r>
          </w:p>
        </w:tc>
      </w:tr>
      <w:tr>
        <w:trPr/>
        <w:tc>
          <w:tcPr>
            <w:tcW w:w="6727"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Accounts receivable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11,034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11,729</w:t>
            </w:r>
          </w:p>
        </w:tc>
        <w:tc>
          <w:tcPr>
            <w:tcW w:w="1156" w:type="dxa"/>
            <w:tcBorders/>
            <w:shd w:fill="E5E5E5" w:val="clear"/>
            <w:vAlign w:val="center"/>
          </w:tcPr>
          <w:p>
            <w:pPr>
              <w:pStyle w:val="TableContents"/>
              <w:bidi w:val="0"/>
              <w:spacing w:before="0" w:after="283"/>
              <w:ind w:left="0" w:right="0" w:firstLine="720"/>
              <w:jc w:val="left"/>
              <w:rPr/>
            </w:pPr>
            <w:r>
              <w:rPr/>
              <w:t> </w:t>
            </w:r>
          </w:p>
        </w:tc>
      </w:tr>
      <w:tr>
        <w:trPr/>
        <w:tc>
          <w:tcPr>
            <w:tcW w:w="6727" w:type="dxa"/>
            <w:tcBorders/>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Inventories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(505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(543</w:t>
            </w:r>
          </w:p>
        </w:tc>
        <w:tc>
          <w:tcPr>
            <w:tcW w:w="1156" w:type="dxa"/>
            <w:tcBorders/>
            <w:vAlign w:val="center"/>
          </w:tcPr>
          <w:p>
            <w:pPr>
              <w:pStyle w:val="TableContents"/>
              <w:bidi w:val="0"/>
              <w:spacing w:before="0" w:after="283"/>
              <w:ind w:left="0" w:right="0" w:firstLine="720"/>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Other current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(796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(332</w:t>
            </w:r>
          </w:p>
        </w:tc>
        <w:tc>
          <w:tcPr>
            <w:tcW w:w="1156" w:type="dxa"/>
            <w:tcBorders/>
            <w:shd w:fill="E5E5E5" w:val="clear"/>
            <w:vAlign w:val="center"/>
          </w:tcPr>
          <w:p>
            <w:pPr>
              <w:pStyle w:val="TableContents"/>
              <w:bidi w:val="0"/>
              <w:spacing w:before="0" w:after="283"/>
              <w:ind w:left="0" w:right="0" w:firstLine="720"/>
              <w:jc w:val="left"/>
              <w:rPr>
                <w:rFonts w:ascii="Arial" w:hAnsi="Arial"/>
                <w:b w:val="false"/>
                <w:color w:val="000000"/>
                <w:sz w:val="20"/>
              </w:rPr>
            </w:pPr>
            <w:r>
              <w:rPr>
                <w:rFonts w:ascii="Arial" w:hAnsi="Arial"/>
                <w:b w:val="false"/>
                <w:color w:val="000000"/>
                <w:sz w:val="20"/>
              </w:rPr>
              <w:t>)</w:t>
            </w:r>
          </w:p>
        </w:tc>
      </w:tr>
      <w:tr>
        <w:trPr/>
        <w:tc>
          <w:tcPr>
            <w:tcW w:w="6727" w:type="dxa"/>
            <w:tcBorders/>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Other long-term assets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(2,013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(666</w:t>
            </w:r>
          </w:p>
        </w:tc>
        <w:tc>
          <w:tcPr>
            <w:tcW w:w="1156" w:type="dxa"/>
            <w:tcBorders/>
            <w:vAlign w:val="center"/>
          </w:tcPr>
          <w:p>
            <w:pPr>
              <w:pStyle w:val="TableContents"/>
              <w:bidi w:val="0"/>
              <w:spacing w:before="0" w:after="283"/>
              <w:ind w:left="0" w:right="0" w:firstLine="720"/>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Accounts payable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1,214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(1,567</w:t>
            </w:r>
          </w:p>
        </w:tc>
        <w:tc>
          <w:tcPr>
            <w:tcW w:w="1156" w:type="dxa"/>
            <w:tcBorders/>
            <w:shd w:fill="E5E5E5" w:val="clear"/>
            <w:vAlign w:val="center"/>
          </w:tcPr>
          <w:p>
            <w:pPr>
              <w:pStyle w:val="TableContents"/>
              <w:bidi w:val="0"/>
              <w:spacing w:before="0" w:after="283"/>
              <w:ind w:left="0" w:right="0" w:firstLine="720"/>
              <w:jc w:val="left"/>
              <w:rPr>
                <w:rFonts w:ascii="Arial" w:hAnsi="Arial"/>
                <w:b w:val="false"/>
                <w:color w:val="000000"/>
                <w:sz w:val="20"/>
              </w:rPr>
            </w:pPr>
            <w:r>
              <w:rPr>
                <w:rFonts w:ascii="Arial" w:hAnsi="Arial"/>
                <w:b w:val="false"/>
                <w:color w:val="000000"/>
                <w:sz w:val="20"/>
              </w:rPr>
              <w:t>)</w:t>
            </w:r>
          </w:p>
        </w:tc>
      </w:tr>
      <w:tr>
        <w:trPr/>
        <w:tc>
          <w:tcPr>
            <w:tcW w:w="6727" w:type="dxa"/>
            <w:tcBorders/>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Unearned revenue</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(4,126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(3,322</w:t>
            </w:r>
          </w:p>
        </w:tc>
        <w:tc>
          <w:tcPr>
            <w:tcW w:w="1156" w:type="dxa"/>
            <w:tcBorders/>
            <w:vAlign w:val="center"/>
          </w:tcPr>
          <w:p>
            <w:pPr>
              <w:pStyle w:val="TableContents"/>
              <w:bidi w:val="0"/>
              <w:spacing w:before="0" w:after="283"/>
              <w:ind w:left="0" w:right="0" w:firstLine="720"/>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Income taxes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1,425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410</w:t>
            </w:r>
          </w:p>
        </w:tc>
        <w:tc>
          <w:tcPr>
            <w:tcW w:w="1156" w:type="dxa"/>
            <w:tcBorders/>
            <w:shd w:fill="E5E5E5" w:val="clear"/>
            <w:vAlign w:val="center"/>
          </w:tcPr>
          <w:p>
            <w:pPr>
              <w:pStyle w:val="TableContents"/>
              <w:bidi w:val="0"/>
              <w:spacing w:before="0" w:after="283"/>
              <w:ind w:left="0" w:right="0" w:firstLine="720"/>
              <w:jc w:val="left"/>
              <w:rPr/>
            </w:pPr>
            <w:r>
              <w:rPr/>
              <w:t> </w:t>
            </w:r>
          </w:p>
        </w:tc>
      </w:tr>
      <w:tr>
        <w:trPr/>
        <w:tc>
          <w:tcPr>
            <w:tcW w:w="6727" w:type="dxa"/>
            <w:tcBorders/>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Other 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(4,106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(4,024</w:t>
            </w:r>
          </w:p>
        </w:tc>
        <w:tc>
          <w:tcPr>
            <w:tcW w:w="1156" w:type="dxa"/>
            <w:tcBorders/>
            <w:vAlign w:val="center"/>
          </w:tcPr>
          <w:p>
            <w:pPr>
              <w:pStyle w:val="TableContents"/>
              <w:bidi w:val="0"/>
              <w:spacing w:before="0" w:after="283"/>
              <w:ind w:left="0" w:right="0" w:firstLine="720"/>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475" w:right="0" w:hanging="245"/>
              <w:jc w:val="left"/>
              <w:rPr>
                <w:rFonts w:ascii="Arial" w:hAnsi="Arial"/>
                <w:b w:val="false"/>
                <w:color w:val="000000"/>
                <w:sz w:val="20"/>
              </w:rPr>
            </w:pPr>
            <w:r>
              <w:rPr>
                <w:rFonts w:ascii="Arial" w:hAnsi="Arial"/>
                <w:b w:val="false"/>
                <w:color w:val="000000"/>
                <w:sz w:val="20"/>
              </w:rPr>
              <w:t>Other long-term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291</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188</w:t>
            </w:r>
          </w:p>
        </w:tc>
        <w:tc>
          <w:tcPr>
            <w:tcW w:w="1156" w:type="dxa"/>
            <w:tcBorders/>
            <w:shd w:fill="E5E5E5" w:val="clear"/>
            <w:vAlign w:val="center"/>
          </w:tcPr>
          <w:p>
            <w:pPr>
              <w:pStyle w:val="TableContents"/>
              <w:bidi w:val="0"/>
              <w:spacing w:before="0" w:after="283"/>
              <w:jc w:val="left"/>
              <w:rPr/>
            </w:pPr>
            <w:r>
              <w:rPr/>
              <w:t> </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965"/>
              <w:jc w:val="left"/>
              <w:rPr/>
            </w:pPr>
            <w:r>
              <w:rPr/>
              <w:t> </w:t>
            </w:r>
          </w:p>
        </w:tc>
      </w:tr>
      <w:tr>
        <w:trPr/>
        <w:tc>
          <w:tcPr>
            <w:tcW w:w="6727" w:type="dxa"/>
            <w:tcBorders/>
            <w:vAlign w:val="center"/>
          </w:tcPr>
          <w:p>
            <w:pPr>
              <w:pStyle w:val="TableContents"/>
              <w:pBdr/>
              <w:bidi w:val="0"/>
              <w:spacing w:before="0" w:after="283"/>
              <w:ind w:left="720" w:right="0" w:hanging="245"/>
              <w:jc w:val="left"/>
              <w:rPr>
                <w:rFonts w:ascii="Arial" w:hAnsi="Arial"/>
                <w:b w:val="false"/>
                <w:color w:val="000000"/>
                <w:sz w:val="20"/>
              </w:rPr>
            </w:pPr>
            <w:r>
              <w:rPr>
                <w:rFonts w:ascii="Arial" w:hAnsi="Arial"/>
                <w:b w:val="false"/>
                <w:color w:val="000000"/>
                <w:sz w:val="20"/>
              </w:rPr>
              <w:t>Net cash from operations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30,583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23,198</w:t>
            </w:r>
          </w:p>
        </w:tc>
        <w:tc>
          <w:tcPr>
            <w:tcW w:w="1156" w:type="dxa"/>
            <w:tcBorders/>
            <w:vAlign w:val="center"/>
          </w:tcPr>
          <w:p>
            <w:pPr>
              <w:pStyle w:val="TableContents"/>
              <w:bidi w:val="0"/>
              <w:spacing w:before="0" w:after="283"/>
              <w:jc w:val="left"/>
              <w:rPr/>
            </w:pPr>
            <w:r>
              <w:rPr/>
              <w:t> </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Financing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pPr>
            <w:r>
              <w:rPr/>
              <w:t> </w:t>
            </w:r>
          </w:p>
        </w:tc>
        <w:tc>
          <w:tcPr>
            <w:tcW w:w="1156" w:type="dxa"/>
            <w:tcBorders/>
            <w:shd w:fill="E5E5E5" w:val="cle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Proceeds from issuance of debt, maturities of 90 days or less, net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18,692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156" w:type="dxa"/>
            <w:tcBorders/>
            <w:vAlign w:val="center"/>
          </w:tcPr>
          <w:p>
            <w:pPr>
              <w:pStyle w:val="TableContents"/>
              <w:bidi w:val="0"/>
              <w:spacing w:before="0" w:after="283"/>
              <w:jc w:val="left"/>
              <w:rPr/>
            </w:pPr>
            <w:r>
              <w:rPr/>
              <w:t> </w:t>
            </w:r>
          </w:p>
        </w:tc>
      </w:tr>
      <w:tr>
        <w:trPr/>
        <w:tc>
          <w:tcPr>
            <w:tcW w:w="6727"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Proceeds from issuance of debt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7,073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Repayments of debt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(1,500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w:t>
            </w:r>
          </w:p>
        </w:tc>
        <w:tc>
          <w:tcPr>
            <w:tcW w:w="1156"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issued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685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575</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repurchased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(4,831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(5,573</w:t>
            </w:r>
          </w:p>
        </w:tc>
        <w:tc>
          <w:tcPr>
            <w:tcW w:w="1156"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cash dividends paid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(5,051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(4,621</w:t>
            </w:r>
          </w:p>
        </w:tc>
        <w:tc>
          <w:tcPr>
            <w:tcW w:w="1156"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(264</w:t>
            </w:r>
          </w:p>
        </w:tc>
        <w:tc>
          <w:tcPr>
            <w:tcW w:w="115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965"/>
              <w:jc w:val="left"/>
              <w:rPr/>
            </w:pPr>
            <w:r>
              <w:rPr/>
              <w:t> </w:t>
            </w:r>
          </w:p>
        </w:tc>
      </w:tr>
      <w:tr>
        <w:trPr/>
        <w:tc>
          <w:tcPr>
            <w:tcW w:w="6727" w:type="dxa"/>
            <w:tcBorders/>
            <w:shd w:fill="E5E5E5" w:val="clear"/>
            <w:vAlign w:val="center"/>
          </w:tcPr>
          <w:p>
            <w:pPr>
              <w:pStyle w:val="TableContents"/>
              <w:pBdr/>
              <w:bidi w:val="0"/>
              <w:spacing w:before="0" w:after="283"/>
              <w:ind w:left="720" w:right="0" w:hanging="245"/>
              <w:jc w:val="left"/>
              <w:rPr>
                <w:rFonts w:ascii="Arial" w:hAnsi="Arial"/>
                <w:b w:val="false"/>
                <w:color w:val="000000"/>
                <w:sz w:val="20"/>
              </w:rPr>
            </w:pPr>
            <w:r>
              <w:rPr>
                <w:rFonts w:ascii="Arial" w:hAnsi="Arial"/>
                <w:b w:val="false"/>
                <w:color w:val="000000"/>
                <w:sz w:val="20"/>
              </w:rPr>
              <w:t>Net cash from (used in) financing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14,761</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(10,883</w:t>
            </w:r>
          </w:p>
        </w:tc>
        <w:tc>
          <w:tcPr>
            <w:tcW w:w="115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Investing</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Additions to property and equipment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(9,917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(6,283</w:t>
            </w:r>
          </w:p>
        </w:tc>
        <w:tc>
          <w:tcPr>
            <w:tcW w:w="1156"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Acquisition of companies, net of cash acquired, and purchases of intangible and other assets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(1,186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(349</w:t>
            </w:r>
          </w:p>
        </w:tc>
        <w:tc>
          <w:tcPr>
            <w:tcW w:w="1156"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Purchases of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(8,460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(5,013</w:t>
            </w:r>
          </w:p>
        </w:tc>
        <w:tc>
          <w:tcPr>
            <w:tcW w:w="1156"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Maturities of investments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15,718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6,662</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Sales of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5,330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2,711</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net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(982</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(860</w:t>
            </w:r>
          </w:p>
        </w:tc>
        <w:tc>
          <w:tcPr>
            <w:tcW w:w="115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965"/>
              <w:jc w:val="left"/>
              <w:rPr/>
            </w:pPr>
            <w:r>
              <w:rPr/>
              <w:t> </w:t>
            </w:r>
          </w:p>
        </w:tc>
      </w:tr>
      <w:tr>
        <w:trPr/>
        <w:tc>
          <w:tcPr>
            <w:tcW w:w="6727" w:type="dxa"/>
            <w:tcBorders/>
            <w:shd w:fill="E5E5E5" w:val="clear"/>
            <w:vAlign w:val="center"/>
          </w:tcPr>
          <w:p>
            <w:pPr>
              <w:pStyle w:val="TableContents"/>
              <w:pBdr/>
              <w:bidi w:val="0"/>
              <w:spacing w:before="0" w:after="283"/>
              <w:ind w:left="720" w:right="0" w:hanging="245"/>
              <w:jc w:val="left"/>
              <w:rPr>
                <w:rFonts w:ascii="Arial" w:hAnsi="Arial"/>
                <w:b w:val="false"/>
                <w:color w:val="000000"/>
                <w:sz w:val="20"/>
              </w:rPr>
            </w:pPr>
            <w:r>
              <w:rPr>
                <w:rFonts w:ascii="Arial" w:hAnsi="Arial"/>
                <w:b w:val="false"/>
                <w:color w:val="000000"/>
                <w:sz w:val="20"/>
              </w:rPr>
              <w:t>Net cash from (used in) investing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503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(3,132</w:t>
            </w:r>
          </w:p>
        </w:tc>
        <w:tc>
          <w:tcPr>
            <w:tcW w:w="115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Effect of foreign exchange rates on cash and cash equivalents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(230</w:t>
            </w:r>
          </w:p>
        </w:tc>
        <w:tc>
          <w:tcPr>
            <w:tcW w:w="115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change in cash and cash equivalents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45,748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8,953</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672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Cash and cash equivalents, beginning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34,704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13,931</w:t>
            </w:r>
          </w:p>
        </w:tc>
        <w:tc>
          <w:tcPr>
            <w:tcW w:w="1156" w:type="dxa"/>
            <w:tcBorders/>
            <w:vAlign w:val="center"/>
          </w:tcPr>
          <w:p>
            <w:pPr>
              <w:pStyle w:val="TableContents"/>
              <w:bidi w:val="0"/>
              <w:spacing w:before="0" w:after="283"/>
              <w:jc w:val="left"/>
              <w:rPr/>
            </w:pPr>
            <w:r>
              <w:rPr/>
              <w:t> </w:t>
            </w:r>
          </w:p>
        </w:tc>
      </w:tr>
      <w:tr>
        <w:trPr/>
        <w:tc>
          <w:tcPr>
            <w:tcW w:w="672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672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Cash and cash equivalents,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80,452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22,884</w:t>
            </w:r>
          </w:p>
        </w:tc>
        <w:tc>
          <w:tcPr>
            <w:tcW w:w="1156" w:type="dxa"/>
            <w:tcBorders/>
            <w:shd w:fill="E5E5E5" w:val="clear"/>
            <w:vAlign w:val="center"/>
          </w:tcPr>
          <w:p>
            <w:pPr>
              <w:pStyle w:val="TableContents"/>
              <w:bidi w:val="0"/>
              <w:spacing w:before="0" w:after="283"/>
              <w:jc w:val="left"/>
              <w:rPr/>
            </w:pPr>
            <w:r>
              <w:rPr/>
              <w:t> </w:t>
            </w:r>
          </w:p>
        </w:tc>
      </w:tr>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Refer to accompanying notes.</w:t>
      </w:r>
    </w:p>
    <w:p>
      <w:pPr>
        <w:pStyle w:val="TextBody"/>
        <w:bidi w:val="0"/>
        <w:spacing w:before="240" w:after="283"/>
        <w:jc w:val="center"/>
        <w:rPr>
          <w:rFonts w:ascii="Arial" w:hAnsi="Arial"/>
          <w:b w:val="false"/>
          <w:color w:val="000000"/>
          <w:sz w:val="16"/>
        </w:rPr>
      </w:pPr>
      <w:r>
        <w:rPr>
          <w:rFonts w:ascii="Arial" w:hAnsi="Arial"/>
          <w:b w:val="false"/>
          <w:color w:val="000000"/>
          <w:sz w:val="16"/>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8" w:name="stockholders_equity_statements"/>
      <w:bookmarkEnd w:id="8"/>
      <w:r>
        <w:rPr>
          <w:rFonts w:ascii="Arial" w:hAnsi="Arial"/>
          <w:b/>
          <w:color w:val="000000"/>
          <w:sz w:val="20"/>
        </w:rPr>
        <w:t>STOCKHOLDERS’ EQUITY STATEMENTS</w:t>
      </w:r>
      <w:r>
        <w:rPr>
          <w:rFonts w:ascii="Times New Roman" w:hAnsi="Times New Roman"/>
          <w:color w:val="000000"/>
          <w:sz w:val="20"/>
        </w:rPr>
        <w:t xml:space="preserve"> </w:t>
      </w:r>
    </w:p>
    <w:p>
      <w:pPr>
        <w:pStyle w:val="TextBody"/>
        <w:bidi w:val="0"/>
        <w:jc w:val="left"/>
        <w:rPr/>
      </w:pPr>
      <w:r>
        <w:rPr/>
        <w:t> </w:t>
      </w:r>
    </w:p>
    <w:tbl>
      <w:tblPr>
        <w:tblW w:w="7084" w:type="dxa"/>
        <w:jc w:val="left"/>
        <w:tblInd w:w="0" w:type="dxa"/>
        <w:tblLayout w:type="fixed"/>
        <w:tblCellMar>
          <w:top w:w="28" w:type="dxa"/>
          <w:left w:w="28" w:type="dxa"/>
          <w:bottom w:w="28" w:type="dxa"/>
          <w:right w:w="28" w:type="dxa"/>
        </w:tblCellMar>
      </w:tblPr>
      <w:tblGrid>
        <w:gridCol w:w="3931"/>
        <w:gridCol w:w="146"/>
        <w:gridCol w:w="211"/>
        <w:gridCol w:w="796"/>
        <w:gridCol w:w="166"/>
        <w:gridCol w:w="146"/>
        <w:gridCol w:w="211"/>
        <w:gridCol w:w="796"/>
        <w:gridCol w:w="68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vAlign w:val="center"/>
          </w:tcPr>
          <w:p>
            <w:pPr>
              <w:pStyle w:val="TableContents"/>
              <w:bidi w:val="0"/>
              <w:spacing w:before="0" w:after="283"/>
              <w:jc w:val="left"/>
              <w:rPr>
                <w:sz w:val="4"/>
                <w:szCs w:val="4"/>
              </w:rPr>
            </w:pPr>
            <w:r>
              <w:rPr>
                <w:sz w:val="4"/>
                <w:szCs w:val="4"/>
              </w:rPr>
            </w:r>
          </w:p>
        </w:tc>
        <w:tc>
          <w:tcPr>
            <w:tcW w:w="2326"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righ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0"/>
              <w:jc w:val="left"/>
              <w:rPr/>
            </w:pPr>
            <w:r>
              <w:rPr/>
              <w:t> </w:t>
            </w:r>
          </w:p>
        </w:tc>
      </w:tr>
      <w:tr>
        <w:trPr/>
        <w:tc>
          <w:tcPr>
            <w:tcW w:w="3931" w:type="dxa"/>
            <w:tcBorders/>
            <w:vAlign w:val="center"/>
          </w:tcPr>
          <w:p>
            <w:pPr>
              <w:pStyle w:val="TableContents"/>
              <w:pBdr/>
              <w:bidi w:val="0"/>
              <w:spacing w:before="0" w:after="283"/>
              <w:ind w:left="0" w:right="0" w:hanging="240"/>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319" w:type="dxa"/>
            <w:gridSpan w:val="4"/>
            <w:tcBorders/>
            <w:vAlign w:val="center"/>
          </w:tcPr>
          <w:p>
            <w:pPr>
              <w:pStyle w:val="TableContents"/>
              <w:bidi w:val="0"/>
              <w:spacing w:before="0" w:after="283"/>
              <w:jc w:val="left"/>
              <w:rPr/>
            </w:pPr>
            <w:r>
              <w:rPr/>
              <w:t> </w:t>
            </w:r>
          </w:p>
        </w:tc>
        <w:tc>
          <w:tcPr>
            <w:tcW w:w="1153" w:type="dxa"/>
            <w:gridSpan w:val="3"/>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Common stock and paid-in capital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681" w:type="dxa"/>
            <w:tcBorders/>
            <w:shd w:fill="E5E5E5" w:val="clear"/>
            <w:vAlign w:val="center"/>
          </w:tcPr>
          <w:p>
            <w:pPr>
              <w:pStyle w:val="TableContents"/>
              <w:bidi w:val="0"/>
              <w:spacing w:before="0" w:after="283"/>
              <w:ind w:left="0" w:right="0" w:firstLine="245"/>
              <w:jc w:val="righ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beginning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93,718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86,939</w:t>
            </w:r>
          </w:p>
        </w:tc>
        <w:tc>
          <w:tcPr>
            <w:tcW w:w="681" w:type="dxa"/>
            <w:tcBorders/>
            <w:vAlign w:val="center"/>
          </w:tcPr>
          <w:p>
            <w:pPr>
              <w:pStyle w:val="TableContents"/>
              <w:bidi w:val="0"/>
              <w:spacing w:before="0" w:after="283"/>
              <w:ind w:left="0" w:right="0" w:firstLine="245"/>
              <w:jc w:val="righ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issued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685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575</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repurchased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(1,401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(1,171</w:t>
            </w:r>
          </w:p>
        </w:tc>
        <w:tc>
          <w:tcPr>
            <w:tcW w:w="681"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Stock-based compensation expense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2,507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2,192</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jc w:val="lef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93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95,508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88,535</w:t>
            </w:r>
          </w:p>
        </w:tc>
        <w:tc>
          <w:tcPr>
            <w:tcW w:w="681" w:type="dxa"/>
            <w:tcBorders/>
            <w:shd w:fill="E5E5E5" w:val="clear"/>
            <w:vAlign w:val="center"/>
          </w:tcPr>
          <w:p>
            <w:pPr>
              <w:pStyle w:val="TableContents"/>
              <w:bidi w:val="0"/>
              <w:spacing w:before="0" w:after="283"/>
              <w:jc w:val="lef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Retained earnings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118,848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84,281</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income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22,291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17,556</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cash dividends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(5,571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(5,064</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39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repurchased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(3,425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(4,399</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93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132,143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92,374</w:t>
            </w:r>
          </w:p>
        </w:tc>
        <w:tc>
          <w:tcPr>
            <w:tcW w:w="681" w:type="dxa"/>
            <w:tcBorders/>
            <w:shd w:fill="E5E5E5" w:val="clear"/>
            <w:vAlign w:val="center"/>
          </w:tcPr>
          <w:p>
            <w:pPr>
              <w:pStyle w:val="TableContents"/>
              <w:bidi w:val="0"/>
              <w:spacing w:before="0" w:after="283"/>
              <w:jc w:val="lef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Accumulated other comprehensive loss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(6,343</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(4,678</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39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comprehensive loss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(2,665</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93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(6,937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(7,343</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Total stockholders’ equity</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220,714</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173,566</w:t>
            </w:r>
          </w:p>
        </w:tc>
        <w:tc>
          <w:tcPr>
            <w:tcW w:w="681" w:type="dxa"/>
            <w:tcBorders/>
            <w:vAlign w:val="center"/>
          </w:tcPr>
          <w:p>
            <w:pPr>
              <w:pStyle w:val="TableContents"/>
              <w:bidi w:val="0"/>
              <w:spacing w:before="0" w:after="283"/>
              <w:jc w:val="righ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FFFFFF" w:val="clear"/>
            <w:vAlign w:val="center"/>
          </w:tcPr>
          <w:p>
            <w:pPr>
              <w:pStyle w:val="TableContents"/>
              <w:pBdr/>
              <w:bidi w:val="0"/>
              <w:spacing w:before="0" w:after="283"/>
              <w:ind w:left="0" w:right="0" w:hanging="245"/>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81" w:type="dxa"/>
            <w:tcBorders/>
            <w:shd w:fill="FFFFFF" w:val="clear"/>
            <w:vAlign w:val="center"/>
          </w:tcPr>
          <w:p>
            <w:pPr>
              <w:pStyle w:val="TableContents"/>
              <w:bidi w:val="0"/>
              <w:spacing w:before="0" w:after="283"/>
              <w:ind w:left="0" w:right="0" w:firstLine="245"/>
              <w:jc w:val="righ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Cash dividends declared per common share</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0.75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0.68</w:t>
            </w:r>
          </w:p>
        </w:tc>
        <w:tc>
          <w:tcPr>
            <w:tcW w:w="681" w:type="dxa"/>
            <w:tcBorders/>
            <w:shd w:fill="E5E5E5" w:val="clear"/>
            <w:vAlign w:val="center"/>
          </w:tcPr>
          <w:p>
            <w:pPr>
              <w:pStyle w:val="TableContents"/>
              <w:bidi w:val="0"/>
              <w:spacing w:before="0" w:after="283"/>
              <w:jc w:val="righ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Refer to accompanying notes.</w:t>
      </w:r>
    </w:p>
    <w:p>
      <w:pPr>
        <w:pStyle w:val="TextBody"/>
        <w:bidi w:val="0"/>
        <w:spacing w:before="240" w:after="283"/>
        <w:jc w:val="center"/>
        <w:rPr>
          <w:rFonts w:ascii="Arial" w:hAnsi="Arial"/>
          <w:b w:val="false"/>
          <w:color w:val="000000"/>
          <w:sz w:val="16"/>
        </w:rPr>
      </w:pPr>
      <w:r>
        <w:rPr>
          <w:rFonts w:ascii="Arial" w:hAnsi="Arial"/>
          <w:b w:val="false"/>
          <w:color w:val="000000"/>
          <w:sz w:val="16"/>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9" w:name="notes_to_financial_statements"/>
      <w:bookmarkEnd w:id="9"/>
      <w:r>
        <w:rPr>
          <w:rFonts w:ascii="Arial" w:hAnsi="Arial"/>
          <w:b/>
          <w:color w:val="000000"/>
          <w:sz w:val="20"/>
        </w:rPr>
        <w:t>NOTES TO FINANCIAL STATEMENTS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spacing w:before="90" w:after="283"/>
        <w:jc w:val="center"/>
        <w:rPr>
          <w:rFonts w:ascii="Arial" w:hAnsi="Arial"/>
          <w:b w:val="false"/>
          <w:color w:val="000000"/>
          <w:sz w:val="20"/>
          <w:u w:val="single"/>
        </w:rPr>
      </w:pPr>
      <w:r>
        <w:rPr>
          <w:rFonts w:ascii="Arial" w:hAnsi="Arial"/>
          <w:b w:val="false"/>
          <w:color w:val="000000"/>
          <w:sz w:val="20"/>
          <w:u w:val="single"/>
        </w:rPr>
        <w:t>NOTE 1 — ACCOUNTING POLICIES</w:t>
      </w:r>
    </w:p>
    <w:p>
      <w:pPr>
        <w:pStyle w:val="TextBody"/>
        <w:bidi w:val="0"/>
        <w:spacing w:before="180" w:after="283"/>
        <w:jc w:val="both"/>
        <w:rPr>
          <w:rFonts w:ascii="Times New Roman" w:hAnsi="Times New Roman"/>
          <w:sz w:val="20"/>
        </w:rPr>
      </w:pPr>
      <w:r>
        <w:rPr>
          <w:rFonts w:ascii="Arial" w:hAnsi="Arial"/>
          <w:b/>
          <w:color w:val="000000"/>
          <w:sz w:val="20"/>
        </w:rPr>
        <w:t>Accounting Principles</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2023 Form 10-K filed with the U.S. Securities and Exchange Commission on July 27, 2023.</w:t>
      </w:r>
    </w:p>
    <w:p>
      <w:pPr>
        <w:pStyle w:val="TextBody"/>
        <w:bidi w:val="0"/>
        <w:spacing w:before="180" w:after="283"/>
        <w:jc w:val="both"/>
        <w:rPr>
          <w:rFonts w:ascii="Arial" w:hAnsi="Arial"/>
          <w:b w:val="false"/>
          <w:color w:val="000000"/>
          <w:sz w:val="20"/>
        </w:rPr>
      </w:pPr>
      <w:r>
        <w:rPr>
          <w:rFonts w:ascii="Arial" w:hAnsi="Arial"/>
          <w:b w:val="false"/>
          <w:color w:val="000000"/>
          <w:sz w:val="20"/>
        </w:rPr>
        <w:t>We have recast certain prior period amounts to conform to the current period presentation. The recast of these prior period amounts had no impact on our consolidated balance sheets, consolidated income statements, or consolidated cash flows statements.</w:t>
      </w:r>
    </w:p>
    <w:p>
      <w:pPr>
        <w:pStyle w:val="TextBody"/>
        <w:bidi w:val="0"/>
        <w:spacing w:before="270" w:after="283"/>
        <w:jc w:val="both"/>
        <w:rPr>
          <w:rFonts w:ascii="Times New Roman" w:hAnsi="Times New Roman"/>
          <w:sz w:val="20"/>
        </w:rPr>
      </w:pPr>
      <w:r>
        <w:rPr>
          <w:rFonts w:ascii="Arial" w:hAnsi="Arial"/>
          <w:b/>
          <w:color w:val="000000"/>
          <w:sz w:val="20"/>
        </w:rPr>
        <w:t>Principles of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The consolidated financial statements include the accounts of Microsoft Corporation and its subsidiaries. Intercompany transactions and balances have been eliminated.</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Estimates and Assumptions</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pStyle w:val="TextBody"/>
        <w:bidi w:val="0"/>
        <w:spacing w:before="270" w:after="283"/>
        <w:jc w:val="both"/>
        <w:rPr>
          <w:rFonts w:ascii="Arial" w:hAnsi="Arial"/>
          <w:b/>
          <w:color w:val="000000"/>
          <w:sz w:val="20"/>
        </w:rPr>
      </w:pPr>
      <w:r>
        <w:rPr>
          <w:rFonts w:ascii="Arial" w:hAnsi="Arial"/>
          <w:b/>
          <w:color w:val="000000"/>
          <w:sz w:val="20"/>
        </w:rPr>
        <w:t>Financial Instruments</w:t>
      </w:r>
    </w:p>
    <w:p>
      <w:pPr>
        <w:pStyle w:val="TextBody"/>
        <w:bidi w:val="0"/>
        <w:spacing w:before="180" w:after="283"/>
        <w:jc w:val="both"/>
        <w:rPr>
          <w:rFonts w:ascii="Arial" w:hAnsi="Arial"/>
          <w:b/>
          <w:i/>
          <w:color w:val="000000"/>
          <w:sz w:val="20"/>
        </w:rPr>
      </w:pPr>
      <w:r>
        <w:rPr>
          <w:rFonts w:ascii="Arial" w:hAnsi="Arial"/>
          <w:b/>
          <w:i/>
          <w:color w:val="000000"/>
          <w:sz w:val="20"/>
        </w:rPr>
        <w:t>Investments</w:t>
      </w:r>
    </w:p>
    <w:p>
      <w:pPr>
        <w:pStyle w:val="TextBody"/>
        <w:bidi w:val="0"/>
        <w:spacing w:before="180" w:after="283"/>
        <w:jc w:val="both"/>
        <w:rPr>
          <w:rFonts w:ascii="Arial" w:hAnsi="Arial"/>
          <w:b w:val="false"/>
          <w:color w:val="000000"/>
          <w:sz w:val="20"/>
        </w:rPr>
      </w:pPr>
      <w:r>
        <w:rPr>
          <w:rFonts w:ascii="Arial" w:hAnsi="Arial"/>
          <w:b w:val="false"/>
          <w:color w:val="000000"/>
          <w:sz w:val="20"/>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pStyle w:val="TextBody"/>
        <w:bidi w:val="0"/>
        <w:spacing w:before="180" w:after="283"/>
        <w:jc w:val="both"/>
        <w:rPr>
          <w:rFonts w:ascii="Arial" w:hAnsi="Arial"/>
          <w:b w:val="false"/>
          <w:color w:val="000000"/>
          <w:sz w:val="20"/>
        </w:rPr>
      </w:pPr>
      <w:r>
        <w:rPr>
          <w:rFonts w:ascii="Arial" w:hAnsi="Arial"/>
          <w:b w:val="false"/>
          <w:color w:val="000000"/>
          <w:sz w:val="20"/>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240" w:after="283"/>
        <w:jc w:val="center"/>
        <w:rPr>
          <w:rFonts w:ascii="Arial" w:hAnsi="Arial"/>
          <w:b w:val="false"/>
          <w:color w:val="000000"/>
          <w:sz w:val="16"/>
        </w:rPr>
      </w:pPr>
      <w:r>
        <w:rPr>
          <w:rFonts w:ascii="Arial" w:hAnsi="Arial"/>
          <w:b w:val="false"/>
          <w:color w:val="000000"/>
          <w:sz w:val="16"/>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pStyle w:val="TextBody"/>
        <w:bidi w:val="0"/>
        <w:spacing w:before="270" w:after="283"/>
        <w:jc w:val="both"/>
        <w:rPr>
          <w:rFonts w:ascii="Arial" w:hAnsi="Arial"/>
          <w:b/>
          <w:i/>
          <w:color w:val="000000"/>
          <w:sz w:val="20"/>
        </w:rPr>
      </w:pPr>
      <w:r>
        <w:rPr>
          <w:rFonts w:ascii="Arial" w:hAnsi="Arial"/>
          <w:b/>
          <w:i/>
          <w:color w:val="000000"/>
          <w:sz w:val="20"/>
        </w:rPr>
        <w:t>Derivatives</w:t>
      </w:r>
    </w:p>
    <w:p>
      <w:pPr>
        <w:pStyle w:val="TextBody"/>
        <w:bidi w:val="0"/>
        <w:spacing w:before="180" w:after="283"/>
        <w:jc w:val="both"/>
        <w:rPr>
          <w:rFonts w:ascii="Arial" w:hAnsi="Arial"/>
          <w:b w:val="false"/>
          <w:color w:val="000000"/>
          <w:sz w:val="20"/>
        </w:rPr>
      </w:pPr>
      <w:r>
        <w:rPr>
          <w:rFonts w:ascii="Arial" w:hAnsi="Arial"/>
          <w:b w:val="false"/>
          <w:color w:val="000000"/>
          <w:sz w:val="20"/>
        </w:rPr>
        <w:t>Derivative instruments are recognized as either assets or liabilities and measured at fair value. The accounting for changes in the fair value of a derivative depends on the intended use of the derivative and the resulting designation.</w:t>
      </w:r>
    </w:p>
    <w:p>
      <w:pPr>
        <w:pStyle w:val="TextBody"/>
        <w:bidi w:val="0"/>
        <w:spacing w:before="180" w:after="283"/>
        <w:jc w:val="both"/>
        <w:rPr>
          <w:rFonts w:ascii="Arial" w:hAnsi="Arial"/>
          <w:b w:val="false"/>
          <w:color w:val="000000"/>
          <w:sz w:val="20"/>
        </w:rPr>
      </w:pPr>
      <w:r>
        <w:rPr>
          <w:rFonts w:ascii="Arial" w:hAnsi="Arial"/>
          <w:b w:val="false"/>
          <w:color w:val="000000"/>
          <w:sz w:val="20"/>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pStyle w:val="TextBody"/>
        <w:bidi w:val="0"/>
        <w:spacing w:before="180" w:after="283"/>
        <w:jc w:val="both"/>
        <w:rPr>
          <w:rFonts w:ascii="Arial" w:hAnsi="Arial"/>
          <w:b w:val="false"/>
          <w:color w:val="000000"/>
          <w:sz w:val="20"/>
        </w:rPr>
      </w:pPr>
      <w:r>
        <w:rPr>
          <w:rFonts w:ascii="Arial" w:hAnsi="Arial"/>
          <w:b w:val="false"/>
          <w:color w:val="000000"/>
          <w:sz w:val="20"/>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pStyle w:val="TextBody"/>
        <w:bidi w:val="0"/>
        <w:spacing w:before="180" w:after="283"/>
        <w:jc w:val="both"/>
        <w:rPr>
          <w:rFonts w:ascii="Arial" w:hAnsi="Arial"/>
          <w:b w:val="false"/>
          <w:color w:val="000000"/>
          <w:sz w:val="20"/>
        </w:rPr>
      </w:pPr>
      <w:r>
        <w:rPr>
          <w:rFonts w:ascii="Arial" w:hAnsi="Arial"/>
          <w:b w:val="false"/>
          <w:color w:val="000000"/>
          <w:sz w:val="20"/>
        </w:rPr>
        <w:t>For derivative instruments that are not designated as hedges, gains and losses from changes in fair values are primarily recognized in other income (expense), net.</w:t>
      </w:r>
    </w:p>
    <w:p>
      <w:pPr>
        <w:pStyle w:val="TextBody"/>
        <w:bidi w:val="0"/>
        <w:spacing w:before="270" w:after="283"/>
        <w:jc w:val="both"/>
        <w:rPr>
          <w:rFonts w:ascii="Arial" w:hAnsi="Arial"/>
          <w:b/>
          <w:color w:val="000000"/>
          <w:sz w:val="20"/>
        </w:rPr>
      </w:pPr>
      <w:r>
        <w:rPr>
          <w:rFonts w:ascii="Arial" w:hAnsi="Arial"/>
          <w:b/>
          <w:color w:val="000000"/>
          <w:sz w:val="20"/>
        </w:rPr>
        <w:t>Fair Value Measurements</w:t>
      </w:r>
    </w:p>
    <w:p>
      <w:pPr>
        <w:pStyle w:val="TextBody"/>
        <w:bidi w:val="0"/>
        <w:spacing w:before="180" w:after="283"/>
        <w:jc w:val="both"/>
        <w:rPr>
          <w:rFonts w:ascii="Arial" w:hAnsi="Arial"/>
          <w:b w:val="false"/>
          <w:color w:val="000000"/>
          <w:sz w:val="20"/>
        </w:rPr>
      </w:pPr>
      <w:r>
        <w:rPr>
          <w:rFonts w:ascii="Arial" w:hAnsi="Arial"/>
          <w:b w:val="false"/>
          <w:color w:val="000000"/>
          <w:sz w:val="20"/>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b w:val="false"/>
          <w:i/>
          <w:color w:val="000000"/>
          <w:sz w:val="20"/>
        </w:rPr>
        <w:t>Level 1</w:t>
      </w:r>
      <w:r>
        <w:rPr>
          <w:rFonts w:ascii="Arial" w:hAnsi="Arial"/>
          <w:color w:val="000000"/>
          <w:sz w:val="20"/>
        </w:rPr>
        <w:t xml:space="preserve"> – </w:t>
      </w:r>
      <w:r>
        <w:rPr>
          <w:rFonts w:ascii="Arial" w:hAnsi="Arial"/>
          <w:b w:val="false"/>
          <w:color w:val="000000"/>
          <w:sz w:val="20"/>
        </w:rPr>
        <w:t>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b w:val="false"/>
          <w:i/>
          <w:color w:val="000000"/>
          <w:sz w:val="20"/>
        </w:rPr>
        <w:t>Level 2</w:t>
      </w:r>
      <w:r>
        <w:rPr>
          <w:rFonts w:ascii="Arial" w:hAnsi="Arial"/>
          <w:color w:val="000000"/>
          <w:sz w:val="20"/>
        </w:rPr>
        <w:t xml:space="preserve"> – </w:t>
      </w:r>
      <w:r>
        <w:rPr>
          <w:rFonts w:ascii="Arial" w:hAnsi="Arial"/>
          <w:b w:val="false"/>
          <w:color w:val="000000"/>
          <w:sz w:val="20"/>
        </w:rPr>
        <w:t>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b w:val="false"/>
          <w:i/>
          <w:color w:val="000000"/>
          <w:sz w:val="20"/>
        </w:rPr>
        <w:t>Level 3</w:t>
      </w:r>
      <w:r>
        <w:rPr>
          <w:rFonts w:ascii="Arial" w:hAnsi="Arial"/>
          <w:color w:val="000000"/>
          <w:sz w:val="20"/>
        </w:rPr>
        <w:t xml:space="preserve"> – </w:t>
      </w:r>
      <w:r>
        <w:rPr>
          <w:rFonts w:ascii="Arial" w:hAnsi="Arial"/>
          <w:b w:val="false"/>
          <w:color w:val="000000"/>
          <w:sz w:val="20"/>
        </w:rPr>
        <w:t>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pStyle w:val="TextBody"/>
        <w:bidi w:val="0"/>
        <w:spacing w:before="180" w:after="283"/>
        <w:jc w:val="both"/>
        <w:rPr>
          <w:rFonts w:ascii="Arial" w:hAnsi="Arial"/>
          <w:b w:val="false"/>
          <w:color w:val="000000"/>
          <w:sz w:val="20"/>
        </w:rPr>
      </w:pPr>
      <w:r>
        <w:rPr>
          <w:rFonts w:ascii="Arial" w:hAnsi="Arial"/>
          <w:b w:val="false"/>
          <w:color w:val="000000"/>
          <w:sz w:val="20"/>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pStyle w:val="TextBody"/>
        <w:bidi w:val="0"/>
        <w:spacing w:before="180" w:after="283"/>
        <w:jc w:val="both"/>
        <w:rPr>
          <w:rFonts w:ascii="Arial" w:hAnsi="Arial"/>
          <w:b w:val="false"/>
          <w:color w:val="000000"/>
          <w:sz w:val="20"/>
        </w:rPr>
      </w:pPr>
      <w:r>
        <w:rPr>
          <w:rFonts w:ascii="Arial" w:hAnsi="Arial"/>
          <w:b w:val="false"/>
          <w:color w:val="000000"/>
          <w:sz w:val="20"/>
        </w:rPr>
        <w:t>Our other current financial assets and current financial liabilities have fair values that approximate their carrying values.</w:t>
      </w:r>
    </w:p>
    <w:p>
      <w:pPr>
        <w:pStyle w:val="TextBody"/>
        <w:bidi w:val="0"/>
        <w:spacing w:before="240" w:after="283"/>
        <w:jc w:val="center"/>
        <w:rPr>
          <w:rFonts w:ascii="Arial" w:hAnsi="Arial"/>
          <w:b w:val="false"/>
          <w:color w:val="000000"/>
          <w:sz w:val="16"/>
        </w:rPr>
      </w:pPr>
      <w:r>
        <w:rPr>
          <w:rFonts w:ascii="Arial" w:hAnsi="Arial"/>
          <w:b w:val="false"/>
          <w:color w:val="000000"/>
          <w:sz w:val="16"/>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rPr>
        <w:t>Contract Balances and Other Receivables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As of both September 30, 2023 and June 30, 2023, long-term accounts receivable, net of allowance for doubtful accounts, was $4.5</w:t>
      </w:r>
      <w:r>
        <w:rPr>
          <w:rFonts w:ascii="Times New Roman" w:hAnsi="Times New Roman"/>
          <w:color w:val="000000"/>
          <w:sz w:val="20"/>
        </w:rPr>
        <w:t xml:space="preserve"> </w:t>
      </w:r>
      <w:r>
        <w:rPr>
          <w:rFonts w:ascii="Arial" w:hAnsi="Arial"/>
          <w:b w:val="false"/>
          <w:color w:val="000000"/>
          <w:sz w:val="20"/>
        </w:rPr>
        <w:t>billion and is included in other long-term assets in our consolidated balance sheets.</w:t>
      </w:r>
    </w:p>
    <w:p>
      <w:pPr>
        <w:pStyle w:val="TextBody"/>
        <w:bidi w:val="0"/>
        <w:spacing w:before="180" w:after="283"/>
        <w:jc w:val="both"/>
        <w:rPr>
          <w:rFonts w:ascii="Times New Roman" w:hAnsi="Times New Roman"/>
          <w:sz w:val="20"/>
        </w:rPr>
      </w:pPr>
      <w:r>
        <w:rPr>
          <w:rFonts w:ascii="Arial" w:hAnsi="Arial"/>
          <w:b w:val="false"/>
          <w:color w:val="000000"/>
          <w:sz w:val="20"/>
        </w:rPr>
        <w:t>As of September 30, 2023 and June 30, 2023, other receivables related to activities to facilitate the purchase of server components were $10.2</w:t>
      </w:r>
      <w:r>
        <w:rPr>
          <w:rFonts w:ascii="Times New Roman" w:hAnsi="Times New Roman"/>
          <w:color w:val="000000"/>
          <w:sz w:val="20"/>
        </w:rPr>
        <w:t xml:space="preserve"> </w:t>
      </w:r>
      <w:r>
        <w:rPr>
          <w:rFonts w:ascii="Arial" w:hAnsi="Arial"/>
          <w:b w:val="false"/>
          <w:color w:val="000000"/>
          <w:sz w:val="20"/>
        </w:rPr>
        <w:t>billion and $9.2</w:t>
      </w:r>
      <w:r>
        <w:rPr>
          <w:rFonts w:ascii="Times New Roman" w:hAnsi="Times New Roman"/>
          <w:color w:val="000000"/>
          <w:sz w:val="20"/>
        </w:rPr>
        <w:t xml:space="preserve"> </w:t>
      </w:r>
      <w:r>
        <w:rPr>
          <w:rFonts w:ascii="Arial" w:hAnsi="Arial"/>
          <w:b w:val="false"/>
          <w:color w:val="000000"/>
          <w:sz w:val="20"/>
        </w:rPr>
        <w:t>billion, respectively, and are included in other current assets in our consolidated balance sheets.</w:t>
      </w:r>
    </w:p>
    <w:p>
      <w:pPr>
        <w:pStyle w:val="TextBody"/>
        <w:bidi w:val="0"/>
        <w:spacing w:before="180" w:after="283"/>
        <w:jc w:val="both"/>
        <w:rPr>
          <w:rFonts w:ascii="Times New Roman" w:hAnsi="Times New Roman"/>
          <w:sz w:val="20"/>
        </w:rPr>
      </w:pPr>
      <w:r>
        <w:rPr>
          <w:rFonts w:ascii="Arial" w:hAnsi="Arial"/>
          <w:b w:val="false"/>
          <w:color w:val="000000"/>
          <w:sz w:val="20"/>
        </w:rPr>
        <w:t>We record financing receivables when we offer certain of our customers the option to acquire our software products and services offerings through a financing program in a limited number of countries. As of September 30, 2023 and June 30, 2023, our financing receivables, net were $4.8</w:t>
      </w:r>
      <w:r>
        <w:rPr>
          <w:rFonts w:ascii="Times New Roman" w:hAnsi="Times New Roman"/>
          <w:color w:val="000000"/>
          <w:sz w:val="20"/>
        </w:rPr>
        <w:t xml:space="preserve"> </w:t>
      </w:r>
      <w:r>
        <w:rPr>
          <w:rFonts w:ascii="Arial" w:hAnsi="Arial"/>
          <w:b w:val="false"/>
          <w:color w:val="000000"/>
          <w:sz w:val="20"/>
        </w:rPr>
        <w:t>billion and $5.3</w:t>
      </w:r>
      <w:r>
        <w:rPr>
          <w:rFonts w:ascii="Times New Roman" w:hAnsi="Times New Roman"/>
          <w:color w:val="000000"/>
          <w:sz w:val="20"/>
        </w:rPr>
        <w:t xml:space="preserve"> </w:t>
      </w:r>
      <w:r>
        <w:rPr>
          <w:rFonts w:ascii="Arial" w:hAnsi="Arial"/>
          <w:b w:val="false"/>
          <w:color w:val="000000"/>
          <w:sz w:val="20"/>
        </w:rPr>
        <w:t>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NOTE 2 — EARNINGS PER SHARE</w:t>
      </w:r>
    </w:p>
    <w:p>
      <w:pPr>
        <w:pStyle w:val="TextBody"/>
        <w:bidi w:val="0"/>
        <w:spacing w:before="180" w:after="283"/>
        <w:jc w:val="both"/>
        <w:rPr>
          <w:rFonts w:ascii="Times New Roman" w:hAnsi="Times New Roman"/>
          <w:sz w:val="20"/>
        </w:rPr>
      </w:pPr>
      <w:r>
        <w:rPr>
          <w:rFonts w:ascii="Arial" w:hAnsi="Arial"/>
          <w:b w:val="false"/>
          <w:color w:val="000000"/>
          <w:sz w:val="20"/>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The components of basic and diluted EPS were as follows:</w:t>
      </w:r>
      <w:r>
        <w:rPr>
          <w:rFonts w:ascii="Times New Roman" w:hAnsi="Times New Roman"/>
          <w:color w:val="000000"/>
          <w:sz w:val="20"/>
        </w:rPr>
        <w:t xml:space="preserve"> </w:t>
      </w:r>
    </w:p>
    <w:p>
      <w:pPr>
        <w:pStyle w:val="TextBody"/>
        <w:bidi w:val="0"/>
        <w:jc w:val="both"/>
        <w:rPr/>
      </w:pPr>
      <w:r>
        <w:rPr/>
        <w:t> </w:t>
      </w:r>
    </w:p>
    <w:tbl>
      <w:tblPr>
        <w:tblW w:w="7959" w:type="dxa"/>
        <w:jc w:val="left"/>
        <w:tblInd w:w="0" w:type="dxa"/>
        <w:tblLayout w:type="fixed"/>
        <w:tblCellMar>
          <w:top w:w="28" w:type="dxa"/>
          <w:left w:w="28" w:type="dxa"/>
          <w:bottom w:w="28" w:type="dxa"/>
          <w:right w:w="28" w:type="dxa"/>
        </w:tblCellMar>
      </w:tblPr>
      <w:tblGrid>
        <w:gridCol w:w="5281"/>
        <w:gridCol w:w="146"/>
        <w:gridCol w:w="211"/>
        <w:gridCol w:w="691"/>
        <w:gridCol w:w="146"/>
        <w:gridCol w:w="146"/>
        <w:gridCol w:w="211"/>
        <w:gridCol w:w="691"/>
        <w:gridCol w:w="436"/>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earnings per share)</w:t>
            </w:r>
          </w:p>
        </w:tc>
        <w:tc>
          <w:tcPr>
            <w:tcW w:w="146" w:type="dxa"/>
            <w:tcBorders/>
            <w:vAlign w:val="center"/>
          </w:tcPr>
          <w:p>
            <w:pPr>
              <w:pStyle w:val="TableContents"/>
              <w:bidi w:val="0"/>
              <w:spacing w:before="0" w:after="283"/>
              <w:jc w:val="left"/>
              <w:rPr>
                <w:sz w:val="4"/>
                <w:szCs w:val="4"/>
              </w:rPr>
            </w:pPr>
            <w:r>
              <w:rPr>
                <w:sz w:val="4"/>
                <w:szCs w:val="4"/>
              </w:rPr>
            </w:r>
          </w:p>
        </w:tc>
        <w:tc>
          <w:tcPr>
            <w:tcW w:w="2096" w:type="dxa"/>
            <w:gridSpan w:val="6"/>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pPr>
            <w:r>
              <w:rPr/>
              <w:t> </w:t>
            </w:r>
          </w:p>
        </w:tc>
      </w:tr>
      <w:tr>
        <w:trPr/>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528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436"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28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income available for common shareholders (A)</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22,291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17,556</w:t>
            </w:r>
          </w:p>
        </w:tc>
        <w:tc>
          <w:tcPr>
            <w:tcW w:w="436" w:type="dxa"/>
            <w:tcBorders/>
            <w:shd w:fill="E5E5E5" w:val="clear"/>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28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Weighted average outstanding shares of common stock (B)</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7,429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7,457</w:t>
            </w:r>
          </w:p>
        </w:tc>
        <w:tc>
          <w:tcPr>
            <w:tcW w:w="4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28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Dilutive effect of stock-based awards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w:t>
            </w:r>
          </w:p>
        </w:tc>
        <w:tc>
          <w:tcPr>
            <w:tcW w:w="436" w:type="dxa"/>
            <w:tcBorders/>
            <w:shd w:fill="E5E5E5" w:val="clear"/>
            <w:vAlign w:val="center"/>
          </w:tcPr>
          <w:p>
            <w:pPr>
              <w:pStyle w:val="TableContents"/>
              <w:bidi w:val="0"/>
              <w:spacing w:before="0" w:after="283"/>
              <w:jc w:val="left"/>
              <w:rPr>
                <w:sz w:val="4"/>
                <w:szCs w:val="4"/>
              </w:rPr>
            </w:pPr>
            <w:r>
              <w:rPr>
                <w:sz w:val="4"/>
                <w:szCs w:val="4"/>
              </w:rPr>
            </w:r>
          </w:p>
        </w:tc>
      </w:tr>
      <w:tr>
        <w:trPr/>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28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Common stock and common stock equivalents (C)</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7,462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7,485</w:t>
            </w:r>
          </w:p>
        </w:tc>
        <w:tc>
          <w:tcPr>
            <w:tcW w:w="436"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281"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Earnings Per Share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 </w:t>
            </w:r>
          </w:p>
        </w:tc>
      </w:tr>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28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Basic (A/B)</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28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Diluted (A/C)</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w:t>
            </w:r>
          </w:p>
        </w:tc>
        <w:tc>
          <w:tcPr>
            <w:tcW w:w="436" w:type="dxa"/>
            <w:tcBorders/>
            <w:vAlign w:val="center"/>
          </w:tcPr>
          <w:p>
            <w:pPr>
              <w:pStyle w:val="TableContents"/>
              <w:bidi w:val="0"/>
              <w:spacing w:before="0" w:after="283"/>
              <w:jc w:val="left"/>
              <w:rPr>
                <w:sz w:val="4"/>
                <w:szCs w:val="4"/>
              </w:rPr>
            </w:pPr>
            <w:r>
              <w:rPr>
                <w:sz w:val="4"/>
                <w:szCs w:val="4"/>
              </w:rPr>
            </w:r>
          </w:p>
        </w:tc>
      </w:tr>
      <w:tr>
        <w:trPr/>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Anti-dilutive stock-based awards excluded from the calculations of diluted EPS were immaterial during the periods presented.</w:t>
      </w:r>
    </w:p>
    <w:p>
      <w:pPr>
        <w:pStyle w:val="TextBody"/>
        <w:bidi w:val="0"/>
        <w:spacing w:before="240" w:after="283"/>
        <w:jc w:val="center"/>
        <w:rPr>
          <w:rFonts w:ascii="Arial" w:hAnsi="Arial"/>
          <w:b w:val="false"/>
          <w:color w:val="000000"/>
          <w:sz w:val="16"/>
        </w:rPr>
      </w:pPr>
      <w:r>
        <w:rPr>
          <w:rFonts w:ascii="Arial" w:hAnsi="Arial"/>
          <w:b w:val="false"/>
          <w:color w:val="000000"/>
          <w:sz w:val="16"/>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b w:val="false"/>
          <w:color w:val="000000"/>
          <w:sz w:val="20"/>
          <w:u w:val="single"/>
        </w:rPr>
        <w:t>NOTE 3 — OTHER INCOME (EXPENSE), NET</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The components of other income (expense), net were as follows:</w:t>
      </w:r>
    </w:p>
    <w:p>
      <w:pPr>
        <w:pStyle w:val="TextBody"/>
        <w:bidi w:val="0"/>
        <w:jc w:val="both"/>
        <w:rPr/>
      </w:pPr>
      <w:r>
        <w:rPr/>
        <w:t> </w:t>
      </w:r>
    </w:p>
    <w:tbl>
      <w:tblPr>
        <w:tblW w:w="6919" w:type="dxa"/>
        <w:jc w:val="left"/>
        <w:tblInd w:w="0" w:type="dxa"/>
        <w:tblLayout w:type="fixed"/>
        <w:tblCellMar>
          <w:top w:w="28" w:type="dxa"/>
          <w:left w:w="28" w:type="dxa"/>
          <w:bottom w:w="28" w:type="dxa"/>
          <w:right w:w="28" w:type="dxa"/>
        </w:tblCellMar>
      </w:tblPr>
      <w:tblGrid>
        <w:gridCol w:w="4291"/>
        <w:gridCol w:w="146"/>
        <w:gridCol w:w="211"/>
        <w:gridCol w:w="586"/>
        <w:gridCol w:w="166"/>
        <w:gridCol w:w="146"/>
        <w:gridCol w:w="211"/>
        <w:gridCol w:w="481"/>
        <w:gridCol w:w="68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801"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right"/>
              <w:rPr/>
            </w:pPr>
            <w:r>
              <w:rPr/>
              <w:t> </w:t>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2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and dividends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1,166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641</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2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expense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(525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(500</w:t>
            </w:r>
          </w:p>
        </w:tc>
        <w:tc>
          <w:tcPr>
            <w:tcW w:w="681"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2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recognized gains (losses) on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2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gains on 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c>
          <w:tcPr>
            <w:tcW w:w="681" w:type="dxa"/>
            <w:tcBorders/>
            <w:vAlign w:val="center"/>
          </w:tcPr>
          <w:p>
            <w:pPr>
              <w:pStyle w:val="TableContents"/>
              <w:bidi w:val="0"/>
              <w:spacing w:before="0" w:after="283"/>
              <w:ind w:left="0" w:right="0" w:firstLine="245"/>
              <w:jc w:val="left"/>
              <w:rPr/>
            </w:pPr>
            <w:r>
              <w:rPr/>
              <w:t> </w:t>
            </w:r>
          </w:p>
        </w:tc>
      </w:tr>
      <w:tr>
        <w:trPr/>
        <w:tc>
          <w:tcPr>
            <w:tcW w:w="42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losses on foreign currency remeasurements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2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29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w:t>
            </w:r>
          </w:p>
        </w:tc>
        <w:tc>
          <w:tcPr>
            <w:tcW w:w="681" w:type="dxa"/>
            <w:tcBorders/>
            <w:shd w:fill="E5E5E5" w:val="clear"/>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both"/>
        <w:rPr>
          <w:rFonts w:ascii="Times New Roman" w:hAnsi="Times New Roman"/>
          <w:sz w:val="20"/>
        </w:rPr>
      </w:pPr>
      <w:r>
        <w:rPr>
          <w:rFonts w:ascii="Arial" w:hAnsi="Arial"/>
          <w:b/>
          <w:color w:val="000000"/>
          <w:sz w:val="20"/>
        </w:rPr>
        <w:t>Net Recognized Gains (Losses) on Investments</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Net recognized gains (losses) on debt investments were as follows:</w:t>
      </w:r>
    </w:p>
    <w:p>
      <w:pPr>
        <w:pStyle w:val="TextBody"/>
        <w:bidi w:val="0"/>
        <w:jc w:val="both"/>
        <w:rPr/>
      </w:pPr>
      <w:r>
        <w:rPr/>
        <w:t> </w:t>
      </w:r>
    </w:p>
    <w:tbl>
      <w:tblPr>
        <w:tblW w:w="7444" w:type="dxa"/>
        <w:jc w:val="left"/>
        <w:tblInd w:w="0" w:type="dxa"/>
        <w:tblLayout w:type="fixed"/>
        <w:tblCellMar>
          <w:top w:w="28" w:type="dxa"/>
          <w:left w:w="28" w:type="dxa"/>
          <w:bottom w:w="28" w:type="dxa"/>
          <w:right w:w="28" w:type="dxa"/>
        </w:tblCellMar>
      </w:tblPr>
      <w:tblGrid>
        <w:gridCol w:w="5131"/>
        <w:gridCol w:w="146"/>
        <w:gridCol w:w="211"/>
        <w:gridCol w:w="376"/>
        <w:gridCol w:w="166"/>
        <w:gridCol w:w="146"/>
        <w:gridCol w:w="211"/>
        <w:gridCol w:w="376"/>
        <w:gridCol w:w="68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1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275" w:type="dxa"/>
            <w:gridSpan w:val="5"/>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right"/>
              <w:rPr/>
            </w:pPr>
            <w:r>
              <w:rPr/>
              <w:t> </w:t>
            </w:r>
          </w:p>
        </w:tc>
      </w:tr>
      <w:tr>
        <w:trPr/>
        <w:tc>
          <w:tcPr>
            <w:tcW w:w="51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1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Realized gains from sales of available-for-sale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7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51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Realized losses from sales of available-for-sale securities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w:t>
            </w:r>
          </w:p>
        </w:tc>
        <w:tc>
          <w:tcPr>
            <w:tcW w:w="681"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51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Impairments and allowance for credit losses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37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37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1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513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7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1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Net recognized gains (losses) on equity investments were as follows:</w:t>
      </w:r>
    </w:p>
    <w:p>
      <w:pPr>
        <w:pStyle w:val="TextBody"/>
        <w:bidi w:val="0"/>
        <w:jc w:val="left"/>
        <w:rPr/>
      </w:pPr>
      <w:r>
        <w:rPr/>
        <w:t> </w:t>
      </w:r>
    </w:p>
    <w:tbl>
      <w:tblPr>
        <w:tblW w:w="6589" w:type="dxa"/>
        <w:jc w:val="left"/>
        <w:tblInd w:w="0" w:type="dxa"/>
        <w:tblLayout w:type="fixed"/>
        <w:tblCellMar>
          <w:top w:w="28" w:type="dxa"/>
          <w:left w:w="28" w:type="dxa"/>
          <w:bottom w:w="28" w:type="dxa"/>
          <w:right w:w="28" w:type="dxa"/>
        </w:tblCellMar>
      </w:tblPr>
      <w:tblGrid>
        <w:gridCol w:w="4171"/>
        <w:gridCol w:w="146"/>
        <w:gridCol w:w="211"/>
        <w:gridCol w:w="481"/>
        <w:gridCol w:w="166"/>
        <w:gridCol w:w="146"/>
        <w:gridCol w:w="211"/>
        <w:gridCol w:w="376"/>
        <w:gridCol w:w="68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591"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417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right"/>
              <w:rPr/>
            </w:pPr>
            <w:r>
              <w:rPr/>
              <w:t> </w:t>
            </w:r>
          </w:p>
        </w:tc>
      </w:tr>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17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realized gains on investments sold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7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17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unrealized losses on investments still held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w:t>
            </w:r>
          </w:p>
        </w:tc>
        <w:tc>
          <w:tcPr>
            <w:tcW w:w="681"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17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Impairments of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37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00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09"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490"/>
              <w:jc w:val="left"/>
              <w:rPr/>
            </w:pPr>
            <w:r>
              <w:rPr/>
              <w:t> </w:t>
            </w:r>
          </w:p>
        </w:tc>
      </w:tr>
      <w:tr>
        <w:trPr/>
        <w:tc>
          <w:tcPr>
            <w:tcW w:w="417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7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w:t>
            </w:r>
          </w:p>
        </w:tc>
        <w:tc>
          <w:tcPr>
            <w:tcW w:w="681" w:type="dxa"/>
            <w:tcBorders/>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90" w:after="283"/>
        <w:jc w:val="center"/>
        <w:rPr>
          <w:rFonts w:ascii="Arial" w:hAnsi="Arial"/>
          <w:b w:val="false"/>
          <w:color w:val="000000"/>
          <w:sz w:val="20"/>
          <w:u w:val="single"/>
        </w:rPr>
      </w:pPr>
      <w:r>
        <w:rPr>
          <w:rFonts w:ascii="Arial" w:hAnsi="Arial"/>
          <w:b w:val="false"/>
          <w:color w:val="000000"/>
          <w:sz w:val="20"/>
          <w:u w:val="single"/>
        </w:rPr>
        <w:t>NOTE 4 — INVESTMENTS</w:t>
      </w:r>
    </w:p>
    <w:p>
      <w:pPr>
        <w:pStyle w:val="TextBody"/>
        <w:bidi w:val="0"/>
        <w:spacing w:before="180" w:after="283"/>
        <w:jc w:val="both"/>
        <w:rPr>
          <w:rFonts w:ascii="Arial" w:hAnsi="Arial"/>
          <w:b/>
          <w:color w:val="000000"/>
          <w:sz w:val="20"/>
        </w:rPr>
      </w:pPr>
      <w:r>
        <w:rPr>
          <w:rFonts w:ascii="Arial" w:hAnsi="Arial"/>
          <w:b/>
          <w:color w:val="000000"/>
          <w:sz w:val="20"/>
        </w:rPr>
        <w:t>Investment Components</w:t>
      </w:r>
    </w:p>
    <w:p>
      <w:pPr>
        <w:pStyle w:val="TextBody"/>
        <w:bidi w:val="0"/>
        <w:spacing w:before="180" w:after="283"/>
        <w:jc w:val="both"/>
        <w:rPr>
          <w:rFonts w:ascii="Arial" w:hAnsi="Arial"/>
          <w:b w:val="false"/>
          <w:color w:val="000000"/>
          <w:sz w:val="20"/>
        </w:rPr>
      </w:pPr>
      <w:r>
        <w:rPr>
          <w:rFonts w:ascii="Arial" w:hAnsi="Arial"/>
          <w:b w:val="false"/>
          <w:color w:val="000000"/>
          <w:sz w:val="20"/>
        </w:rPr>
        <w:t>The components of investments were as follows:</w:t>
      </w:r>
    </w:p>
    <w:p>
      <w:pPr>
        <w:pStyle w:val="TextBody"/>
        <w:bidi w:val="0"/>
        <w:jc w:val="both"/>
        <w:rPr/>
      </w:pPr>
      <w:r>
        <w:rPr/>
        <w:t> </w:t>
      </w:r>
    </w:p>
    <w:tbl>
      <w:tblPr>
        <w:tblW w:w="10316" w:type="dxa"/>
        <w:jc w:val="left"/>
        <w:tblInd w:w="0" w:type="dxa"/>
        <w:tblLayout w:type="fixed"/>
        <w:tblCellMar>
          <w:top w:w="28" w:type="dxa"/>
          <w:left w:w="28" w:type="dxa"/>
          <w:bottom w:w="28" w:type="dxa"/>
          <w:right w:w="28" w:type="dxa"/>
        </w:tblCellMar>
      </w:tblPr>
      <w:tblGrid>
        <w:gridCol w:w="1046"/>
        <w:gridCol w:w="146"/>
        <w:gridCol w:w="586"/>
        <w:gridCol w:w="146"/>
        <w:gridCol w:w="211"/>
        <w:gridCol w:w="691"/>
        <w:gridCol w:w="146"/>
        <w:gridCol w:w="443"/>
        <w:gridCol w:w="443"/>
        <w:gridCol w:w="146"/>
        <w:gridCol w:w="218"/>
        <w:gridCol w:w="668"/>
        <w:gridCol w:w="166"/>
        <w:gridCol w:w="146"/>
        <w:gridCol w:w="211"/>
        <w:gridCol w:w="796"/>
        <w:gridCol w:w="146"/>
        <w:gridCol w:w="228"/>
        <w:gridCol w:w="748"/>
        <w:gridCol w:w="146"/>
        <w:gridCol w:w="235"/>
        <w:gridCol w:w="771"/>
        <w:gridCol w:w="146"/>
        <w:gridCol w:w="235"/>
        <w:gridCol w:w="771"/>
        <w:gridCol w:w="681"/>
      </w:tblGrid>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right"/>
              <w:rPr/>
            </w:pPr>
            <w:r>
              <w:rPr/>
              <w:t> </w:t>
            </w:r>
          </w:p>
        </w:tc>
        <w:tc>
          <w:tcPr>
            <w:tcW w:w="586" w:type="dxa"/>
            <w:tcBorders/>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righ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vAlign w:val="center"/>
          </w:tcPr>
          <w:p>
            <w:pPr>
              <w:pStyle w:val="TableContents"/>
              <w:bidi w:val="0"/>
              <w:spacing w:before="0" w:after="283"/>
              <w:jc w:val="righ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0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right"/>
              <w:rPr/>
            </w:pPr>
            <w:r>
              <w:rPr/>
              <w:t> </w:t>
            </w:r>
          </w:p>
        </w:tc>
        <w:tc>
          <w:tcPr>
            <w:tcW w:w="97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color w:val="000000"/>
              </w:rPr>
            </w:pPr>
            <w:r>
              <w:rPr>
                <w:color w:val="000000"/>
              </w:rPr>
              <w:t> </w:t>
            </w: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vAlign w:val="center"/>
          </w:tcPr>
          <w:p>
            <w:pPr>
              <w:pStyle w:val="TableContents"/>
              <w:bidi w:val="0"/>
              <w:spacing w:before="0" w:after="283"/>
              <w:jc w:val="righ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vAlign w:val="center"/>
          </w:tcPr>
          <w:p>
            <w:pPr>
              <w:pStyle w:val="TableContents"/>
              <w:bidi w:val="0"/>
              <w:spacing w:before="0" w:after="283"/>
              <w:jc w:val="righ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4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4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2023</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Commercial paper</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3,008</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4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3,008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3,005</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Certificates of deposit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1,694</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1,694</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1,650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U.S. government securities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1</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56,210</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(4,147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52,065</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255</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51,810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U.S. agency securities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government bonds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493</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488</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Mortgage- and asset-backed securities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863</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812</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812</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Corporate notes and bonds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10,443</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(612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9,834</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9,834</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Corporate notes and bonds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3</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122</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122</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122</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Municipal securities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283</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Municipal securities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3</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4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43"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debt investments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pPr>
            <w:r>
              <w:rPr/>
              <w:t> </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73,272</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4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(4,872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68,408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4,915</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63,493</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44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443"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Net Income</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Equity investments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1</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70,729</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68,159</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2,570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Equity investments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Other</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8,853</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8,853</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90" w:type="dxa"/>
            <w:gridSpan w:val="1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equity investments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79,582</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68,159</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11,423</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Cash</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7,378</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7,378</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Derivatives, net</w:t>
            </w:r>
            <w:r>
              <w:rPr>
                <w:rFonts w:ascii="Times New Roman" w:hAnsi="Times New Roman"/>
                <w:color w:val="000000"/>
                <w:sz w:val="20"/>
              </w:rPr>
              <w:t> </w:t>
            </w:r>
            <w:r>
              <w:rPr>
                <w:rFonts w:ascii="Arial" w:hAnsi="Arial"/>
                <w:b w:val="false"/>
                <w:color w:val="000000"/>
                <w:sz w:val="13"/>
              </w:rPr>
              <w:t>(a)</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44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90" w:type="dxa"/>
            <w:gridSpan w:val="1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155,374</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80,452</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63,499</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11,423</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tbl>
      <w:tblPr>
        <w:tblW w:w="10279" w:type="dxa"/>
        <w:jc w:val="left"/>
        <w:tblInd w:w="0" w:type="dxa"/>
        <w:tblLayout w:type="fixed"/>
        <w:tblCellMar>
          <w:top w:w="28" w:type="dxa"/>
          <w:left w:w="28" w:type="dxa"/>
          <w:bottom w:w="28" w:type="dxa"/>
          <w:right w:w="28" w:type="dxa"/>
        </w:tblCellMar>
      </w:tblPr>
      <w:tblGrid>
        <w:gridCol w:w="1046"/>
        <w:gridCol w:w="109"/>
        <w:gridCol w:w="586"/>
        <w:gridCol w:w="146"/>
        <w:gridCol w:w="211"/>
        <w:gridCol w:w="691"/>
        <w:gridCol w:w="146"/>
        <w:gridCol w:w="354"/>
        <w:gridCol w:w="532"/>
        <w:gridCol w:w="146"/>
        <w:gridCol w:w="218"/>
        <w:gridCol w:w="668"/>
        <w:gridCol w:w="166"/>
        <w:gridCol w:w="146"/>
        <w:gridCol w:w="211"/>
        <w:gridCol w:w="796"/>
        <w:gridCol w:w="146"/>
        <w:gridCol w:w="228"/>
        <w:gridCol w:w="748"/>
        <w:gridCol w:w="146"/>
        <w:gridCol w:w="235"/>
        <w:gridCol w:w="771"/>
        <w:gridCol w:w="146"/>
        <w:gridCol w:w="266"/>
        <w:gridCol w:w="740"/>
        <w:gridCol w:w="681"/>
      </w:tblGrid>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Commercial paper</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16,589</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3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6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16,589</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12,231</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4,358</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2,701</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2,701</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2,657</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U.S. government securities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1</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65,237</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(3,870</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61,369</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2,991</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58,378</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U.S. agency securities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2,703</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2,703</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894</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1,809</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government bonds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498</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475</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475</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Mortgage- and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824</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786</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786</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Corporate notes and bonds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10,809</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(583</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10,234</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10,234</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Corporate notes and bonds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Municipal securities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285</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261</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Municipal securities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debt investments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99,869</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3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6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(4,550</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95,332</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18,780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76,552</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Equity investments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Level 1</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10,138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7,446</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2,692</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Other</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7,187</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7,187</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equity investments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17,325</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7,446</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9,879</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8,478</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8,478</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Derivatives, net</w:t>
            </w:r>
            <w:r>
              <w:rPr>
                <w:rFonts w:ascii="Times New Roman" w:hAnsi="Times New Roman"/>
                <w:color w:val="000000"/>
                <w:sz w:val="20"/>
              </w:rPr>
              <w:t> </w:t>
            </w:r>
            <w:r>
              <w:rPr>
                <w:rFonts w:ascii="Arial" w:hAnsi="Arial"/>
                <w:b w:val="false"/>
                <w:color w:val="000000"/>
                <w:sz w:val="13"/>
              </w:rPr>
              <w:t>(a)</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121,141</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34,704</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7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76,558</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40"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9,879</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b w:val="false"/>
          <w:color w:val="000000"/>
          <w:sz w:val="20"/>
        </w:rPr>
      </w:pPr>
      <w:r>
        <w:rPr>
          <w:rFonts w:ascii="Arial" w:hAnsi="Arial"/>
          <w:b w:val="false"/>
          <w:color w:val="000000"/>
          <w:sz w:val="20"/>
        </w:rPr>
        <w:t>(a)</w:t>
      </w:r>
    </w:p>
    <w:p>
      <w:pPr>
        <w:pStyle w:val="TextBody"/>
        <w:bidi w:val="0"/>
        <w:jc w:val="both"/>
        <w:rPr>
          <w:rFonts w:ascii="Arial" w:hAnsi="Arial"/>
          <w:b w:val="false"/>
          <w:i/>
          <w:color w:val="000000"/>
          <w:sz w:val="20"/>
        </w:rPr>
      </w:pPr>
      <w:r>
        <w:rPr>
          <w:rFonts w:ascii="Arial" w:hAnsi="Arial"/>
          <w:b w:val="false"/>
          <w:i/>
          <w:color w:val="000000"/>
          <w:sz w:val="20"/>
        </w:rPr>
        <w:t>Refer to Note 5 – Derivatives for further information on the fair value of our derivative instruments.</w:t>
      </w:r>
    </w:p>
    <w:p>
      <w:pPr>
        <w:pStyle w:val="TextBody"/>
        <w:bidi w:val="0"/>
        <w:spacing w:before="180" w:after="283"/>
        <w:jc w:val="both"/>
        <w:rPr>
          <w:rFonts w:ascii="Times New Roman" w:hAnsi="Times New Roman"/>
          <w:sz w:val="20"/>
        </w:rPr>
      </w:pPr>
      <w:r>
        <w:rPr>
          <w:rFonts w:ascii="Arial" w:hAnsi="Arial"/>
          <w:b w:val="false"/>
          <w:color w:val="000000"/>
          <w:sz w:val="20"/>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both</w:t>
      </w:r>
      <w:r>
        <w:rPr>
          <w:rFonts w:ascii="Times New Roman" w:hAnsi="Times New Roman"/>
          <w:color w:val="000000"/>
          <w:sz w:val="20"/>
        </w:rPr>
        <w:t xml:space="preserve"> </w:t>
      </w:r>
      <w:r>
        <w:rPr>
          <w:rFonts w:ascii="Arial" w:hAnsi="Arial"/>
          <w:b w:val="false"/>
          <w:color w:val="000000"/>
          <w:sz w:val="20"/>
        </w:rPr>
        <w:t>September 30, 2023 and June 30, 2023, equity investments without readily determinable fair values measured at cost with adjustments for observable changes in price or impairments were $4.2</w:t>
      </w:r>
      <w:r>
        <w:rPr>
          <w:rFonts w:ascii="Times New Roman" w:hAnsi="Times New Roman"/>
          <w:color w:val="000000"/>
          <w:sz w:val="20"/>
        </w:rPr>
        <w:t xml:space="preserve"> </w:t>
      </w:r>
      <w:r>
        <w:rPr>
          <w:rFonts w:ascii="Arial" w:hAnsi="Arial"/>
          <w:b w:val="false"/>
          <w:color w:val="000000"/>
          <w:sz w:val="20"/>
        </w:rPr>
        <w:t>billion.</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16"/>
        </w:rPr>
      </w:pPr>
      <w:r>
        <w:rPr>
          <w:rFonts w:ascii="Arial" w:hAnsi="Arial"/>
          <w:b w:val="false"/>
          <w:color w:val="000000"/>
          <w:sz w:val="16"/>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rPr>
        <w:t>Unrealized Losses on Debt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Debt investments with continuous unrealized losses for less than 12 months and 12 months or greater and their related fair values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6"/>
        <w:gridCol w:w="146"/>
        <w:gridCol w:w="211"/>
        <w:gridCol w:w="654"/>
        <w:gridCol w:w="146"/>
        <w:gridCol w:w="146"/>
        <w:gridCol w:w="211"/>
        <w:gridCol w:w="886"/>
        <w:gridCol w:w="166"/>
        <w:gridCol w:w="146"/>
        <w:gridCol w:w="211"/>
        <w:gridCol w:w="733"/>
        <w:gridCol w:w="146"/>
        <w:gridCol w:w="146"/>
        <w:gridCol w:w="211"/>
        <w:gridCol w:w="886"/>
        <w:gridCol w:w="166"/>
        <w:gridCol w:w="146"/>
        <w:gridCol w:w="211"/>
        <w:gridCol w:w="733"/>
        <w:gridCol w:w="146"/>
        <w:gridCol w:w="146"/>
        <w:gridCol w:w="211"/>
        <w:gridCol w:w="886"/>
        <w:gridCol w:w="636"/>
        <w:gridCol w:w="193"/>
      </w:tblGrid>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54"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3"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restart"/>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54"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3"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54"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3"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U.S. government and agency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51,241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(4,124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51,767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(4,147</w:t>
            </w:r>
          </w:p>
        </w:tc>
        <w:tc>
          <w:tcPr>
            <w:tcW w:w="63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government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411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483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636" w:type="dxa"/>
            <w:tcBorders/>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Mortgage- and asset-backed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63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Corporate notes and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2,044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7,568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(563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9,612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(612</w:t>
            </w:r>
          </w:p>
        </w:tc>
        <w:tc>
          <w:tcPr>
            <w:tcW w:w="636" w:type="dxa"/>
            <w:tcBorders/>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Municipal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63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3,018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59,872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(4,783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62,890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(4,872</w:t>
            </w:r>
          </w:p>
        </w:tc>
        <w:tc>
          <w:tcPr>
            <w:tcW w:w="6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1"/>
        <w:gridCol w:w="146"/>
        <w:gridCol w:w="211"/>
        <w:gridCol w:w="728"/>
        <w:gridCol w:w="146"/>
        <w:gridCol w:w="146"/>
        <w:gridCol w:w="211"/>
        <w:gridCol w:w="886"/>
        <w:gridCol w:w="166"/>
        <w:gridCol w:w="146"/>
        <w:gridCol w:w="211"/>
        <w:gridCol w:w="728"/>
        <w:gridCol w:w="146"/>
        <w:gridCol w:w="146"/>
        <w:gridCol w:w="211"/>
        <w:gridCol w:w="886"/>
        <w:gridCol w:w="166"/>
        <w:gridCol w:w="146"/>
        <w:gridCol w:w="211"/>
        <w:gridCol w:w="728"/>
        <w:gridCol w:w="146"/>
        <w:gridCol w:w="146"/>
        <w:gridCol w:w="211"/>
        <w:gridCol w:w="886"/>
        <w:gridCol w:w="636"/>
        <w:gridCol w:w="194"/>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restart"/>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2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45"/>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U.S. government and agency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7,950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(336</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45,273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(3,534</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53,223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(3,870</w:t>
            </w:r>
          </w:p>
        </w:tc>
        <w:tc>
          <w:tcPr>
            <w:tcW w:w="636"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government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w:t>
            </w:r>
          </w:p>
        </w:tc>
        <w:tc>
          <w:tcPr>
            <w:tcW w:w="636"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Mortgage- and asset-backed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c>
          <w:tcPr>
            <w:tcW w:w="636"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Corporate notes and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2,326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7,336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(534</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9,662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(583</w:t>
            </w:r>
          </w:p>
        </w:tc>
        <w:tc>
          <w:tcPr>
            <w:tcW w:w="636"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Municipal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111</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2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w:t>
            </w:r>
          </w:p>
        </w:tc>
        <w:tc>
          <w:tcPr>
            <w:tcW w:w="63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ind w:left="0" w:right="0" w:firstLine="490"/>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10,721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(398</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53,598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(4,152</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2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64,319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(4,550</w:t>
            </w:r>
          </w:p>
        </w:tc>
        <w:tc>
          <w:tcPr>
            <w:tcW w:w="6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Unrealized losses from fixed-income securities are primarily attributable to changes in interest rates. Management does not believe any remaining unrealized losses represent impairments based on our evaluation of available evidence.</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Debt Investment Maturities</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outlines maturities of our debt investments as of September 30, 2023:</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3346"/>
        <w:gridCol w:w="146"/>
        <w:gridCol w:w="211"/>
        <w:gridCol w:w="691"/>
        <w:gridCol w:w="146"/>
        <w:gridCol w:w="146"/>
        <w:gridCol w:w="211"/>
        <w:gridCol w:w="691"/>
        <w:gridCol w:w="68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Estimated</w:t>
            </w:r>
          </w:p>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3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2023</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pPr>
            <w:r>
              <w:rPr/>
              <w:t> </w:t>
            </w:r>
          </w:p>
        </w:tc>
        <w:tc>
          <w:tcPr>
            <w:tcW w:w="1729" w:type="dxa"/>
            <w:gridSpan w:val="4"/>
            <w:tcBorders/>
            <w:vAlign w:val="center"/>
          </w:tcPr>
          <w:p>
            <w:pPr>
              <w:pStyle w:val="TableContents"/>
              <w:bidi w:val="0"/>
              <w:spacing w:before="0" w:after="283"/>
              <w:ind w:left="0" w:right="0" w:firstLine="245"/>
              <w:jc w:val="left"/>
              <w:rPr/>
            </w:pPr>
            <w:r>
              <w:rPr/>
              <w:t> </w:t>
            </w:r>
          </w:p>
        </w:tc>
      </w:tr>
      <w:tr>
        <w:trPr/>
        <w:tc>
          <w:tcPr>
            <w:tcW w:w="33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Due in one year or less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13,575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13,451</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Due after one year through five years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46,882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44,003</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4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Due after five years through 10 years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11,489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9,801</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34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Due after 10 years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1,326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1,153</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34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73,272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68,408</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center"/>
        <w:rPr>
          <w:rFonts w:ascii="Arial" w:hAnsi="Arial"/>
          <w:b w:val="false"/>
          <w:color w:val="000000"/>
          <w:sz w:val="20"/>
          <w:u w:val="single"/>
        </w:rPr>
      </w:pPr>
      <w:r>
        <w:rPr>
          <w:rFonts w:ascii="Arial" w:hAnsi="Arial"/>
          <w:b w:val="false"/>
          <w:color w:val="000000"/>
          <w:sz w:val="20"/>
          <w:u w:val="single"/>
        </w:rPr>
        <w:t>NOTE 5 — DERIVATIVES</w:t>
      </w:r>
    </w:p>
    <w:p>
      <w:pPr>
        <w:pStyle w:val="TextBody"/>
        <w:bidi w:val="0"/>
        <w:spacing w:before="180" w:after="283"/>
        <w:jc w:val="both"/>
        <w:rPr>
          <w:rFonts w:ascii="Times New Roman" w:hAnsi="Times New Roman"/>
          <w:sz w:val="20"/>
        </w:rPr>
      </w:pPr>
      <w:r>
        <w:rPr>
          <w:rFonts w:ascii="Arial" w:hAnsi="Arial"/>
          <w:b w:val="false"/>
          <w:color w:val="000000"/>
          <w:sz w:val="20"/>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Certain forecasted transactions, assets, and liabilities are exposed to foreign currency risk. We monitor our foreign currency exposures daily to maximize the economic effectiveness of our foreign currency hedge positions.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16"/>
        </w:rPr>
      </w:pPr>
      <w:r>
        <w:rPr>
          <w:rFonts w:ascii="Arial" w:hAnsi="Arial"/>
          <w:b w:val="false"/>
          <w:color w:val="000000"/>
          <w:sz w:val="16"/>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pStyle w:val="TextBody"/>
        <w:bidi w:val="0"/>
        <w:spacing w:before="180" w:after="283"/>
        <w:jc w:val="both"/>
        <w:rPr>
          <w:rFonts w:ascii="Times New Roman" w:hAnsi="Times New Roman"/>
          <w:sz w:val="20"/>
        </w:rPr>
      </w:pPr>
      <w:r>
        <w:rPr>
          <w:rFonts w:ascii="Arial" w:hAnsi="Arial"/>
          <w:b w:val="false"/>
          <w:color w:val="000000"/>
          <w:sz w:val="20"/>
        </w:rPr>
        <w:t>Certain options and forwards not designated as hedging instruments are also used to manage the variability in foreign exchange rates on certain balance sheet amounts and to manage other foreign currency exposures.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Interest Rate</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Interest rate risks related to certain fixed-rate debt are hedged using interest rate swaps that are designated as fair value hedging instruments to effectively convert the fixed interest rates to floating interest rates.</w:t>
      </w:r>
    </w:p>
    <w:p>
      <w:pPr>
        <w:pStyle w:val="TextBody"/>
        <w:bidi w:val="0"/>
        <w:spacing w:before="180" w:after="283"/>
        <w:jc w:val="both"/>
        <w:rPr>
          <w:rFonts w:ascii="Times New Roman" w:hAnsi="Times New Roman"/>
          <w:sz w:val="20"/>
        </w:rPr>
      </w:pPr>
      <w:r>
        <w:rPr>
          <w:rFonts w:ascii="Arial" w:hAnsi="Arial"/>
          <w:b w:val="false"/>
          <w:color w:val="000000"/>
          <w:sz w:val="20"/>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w:t>
      </w:r>
      <w:r>
        <w:rPr>
          <w:rFonts w:ascii="Arial" w:hAnsi="Arial"/>
          <w:b w:val="false"/>
          <w:color w:val="000000"/>
          <w:sz w:val="20"/>
          <w:u w:val="single"/>
        </w:rPr>
        <w:t>,</w:t>
      </w:r>
      <w:r>
        <w:rPr>
          <w:rFonts w:ascii="Times New Roman" w:hAnsi="Times New Roman"/>
          <w:color w:val="000000"/>
          <w:sz w:val="20"/>
        </w:rPr>
        <w:t xml:space="preserve"> </w:t>
      </w:r>
      <w:r>
        <w:rPr>
          <w:rFonts w:ascii="Arial" w:hAnsi="Arial"/>
          <w:b w:val="false"/>
          <w:color w:val="000000"/>
          <w:sz w:val="20"/>
        </w:rPr>
        <w:t>futures, and swap contracts.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Equity</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Securities held in our equity investments portfolio are subject to market price risk. At times, we may hold options, futures, and swap contracts. These contracts are not designated as hedging instruments.</w:t>
      </w:r>
    </w:p>
    <w:p>
      <w:pPr>
        <w:pStyle w:val="TextBody"/>
        <w:bidi w:val="0"/>
        <w:spacing w:before="270" w:after="283"/>
        <w:jc w:val="both"/>
        <w:rPr>
          <w:rFonts w:ascii="Times New Roman" w:hAnsi="Times New Roman"/>
          <w:sz w:val="20"/>
        </w:rPr>
      </w:pPr>
      <w:r>
        <w:rPr>
          <w:rFonts w:ascii="Arial" w:hAnsi="Arial"/>
          <w:b/>
          <w:color w:val="000000"/>
          <w:sz w:val="20"/>
        </w:rPr>
        <w:t>Credit</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Credit-Risk-Related Contingent Features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Certain counterparty agreements for derivative instruments contain provisions that require our issued and outstanding long-term unsecured debt to maintain an investment grade credit rating and require us to maintain minimum liquidity of $1.0</w:t>
      </w:r>
      <w:r>
        <w:rPr>
          <w:rFonts w:ascii="Times New Roman" w:hAnsi="Times New Roman"/>
          <w:color w:val="000000"/>
          <w:sz w:val="20"/>
        </w:rPr>
        <w:t xml:space="preserve"> </w:t>
      </w:r>
      <w:r>
        <w:rPr>
          <w:rFonts w:ascii="Arial" w:hAnsi="Arial"/>
          <w:b w:val="false"/>
          <w:color w:val="000000"/>
          <w:sz w:val="20"/>
        </w:rPr>
        <w:t>billion. To the extent we fail to meet these requirements, we will be required to post collateral, similar to the standard convention related to over-the-counter derivatives. As of September 30, 2023, our long-term unsecured debt rating was AAA, and cash investments were in excess of $1.0</w:t>
      </w:r>
      <w:r>
        <w:rPr>
          <w:rFonts w:ascii="Times New Roman" w:hAnsi="Times New Roman"/>
          <w:color w:val="000000"/>
          <w:sz w:val="20"/>
        </w:rPr>
        <w:t xml:space="preserve"> </w:t>
      </w:r>
      <w:r>
        <w:rPr>
          <w:rFonts w:ascii="Arial" w:hAnsi="Arial"/>
          <w:b w:val="false"/>
          <w:color w:val="000000"/>
          <w:sz w:val="20"/>
        </w:rPr>
        <w:t>billion. As a result, no collateral was required to be posted.</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presents the notional amounts of our outstanding derivative instruments measured in U.S. dollar equivalents:</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3496"/>
        <w:gridCol w:w="146"/>
        <w:gridCol w:w="273"/>
        <w:gridCol w:w="897"/>
        <w:gridCol w:w="146"/>
        <w:gridCol w:w="146"/>
        <w:gridCol w:w="211"/>
        <w:gridCol w:w="691"/>
        <w:gridCol w:w="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436" w:type="dxa"/>
            <w:tcBorders/>
            <w:vAlign w:val="center"/>
          </w:tcPr>
          <w:p>
            <w:pPr>
              <w:pStyle w:val="TableContents"/>
              <w:bidi w:val="0"/>
              <w:spacing w:before="0" w:after="283"/>
              <w:jc w:val="left"/>
              <w:rPr/>
            </w:pPr>
            <w:r>
              <w:rPr/>
              <w:t> </w:t>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 </w:t>
            </w:r>
          </w:p>
        </w:tc>
        <w:tc>
          <w:tcPr>
            <w:tcW w:w="89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ind w:left="0" w:right="0" w:firstLine="245"/>
              <w:jc w:val="right"/>
              <w:rPr/>
            </w:pPr>
            <w:r>
              <w:rPr/>
              <w:t> </w:t>
            </w:r>
          </w:p>
        </w:tc>
      </w:tr>
      <w:tr>
        <w:trPr/>
        <w:tc>
          <w:tcPr>
            <w:tcW w:w="349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 purchased</w:t>
            </w:r>
          </w:p>
        </w:tc>
        <w:tc>
          <w:tcPr>
            <w:tcW w:w="146" w:type="dxa"/>
            <w:tcBorders/>
            <w:shd w:fill="E5E5E5" w:val="clear"/>
            <w:vAlign w:val="center"/>
          </w:tcPr>
          <w:p>
            <w:pPr>
              <w:pStyle w:val="TableContents"/>
              <w:bidi w:val="0"/>
              <w:spacing w:before="0" w:after="283"/>
              <w:jc w:val="left"/>
              <w:rPr/>
            </w:pPr>
            <w:r>
              <w:rPr/>
              <w:t> </w:t>
            </w:r>
          </w:p>
        </w:tc>
        <w:tc>
          <w:tcPr>
            <w:tcW w:w="27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1,492</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1,492</w:t>
            </w:r>
          </w:p>
        </w:tc>
        <w:tc>
          <w:tcPr>
            <w:tcW w:w="436" w:type="dxa"/>
            <w:tcBorders/>
            <w:shd w:fill="E5E5E5" w:val="clear"/>
            <w:vAlign w:val="center"/>
          </w:tcPr>
          <w:p>
            <w:pPr>
              <w:pStyle w:val="TableContents"/>
              <w:bidi w:val="0"/>
              <w:spacing w:before="0" w:after="283"/>
              <w:ind w:left="0" w:right="0" w:firstLine="245"/>
              <w:jc w:val="right"/>
              <w:rPr/>
            </w:pPr>
            <w:r>
              <w:rPr/>
              <w:t> </w:t>
            </w:r>
          </w:p>
        </w:tc>
      </w:tr>
      <w:tr>
        <w:trPr/>
        <w:tc>
          <w:tcPr>
            <w:tcW w:w="349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rate contracts purchased</w:t>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 </w:t>
            </w:r>
          </w:p>
        </w:tc>
        <w:tc>
          <w:tcPr>
            <w:tcW w:w="89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1,084</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1,078</w:t>
            </w:r>
          </w:p>
        </w:tc>
        <w:tc>
          <w:tcPr>
            <w:tcW w:w="436" w:type="dxa"/>
            <w:tcBorders/>
            <w:vAlign w:val="center"/>
          </w:tcPr>
          <w:p>
            <w:pPr>
              <w:pStyle w:val="TableContents"/>
              <w:bidi w:val="0"/>
              <w:spacing w:before="0" w:after="283"/>
              <w:jc w:val="right"/>
              <w:rPr/>
            </w:pPr>
            <w:r>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 </w:t>
            </w:r>
          </w:p>
        </w:tc>
        <w:tc>
          <w:tcPr>
            <w:tcW w:w="89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right"/>
              <w:rPr/>
            </w:pPr>
            <w:r>
              <w:rPr/>
              <w:t> </w:t>
            </w:r>
          </w:p>
        </w:tc>
      </w:tr>
      <w:tr>
        <w:trPr/>
        <w:tc>
          <w:tcPr>
            <w:tcW w:w="349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 </w:t>
            </w:r>
          </w:p>
        </w:tc>
        <w:tc>
          <w:tcPr>
            <w:tcW w:w="89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ind w:left="0" w:right="0" w:firstLine="245"/>
              <w:jc w:val="right"/>
              <w:rPr/>
            </w:pPr>
            <w:r>
              <w:rPr/>
              <w:t> </w:t>
            </w:r>
          </w:p>
        </w:tc>
      </w:tr>
      <w:tr>
        <w:trPr/>
        <w:tc>
          <w:tcPr>
            <w:tcW w:w="349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 purchased</w:t>
            </w:r>
          </w:p>
        </w:tc>
        <w:tc>
          <w:tcPr>
            <w:tcW w:w="146" w:type="dxa"/>
            <w:tcBorders/>
            <w:shd w:fill="E5E5E5" w:val="clear"/>
            <w:vAlign w:val="center"/>
          </w:tcPr>
          <w:p>
            <w:pPr>
              <w:pStyle w:val="TableContents"/>
              <w:bidi w:val="0"/>
              <w:spacing w:before="0" w:after="283"/>
              <w:jc w:val="left"/>
              <w:rPr/>
            </w:pPr>
            <w:r>
              <w:rPr/>
              <w:t> </w:t>
            </w:r>
          </w:p>
        </w:tc>
        <w:tc>
          <w:tcPr>
            <w:tcW w:w="273" w:type="dxa"/>
            <w:tcBorders/>
            <w:shd w:fill="E5E5E5" w:val="clear"/>
            <w:vAlign w:val="center"/>
          </w:tcPr>
          <w:p>
            <w:pPr>
              <w:pStyle w:val="TableContents"/>
              <w:bidi w:val="0"/>
              <w:spacing w:before="0" w:after="283"/>
              <w:jc w:val="right"/>
              <w:rPr/>
            </w:pPr>
            <w:r>
              <w:rPr/>
              <w:t> </w:t>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6,957</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7,874</w:t>
            </w:r>
          </w:p>
        </w:tc>
        <w:tc>
          <w:tcPr>
            <w:tcW w:w="436" w:type="dxa"/>
            <w:tcBorders/>
            <w:shd w:fill="E5E5E5" w:val="clear"/>
            <w:vAlign w:val="center"/>
          </w:tcPr>
          <w:p>
            <w:pPr>
              <w:pStyle w:val="TableContents"/>
              <w:bidi w:val="0"/>
              <w:spacing w:before="0" w:after="283"/>
              <w:ind w:left="0" w:right="0" w:firstLine="245"/>
              <w:jc w:val="right"/>
              <w:rPr/>
            </w:pPr>
            <w:r>
              <w:rPr/>
              <w:t> </w:t>
            </w:r>
          </w:p>
        </w:tc>
      </w:tr>
      <w:tr>
        <w:trPr/>
        <w:tc>
          <w:tcPr>
            <w:tcW w:w="349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 sold</w:t>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 </w:t>
            </w:r>
          </w:p>
        </w:tc>
        <w:tc>
          <w:tcPr>
            <w:tcW w:w="89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17,026</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25,159</w:t>
            </w:r>
          </w:p>
        </w:tc>
        <w:tc>
          <w:tcPr>
            <w:tcW w:w="436" w:type="dxa"/>
            <w:tcBorders/>
            <w:vAlign w:val="center"/>
          </w:tcPr>
          <w:p>
            <w:pPr>
              <w:pStyle w:val="TableContents"/>
              <w:bidi w:val="0"/>
              <w:spacing w:before="0" w:after="283"/>
              <w:jc w:val="right"/>
              <w:rPr/>
            </w:pPr>
            <w:r>
              <w:rPr/>
              <w:t> </w:t>
            </w:r>
          </w:p>
        </w:tc>
      </w:tr>
      <w:tr>
        <w:trPr/>
        <w:tc>
          <w:tcPr>
            <w:tcW w:w="349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Equity contracts purchased</w:t>
            </w:r>
          </w:p>
        </w:tc>
        <w:tc>
          <w:tcPr>
            <w:tcW w:w="146" w:type="dxa"/>
            <w:tcBorders/>
            <w:shd w:fill="E5E5E5" w:val="clear"/>
            <w:vAlign w:val="center"/>
          </w:tcPr>
          <w:p>
            <w:pPr>
              <w:pStyle w:val="TableContents"/>
              <w:bidi w:val="0"/>
              <w:spacing w:before="0" w:after="283"/>
              <w:jc w:val="left"/>
              <w:rPr/>
            </w:pPr>
            <w:r>
              <w:rPr/>
              <w:t> </w:t>
            </w:r>
          </w:p>
        </w:tc>
        <w:tc>
          <w:tcPr>
            <w:tcW w:w="273" w:type="dxa"/>
            <w:tcBorders/>
            <w:shd w:fill="E5E5E5" w:val="clear"/>
            <w:vAlign w:val="center"/>
          </w:tcPr>
          <w:p>
            <w:pPr>
              <w:pStyle w:val="TableContents"/>
              <w:bidi w:val="0"/>
              <w:spacing w:before="0" w:after="283"/>
              <w:jc w:val="right"/>
              <w:rPr/>
            </w:pPr>
            <w:r>
              <w:rPr/>
              <w:t> </w:t>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3,548</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3,867</w:t>
            </w:r>
          </w:p>
        </w:tc>
        <w:tc>
          <w:tcPr>
            <w:tcW w:w="436" w:type="dxa"/>
            <w:tcBorders/>
            <w:shd w:fill="E5E5E5" w:val="clear"/>
            <w:vAlign w:val="center"/>
          </w:tcPr>
          <w:p>
            <w:pPr>
              <w:pStyle w:val="TableContents"/>
              <w:bidi w:val="0"/>
              <w:spacing w:before="0" w:after="283"/>
              <w:jc w:val="right"/>
              <w:rPr/>
            </w:pPr>
            <w:r>
              <w:rPr/>
              <w:t> </w:t>
            </w:r>
          </w:p>
        </w:tc>
      </w:tr>
      <w:tr>
        <w:trPr/>
        <w:tc>
          <w:tcPr>
            <w:tcW w:w="34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Equity contracts sold</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2,154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2,154</w:t>
            </w:r>
          </w:p>
        </w:tc>
        <w:tc>
          <w:tcPr>
            <w:tcW w:w="436" w:type="dxa"/>
            <w:tcBorders/>
            <w:shd w:fill="FFFFFF" w:val="clear"/>
            <w:vAlign w:val="center"/>
          </w:tcPr>
          <w:p>
            <w:pPr>
              <w:pStyle w:val="TableContents"/>
              <w:bidi w:val="0"/>
              <w:spacing w:before="0" w:after="283"/>
              <w:ind w:left="0" w:right="0" w:firstLine="245"/>
              <w:jc w:val="right"/>
              <w:rPr/>
            </w:pPr>
            <w:r>
              <w:rPr/>
              <w:t> </w:t>
            </w:r>
          </w:p>
        </w:tc>
      </w:tr>
      <w:tr>
        <w:trPr/>
        <w:tc>
          <w:tcPr>
            <w:tcW w:w="349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contracts purchased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3" w:type="dxa"/>
            <w:tcBorders/>
            <w:shd w:fill="E5E5E5" w:val="clear"/>
            <w:vAlign w:val="center"/>
          </w:tcPr>
          <w:p>
            <w:pPr>
              <w:pStyle w:val="TableContents"/>
              <w:bidi w:val="0"/>
              <w:spacing w:before="0" w:after="283"/>
              <w:jc w:val="left"/>
              <w:rPr>
                <w:sz w:val="4"/>
                <w:szCs w:val="4"/>
              </w:rPr>
            </w:pPr>
            <w:r>
              <w:rPr>
                <w:sz w:val="4"/>
                <w:szCs w:val="4"/>
              </w:rPr>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1,698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1,224</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49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contracts sold</w:t>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678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581</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90" w:after="283"/>
        <w:jc w:val="both"/>
        <w:rPr>
          <w:rFonts w:ascii="Arial" w:hAnsi="Arial"/>
          <w:b/>
          <w:color w:val="000000"/>
          <w:sz w:val="20"/>
        </w:rPr>
      </w:pPr>
      <w:r>
        <w:rPr>
          <w:rFonts w:ascii="Arial" w:hAnsi="Arial"/>
          <w:b/>
          <w:color w:val="000000"/>
          <w:sz w:val="20"/>
        </w:rPr>
        <w:t>Fair Values of Derivative Instruments</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presents our derivative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7"/>
        <w:gridCol w:w="146"/>
        <w:gridCol w:w="261"/>
        <w:gridCol w:w="595"/>
        <w:gridCol w:w="166"/>
        <w:gridCol w:w="146"/>
        <w:gridCol w:w="211"/>
        <w:gridCol w:w="856"/>
        <w:gridCol w:w="166"/>
        <w:gridCol w:w="146"/>
        <w:gridCol w:w="261"/>
        <w:gridCol w:w="595"/>
        <w:gridCol w:w="166"/>
        <w:gridCol w:w="146"/>
        <w:gridCol w:w="261"/>
        <w:gridCol w:w="595"/>
        <w:gridCol w:w="681"/>
      </w:tblGrid>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681" w:type="dxa"/>
            <w:tcBorders/>
            <w:vAlign w:val="center"/>
          </w:tcPr>
          <w:p>
            <w:pPr>
              <w:pStyle w:val="TableContents"/>
              <w:bidi w:val="0"/>
              <w:spacing w:before="0" w:after="283"/>
              <w:jc w:val="left"/>
              <w:rPr/>
            </w:pPr>
            <w:r>
              <w:rPr/>
              <w:t> </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4"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4"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80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rate contracts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503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(331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249</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(332</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807"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Equity contracts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(342</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(400</w:t>
            </w:r>
          </w:p>
        </w:tc>
        <w:tc>
          <w:tcPr>
            <w:tcW w:w="681"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contracts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807" w:type="dxa"/>
            <w:tcBorders/>
            <w:shd w:fill="FFFFFF"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Gross amounts of derivatives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(772</w:t>
            </w:r>
          </w:p>
        </w:tc>
        <w:tc>
          <w:tcPr>
            <w:tcW w:w="16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w:t>
            </w:r>
          </w:p>
        </w:tc>
        <w:tc>
          <w:tcPr>
            <w:tcW w:w="681" w:type="dxa"/>
            <w:tcBorders/>
            <w:shd w:fill="FFFFFF"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Gross amounts of derivatives offset in the balance sheet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206</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807" w:type="dxa"/>
            <w:tcBorders/>
            <w:shd w:fill="FFFFFF"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Cash collateral received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(103</w:t>
            </w:r>
          </w:p>
        </w:tc>
        <w:tc>
          <w:tcPr>
            <w:tcW w:w="16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(125</w:t>
            </w:r>
          </w:p>
        </w:tc>
        <w:tc>
          <w:tcPr>
            <w:tcW w:w="68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807"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Net amounts of derivatives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(579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Reported as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Short-term investments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807"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current assets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327</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long-term assets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current liabilities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(341</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807"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long-term liabilities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(320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(383</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vAlign w:val="center"/>
          </w:tcPr>
          <w:p>
            <w:pPr>
              <w:pStyle w:val="TableContents"/>
              <w:bidi w:val="0"/>
              <w:spacing w:before="0" w:after="283"/>
              <w:ind w:left="245" w:right="0" w:firstLine="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(579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95"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Gross derivative assets and liabilities subject to legally enforceable master netting agreements for which we have elected to offset were $627</w:t>
      </w:r>
      <w:r>
        <w:rPr>
          <w:rFonts w:ascii="Times New Roman" w:hAnsi="Times New Roman"/>
          <w:color w:val="000000"/>
          <w:sz w:val="20"/>
        </w:rPr>
        <w:t xml:space="preserve"> </w:t>
      </w:r>
      <w:r>
        <w:rPr>
          <w:rFonts w:ascii="Arial" w:hAnsi="Arial"/>
          <w:b w:val="false"/>
          <w:color w:val="000000"/>
          <w:sz w:val="20"/>
        </w:rPr>
        <w:t>million and $772</w:t>
      </w:r>
      <w:r>
        <w:rPr>
          <w:rFonts w:ascii="Times New Roman" w:hAnsi="Times New Roman"/>
          <w:color w:val="000000"/>
          <w:sz w:val="20"/>
        </w:rPr>
        <w:t xml:space="preserve"> </w:t>
      </w:r>
      <w:r>
        <w:rPr>
          <w:rFonts w:ascii="Arial" w:hAnsi="Arial"/>
          <w:b w:val="false"/>
          <w:color w:val="000000"/>
          <w:sz w:val="20"/>
        </w:rPr>
        <w:t>million, respectively, as of September 30, 2023, and $442</w:t>
      </w:r>
      <w:r>
        <w:rPr>
          <w:rFonts w:ascii="Times New Roman" w:hAnsi="Times New Roman"/>
          <w:color w:val="000000"/>
          <w:sz w:val="20"/>
        </w:rPr>
        <w:t xml:space="preserve"> </w:t>
      </w:r>
      <w:r>
        <w:rPr>
          <w:rFonts w:ascii="Arial" w:hAnsi="Arial"/>
          <w:b w:val="false"/>
          <w:color w:val="000000"/>
          <w:sz w:val="20"/>
        </w:rPr>
        <w:t>million and $804</w:t>
      </w:r>
      <w:r>
        <w:rPr>
          <w:rFonts w:ascii="Times New Roman" w:hAnsi="Times New Roman"/>
          <w:color w:val="000000"/>
          <w:sz w:val="20"/>
        </w:rPr>
        <w:t xml:space="preserve"> </w:t>
      </w:r>
      <w:r>
        <w:rPr>
          <w:rFonts w:ascii="Arial" w:hAnsi="Arial"/>
          <w:b w:val="false"/>
          <w:color w:val="000000"/>
          <w:sz w:val="20"/>
        </w:rPr>
        <w:t>million, respectively, as of June 30, 2023.</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presents the fair value of our derivatives instruments on a gross basis: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1801"/>
        <w:gridCol w:w="146"/>
        <w:gridCol w:w="322"/>
        <w:gridCol w:w="323"/>
        <w:gridCol w:w="146"/>
        <w:gridCol w:w="146"/>
        <w:gridCol w:w="211"/>
        <w:gridCol w:w="646"/>
        <w:gridCol w:w="166"/>
        <w:gridCol w:w="146"/>
        <w:gridCol w:w="322"/>
        <w:gridCol w:w="323"/>
        <w:gridCol w:w="146"/>
        <w:gridCol w:w="146"/>
        <w:gridCol w:w="211"/>
        <w:gridCol w:w="481"/>
        <w:gridCol w:w="436"/>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80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645"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Level 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Level 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5"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Level 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436" w:type="dxa"/>
            <w:tcBorders/>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September 30, 2023</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180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Derivative assets</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629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636</w:t>
            </w:r>
          </w:p>
        </w:tc>
        <w:tc>
          <w:tcPr>
            <w:tcW w:w="436" w:type="dxa"/>
            <w:tcBorders/>
            <w:shd w:fill="E5E5E5" w:val="clear"/>
            <w:vAlign w:val="center"/>
          </w:tcPr>
          <w:p>
            <w:pPr>
              <w:pStyle w:val="TableContents"/>
              <w:bidi w:val="0"/>
              <w:spacing w:before="0" w:after="283"/>
              <w:ind w:left="0" w:right="0" w:firstLine="245"/>
              <w:jc w:val="left"/>
              <w:rPr/>
            </w:pPr>
            <w:r>
              <w:rPr/>
              <w:t> </w:t>
            </w:r>
          </w:p>
        </w:tc>
      </w:tr>
      <w:tr>
        <w:trPr/>
        <w:tc>
          <w:tcPr>
            <w:tcW w:w="180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Derivative liabilities</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(772</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(772</w:t>
            </w:r>
          </w:p>
        </w:tc>
        <w:tc>
          <w:tcPr>
            <w:tcW w:w="4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2023</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180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Derivative assets</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pPr>
            <w:r>
              <w:rPr/>
              <w:t> </w:t>
            </w:r>
          </w:p>
        </w:tc>
        <w:tc>
          <w:tcPr>
            <w:tcW w:w="323"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pPr>
            <w:r>
              <w:rPr/>
              <w:t> </w:t>
            </w:r>
          </w:p>
        </w:tc>
        <w:tc>
          <w:tcPr>
            <w:tcW w:w="323"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469</w:t>
            </w:r>
          </w:p>
        </w:tc>
        <w:tc>
          <w:tcPr>
            <w:tcW w:w="436" w:type="dxa"/>
            <w:tcBorders/>
            <w:shd w:fill="E5E5E5" w:val="clear"/>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Derivative liabilities</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w:t>
            </w:r>
          </w:p>
        </w:tc>
        <w:tc>
          <w:tcPr>
            <w:tcW w:w="4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Gains (losses) on derivative instruments recognized in other income (expense), net were as follows:</w:t>
      </w:r>
    </w:p>
    <w:p>
      <w:pPr>
        <w:pStyle w:val="TextBody"/>
        <w:bidi w:val="0"/>
        <w:jc w:val="both"/>
        <w:rPr/>
      </w:pPr>
      <w:r>
        <w:rPr/>
        <w:t> </w:t>
      </w:r>
    </w:p>
    <w:tbl>
      <w:tblPr>
        <w:tblW w:w="8274" w:type="dxa"/>
        <w:jc w:val="left"/>
        <w:tblInd w:w="0" w:type="dxa"/>
        <w:tblLayout w:type="fixed"/>
        <w:tblCellMar>
          <w:top w:w="28" w:type="dxa"/>
          <w:left w:w="28" w:type="dxa"/>
          <w:bottom w:w="28" w:type="dxa"/>
          <w:right w:w="28" w:type="dxa"/>
        </w:tblCellMar>
      </w:tblPr>
      <w:tblGrid>
        <w:gridCol w:w="5761"/>
        <w:gridCol w:w="146"/>
        <w:gridCol w:w="211"/>
        <w:gridCol w:w="466"/>
        <w:gridCol w:w="166"/>
        <w:gridCol w:w="146"/>
        <w:gridCol w:w="211"/>
        <w:gridCol w:w="466"/>
        <w:gridCol w:w="70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455" w:type="dxa"/>
            <w:gridSpan w:val="5"/>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Fair Value Hedging Instruments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ind w:left="0" w:right="0" w:firstLine="245"/>
              <w:jc w:val="left"/>
              <w:rPr/>
            </w:pPr>
            <w:r>
              <w:rPr/>
              <w:t> </w:t>
            </w:r>
          </w:p>
        </w:tc>
      </w:tr>
      <w:tr>
        <w:trPr/>
        <w:tc>
          <w:tcPr>
            <w:tcW w:w="576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rate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pPr>
            <w:r>
              <w:rPr/>
              <w:t> </w:t>
            </w:r>
          </w:p>
        </w:tc>
        <w:tc>
          <w:tcPr>
            <w:tcW w:w="701" w:type="dxa"/>
            <w:tcBorders/>
            <w:shd w:fill="E5E5E5" w:val="clear"/>
            <w:vAlign w:val="center"/>
          </w:tcPr>
          <w:p>
            <w:pPr>
              <w:pStyle w:val="TableContents"/>
              <w:bidi w:val="0"/>
              <w:spacing w:before="0" w:after="283"/>
              <w:ind w:left="0" w:right="0" w:firstLine="490"/>
              <w:jc w:val="left"/>
              <w:rPr/>
            </w:pPr>
            <w:r>
              <w:rPr/>
              <w:t> </w:t>
            </w:r>
          </w:p>
        </w:tc>
      </w:tr>
      <w:tr>
        <w:trPr/>
        <w:tc>
          <w:tcPr>
            <w:tcW w:w="576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Derivatives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6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c>
          <w:tcPr>
            <w:tcW w:w="701" w:type="dxa"/>
            <w:tcBorders/>
            <w:vAlign w:val="center"/>
          </w:tcPr>
          <w:p>
            <w:pPr>
              <w:pStyle w:val="TableContents"/>
              <w:bidi w:val="0"/>
              <w:spacing w:before="0" w:after="283"/>
              <w:ind w:left="0" w:right="0" w:firstLine="490"/>
              <w:jc w:val="left"/>
              <w:rPr>
                <w:rFonts w:ascii="Arial" w:hAnsi="Arial"/>
                <w:b w:val="false"/>
                <w:color w:val="000000"/>
                <w:sz w:val="20"/>
              </w:rPr>
            </w:pPr>
            <w:r>
              <w:rPr>
                <w:rFonts w:ascii="Arial" w:hAnsi="Arial"/>
                <w:b w:val="false"/>
                <w:color w:val="000000"/>
                <w:sz w:val="20"/>
              </w:rPr>
              <w:t>)</w:t>
            </w:r>
          </w:p>
        </w:tc>
      </w:tr>
      <w:tr>
        <w:trPr/>
        <w:tc>
          <w:tcPr>
            <w:tcW w:w="576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Hedged items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c>
          <w:tcPr>
            <w:tcW w:w="701" w:type="dxa"/>
            <w:tcBorders/>
            <w:shd w:fill="E5E5E5" w:val="clear"/>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ind w:left="0" w:right="0" w:firstLine="245"/>
              <w:jc w:val="left"/>
              <w:rPr/>
            </w:pPr>
            <w:r>
              <w:rPr/>
              <w:t> </w:t>
            </w:r>
          </w:p>
        </w:tc>
      </w:tr>
      <w:tr>
        <w:trPr/>
        <w:tc>
          <w:tcPr>
            <w:tcW w:w="576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pPr>
            <w:r>
              <w:rPr/>
              <w:t> </w:t>
            </w:r>
          </w:p>
        </w:tc>
        <w:tc>
          <w:tcPr>
            <w:tcW w:w="701" w:type="dxa"/>
            <w:tcBorders/>
            <w:shd w:fill="E5E5E5" w:val="clear"/>
            <w:vAlign w:val="center"/>
          </w:tcPr>
          <w:p>
            <w:pPr>
              <w:pStyle w:val="TableContents"/>
              <w:bidi w:val="0"/>
              <w:spacing w:before="0" w:after="283"/>
              <w:ind w:left="0" w:right="0" w:firstLine="490"/>
              <w:jc w:val="left"/>
              <w:rPr/>
            </w:pPr>
            <w:r>
              <w:rPr/>
              <w:t> </w:t>
            </w:r>
          </w:p>
        </w:tc>
      </w:tr>
      <w:tr>
        <w:trPr/>
        <w:tc>
          <w:tcPr>
            <w:tcW w:w="576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Amount reclassified from accumulated other comprehensive loss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w:t>
            </w:r>
          </w:p>
        </w:tc>
        <w:tc>
          <w:tcPr>
            <w:tcW w:w="70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ind w:left="0" w:right="0" w:firstLine="245"/>
              <w:jc w:val="left"/>
              <w:rPr/>
            </w:pPr>
            <w:r>
              <w:rPr/>
              <w:t> </w:t>
            </w:r>
          </w:p>
        </w:tc>
      </w:tr>
      <w:tr>
        <w:trPr/>
        <w:tc>
          <w:tcPr>
            <w:tcW w:w="576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240</w:t>
            </w:r>
          </w:p>
        </w:tc>
        <w:tc>
          <w:tcPr>
            <w:tcW w:w="701" w:type="dxa"/>
            <w:tcBorders/>
            <w:shd w:fill="E5E5E5" w:val="clear"/>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Equity contracts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w:t>
            </w:r>
          </w:p>
        </w:tc>
        <w:tc>
          <w:tcPr>
            <w:tcW w:w="701" w:type="dxa"/>
            <w:tcBorders/>
            <w:vAlign w:val="center"/>
          </w:tcPr>
          <w:p>
            <w:pPr>
              <w:pStyle w:val="TableContents"/>
              <w:bidi w:val="0"/>
              <w:spacing w:before="0" w:after="283"/>
              <w:ind w:left="0" w:right="0" w:firstLine="245"/>
              <w:jc w:val="left"/>
              <w:rPr/>
            </w:pPr>
            <w:r>
              <w:rPr/>
              <w:t> </w:t>
            </w:r>
          </w:p>
        </w:tc>
      </w:tr>
      <w:tr>
        <w:trPr/>
        <w:tc>
          <w:tcPr>
            <w:tcW w:w="576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6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70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7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Gains (losses), net of tax, on derivative instruments recognized in our consolidated comprehensive income statements were as follows:</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3541"/>
        <w:gridCol w:w="146"/>
        <w:gridCol w:w="211"/>
        <w:gridCol w:w="376"/>
        <w:gridCol w:w="166"/>
        <w:gridCol w:w="146"/>
        <w:gridCol w:w="211"/>
        <w:gridCol w:w="376"/>
        <w:gridCol w:w="68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486"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54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376"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376" w:type="dxa"/>
            <w:tcBorders/>
            <w:shd w:fill="E5E5E5" w:val="clear"/>
            <w:vAlign w:val="center"/>
          </w:tcPr>
          <w:p>
            <w:pPr>
              <w:pStyle w:val="TableContents"/>
              <w:bidi w:val="0"/>
              <w:spacing w:before="0" w:after="283"/>
              <w:jc w:val="right"/>
              <w:rPr/>
            </w:pPr>
            <w:r>
              <w:rPr/>
              <w:t> </w:t>
            </w:r>
          </w:p>
        </w:tc>
        <w:tc>
          <w:tcPr>
            <w:tcW w:w="681" w:type="dxa"/>
            <w:tcBorders/>
            <w:shd w:fill="E5E5E5" w:val="clear"/>
            <w:vAlign w:val="center"/>
          </w:tcPr>
          <w:p>
            <w:pPr>
              <w:pStyle w:val="TableContents"/>
              <w:bidi w:val="0"/>
              <w:spacing w:before="0" w:after="283"/>
              <w:ind w:left="0" w:right="0" w:firstLine="490"/>
              <w:jc w:val="left"/>
              <w:rPr/>
            </w:pPr>
            <w:r>
              <w:rPr/>
              <w:t> </w:t>
            </w:r>
          </w:p>
        </w:tc>
      </w:tr>
      <w:tr>
        <w:trPr/>
        <w:tc>
          <w:tcPr>
            <w:tcW w:w="354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Included in effectiveness assessment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37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b w:val="false"/>
          <w:color w:val="000000"/>
          <w:sz w:val="20"/>
          <w:u w:val="single"/>
        </w:rPr>
        <w:t xml:space="preserve">NOTE 6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INVENTORIES</w:t>
      </w:r>
    </w:p>
    <w:p>
      <w:pPr>
        <w:pStyle w:val="TextBody"/>
        <w:bidi w:val="0"/>
        <w:spacing w:before="180" w:after="283"/>
        <w:jc w:val="both"/>
        <w:rPr>
          <w:rFonts w:ascii="Arial" w:hAnsi="Arial"/>
          <w:b w:val="false"/>
          <w:color w:val="000000"/>
          <w:sz w:val="20"/>
        </w:rPr>
      </w:pPr>
      <w:r>
        <w:rPr>
          <w:rFonts w:ascii="Arial" w:hAnsi="Arial"/>
          <w:b w:val="false"/>
          <w:color w:val="000000"/>
          <w:sz w:val="20"/>
        </w:rPr>
        <w:t>The components of inventories were as follows:</w:t>
      </w:r>
    </w:p>
    <w:p>
      <w:pPr>
        <w:pStyle w:val="TextBody"/>
        <w:bidi w:val="0"/>
        <w:jc w:val="both"/>
        <w:rPr/>
      </w:pPr>
      <w:r>
        <w:rPr/>
        <w:t> </w:t>
      </w:r>
    </w:p>
    <w:tbl>
      <w:tblPr>
        <w:tblW w:w="4617" w:type="dxa"/>
        <w:jc w:val="left"/>
        <w:tblInd w:w="0" w:type="dxa"/>
        <w:tblLayout w:type="fixed"/>
        <w:tblCellMar>
          <w:top w:w="28" w:type="dxa"/>
          <w:left w:w="28" w:type="dxa"/>
          <w:bottom w:w="28" w:type="dxa"/>
          <w:right w:w="28" w:type="dxa"/>
        </w:tblCellMar>
      </w:tblPr>
      <w:tblGrid>
        <w:gridCol w:w="1531"/>
        <w:gridCol w:w="146"/>
        <w:gridCol w:w="309"/>
        <w:gridCol w:w="861"/>
        <w:gridCol w:w="146"/>
        <w:gridCol w:w="146"/>
        <w:gridCol w:w="211"/>
        <w:gridCol w:w="586"/>
        <w:gridCol w:w="68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pPr>
            <w:r>
              <w:rPr/>
              <w:t> </w:t>
            </w:r>
          </w:p>
        </w:tc>
        <w:tc>
          <w:tcPr>
            <w:tcW w:w="1624" w:type="dxa"/>
            <w:gridSpan w:val="4"/>
            <w:tcBorders/>
            <w:vAlign w:val="center"/>
          </w:tcPr>
          <w:p>
            <w:pPr>
              <w:pStyle w:val="TableContents"/>
              <w:bidi w:val="0"/>
              <w:spacing w:before="0" w:after="283"/>
              <w:ind w:left="0" w:right="0" w:firstLine="245"/>
              <w:jc w:val="left"/>
              <w:rPr/>
            </w:pPr>
            <w:r>
              <w:rPr/>
              <w:t> </w:t>
            </w:r>
          </w:p>
        </w:tc>
      </w:tr>
      <w:tr>
        <w:trPr/>
        <w:tc>
          <w:tcPr>
            <w:tcW w:w="15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Raw materials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09"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709</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53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Work in process</w:t>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53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Finished goods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09" w:type="dxa"/>
            <w:tcBorders/>
            <w:shd w:fill="E5E5E5" w:val="clear"/>
            <w:vAlign w:val="center"/>
          </w:tcPr>
          <w:p>
            <w:pPr>
              <w:pStyle w:val="TableContents"/>
              <w:bidi w:val="0"/>
              <w:spacing w:before="0" w:after="283"/>
              <w:jc w:val="left"/>
              <w:rPr>
                <w:sz w:val="4"/>
                <w:szCs w:val="4"/>
              </w:rPr>
            </w:pPr>
            <w:r>
              <w:rPr>
                <w:sz w:val="4"/>
                <w:szCs w:val="4"/>
              </w:rPr>
            </w:r>
          </w:p>
        </w:tc>
        <w:tc>
          <w:tcPr>
            <w:tcW w:w="86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2,465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1,768</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53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3,000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2,500</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b w:val="false"/>
          <w:color w:val="000000"/>
          <w:sz w:val="20"/>
          <w:u w:val="single"/>
        </w:rPr>
        <w:t xml:space="preserve">NOTE 7 </w:t>
      </w:r>
      <w:r>
        <w:rPr>
          <w:rFonts w:ascii="Times New Roman" w:hAnsi="Times New Roman"/>
          <w:color w:val="000000"/>
          <w:sz w:val="20"/>
          <w:u w:val="single"/>
        </w:rPr>
        <w:t xml:space="preserve">— </w:t>
      </w:r>
      <w:r>
        <w:rPr>
          <w:rFonts w:ascii="Arial" w:hAnsi="Arial"/>
          <w:b w:val="false"/>
          <w:color w:val="000000"/>
          <w:sz w:val="20"/>
          <w:u w:val="single"/>
        </w:rPr>
        <w:t>GOODWILL</w:t>
      </w:r>
    </w:p>
    <w:p>
      <w:pPr>
        <w:pStyle w:val="TextBody"/>
        <w:bidi w:val="0"/>
        <w:spacing w:before="180" w:after="283"/>
        <w:jc w:val="both"/>
        <w:rPr>
          <w:rFonts w:ascii="Arial" w:hAnsi="Arial"/>
          <w:b w:val="false"/>
          <w:color w:val="000000"/>
          <w:sz w:val="20"/>
        </w:rPr>
      </w:pPr>
      <w:r>
        <w:rPr>
          <w:rFonts w:ascii="Arial" w:hAnsi="Arial"/>
          <w:b w:val="false"/>
          <w:color w:val="000000"/>
          <w:sz w:val="20"/>
        </w:rPr>
        <w:t>Changes in the carrying amount of goodwill were as follows:</w:t>
      </w:r>
    </w:p>
    <w:p>
      <w:pPr>
        <w:pStyle w:val="TextBody"/>
        <w:bidi w:val="0"/>
        <w:jc w:val="both"/>
        <w:rPr/>
      </w:pPr>
      <w:r>
        <w:rPr/>
        <w:t> </w:t>
      </w:r>
    </w:p>
    <w:tbl>
      <w:tblPr>
        <w:tblW w:w="8794" w:type="dxa"/>
        <w:jc w:val="left"/>
        <w:tblInd w:w="0" w:type="dxa"/>
        <w:tblLayout w:type="fixed"/>
        <w:tblCellMar>
          <w:top w:w="28" w:type="dxa"/>
          <w:left w:w="28" w:type="dxa"/>
          <w:bottom w:w="28" w:type="dxa"/>
          <w:right w:w="28" w:type="dxa"/>
        </w:tblCellMar>
      </w:tblPr>
      <w:tblGrid>
        <w:gridCol w:w="3391"/>
        <w:gridCol w:w="146"/>
        <w:gridCol w:w="211"/>
        <w:gridCol w:w="691"/>
        <w:gridCol w:w="146"/>
        <w:gridCol w:w="146"/>
        <w:gridCol w:w="510"/>
        <w:gridCol w:w="511"/>
        <w:gridCol w:w="146"/>
        <w:gridCol w:w="146"/>
        <w:gridCol w:w="211"/>
        <w:gridCol w:w="376"/>
        <w:gridCol w:w="166"/>
        <w:gridCol w:w="146"/>
        <w:gridCol w:w="273"/>
        <w:gridCol w:w="897"/>
        <w:gridCol w:w="68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Acquisitions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Other</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24,775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10"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24,759</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30,469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30,420</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12,642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10" w:type="dxa"/>
            <w:tcBorders/>
            <w:shd w:fill="E5E5E5" w:val="clear"/>
            <w:vAlign w:val="center"/>
          </w:tcPr>
          <w:p>
            <w:pPr>
              <w:pStyle w:val="TableContents"/>
              <w:bidi w:val="0"/>
              <w:spacing w:before="0" w:after="283"/>
              <w:jc w:val="left"/>
              <w:rPr>
                <w:sz w:val="4"/>
                <w:szCs w:val="4"/>
              </w:rPr>
            </w:pPr>
            <w:r>
              <w:rPr>
                <w:sz w:val="4"/>
                <w:szCs w:val="4"/>
              </w:rPr>
            </w:r>
          </w:p>
        </w:tc>
        <w:tc>
          <w:tcPr>
            <w:tcW w:w="5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37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3" w:type="dxa"/>
            <w:tcBorders/>
            <w:shd w:fill="E5E5E5" w:val="clear"/>
            <w:vAlign w:val="center"/>
          </w:tcPr>
          <w:p>
            <w:pPr>
              <w:pStyle w:val="TableContents"/>
              <w:bidi w:val="0"/>
              <w:spacing w:before="0" w:after="283"/>
              <w:jc w:val="left"/>
              <w:rPr>
                <w:sz w:val="4"/>
                <w:szCs w:val="4"/>
              </w:rPr>
            </w:pPr>
            <w:r>
              <w:rPr>
                <w:sz w:val="4"/>
                <w:szCs w:val="4"/>
              </w:rPr>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12,611</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391" w:type="dxa"/>
            <w:tcBorders/>
            <w:vAlign w:val="center"/>
          </w:tcPr>
          <w:p>
            <w:pPr>
              <w:pStyle w:val="TableContents"/>
              <w:pBdr/>
              <w:bidi w:val="0"/>
              <w:spacing w:before="0" w:after="283"/>
              <w:ind w:left="245" w:right="0" w:hanging="245"/>
              <w:jc w:val="left"/>
              <w:rPr>
                <w:rFonts w:ascii="Times New Roman" w:hAnsi="Times New Roman"/>
                <w:sz w:val="20"/>
              </w:rPr>
            </w:pPr>
            <w:r>
              <w:rPr>
                <w:rFonts w:ascii="Arial" w:hAnsi="Arial"/>
                <w:b w:val="false"/>
                <w:color w:val="000000"/>
                <w:sz w:val="20"/>
              </w:rPr>
              <w:t>Total</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67,886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67,790</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pStyle w:val="TextBody"/>
        <w:bidi w:val="0"/>
        <w:spacing w:before="240" w:after="283"/>
        <w:jc w:val="center"/>
        <w:rPr>
          <w:rFonts w:ascii="Arial" w:hAnsi="Arial"/>
          <w:b w:val="false"/>
          <w:color w:val="000000"/>
          <w:sz w:val="16"/>
        </w:rPr>
      </w:pPr>
      <w:r>
        <w:rPr>
          <w:rFonts w:ascii="Arial" w:hAnsi="Arial"/>
          <w:b w:val="false"/>
          <w:color w:val="000000"/>
          <w:sz w:val="16"/>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pStyle w:val="TextBody"/>
        <w:bidi w:val="0"/>
        <w:spacing w:before="270" w:after="283"/>
        <w:jc w:val="center"/>
        <w:rPr>
          <w:rFonts w:ascii="Times New Roman" w:hAnsi="Times New Roman"/>
          <w:sz w:val="20"/>
        </w:rPr>
      </w:pPr>
      <w:r>
        <w:rPr>
          <w:rFonts w:ascii="Arial" w:hAnsi="Arial"/>
          <w:b w:val="false"/>
          <w:color w:val="000000"/>
          <w:sz w:val="20"/>
          <w:u w:val="single"/>
        </w:rPr>
        <w:t xml:space="preserve">NOTE 8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INTANGIBLE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The components of intangible assets, all of which are finite-lived, were as follows:</w:t>
      </w:r>
      <w:r>
        <w:rPr>
          <w:rFonts w:ascii="Times New Roman" w:hAnsi="Times New Roman"/>
          <w:color w:val="000000"/>
          <w:sz w:val="20"/>
        </w:rPr>
        <w:t xml:space="preserve"> </w:t>
      </w:r>
    </w:p>
    <w:p>
      <w:pPr>
        <w:pStyle w:val="TextBody"/>
        <w:bidi w:val="0"/>
        <w:jc w:val="left"/>
        <w:rPr/>
      </w:pPr>
      <w:r>
        <w:rPr/>
        <w:t> </w:t>
      </w:r>
    </w:p>
    <w:tbl>
      <w:tblPr>
        <w:tblW w:w="9613" w:type="dxa"/>
        <w:jc w:val="left"/>
        <w:tblInd w:w="0" w:type="dxa"/>
        <w:tblLayout w:type="fixed"/>
        <w:tblCellMar>
          <w:top w:w="28" w:type="dxa"/>
          <w:left w:w="28" w:type="dxa"/>
          <w:bottom w:w="28" w:type="dxa"/>
          <w:right w:w="28" w:type="dxa"/>
        </w:tblCellMar>
      </w:tblPr>
      <w:tblGrid>
        <w:gridCol w:w="1756"/>
        <w:gridCol w:w="146"/>
        <w:gridCol w:w="211"/>
        <w:gridCol w:w="691"/>
        <w:gridCol w:w="146"/>
        <w:gridCol w:w="146"/>
        <w:gridCol w:w="233"/>
        <w:gridCol w:w="833"/>
        <w:gridCol w:w="166"/>
        <w:gridCol w:w="146"/>
        <w:gridCol w:w="211"/>
        <w:gridCol w:w="586"/>
        <w:gridCol w:w="146"/>
        <w:gridCol w:w="146"/>
        <w:gridCol w:w="211"/>
        <w:gridCol w:w="691"/>
        <w:gridCol w:w="146"/>
        <w:gridCol w:w="146"/>
        <w:gridCol w:w="233"/>
        <w:gridCol w:w="833"/>
        <w:gridCol w:w="166"/>
        <w:gridCol w:w="146"/>
        <w:gridCol w:w="211"/>
        <w:gridCol w:w="586"/>
        <w:gridCol w:w="68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Net</w:t>
              <w:br/>
              <w:t>Carrying</w:t>
              <w:br/>
              <w:t>Amount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Net</w:t>
            </w:r>
          </w:p>
          <w:p>
            <w:pPr>
              <w:pStyle w:val="TableContents"/>
              <w:bidi w:val="0"/>
              <w:jc w:val="right"/>
              <w:rPr>
                <w:rFonts w:ascii="Arial" w:hAnsi="Arial"/>
                <w:b/>
                <w:color w:val="000000"/>
                <w:sz w:val="15"/>
              </w:rPr>
            </w:pPr>
            <w:r>
              <w:rPr>
                <w:rFonts w:ascii="Arial" w:hAnsi="Arial"/>
                <w:b/>
                <w:color w:val="000000"/>
                <w:sz w:val="15"/>
              </w:rPr>
              <w:t>Carrying</w:t>
            </w:r>
          </w:p>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69" w:type="dxa"/>
            <w:gridSpan w:val="10"/>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69" w:type="dxa"/>
            <w:gridSpan w:val="10"/>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369" w:type="dxa"/>
            <w:gridSpan w:val="10"/>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69" w:type="dxa"/>
            <w:gridSpan w:val="10"/>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756"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Technology-based</w:t>
            </w:r>
            <w:r>
              <w:rPr>
                <w:rFonts w:ascii="Times New Roman" w:hAnsi="Times New Roman"/>
                <w:color w:val="000000"/>
                <w:sz w:val="20"/>
              </w:rPr>
              <w:t xml:space="preserve">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11,409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(7,904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3,505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11,245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3"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(7,589</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3,656</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75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Customer-related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7,281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(4,284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2,997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7,281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(4,047</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3,234</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75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Marketing-related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4,935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sz w:val="4"/>
                <w:szCs w:val="4"/>
              </w:rPr>
            </w:pPr>
            <w:r>
              <w:rPr>
                <w:sz w:val="4"/>
                <w:szCs w:val="4"/>
              </w:rPr>
            </w:r>
          </w:p>
        </w:tc>
        <w:tc>
          <w:tcPr>
            <w:tcW w:w="8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(2,555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2,380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4,935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sz w:val="4"/>
                <w:szCs w:val="4"/>
              </w:rPr>
            </w:pPr>
            <w:r>
              <w:rPr>
                <w:sz w:val="4"/>
                <w:szCs w:val="4"/>
              </w:rPr>
            </w:r>
          </w:p>
        </w:tc>
        <w:tc>
          <w:tcPr>
            <w:tcW w:w="833"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(2,473</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2,462</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75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Contract-based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w:t>
            </w:r>
          </w:p>
        </w:tc>
        <w:tc>
          <w:tcPr>
            <w:tcW w:w="16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75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23,655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(14,760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8,895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23,490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3"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(14,124</w:t>
            </w:r>
          </w:p>
        </w:tc>
        <w:tc>
          <w:tcPr>
            <w:tcW w:w="166"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9,366</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Intangible assets amortization expense was $636</w:t>
      </w:r>
      <w:r>
        <w:rPr>
          <w:rFonts w:ascii="Times New Roman" w:hAnsi="Times New Roman"/>
          <w:color w:val="000000"/>
          <w:sz w:val="20"/>
        </w:rPr>
        <w:t xml:space="preserve"> </w:t>
      </w:r>
      <w:r>
        <w:rPr>
          <w:rFonts w:ascii="Arial" w:hAnsi="Arial"/>
          <w:b w:val="false"/>
          <w:color w:val="000000"/>
          <w:sz w:val="20"/>
        </w:rPr>
        <w:t>million and $633</w:t>
      </w:r>
      <w:r>
        <w:rPr>
          <w:rFonts w:ascii="Times New Roman" w:hAnsi="Times New Roman"/>
          <w:color w:val="000000"/>
          <w:sz w:val="20"/>
        </w:rPr>
        <w:t xml:space="preserve"> </w:t>
      </w:r>
      <w:r>
        <w:rPr>
          <w:rFonts w:ascii="Arial" w:hAnsi="Arial"/>
          <w:b w:val="false"/>
          <w:color w:val="000000"/>
          <w:sz w:val="20"/>
        </w:rPr>
        <w:t>million for the three months ended September 30, 2023 and 2022, respectively.</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outlines the estimated future amortization expense related to intangible assets held as of September 30, 2023:</w:t>
      </w:r>
    </w:p>
    <w:p>
      <w:pPr>
        <w:pStyle w:val="TextBody"/>
        <w:bidi w:val="0"/>
        <w:jc w:val="both"/>
        <w:rPr/>
      </w:pPr>
      <w:r>
        <w:rPr/>
        <w:t> </w:t>
      </w:r>
    </w:p>
    <w:tbl>
      <w:tblPr>
        <w:tblW w:w="7100" w:type="dxa"/>
        <w:jc w:val="left"/>
        <w:tblInd w:w="0" w:type="dxa"/>
        <w:tblLayout w:type="fixed"/>
        <w:tblCellMar>
          <w:top w:w="28" w:type="dxa"/>
          <w:left w:w="28" w:type="dxa"/>
          <w:bottom w:w="28" w:type="dxa"/>
          <w:right w:w="28" w:type="dxa"/>
        </w:tblCellMar>
      </w:tblPr>
      <w:tblGrid>
        <w:gridCol w:w="5476"/>
        <w:gridCol w:w="146"/>
        <w:gridCol w:w="211"/>
        <w:gridCol w:w="586"/>
        <w:gridCol w:w="68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547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ind w:left="0" w:right="0" w:firstLine="245"/>
              <w:jc w:val="left"/>
              <w:rPr/>
            </w:pPr>
            <w:r>
              <w:rPr/>
              <w:t> </w:t>
            </w:r>
          </w:p>
        </w:tc>
      </w:tr>
      <w:tr>
        <w:trPr/>
        <w:tc>
          <w:tcPr>
            <w:tcW w:w="547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2024 (excluding the three months ended September 30,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1,748</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547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2025</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1,905</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1,407</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2027</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952</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675</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Thereafter</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2,208</w:t>
            </w:r>
          </w:p>
        </w:tc>
        <w:tc>
          <w:tcPr>
            <w:tcW w:w="68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547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8,895</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b w:val="false"/>
          <w:color w:val="000000"/>
          <w:sz w:val="20"/>
          <w:u w:val="single"/>
        </w:rPr>
        <w:t xml:space="preserve">NOTE 9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DEBT</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Short-term Debt</w:t>
      </w:r>
    </w:p>
    <w:p>
      <w:pPr>
        <w:pStyle w:val="TextBody"/>
        <w:bidi w:val="0"/>
        <w:spacing w:before="180" w:after="283"/>
        <w:jc w:val="both"/>
        <w:rPr>
          <w:rFonts w:ascii="Times New Roman" w:hAnsi="Times New Roman"/>
          <w:sz w:val="20"/>
        </w:rPr>
      </w:pPr>
      <w:r>
        <w:rPr>
          <w:rFonts w:ascii="Arial" w:hAnsi="Arial"/>
          <w:b w:val="false"/>
          <w:color w:val="000000"/>
          <w:sz w:val="20"/>
        </w:rPr>
        <w:t>As of September 30, 2023, we had $25.8</w:t>
      </w:r>
      <w:r>
        <w:rPr>
          <w:rFonts w:ascii="Times New Roman" w:hAnsi="Times New Roman"/>
          <w:color w:val="000000"/>
          <w:sz w:val="20"/>
        </w:rPr>
        <w:t xml:space="preserve"> </w:t>
      </w:r>
      <w:r>
        <w:rPr>
          <w:rFonts w:ascii="Arial" w:hAnsi="Arial"/>
          <w:b w:val="false"/>
          <w:color w:val="000000"/>
          <w:sz w:val="20"/>
        </w:rPr>
        <w:t>billion of commercial paper issued and outstanding, with a weighted average interest rate of 5.4% and maturities ranging from 7</w:t>
      </w:r>
      <w:r>
        <w:rPr>
          <w:rFonts w:ascii="Times New Roman" w:hAnsi="Times New Roman"/>
          <w:color w:val="000000"/>
          <w:sz w:val="20"/>
        </w:rPr>
        <w:t xml:space="preserve"> </w:t>
      </w:r>
      <w:r>
        <w:rPr>
          <w:rFonts w:ascii="Arial" w:hAnsi="Arial"/>
          <w:b w:val="false"/>
          <w:color w:val="000000"/>
          <w:sz w:val="20"/>
        </w:rPr>
        <w:t>days to 190</w:t>
      </w:r>
      <w:r>
        <w:rPr>
          <w:rFonts w:ascii="Times New Roman" w:hAnsi="Times New Roman"/>
          <w:color w:val="000000"/>
          <w:sz w:val="20"/>
        </w:rPr>
        <w:t xml:space="preserve"> </w:t>
      </w:r>
      <w:r>
        <w:rPr>
          <w:rFonts w:ascii="Arial" w:hAnsi="Arial"/>
          <w:b w:val="false"/>
          <w:color w:val="000000"/>
          <w:sz w:val="20"/>
        </w:rPr>
        <w:t>days. The estimated fair value of this commercial paper approximates its carrying value. As of June 30, 2023, we had no</w:t>
      </w:r>
      <w:r>
        <w:rPr>
          <w:rFonts w:ascii="Times New Roman" w:hAnsi="Times New Roman"/>
          <w:color w:val="000000"/>
          <w:sz w:val="20"/>
        </w:rPr>
        <w:t xml:space="preserve"> </w:t>
      </w:r>
      <w:r>
        <w:rPr>
          <w:rFonts w:ascii="Arial" w:hAnsi="Arial"/>
          <w:b w:val="false"/>
          <w:color w:val="000000"/>
          <w:sz w:val="20"/>
        </w:rPr>
        <w:t>commercial paper issued or outstanding.</w:t>
      </w:r>
    </w:p>
    <w:p>
      <w:pPr>
        <w:pStyle w:val="TextBody"/>
        <w:bidi w:val="0"/>
        <w:spacing w:before="270" w:after="283"/>
        <w:jc w:val="both"/>
        <w:rPr>
          <w:rFonts w:ascii="Arial" w:hAnsi="Arial"/>
          <w:b/>
          <w:color w:val="000000"/>
          <w:sz w:val="20"/>
        </w:rPr>
      </w:pPr>
      <w:r>
        <w:rPr>
          <w:rFonts w:ascii="Arial" w:hAnsi="Arial"/>
          <w:b/>
          <w:color w:val="000000"/>
          <w:sz w:val="20"/>
        </w:rPr>
        <w:t>Long-term Debt</w:t>
      </w:r>
    </w:p>
    <w:p>
      <w:pPr>
        <w:pStyle w:val="TextBody"/>
        <w:bidi w:val="0"/>
        <w:spacing w:before="180" w:after="283"/>
        <w:jc w:val="both"/>
        <w:rPr>
          <w:rFonts w:ascii="Arial" w:hAnsi="Arial"/>
          <w:b w:val="false"/>
          <w:color w:val="000000"/>
          <w:sz w:val="20"/>
        </w:rPr>
      </w:pPr>
      <w:r>
        <w:rPr>
          <w:rFonts w:ascii="Arial" w:hAnsi="Arial"/>
          <w:b w:val="false"/>
          <w:color w:val="000000"/>
          <w:sz w:val="20"/>
        </w:rPr>
        <w:t>The components of long-term debt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7"/>
        <w:gridCol w:w="146"/>
        <w:gridCol w:w="146"/>
        <w:gridCol w:w="526"/>
        <w:gridCol w:w="226"/>
        <w:gridCol w:w="526"/>
        <w:gridCol w:w="146"/>
        <w:gridCol w:w="146"/>
        <w:gridCol w:w="553"/>
        <w:gridCol w:w="226"/>
        <w:gridCol w:w="553"/>
        <w:gridCol w:w="146"/>
        <w:gridCol w:w="146"/>
        <w:gridCol w:w="553"/>
        <w:gridCol w:w="226"/>
        <w:gridCol w:w="553"/>
        <w:gridCol w:w="146"/>
        <w:gridCol w:w="146"/>
        <w:gridCol w:w="236"/>
        <w:gridCol w:w="774"/>
        <w:gridCol w:w="166"/>
        <w:gridCol w:w="146"/>
        <w:gridCol w:w="211"/>
        <w:gridCol w:w="691"/>
        <w:gridCol w:w="684"/>
      </w:tblGrid>
      <w:tr>
        <w:trPr/>
        <w:tc>
          <w:tcPr>
            <w:tcW w:w="2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issuance by calendar year)</w:t>
            </w:r>
          </w:p>
        </w:tc>
        <w:tc>
          <w:tcPr>
            <w:tcW w:w="146" w:type="dxa"/>
            <w:tcBorders/>
            <w:vAlign w:val="center"/>
          </w:tcPr>
          <w:p>
            <w:pPr>
              <w:pStyle w:val="TableContents"/>
              <w:bidi w:val="0"/>
              <w:spacing w:before="0" w:after="283"/>
              <w:jc w:val="left"/>
              <w:rPr>
                <w:sz w:val="4"/>
                <w:szCs w:val="4"/>
              </w:rPr>
            </w:pPr>
            <w:r>
              <w:rPr>
                <w:sz w:val="4"/>
                <w:szCs w:val="4"/>
              </w:rPr>
            </w:r>
          </w:p>
        </w:tc>
        <w:tc>
          <w:tcPr>
            <w:tcW w:w="1424" w:type="dxa"/>
            <w:gridSpan w:val="4"/>
            <w:tcBorders/>
            <w:vAlign w:val="center"/>
          </w:tcPr>
          <w:p>
            <w:pPr>
              <w:pStyle w:val="TableContents"/>
              <w:bidi w:val="0"/>
              <w:jc w:val="center"/>
              <w:rPr>
                <w:rFonts w:ascii="Arial" w:hAnsi="Arial"/>
                <w:b/>
                <w:color w:val="000000"/>
                <w:sz w:val="15"/>
              </w:rPr>
            </w:pPr>
            <w:r>
              <w:rPr>
                <w:rFonts w:ascii="Arial" w:hAnsi="Arial"/>
                <w:b/>
                <w:color w:val="000000"/>
                <w:sz w:val="15"/>
              </w:rPr>
              <w:t>Maturities</w:t>
            </w:r>
          </w:p>
          <w:p>
            <w:pPr>
              <w:pStyle w:val="TableContents"/>
              <w:bidi w:val="0"/>
              <w:spacing w:before="0" w:after="283"/>
              <w:jc w:val="center"/>
              <w:rPr>
                <w:rFonts w:ascii="Arial" w:hAnsi="Arial"/>
                <w:b/>
                <w:color w:val="000000"/>
                <w:sz w:val="15"/>
              </w:rPr>
            </w:pPr>
            <w:r>
              <w:rPr>
                <w:rFonts w:ascii="Arial" w:hAnsi="Arial"/>
                <w:b/>
                <w:color w:val="000000"/>
                <w:sz w:val="15"/>
              </w:rPr>
              <w:t>(calendar year)</w:t>
            </w:r>
          </w:p>
        </w:tc>
        <w:tc>
          <w:tcPr>
            <w:tcW w:w="146" w:type="dxa"/>
            <w:tcBorders/>
            <w:vAlign w:val="center"/>
          </w:tcPr>
          <w:p>
            <w:pPr>
              <w:pStyle w:val="TableContents"/>
              <w:bidi w:val="0"/>
              <w:spacing w:before="0" w:after="283"/>
              <w:jc w:val="left"/>
              <w:rPr>
                <w:sz w:val="4"/>
                <w:szCs w:val="4"/>
              </w:rPr>
            </w:pPr>
            <w:r>
              <w:rPr>
                <w:sz w:val="4"/>
                <w:szCs w:val="4"/>
              </w:rPr>
            </w:r>
          </w:p>
        </w:tc>
        <w:tc>
          <w:tcPr>
            <w:tcW w:w="1478" w:type="dxa"/>
            <w:gridSpan w:val="4"/>
            <w:tcBorders/>
            <w:vAlign w:val="center"/>
          </w:tcPr>
          <w:p>
            <w:pPr>
              <w:pStyle w:val="TableContents"/>
              <w:bidi w:val="0"/>
              <w:jc w:val="center"/>
              <w:rPr>
                <w:rFonts w:ascii="Arial" w:hAnsi="Arial"/>
                <w:b/>
                <w:color w:val="000000"/>
                <w:sz w:val="15"/>
              </w:rPr>
            </w:pPr>
            <w:r>
              <w:rPr>
                <w:rFonts w:ascii="Arial" w:hAnsi="Arial"/>
                <w:b/>
                <w:color w:val="000000"/>
                <w:sz w:val="15"/>
              </w:rPr>
              <w:t>Stated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jc w:val="center"/>
              <w:rPr>
                <w:rFonts w:ascii="Arial" w:hAnsi="Arial"/>
                <w:b/>
                <w:color w:val="000000"/>
                <w:sz w:val="15"/>
              </w:rPr>
            </w:pPr>
            <w:r>
              <w:rPr>
                <w:rFonts w:ascii="Arial" w:hAnsi="Arial"/>
                <w:b/>
                <w:color w:val="000000"/>
                <w:sz w:val="15"/>
              </w:rPr>
              <w:t>Effective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4" w:type="dxa"/>
            <w:tcBorders/>
            <w:vAlign w:val="center"/>
          </w:tcPr>
          <w:p>
            <w:pPr>
              <w:pStyle w:val="TableContents"/>
              <w:bidi w:val="0"/>
              <w:spacing w:before="0" w:after="283"/>
              <w:jc w:val="left"/>
              <w:rPr>
                <w:sz w:val="4"/>
                <w:szCs w:val="4"/>
              </w:rPr>
            </w:pPr>
            <w:r>
              <w:rPr>
                <w:sz w:val="4"/>
                <w:szCs w:val="4"/>
              </w:rPr>
            </w:r>
          </w:p>
        </w:tc>
      </w:tr>
      <w:tr>
        <w:trPr/>
        <w:tc>
          <w:tcPr>
            <w:tcW w:w="218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78"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24"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8"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8" w:type="dxa"/>
            <w:gridSpan w:val="4"/>
            <w:tcBorders/>
            <w:vAlign w:val="center"/>
          </w:tcPr>
          <w:p>
            <w:pPr>
              <w:pStyle w:val="TableContents"/>
              <w:bidi w:val="0"/>
              <w:spacing w:before="0" w:after="283"/>
              <w:jc w:val="left"/>
              <w:rPr/>
            </w:pPr>
            <w:r>
              <w:rPr/>
              <w:t> </w:t>
            </w:r>
          </w:p>
        </w:tc>
        <w:tc>
          <w:tcPr>
            <w:tcW w:w="292" w:type="dxa"/>
            <w:gridSpan w:val="2"/>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ind w:left="0" w:right="0" w:firstLine="245"/>
              <w:jc w:val="left"/>
              <w:rPr/>
            </w:pPr>
            <w:r>
              <w:rPr/>
              <w:t> </w:t>
            </w:r>
          </w:p>
        </w:tc>
      </w:tr>
      <w:tr>
        <w:trPr/>
        <w:tc>
          <w:tcPr>
            <w:tcW w:w="2187"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2009</w:t>
            </w:r>
            <w:r>
              <w:rPr>
                <w:rFonts w:ascii="Times New Roman" w:hAnsi="Times New Roman"/>
                <w:color w:val="000000"/>
                <w:sz w:val="20"/>
              </w:rPr>
              <w:t> </w:t>
            </w:r>
            <w:r>
              <w:rPr>
                <w:rFonts w:ascii="Arial" w:hAnsi="Arial"/>
                <w:b w:val="false"/>
                <w:color w:val="000000"/>
                <w:sz w:val="20"/>
              </w:rPr>
              <w:t>issuance of $3.8</w:t>
            </w:r>
            <w:r>
              <w:rPr>
                <w:rFonts w:ascii="Times New Roman" w:hAnsi="Times New Roman"/>
                <w:color w:val="000000"/>
                <w:sz w:val="20"/>
              </w:rPr>
              <w:t> </w:t>
            </w:r>
            <w:r>
              <w:rPr>
                <w:rFonts w:ascii="Arial" w:hAnsi="Arial"/>
                <w:b w:val="false"/>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2039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5.20%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5.24%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520</w:t>
            </w:r>
          </w:p>
        </w:tc>
        <w:tc>
          <w:tcPr>
            <w:tcW w:w="684"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2010</w:t>
            </w:r>
            <w:r>
              <w:rPr>
                <w:rFonts w:ascii="Times New Roman" w:hAnsi="Times New Roman"/>
                <w:color w:val="000000"/>
                <w:sz w:val="20"/>
              </w:rPr>
              <w:t> </w:t>
            </w:r>
            <w:r>
              <w:rPr>
                <w:rFonts w:ascii="Arial" w:hAnsi="Arial"/>
                <w:b w:val="false"/>
                <w:color w:val="000000"/>
                <w:sz w:val="20"/>
              </w:rPr>
              <w:t>issuance of $4.8</w:t>
            </w:r>
            <w:r>
              <w:rPr>
                <w:rFonts w:ascii="Times New Roman" w:hAnsi="Times New Roman"/>
                <w:color w:val="000000"/>
                <w:sz w:val="20"/>
              </w:rPr>
              <w:t> </w:t>
            </w:r>
            <w:r>
              <w:rPr>
                <w:rFonts w:ascii="Arial" w:hAnsi="Arial"/>
                <w:b w:val="false"/>
                <w:color w:val="000000"/>
                <w:sz w:val="20"/>
              </w:rPr>
              <w:t>billion</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2040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4.57%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486</w:t>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2011</w:t>
            </w:r>
            <w:r>
              <w:rPr>
                <w:rFonts w:ascii="Times New Roman" w:hAnsi="Times New Roman"/>
                <w:color w:val="000000"/>
                <w:sz w:val="20"/>
              </w:rPr>
              <w:t> </w:t>
            </w:r>
            <w:r>
              <w:rPr>
                <w:rFonts w:ascii="Arial" w:hAnsi="Arial"/>
                <w:b w:val="false"/>
                <w:color w:val="000000"/>
                <w:sz w:val="20"/>
              </w:rPr>
              <w:t>issuance of $2.3</w:t>
            </w:r>
            <w:r>
              <w:rPr>
                <w:rFonts w:ascii="Times New Roman" w:hAnsi="Times New Roman"/>
                <w:color w:val="000000"/>
                <w:sz w:val="20"/>
              </w:rPr>
              <w:t> </w:t>
            </w:r>
            <w:r>
              <w:rPr>
                <w:rFonts w:ascii="Arial" w:hAnsi="Arial"/>
                <w:b w:val="false"/>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2041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5.30%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5.36%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sz w:val="4"/>
                <w:szCs w:val="4"/>
              </w:rPr>
            </w:pPr>
            <w:r>
              <w:rPr>
                <w:sz w:val="4"/>
                <w:szCs w:val="4"/>
              </w:rPr>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w:t>
            </w:r>
          </w:p>
        </w:tc>
        <w:tc>
          <w:tcPr>
            <w:tcW w:w="684"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shd w:fill="FFFFFF"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2012</w:t>
            </w:r>
            <w:r>
              <w:rPr>
                <w:rFonts w:ascii="Times New Roman" w:hAnsi="Times New Roman"/>
                <w:color w:val="000000"/>
                <w:sz w:val="20"/>
              </w:rPr>
              <w:t> </w:t>
            </w:r>
            <w:r>
              <w:rPr>
                <w:rFonts w:ascii="Arial" w:hAnsi="Arial"/>
                <w:b w:val="false"/>
                <w:color w:val="000000"/>
                <w:sz w:val="20"/>
              </w:rPr>
              <w:t>issuance of $2.3</w:t>
            </w:r>
            <w:r>
              <w:rPr>
                <w:rFonts w:ascii="Times New Roman" w:hAnsi="Times New Roman"/>
                <w:color w:val="000000"/>
                <w:sz w:val="20"/>
              </w:rPr>
              <w:t> </w:t>
            </w:r>
            <w:r>
              <w:rPr>
                <w:rFonts w:ascii="Arial" w:hAnsi="Arial"/>
                <w:b w:val="false"/>
                <w:color w:val="000000"/>
                <w:sz w:val="20"/>
              </w:rPr>
              <w:t>billion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center"/>
              <w:rPr/>
            </w:pPr>
            <w:r>
              <w:rPr/>
              <w:t> </w:t>
            </w:r>
          </w:p>
        </w:tc>
        <w:tc>
          <w:tcPr>
            <w:tcW w:w="553"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center"/>
              <w:rPr/>
            </w:pPr>
            <w:r>
              <w:rPr/>
              <w:t> </w:t>
            </w:r>
          </w:p>
        </w:tc>
        <w:tc>
          <w:tcPr>
            <w:tcW w:w="553"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454</w:t>
            </w:r>
          </w:p>
        </w:tc>
        <w:tc>
          <w:tcPr>
            <w:tcW w:w="684" w:type="dxa"/>
            <w:tcBorders/>
            <w:shd w:fill="FFFFFF" w:val="clear"/>
            <w:vAlign w:val="center"/>
          </w:tcPr>
          <w:p>
            <w:pPr>
              <w:pStyle w:val="TableContents"/>
              <w:bidi w:val="0"/>
              <w:spacing w:before="0" w:after="283"/>
              <w:ind w:left="0" w:right="0" w:firstLine="245"/>
              <w:jc w:val="left"/>
              <w:rPr/>
            </w:pPr>
            <w:r>
              <w:rPr/>
              <w:t> </w:t>
            </w:r>
          </w:p>
        </w:tc>
      </w:tr>
      <w:tr>
        <w:trPr/>
        <w:tc>
          <w:tcPr>
            <w:tcW w:w="2187"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2013</w:t>
            </w:r>
            <w:r>
              <w:rPr>
                <w:rFonts w:ascii="Times New Roman" w:hAnsi="Times New Roman"/>
                <w:color w:val="000000"/>
                <w:sz w:val="20"/>
              </w:rPr>
              <w:t> </w:t>
            </w:r>
            <w:r>
              <w:rPr>
                <w:rFonts w:ascii="Arial" w:hAnsi="Arial"/>
                <w:b w:val="false"/>
                <w:color w:val="000000"/>
                <w:sz w:val="20"/>
              </w:rPr>
              <w:t>issuance of $5.2</w:t>
            </w:r>
            <w:r>
              <w:rPr>
                <w:rFonts w:ascii="Times New Roman" w:hAnsi="Times New Roman"/>
                <w:color w:val="000000"/>
                <w:sz w:val="20"/>
              </w:rPr>
              <w:t> </w:t>
            </w:r>
            <w:r>
              <w:rPr>
                <w:rFonts w:ascii="Arial" w:hAnsi="Arial"/>
                <w:b w:val="false"/>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2023</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2043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3.63%</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4.88%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3.73%</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4.92%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sz w:val="4"/>
                <w:szCs w:val="4"/>
              </w:rPr>
            </w:pPr>
            <w:r>
              <w:rPr>
                <w:sz w:val="4"/>
                <w:szCs w:val="4"/>
              </w:rPr>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1,814</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1,814</w:t>
            </w:r>
          </w:p>
        </w:tc>
        <w:tc>
          <w:tcPr>
            <w:tcW w:w="684"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2013</w:t>
            </w:r>
            <w:r>
              <w:rPr>
                <w:rFonts w:ascii="Times New Roman" w:hAnsi="Times New Roman"/>
                <w:color w:val="000000"/>
                <w:sz w:val="20"/>
              </w:rPr>
              <w:t> </w:t>
            </w:r>
            <w:r>
              <w:rPr>
                <w:rFonts w:ascii="Arial" w:hAnsi="Arial"/>
                <w:b w:val="false"/>
                <w:color w:val="000000"/>
                <w:sz w:val="20"/>
              </w:rPr>
              <w:t>issuance of €4.1</w:t>
            </w:r>
            <w:r>
              <w:rPr>
                <w:rFonts w:ascii="Times New Roman" w:hAnsi="Times New Roman"/>
                <w:color w:val="000000"/>
                <w:sz w:val="20"/>
              </w:rPr>
              <w:t> </w:t>
            </w:r>
            <w:r>
              <w:rPr>
                <w:rFonts w:ascii="Arial" w:hAnsi="Arial"/>
                <w:b w:val="false"/>
                <w:color w:val="000000"/>
                <w:sz w:val="20"/>
              </w:rPr>
              <w:t>billion</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2028</w:t>
            </w:r>
          </w:p>
        </w:tc>
        <w:tc>
          <w:tcPr>
            <w:tcW w:w="226" w:type="dxa"/>
            <w:tcBorders/>
            <w:vAlign w:val="center"/>
          </w:tcPr>
          <w:p>
            <w:pPr>
              <w:pStyle w:val="TableContents"/>
              <w:bidi w:val="0"/>
              <w:spacing w:before="0" w:after="283"/>
              <w:jc w:val="center"/>
              <w:rPr>
                <w:color w:val="000000"/>
              </w:rPr>
            </w:pPr>
            <w:r>
              <w:rPr>
                <w:color w:val="000000"/>
              </w:rPr>
              <w:t>–</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2033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226" w:type="dxa"/>
            <w:tcBorders/>
            <w:vAlign w:val="center"/>
          </w:tcPr>
          <w:p>
            <w:pPr>
              <w:pStyle w:val="TableContents"/>
              <w:bidi w:val="0"/>
              <w:spacing w:before="0" w:after="283"/>
              <w:jc w:val="center"/>
              <w:rPr>
                <w:color w:val="000000"/>
              </w:rPr>
            </w:pPr>
            <w:r>
              <w:rPr>
                <w:color w:val="000000"/>
              </w:rPr>
              <w:t>–</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3.13%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2.69%</w:t>
            </w:r>
          </w:p>
        </w:tc>
        <w:tc>
          <w:tcPr>
            <w:tcW w:w="226" w:type="dxa"/>
            <w:tcBorders/>
            <w:vAlign w:val="center"/>
          </w:tcPr>
          <w:p>
            <w:pPr>
              <w:pStyle w:val="TableContents"/>
              <w:bidi w:val="0"/>
              <w:spacing w:before="0" w:after="283"/>
              <w:jc w:val="center"/>
              <w:rPr>
                <w:color w:val="000000"/>
              </w:rPr>
            </w:pPr>
            <w:r>
              <w:rPr>
                <w:color w:val="000000"/>
              </w:rPr>
              <w:t>–</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3.22%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2,435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2,509</w:t>
            </w:r>
          </w:p>
        </w:tc>
        <w:tc>
          <w:tcPr>
            <w:tcW w:w="684" w:type="dxa"/>
            <w:tcBorders/>
            <w:vAlign w:val="center"/>
          </w:tcPr>
          <w:p>
            <w:pPr>
              <w:pStyle w:val="TableContents"/>
              <w:bidi w:val="0"/>
              <w:spacing w:before="0" w:after="283"/>
              <w:ind w:left="0" w:right="0" w:firstLine="245"/>
              <w:jc w:val="left"/>
              <w:rPr/>
            </w:pPr>
            <w:r>
              <w:rPr/>
              <w:t> </w:t>
            </w:r>
          </w:p>
        </w:tc>
      </w:tr>
      <w:tr>
        <w:trPr/>
        <w:tc>
          <w:tcPr>
            <w:tcW w:w="2187"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2015</w:t>
            </w:r>
            <w:r>
              <w:rPr>
                <w:rFonts w:ascii="Times New Roman" w:hAnsi="Times New Roman"/>
                <w:color w:val="000000"/>
                <w:sz w:val="20"/>
              </w:rPr>
              <w:t> </w:t>
            </w:r>
            <w:r>
              <w:rPr>
                <w:rFonts w:ascii="Arial" w:hAnsi="Arial"/>
                <w:b w:val="false"/>
                <w:color w:val="000000"/>
                <w:sz w:val="20"/>
              </w:rPr>
              <w:t>issuance of $23.8</w:t>
            </w:r>
            <w:r>
              <w:rPr>
                <w:rFonts w:ascii="Times New Roman" w:hAnsi="Times New Roman"/>
                <w:color w:val="000000"/>
                <w:sz w:val="20"/>
              </w:rPr>
              <w:t> </w:t>
            </w:r>
            <w:r>
              <w:rPr>
                <w:rFonts w:ascii="Arial" w:hAnsi="Arial"/>
                <w:b w:val="false"/>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2055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2.70%</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4.75%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2.77%</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4.78%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sz w:val="4"/>
                <w:szCs w:val="4"/>
              </w:rPr>
            </w:pPr>
            <w:r>
              <w:rPr>
                <w:sz w:val="4"/>
                <w:szCs w:val="4"/>
              </w:rPr>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9,805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9,805</w:t>
            </w:r>
          </w:p>
        </w:tc>
        <w:tc>
          <w:tcPr>
            <w:tcW w:w="684"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2016</w:t>
            </w:r>
            <w:r>
              <w:rPr>
                <w:rFonts w:ascii="Times New Roman" w:hAnsi="Times New Roman"/>
                <w:color w:val="000000"/>
                <w:sz w:val="20"/>
              </w:rPr>
              <w:t> </w:t>
            </w:r>
            <w:r>
              <w:rPr>
                <w:rFonts w:ascii="Arial" w:hAnsi="Arial"/>
                <w:b w:val="false"/>
                <w:color w:val="000000"/>
                <w:sz w:val="20"/>
              </w:rPr>
              <w:t>issuance of $19.8</w:t>
            </w:r>
            <w:r>
              <w:rPr>
                <w:rFonts w:ascii="Times New Roman" w:hAnsi="Times New Roman"/>
                <w:color w:val="000000"/>
                <w:sz w:val="20"/>
              </w:rPr>
              <w:t> </w:t>
            </w:r>
            <w:r>
              <w:rPr>
                <w:rFonts w:ascii="Arial" w:hAnsi="Arial"/>
                <w:b w:val="false"/>
                <w:color w:val="000000"/>
                <w:sz w:val="20"/>
              </w:rPr>
              <w:t>billion</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vAlign w:val="center"/>
          </w:tcPr>
          <w:p>
            <w:pPr>
              <w:pStyle w:val="TableContents"/>
              <w:bidi w:val="0"/>
              <w:spacing w:before="0" w:after="283"/>
              <w:jc w:val="center"/>
              <w:rPr>
                <w:color w:val="000000"/>
              </w:rPr>
            </w:pPr>
            <w:r>
              <w:rPr>
                <w:color w:val="000000"/>
              </w:rPr>
              <w:t>–</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2056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226" w:type="dxa"/>
            <w:tcBorders/>
            <w:vAlign w:val="center"/>
          </w:tcPr>
          <w:p>
            <w:pPr>
              <w:pStyle w:val="TableContents"/>
              <w:bidi w:val="0"/>
              <w:spacing w:before="0" w:after="283"/>
              <w:jc w:val="center"/>
              <w:rPr>
                <w:color w:val="000000"/>
              </w:rPr>
            </w:pPr>
            <w:r>
              <w:rPr>
                <w:color w:val="000000"/>
              </w:rPr>
              <w:t>–</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3.95%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2.46%</w:t>
            </w:r>
          </w:p>
        </w:tc>
        <w:tc>
          <w:tcPr>
            <w:tcW w:w="226" w:type="dxa"/>
            <w:tcBorders/>
            <w:vAlign w:val="center"/>
          </w:tcPr>
          <w:p>
            <w:pPr>
              <w:pStyle w:val="TableContents"/>
              <w:bidi w:val="0"/>
              <w:spacing w:before="0" w:after="283"/>
              <w:jc w:val="center"/>
              <w:rPr>
                <w:color w:val="000000"/>
              </w:rPr>
            </w:pPr>
            <w:r>
              <w:rPr>
                <w:color w:val="000000"/>
              </w:rPr>
              <w:t>–</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4.03%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7,930</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9,430</w:t>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2017</w:t>
            </w:r>
            <w:r>
              <w:rPr>
                <w:rFonts w:ascii="Times New Roman" w:hAnsi="Times New Roman"/>
                <w:color w:val="000000"/>
                <w:sz w:val="20"/>
              </w:rPr>
              <w:t> </w:t>
            </w:r>
            <w:r>
              <w:rPr>
                <w:rFonts w:ascii="Arial" w:hAnsi="Arial"/>
                <w:b w:val="false"/>
                <w:color w:val="000000"/>
                <w:sz w:val="20"/>
              </w:rPr>
              <w:t>issuance of $17.0</w:t>
            </w:r>
            <w:r>
              <w:rPr>
                <w:rFonts w:ascii="Times New Roman" w:hAnsi="Times New Roman"/>
                <w:color w:val="000000"/>
                <w:sz w:val="20"/>
              </w:rPr>
              <w:t> </w:t>
            </w:r>
            <w:r>
              <w:rPr>
                <w:rFonts w:ascii="Arial" w:hAnsi="Arial"/>
                <w:b w:val="false"/>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2024</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2057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2.88%</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3.04%</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4.53%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sz w:val="4"/>
                <w:szCs w:val="4"/>
              </w:rPr>
            </w:pPr>
            <w:r>
              <w:rPr>
                <w:sz w:val="4"/>
                <w:szCs w:val="4"/>
              </w:rPr>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8,945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8,945</w:t>
            </w:r>
          </w:p>
        </w:tc>
        <w:tc>
          <w:tcPr>
            <w:tcW w:w="684"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2020</w:t>
            </w:r>
            <w:r>
              <w:rPr>
                <w:rFonts w:ascii="Times New Roman" w:hAnsi="Times New Roman"/>
                <w:color w:val="000000"/>
                <w:sz w:val="20"/>
              </w:rPr>
              <w:t> </w:t>
            </w:r>
            <w:r>
              <w:rPr>
                <w:rFonts w:ascii="Arial" w:hAnsi="Arial"/>
                <w:b w:val="false"/>
                <w:color w:val="000000"/>
                <w:sz w:val="20"/>
              </w:rPr>
              <w:t>issuance of $10.0</w:t>
            </w:r>
            <w:r>
              <w:rPr>
                <w:rFonts w:ascii="Times New Roman" w:hAnsi="Times New Roman"/>
                <w:color w:val="000000"/>
                <w:sz w:val="20"/>
              </w:rPr>
              <w:t> </w:t>
            </w:r>
            <w:r>
              <w:rPr>
                <w:rFonts w:ascii="Arial" w:hAnsi="Arial"/>
                <w:b w:val="false"/>
                <w:color w:val="000000"/>
                <w:sz w:val="20"/>
              </w:rPr>
              <w:t>billion</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2050</w:t>
            </w:r>
          </w:p>
        </w:tc>
        <w:tc>
          <w:tcPr>
            <w:tcW w:w="226" w:type="dxa"/>
            <w:tcBorders/>
            <w:vAlign w:val="center"/>
          </w:tcPr>
          <w:p>
            <w:pPr>
              <w:pStyle w:val="TableContents"/>
              <w:bidi w:val="0"/>
              <w:spacing w:before="0" w:after="283"/>
              <w:jc w:val="center"/>
              <w:rPr>
                <w:color w:val="000000"/>
              </w:rPr>
            </w:pPr>
            <w:r>
              <w:rPr>
                <w:color w:val="000000"/>
              </w:rPr>
              <w:t>–</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2060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2.53%</w:t>
            </w:r>
          </w:p>
        </w:tc>
        <w:tc>
          <w:tcPr>
            <w:tcW w:w="226" w:type="dxa"/>
            <w:tcBorders/>
            <w:vAlign w:val="center"/>
          </w:tcPr>
          <w:p>
            <w:pPr>
              <w:pStyle w:val="TableContents"/>
              <w:bidi w:val="0"/>
              <w:spacing w:before="0" w:after="283"/>
              <w:jc w:val="center"/>
              <w:rPr>
                <w:color w:val="000000"/>
              </w:rPr>
            </w:pPr>
            <w:r>
              <w:rPr>
                <w:color w:val="000000"/>
              </w:rPr>
              <w:t>–</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2.68%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2.53%</w:t>
            </w:r>
          </w:p>
        </w:tc>
        <w:tc>
          <w:tcPr>
            <w:tcW w:w="226" w:type="dxa"/>
            <w:tcBorders/>
            <w:vAlign w:val="center"/>
          </w:tcPr>
          <w:p>
            <w:pPr>
              <w:pStyle w:val="TableContents"/>
              <w:bidi w:val="0"/>
              <w:spacing w:before="0" w:after="283"/>
              <w:jc w:val="center"/>
              <w:rPr>
                <w:color w:val="000000"/>
              </w:rPr>
            </w:pPr>
            <w:r>
              <w:rPr>
                <w:color w:val="000000"/>
              </w:rPr>
              <w:t>–</w:t>
            </w:r>
          </w:p>
        </w:tc>
        <w:tc>
          <w:tcPr>
            <w:tcW w:w="55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2.68%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10,000</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10,000</w:t>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2021</w:t>
            </w:r>
            <w:r>
              <w:rPr>
                <w:rFonts w:ascii="Times New Roman" w:hAnsi="Times New Roman"/>
                <w:color w:val="000000"/>
                <w:sz w:val="20"/>
              </w:rPr>
              <w:t> </w:t>
            </w:r>
            <w:r>
              <w:rPr>
                <w:rFonts w:ascii="Arial" w:hAnsi="Arial"/>
                <w:b w:val="false"/>
                <w:color w:val="000000"/>
                <w:sz w:val="20"/>
              </w:rPr>
              <w:t>issuance of $8.2</w:t>
            </w:r>
            <w:r>
              <w:rPr>
                <w:rFonts w:ascii="Times New Roman" w:hAnsi="Times New Roman"/>
                <w:color w:val="000000"/>
                <w:sz w:val="20"/>
              </w:rPr>
              <w:t> </w:t>
            </w:r>
            <w:r>
              <w:rPr>
                <w:rFonts w:ascii="Arial" w:hAnsi="Arial"/>
                <w:b w:val="false"/>
                <w:color w:val="000000"/>
                <w:sz w:val="20"/>
              </w:rPr>
              <w:t>billion</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2052</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2062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pPr>
            <w:r>
              <w:rPr/>
              <w:t> </w:t>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8,185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8,185</w:t>
            </w:r>
          </w:p>
        </w:tc>
        <w:tc>
          <w:tcPr>
            <w:tcW w:w="684" w:type="dxa"/>
            <w:tcBorders/>
            <w:shd w:fill="E5E5E5" w:val="clear"/>
            <w:vAlign w:val="center"/>
          </w:tcPr>
          <w:p>
            <w:pPr>
              <w:pStyle w:val="TableContents"/>
              <w:bidi w:val="0"/>
              <w:spacing w:before="0" w:after="283"/>
              <w:jc w:val="left"/>
              <w:rPr/>
            </w:pPr>
            <w:r>
              <w:rPr/>
              <w:t> </w:t>
            </w:r>
          </w:p>
        </w:tc>
      </w:tr>
      <w:tr>
        <w:trPr/>
        <w:tc>
          <w:tcPr>
            <w:tcW w:w="37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7" w:type="dxa"/>
            <w:gridSpan w:val="6"/>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78" w:type="dxa"/>
            <w:gridSpan w:val="4"/>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gridSpan w:val="3"/>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ind w:left="0" w:right="0" w:firstLine="490"/>
              <w:jc w:val="left"/>
              <w:rPr/>
            </w:pPr>
            <w:r>
              <w:rPr/>
              <w:t> </w:t>
            </w:r>
          </w:p>
        </w:tc>
      </w:tr>
      <w:tr>
        <w:trPr/>
        <w:tc>
          <w:tcPr>
            <w:tcW w:w="2187"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face value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51,292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52,866</w:t>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Unamortized discount and issuance costs</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pPr>
            <w:r>
              <w:rPr/>
              <w:t> </w:t>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(431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(438</w:t>
            </w:r>
          </w:p>
        </w:tc>
        <w:tc>
          <w:tcPr>
            <w:tcW w:w="684"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2187"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 xml:space="preserve">Hedge fair value adjustments </w:t>
            </w:r>
            <w:r>
              <w:rPr>
                <w:rFonts w:ascii="Arial" w:hAnsi="Arial"/>
                <w:b w:val="false"/>
                <w:color w:val="000000"/>
                <w:sz w:val="13"/>
              </w:rPr>
              <w: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(106</w:t>
            </w:r>
          </w:p>
        </w:tc>
        <w:tc>
          <w:tcPr>
            <w:tcW w:w="684"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218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Premium on debt exchange</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pPr>
            <w:r>
              <w:rPr/>
              <w:t> </w:t>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(5,058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(5,085</w:t>
            </w:r>
          </w:p>
        </w:tc>
        <w:tc>
          <w:tcPr>
            <w:tcW w:w="684"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7" w:type="dxa"/>
            <w:gridSpan w:val="6"/>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78" w:type="dxa"/>
            <w:gridSpan w:val="4"/>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gridSpan w:val="3"/>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684" w:type="dxa"/>
            <w:tcBorders/>
            <w:shd w:fill="FFFFFF" w:val="clear"/>
            <w:vAlign w:val="center"/>
          </w:tcPr>
          <w:p>
            <w:pPr>
              <w:pStyle w:val="TableContents"/>
              <w:bidi w:val="0"/>
              <w:spacing w:before="0" w:after="283"/>
              <w:ind w:left="0" w:right="0" w:firstLine="490"/>
              <w:jc w:val="left"/>
              <w:rPr/>
            </w:pPr>
            <w:r>
              <w:rPr/>
              <w:t> </w:t>
            </w:r>
          </w:p>
        </w:tc>
      </w:tr>
      <w:tr>
        <w:trPr/>
        <w:tc>
          <w:tcPr>
            <w:tcW w:w="2187"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45,694</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47,237</w:t>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187"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Current portion of long-term debt</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3"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6" w:type="dxa"/>
            <w:tcBorders/>
            <w:shd w:fill="E5E5E5" w:val="clear"/>
            <w:vAlign w:val="center"/>
          </w:tcPr>
          <w:p>
            <w:pPr>
              <w:pStyle w:val="TableContents"/>
              <w:bidi w:val="0"/>
              <w:spacing w:before="0" w:after="283"/>
              <w:jc w:val="left"/>
              <w:rPr/>
            </w:pPr>
            <w:r>
              <w:rPr/>
              <w:t> </w:t>
            </w:r>
          </w:p>
        </w:tc>
        <w:tc>
          <w:tcPr>
            <w:tcW w:w="77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(3,748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(5,247</w:t>
            </w:r>
          </w:p>
        </w:tc>
        <w:tc>
          <w:tcPr>
            <w:tcW w:w="684"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7" w:type="dxa"/>
            <w:gridSpan w:val="6"/>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78" w:type="dxa"/>
            <w:gridSpan w:val="4"/>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gridSpan w:val="3"/>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684" w:type="dxa"/>
            <w:tcBorders/>
            <w:shd w:fill="FFFFFF" w:val="clear"/>
            <w:vAlign w:val="center"/>
          </w:tcPr>
          <w:p>
            <w:pPr>
              <w:pStyle w:val="TableContents"/>
              <w:bidi w:val="0"/>
              <w:spacing w:before="0" w:after="283"/>
              <w:ind w:left="0" w:right="0" w:firstLine="490"/>
              <w:jc w:val="left"/>
              <w:rPr/>
            </w:pPr>
            <w:r>
              <w:rPr/>
              <w:t> </w:t>
            </w:r>
          </w:p>
        </w:tc>
      </w:tr>
      <w:tr>
        <w:trPr/>
        <w:tc>
          <w:tcPr>
            <w:tcW w:w="2187"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Long-term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41,946</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41,990</w:t>
            </w:r>
          </w:p>
        </w:tc>
        <w:tc>
          <w:tcPr>
            <w:tcW w:w="684" w:type="dxa"/>
            <w:tcBorders/>
            <w:vAlign w:val="center"/>
          </w:tcPr>
          <w:p>
            <w:pPr>
              <w:pStyle w:val="TableContents"/>
              <w:bidi w:val="0"/>
              <w:spacing w:before="0" w:after="283"/>
              <w:jc w:val="left"/>
              <w:rPr/>
            </w:pPr>
            <w:r>
              <w:rPr/>
              <w:t> </w:t>
            </w:r>
          </w:p>
        </w:tc>
      </w:tr>
      <w:tr>
        <w:trPr/>
        <w:tc>
          <w:tcPr>
            <w:tcW w:w="2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b w:val="false"/>
          <w:color w:val="000000"/>
          <w:sz w:val="20"/>
        </w:rPr>
      </w:pPr>
      <w:r>
        <w:rPr>
          <w:rFonts w:ascii="Arial" w:hAnsi="Arial"/>
          <w:b w:val="false"/>
          <w:color w:val="000000"/>
          <w:sz w:val="20"/>
        </w:rPr>
        <w:t>(a)</w:t>
      </w:r>
    </w:p>
    <w:p>
      <w:pPr>
        <w:pStyle w:val="TextBody"/>
        <w:bidi w:val="0"/>
        <w:jc w:val="both"/>
        <w:rPr>
          <w:rFonts w:ascii="Arial" w:hAnsi="Arial"/>
          <w:b w:val="false"/>
          <w:i/>
          <w:color w:val="000000"/>
          <w:sz w:val="20"/>
        </w:rPr>
      </w:pPr>
      <w:r>
        <w:rPr>
          <w:rFonts w:ascii="Arial" w:hAnsi="Arial"/>
          <w:b w:val="false"/>
          <w:i/>
          <w:color w:val="000000"/>
          <w:sz w:val="20"/>
        </w:rPr>
        <w:t>Refer to Note 5 – Derivatives for further information on the interest rate swaps related to fixed-rate debt.</w:t>
      </w:r>
    </w:p>
    <w:p>
      <w:pPr>
        <w:pStyle w:val="TextBody"/>
        <w:bidi w:val="0"/>
        <w:spacing w:before="180" w:after="283"/>
        <w:jc w:val="both"/>
        <w:rPr>
          <w:rFonts w:ascii="Times New Roman" w:hAnsi="Times New Roman"/>
          <w:sz w:val="20"/>
        </w:rPr>
      </w:pPr>
      <w:r>
        <w:rPr>
          <w:rFonts w:ascii="Arial" w:hAnsi="Arial"/>
          <w:b w:val="false"/>
          <w:color w:val="000000"/>
          <w:sz w:val="20"/>
        </w:rPr>
        <w:t>As of September 30, 2023 and June 30, 2023, the estimated fair value of long-term debt, including the current portion, was $41.8</w:t>
      </w:r>
      <w:r>
        <w:rPr>
          <w:rFonts w:ascii="Times New Roman" w:hAnsi="Times New Roman"/>
          <w:color w:val="000000"/>
          <w:sz w:val="20"/>
        </w:rPr>
        <w:t xml:space="preserve"> </w:t>
      </w:r>
      <w:r>
        <w:rPr>
          <w:rFonts w:ascii="Arial" w:hAnsi="Arial"/>
          <w:b w:val="false"/>
          <w:color w:val="000000"/>
          <w:sz w:val="20"/>
        </w:rPr>
        <w:t>billion and $46.2</w:t>
      </w:r>
      <w:r>
        <w:rPr>
          <w:rFonts w:ascii="Times New Roman" w:hAnsi="Times New Roman"/>
          <w:color w:val="000000"/>
          <w:sz w:val="20"/>
        </w:rPr>
        <w:t xml:space="preserve"> </w:t>
      </w:r>
      <w:r>
        <w:rPr>
          <w:rFonts w:ascii="Arial" w:hAnsi="Arial"/>
          <w:b w:val="false"/>
          <w:color w:val="000000"/>
          <w:sz w:val="20"/>
        </w:rPr>
        <w:t>billion, respectively. The estimated fair values are based on Level 2 inputs.</w:t>
      </w:r>
    </w:p>
    <w:p>
      <w:pPr>
        <w:pStyle w:val="TextBody"/>
        <w:bidi w:val="0"/>
        <w:spacing w:before="180" w:after="283"/>
        <w:jc w:val="both"/>
        <w:rPr>
          <w:rFonts w:ascii="Arial" w:hAnsi="Arial"/>
          <w:b w:val="false"/>
          <w:color w:val="000000"/>
          <w:sz w:val="20"/>
        </w:rPr>
      </w:pPr>
      <w:r>
        <w:rPr>
          <w:rFonts w:ascii="Arial" w:hAnsi="Arial"/>
          <w:b w:val="false"/>
          <w:color w:val="000000"/>
          <w:sz w:val="20"/>
        </w:rPr>
        <w:t>Debt in the table above is comprised of senior unsecured obligations and ranks equally with our other outstanding obligations. Interest is paid semi-annually, except for the Euro-denominated debt, which is paid annually.</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outlines maturities of our long-term debt, including the current portion, as of September 30, 2023:</w:t>
      </w:r>
    </w:p>
    <w:p>
      <w:pPr>
        <w:pStyle w:val="TextBody"/>
        <w:bidi w:val="0"/>
        <w:jc w:val="both"/>
        <w:rPr/>
      </w:pPr>
      <w:r>
        <w:rPr/>
        <w:t> </w:t>
      </w:r>
    </w:p>
    <w:tbl>
      <w:tblPr>
        <w:tblW w:w="8155" w:type="dxa"/>
        <w:jc w:val="left"/>
        <w:tblInd w:w="0" w:type="dxa"/>
        <w:tblLayout w:type="fixed"/>
        <w:tblCellMar>
          <w:top w:w="28" w:type="dxa"/>
          <w:left w:w="28" w:type="dxa"/>
          <w:bottom w:w="28" w:type="dxa"/>
          <w:right w:w="28" w:type="dxa"/>
        </w:tblCellMar>
      </w:tblPr>
      <w:tblGrid>
        <w:gridCol w:w="5716"/>
        <w:gridCol w:w="386"/>
        <w:gridCol w:w="451"/>
        <w:gridCol w:w="931"/>
        <w:gridCol w:w="671"/>
      </w:tblGrid>
      <w:tr>
        <w:trPr/>
        <w:tc>
          <w:tcPr>
            <w:tcW w:w="57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71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86" w:type="dxa"/>
            <w:tcBorders/>
            <w:vAlign w:val="center"/>
          </w:tcPr>
          <w:p>
            <w:pPr>
              <w:pStyle w:val="TableContents"/>
              <w:bidi w:val="0"/>
              <w:spacing w:before="0" w:after="283"/>
              <w:jc w:val="left"/>
              <w:rPr/>
            </w:pPr>
            <w:r>
              <w:rPr/>
              <w:t> </w:t>
            </w:r>
          </w:p>
        </w:tc>
        <w:tc>
          <w:tcPr>
            <w:tcW w:w="1382" w:type="dxa"/>
            <w:gridSpan w:val="2"/>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r>
      <w:tr>
        <w:trPr/>
        <w:tc>
          <w:tcPr>
            <w:tcW w:w="57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ind w:left="0" w:right="0" w:firstLine="240"/>
              <w:jc w:val="left"/>
              <w:rPr/>
            </w:pPr>
            <w:r>
              <w:rPr/>
              <w:t> </w:t>
            </w:r>
          </w:p>
        </w:tc>
      </w:tr>
      <w:tr>
        <w:trPr/>
        <w:tc>
          <w:tcPr>
            <w:tcW w:w="5716" w:type="dxa"/>
            <w:tcBorders/>
            <w:vAlign w:val="center"/>
          </w:tcPr>
          <w:p>
            <w:pPr>
              <w:pStyle w:val="TableContents"/>
              <w:pBdr/>
              <w:bidi w:val="0"/>
              <w:spacing w:before="0" w:after="283"/>
              <w:ind w:left="0" w:right="0" w:hanging="240"/>
              <w:jc w:val="left"/>
              <w:rPr>
                <w:rFonts w:ascii="Arial" w:hAnsi="Arial"/>
                <w:b/>
                <w:color w:val="000000"/>
                <w:sz w:val="15"/>
              </w:rPr>
            </w:pPr>
            <w:r>
              <w:rPr>
                <w:rFonts w:ascii="Arial" w:hAnsi="Arial"/>
                <w:b/>
                <w:color w:val="000000"/>
                <w:sz w:val="15"/>
              </w:rPr>
              <w:t>Year Ending June 30,</w:t>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pPr>
            <w:r>
              <w:rPr/>
              <w:t> </w:t>
            </w:r>
          </w:p>
        </w:tc>
      </w:tr>
      <w:tr>
        <w:trPr/>
        <w:tc>
          <w:tcPr>
            <w:tcW w:w="57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71" w:type="dxa"/>
            <w:tcBorders/>
            <w:vAlign w:val="center"/>
          </w:tcPr>
          <w:p>
            <w:pPr>
              <w:pStyle w:val="TableContents"/>
              <w:bidi w:val="0"/>
              <w:spacing w:before="0" w:after="283"/>
              <w:ind w:left="0" w:right="0" w:firstLine="240"/>
              <w:jc w:val="left"/>
              <w:rPr/>
            </w:pPr>
            <w:r>
              <w:rPr/>
              <w:t> </w:t>
            </w:r>
          </w:p>
        </w:tc>
      </w:tr>
      <w:tr>
        <w:trPr/>
        <w:tc>
          <w:tcPr>
            <w:tcW w:w="5716" w:type="dxa"/>
            <w:tcBorders/>
            <w:shd w:fill="E5E5E5" w:val="clear"/>
            <w:vAlign w:val="center"/>
          </w:tcPr>
          <w:p>
            <w:pPr>
              <w:pStyle w:val="TableContents"/>
              <w:pBdr/>
              <w:bidi w:val="0"/>
              <w:spacing w:before="0" w:after="283"/>
              <w:ind w:left="0" w:right="0" w:firstLine="240"/>
              <w:jc w:val="left"/>
              <w:rPr>
                <w:rFonts w:ascii="Arial" w:hAnsi="Arial"/>
                <w:b w:val="false"/>
                <w:color w:val="000000"/>
                <w:sz w:val="20"/>
              </w:rPr>
            </w:pPr>
            <w:r>
              <w:rPr>
                <w:rFonts w:ascii="Arial" w:hAnsi="Arial"/>
                <w:b w:val="false"/>
                <w:color w:val="000000"/>
                <w:sz w:val="20"/>
              </w:rPr>
              <w:t>2024 (excluding the three months ended September 30, 2023)</w:t>
            </w:r>
          </w:p>
        </w:tc>
        <w:tc>
          <w:tcPr>
            <w:tcW w:w="386" w:type="dxa"/>
            <w:tcBorders/>
            <w:shd w:fill="E5E5E5" w:val="clear"/>
            <w:vAlign w:val="center"/>
          </w:tcPr>
          <w:p>
            <w:pPr>
              <w:pStyle w:val="TableContents"/>
              <w:pBdr/>
              <w:bidi w:val="0"/>
              <w:spacing w:before="0" w:after="283"/>
              <w:ind w:left="0" w:right="0" w:firstLine="240"/>
              <w:jc w:val="left"/>
              <w:rPr/>
            </w:pPr>
            <w:r>
              <w:rPr/>
              <w:t> </w:t>
            </w:r>
          </w:p>
        </w:tc>
        <w:tc>
          <w:tcPr>
            <w:tcW w:w="451" w:type="dxa"/>
            <w:tcBorders/>
            <w:shd w:fill="E5E5E5" w:val="clear"/>
            <w:vAlign w:val="center"/>
          </w:tcPr>
          <w:p>
            <w:pPr>
              <w:pStyle w:val="TableContents"/>
              <w:pBdr/>
              <w:bidi w:val="0"/>
              <w:spacing w:before="0" w:after="283"/>
              <w:ind w:left="0" w:right="0" w:firstLine="240"/>
              <w:jc w:val="left"/>
              <w:rPr>
                <w:rFonts w:ascii="Arial" w:hAnsi="Arial"/>
                <w:b/>
                <w:color w:val="000000"/>
                <w:sz w:val="20"/>
              </w:rPr>
            </w:pPr>
            <w:r>
              <w:rPr>
                <w:rFonts w:ascii="Arial" w:hAnsi="Arial"/>
                <w:b/>
                <w:color w:val="000000"/>
                <w:sz w:val="20"/>
              </w:rPr>
              <w:t>$</w:t>
            </w:r>
          </w:p>
        </w:tc>
        <w:tc>
          <w:tcPr>
            <w:tcW w:w="931" w:type="dxa"/>
            <w:tcBorders/>
            <w:shd w:fill="E5E5E5" w:val="clear"/>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3,750</w:t>
            </w:r>
          </w:p>
        </w:tc>
        <w:tc>
          <w:tcPr>
            <w:tcW w:w="671" w:type="dxa"/>
            <w:tcBorders/>
            <w:shd w:fill="E5E5E5" w:val="clear"/>
            <w:vAlign w:val="center"/>
          </w:tcPr>
          <w:p>
            <w:pPr>
              <w:pStyle w:val="TableContents"/>
              <w:pBdr/>
              <w:bidi w:val="0"/>
              <w:spacing w:before="0" w:after="283"/>
              <w:ind w:left="0" w:right="0" w:firstLine="240"/>
              <w:jc w:val="left"/>
              <w:rPr/>
            </w:pPr>
            <w:r>
              <w:rPr/>
              <w:t> </w:t>
            </w:r>
          </w:p>
        </w:tc>
      </w:tr>
      <w:tr>
        <w:trPr/>
        <w:tc>
          <w:tcPr>
            <w:tcW w:w="5716" w:type="dxa"/>
            <w:tcBorders/>
            <w:vAlign w:val="center"/>
          </w:tcPr>
          <w:p>
            <w:pPr>
              <w:pStyle w:val="TableContents"/>
              <w:pBdr/>
              <w:bidi w:val="0"/>
              <w:spacing w:before="0" w:after="283"/>
              <w:ind w:left="0" w:right="0" w:firstLine="240"/>
              <w:jc w:val="left"/>
              <w:rPr>
                <w:rFonts w:ascii="Arial" w:hAnsi="Arial"/>
                <w:b w:val="false"/>
                <w:color w:val="000000"/>
                <w:sz w:val="20"/>
              </w:rPr>
            </w:pPr>
            <w:r>
              <w:rPr>
                <w:rFonts w:ascii="Arial" w:hAnsi="Arial"/>
                <w:b w:val="false"/>
                <w:color w:val="000000"/>
                <w:sz w:val="20"/>
              </w:rPr>
              <w:t>2025</w:t>
            </w:r>
          </w:p>
        </w:tc>
        <w:tc>
          <w:tcPr>
            <w:tcW w:w="386" w:type="dxa"/>
            <w:tcBorders/>
            <w:vAlign w:val="center"/>
          </w:tcPr>
          <w:p>
            <w:pPr>
              <w:pStyle w:val="TableContents"/>
              <w:pBdr/>
              <w:bidi w:val="0"/>
              <w:spacing w:before="0" w:after="283"/>
              <w:ind w:left="0" w:right="0" w:firstLine="240"/>
              <w:jc w:val="left"/>
              <w:rPr/>
            </w:pPr>
            <w:r>
              <w:rPr/>
              <w:t> </w:t>
            </w:r>
          </w:p>
        </w:tc>
        <w:tc>
          <w:tcPr>
            <w:tcW w:w="451" w:type="dxa"/>
            <w:tcBorders/>
            <w:vAlign w:val="center"/>
          </w:tcPr>
          <w:p>
            <w:pPr>
              <w:pStyle w:val="TableContents"/>
              <w:bidi w:val="0"/>
              <w:spacing w:before="0" w:after="283"/>
              <w:ind w:left="0" w:right="0" w:firstLine="240"/>
              <w:jc w:val="left"/>
              <w:rPr>
                <w:sz w:val="4"/>
                <w:szCs w:val="4"/>
              </w:rPr>
            </w:pPr>
            <w:r>
              <w:rPr>
                <w:sz w:val="4"/>
                <w:szCs w:val="4"/>
              </w:rPr>
            </w:r>
          </w:p>
        </w:tc>
        <w:tc>
          <w:tcPr>
            <w:tcW w:w="931" w:type="dxa"/>
            <w:tcBorders/>
            <w:vAlign w:val="center"/>
          </w:tcPr>
          <w:p>
            <w:pPr>
              <w:pStyle w:val="TableContents"/>
              <w:pBdr/>
              <w:bidi w:val="0"/>
              <w:spacing w:before="0" w:after="283"/>
              <w:ind w:left="0" w:right="0" w:hanging="240"/>
              <w:jc w:val="right"/>
              <w:rPr>
                <w:rFonts w:ascii="Arial" w:hAnsi="Arial"/>
                <w:b/>
                <w:color w:val="000000"/>
                <w:sz w:val="20"/>
              </w:rPr>
            </w:pPr>
            <w:r>
              <w:rPr>
                <w:rFonts w:ascii="Arial" w:hAnsi="Arial"/>
                <w:b/>
                <w:color w:val="000000"/>
                <w:sz w:val="20"/>
              </w:rPr>
              <w:t>2,250</w:t>
            </w:r>
          </w:p>
        </w:tc>
        <w:tc>
          <w:tcPr>
            <w:tcW w:w="671" w:type="dxa"/>
            <w:tcBorders/>
            <w:vAlign w:val="center"/>
          </w:tcPr>
          <w:p>
            <w:pPr>
              <w:pStyle w:val="TableContents"/>
              <w:bidi w:val="0"/>
              <w:spacing w:before="0" w:after="283"/>
              <w:ind w:left="0" w:right="0" w:firstLine="240"/>
              <w:jc w:val="left"/>
              <w:rPr/>
            </w:pPr>
            <w:r>
              <w:rPr/>
              <w:t> </w:t>
            </w:r>
          </w:p>
        </w:tc>
      </w:tr>
      <w:tr>
        <w:trPr/>
        <w:tc>
          <w:tcPr>
            <w:tcW w:w="5716" w:type="dxa"/>
            <w:tcBorders/>
            <w:shd w:fill="E5E5E5" w:val="clear"/>
            <w:vAlign w:val="center"/>
          </w:tcPr>
          <w:p>
            <w:pPr>
              <w:pStyle w:val="TableContents"/>
              <w:pBdr/>
              <w:bidi w:val="0"/>
              <w:spacing w:before="0" w:after="283"/>
              <w:ind w:left="0" w:right="0" w:firstLine="240"/>
              <w:jc w:val="left"/>
              <w:rPr>
                <w:rFonts w:ascii="Arial" w:hAnsi="Arial"/>
                <w:b w:val="false"/>
                <w:color w:val="000000"/>
                <w:sz w:val="20"/>
              </w:rPr>
            </w:pPr>
            <w:r>
              <w:rPr>
                <w:rFonts w:ascii="Arial" w:hAnsi="Arial"/>
                <w:b w:val="false"/>
                <w:color w:val="000000"/>
                <w:sz w:val="20"/>
              </w:rPr>
              <w:t>2026</w:t>
            </w:r>
          </w:p>
        </w:tc>
        <w:tc>
          <w:tcPr>
            <w:tcW w:w="386" w:type="dxa"/>
            <w:tcBorders/>
            <w:shd w:fill="E5E5E5" w:val="clear"/>
            <w:vAlign w:val="center"/>
          </w:tcPr>
          <w:p>
            <w:pPr>
              <w:pStyle w:val="TableContents"/>
              <w:pBdr/>
              <w:bidi w:val="0"/>
              <w:spacing w:before="0" w:after="283"/>
              <w:ind w:left="0" w:right="0" w:firstLine="240"/>
              <w:jc w:val="left"/>
              <w:rPr/>
            </w:pPr>
            <w:r>
              <w:rPr/>
              <w:t> </w:t>
            </w:r>
          </w:p>
        </w:tc>
        <w:tc>
          <w:tcPr>
            <w:tcW w:w="451" w:type="dxa"/>
            <w:tcBorders/>
            <w:shd w:fill="E5E5E5" w:val="clear"/>
            <w:vAlign w:val="center"/>
          </w:tcPr>
          <w:p>
            <w:pPr>
              <w:pStyle w:val="TableContents"/>
              <w:bidi w:val="0"/>
              <w:spacing w:before="0" w:after="283"/>
              <w:ind w:left="0" w:right="0" w:firstLine="240"/>
              <w:jc w:val="left"/>
              <w:rPr>
                <w:sz w:val="4"/>
                <w:szCs w:val="4"/>
              </w:rPr>
            </w:pPr>
            <w:r>
              <w:rPr>
                <w:sz w:val="4"/>
                <w:szCs w:val="4"/>
              </w:rPr>
            </w:r>
          </w:p>
        </w:tc>
        <w:tc>
          <w:tcPr>
            <w:tcW w:w="931" w:type="dxa"/>
            <w:tcBorders/>
            <w:shd w:fill="E5E5E5" w:val="clear"/>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3,000</w:t>
            </w:r>
          </w:p>
        </w:tc>
        <w:tc>
          <w:tcPr>
            <w:tcW w:w="671" w:type="dxa"/>
            <w:tcBorders/>
            <w:shd w:fill="E5E5E5" w:val="clear"/>
            <w:vAlign w:val="center"/>
          </w:tcPr>
          <w:p>
            <w:pPr>
              <w:pStyle w:val="TableContents"/>
              <w:pBdr/>
              <w:bidi w:val="0"/>
              <w:spacing w:before="0" w:after="283"/>
              <w:ind w:left="0" w:right="0" w:firstLine="240"/>
              <w:jc w:val="left"/>
              <w:rPr/>
            </w:pPr>
            <w:r>
              <w:rPr/>
              <w:t> </w:t>
            </w:r>
          </w:p>
        </w:tc>
      </w:tr>
      <w:tr>
        <w:trPr/>
        <w:tc>
          <w:tcPr>
            <w:tcW w:w="5716" w:type="dxa"/>
            <w:tcBorders/>
            <w:vAlign w:val="center"/>
          </w:tcPr>
          <w:p>
            <w:pPr>
              <w:pStyle w:val="TableContents"/>
              <w:pBdr/>
              <w:bidi w:val="0"/>
              <w:spacing w:before="0" w:after="283"/>
              <w:ind w:left="0" w:right="0" w:firstLine="240"/>
              <w:jc w:val="left"/>
              <w:rPr>
                <w:rFonts w:ascii="Arial" w:hAnsi="Arial"/>
                <w:b w:val="false"/>
                <w:color w:val="000000"/>
                <w:sz w:val="20"/>
              </w:rPr>
            </w:pPr>
            <w:r>
              <w:rPr>
                <w:rFonts w:ascii="Arial" w:hAnsi="Arial"/>
                <w:b w:val="false"/>
                <w:color w:val="000000"/>
                <w:sz w:val="20"/>
              </w:rPr>
              <w:t>2027</w:t>
            </w:r>
          </w:p>
        </w:tc>
        <w:tc>
          <w:tcPr>
            <w:tcW w:w="386" w:type="dxa"/>
            <w:tcBorders/>
            <w:vAlign w:val="center"/>
          </w:tcPr>
          <w:p>
            <w:pPr>
              <w:pStyle w:val="TableContents"/>
              <w:pBdr/>
              <w:bidi w:val="0"/>
              <w:spacing w:before="0" w:after="283"/>
              <w:ind w:left="0" w:right="0" w:firstLine="240"/>
              <w:jc w:val="left"/>
              <w:rPr/>
            </w:pPr>
            <w:r>
              <w:rPr/>
              <w:t> </w:t>
            </w:r>
          </w:p>
        </w:tc>
        <w:tc>
          <w:tcPr>
            <w:tcW w:w="451" w:type="dxa"/>
            <w:tcBorders/>
            <w:vAlign w:val="center"/>
          </w:tcPr>
          <w:p>
            <w:pPr>
              <w:pStyle w:val="TableContents"/>
              <w:bidi w:val="0"/>
              <w:spacing w:before="0" w:after="283"/>
              <w:ind w:left="0" w:right="0" w:firstLine="240"/>
              <w:jc w:val="left"/>
              <w:rPr>
                <w:sz w:val="4"/>
                <w:szCs w:val="4"/>
              </w:rPr>
            </w:pPr>
            <w:r>
              <w:rPr>
                <w:sz w:val="4"/>
                <w:szCs w:val="4"/>
              </w:rPr>
            </w:r>
          </w:p>
        </w:tc>
        <w:tc>
          <w:tcPr>
            <w:tcW w:w="931" w:type="dxa"/>
            <w:tcBorders/>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8,000</w:t>
            </w:r>
          </w:p>
        </w:tc>
        <w:tc>
          <w:tcPr>
            <w:tcW w:w="671" w:type="dxa"/>
            <w:tcBorders/>
            <w:vAlign w:val="center"/>
          </w:tcPr>
          <w:p>
            <w:pPr>
              <w:pStyle w:val="TableContents"/>
              <w:pBdr/>
              <w:bidi w:val="0"/>
              <w:spacing w:before="0" w:after="283"/>
              <w:ind w:left="0" w:right="0" w:firstLine="240"/>
              <w:jc w:val="left"/>
              <w:rPr/>
            </w:pPr>
            <w:r>
              <w:rPr/>
              <w:t> </w:t>
            </w:r>
          </w:p>
        </w:tc>
      </w:tr>
      <w:tr>
        <w:trPr/>
        <w:tc>
          <w:tcPr>
            <w:tcW w:w="5716" w:type="dxa"/>
            <w:tcBorders/>
            <w:shd w:fill="E5E5E5" w:val="clear"/>
            <w:vAlign w:val="center"/>
          </w:tcPr>
          <w:p>
            <w:pPr>
              <w:pStyle w:val="TableContents"/>
              <w:pBdr/>
              <w:bidi w:val="0"/>
              <w:spacing w:before="0" w:after="283"/>
              <w:ind w:left="0" w:right="0" w:firstLine="240"/>
              <w:jc w:val="left"/>
              <w:rPr>
                <w:rFonts w:ascii="Arial" w:hAnsi="Arial"/>
                <w:b w:val="false"/>
                <w:color w:val="000000"/>
                <w:sz w:val="20"/>
              </w:rPr>
            </w:pPr>
            <w:r>
              <w:rPr>
                <w:rFonts w:ascii="Arial" w:hAnsi="Arial"/>
                <w:b w:val="false"/>
                <w:color w:val="000000"/>
                <w:sz w:val="20"/>
              </w:rPr>
              <w:t>2028</w:t>
            </w:r>
          </w:p>
        </w:tc>
        <w:tc>
          <w:tcPr>
            <w:tcW w:w="386" w:type="dxa"/>
            <w:tcBorders/>
            <w:shd w:fill="E5E5E5" w:val="clear"/>
            <w:vAlign w:val="center"/>
          </w:tcPr>
          <w:p>
            <w:pPr>
              <w:pStyle w:val="TableContents"/>
              <w:pBdr/>
              <w:bidi w:val="0"/>
              <w:spacing w:before="0" w:after="283"/>
              <w:ind w:left="0" w:right="0" w:firstLine="240"/>
              <w:jc w:val="left"/>
              <w:rPr/>
            </w:pPr>
            <w:r>
              <w:rPr/>
              <w:t> </w:t>
            </w:r>
          </w:p>
        </w:tc>
        <w:tc>
          <w:tcPr>
            <w:tcW w:w="451" w:type="dxa"/>
            <w:tcBorders/>
            <w:shd w:fill="E5E5E5" w:val="clear"/>
            <w:vAlign w:val="center"/>
          </w:tcPr>
          <w:p>
            <w:pPr>
              <w:pStyle w:val="TableContents"/>
              <w:pBdr/>
              <w:bidi w:val="0"/>
              <w:spacing w:before="0" w:after="283"/>
              <w:ind w:left="0" w:right="0" w:firstLine="240"/>
              <w:jc w:val="left"/>
              <w:rPr/>
            </w:pPr>
            <w:r>
              <w:rPr/>
              <w:t> </w:t>
            </w:r>
          </w:p>
        </w:tc>
        <w:tc>
          <w:tcPr>
            <w:tcW w:w="931" w:type="dxa"/>
            <w:tcBorders/>
            <w:shd w:fill="E5E5E5" w:val="clear"/>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0</w:t>
            </w:r>
          </w:p>
        </w:tc>
        <w:tc>
          <w:tcPr>
            <w:tcW w:w="671" w:type="dxa"/>
            <w:tcBorders/>
            <w:shd w:fill="E5E5E5" w:val="clear"/>
            <w:vAlign w:val="center"/>
          </w:tcPr>
          <w:p>
            <w:pPr>
              <w:pStyle w:val="TableContents"/>
              <w:pBdr/>
              <w:bidi w:val="0"/>
              <w:spacing w:before="0" w:after="283"/>
              <w:ind w:left="0" w:right="0" w:firstLine="240"/>
              <w:jc w:val="left"/>
              <w:rPr/>
            </w:pPr>
            <w:r>
              <w:rPr/>
              <w:t> </w:t>
            </w:r>
          </w:p>
        </w:tc>
      </w:tr>
      <w:tr>
        <w:trPr/>
        <w:tc>
          <w:tcPr>
            <w:tcW w:w="5716" w:type="dxa"/>
            <w:tcBorders/>
            <w:vAlign w:val="center"/>
          </w:tcPr>
          <w:p>
            <w:pPr>
              <w:pStyle w:val="TableContents"/>
              <w:pBdr/>
              <w:bidi w:val="0"/>
              <w:spacing w:before="0" w:after="283"/>
              <w:ind w:left="0" w:right="0" w:firstLine="240"/>
              <w:jc w:val="left"/>
              <w:rPr>
                <w:rFonts w:ascii="Arial" w:hAnsi="Arial"/>
                <w:b w:val="false"/>
                <w:color w:val="000000"/>
                <w:sz w:val="20"/>
              </w:rPr>
            </w:pPr>
            <w:r>
              <w:rPr>
                <w:rFonts w:ascii="Arial" w:hAnsi="Arial"/>
                <w:b w:val="false"/>
                <w:color w:val="000000"/>
                <w:sz w:val="20"/>
              </w:rPr>
              <w:t>Thereafter</w:t>
            </w:r>
          </w:p>
        </w:tc>
        <w:tc>
          <w:tcPr>
            <w:tcW w:w="386" w:type="dxa"/>
            <w:tcBorders/>
            <w:vAlign w:val="center"/>
          </w:tcPr>
          <w:p>
            <w:pPr>
              <w:pStyle w:val="TableContents"/>
              <w:pBdr/>
              <w:bidi w:val="0"/>
              <w:spacing w:before="0" w:after="283"/>
              <w:ind w:left="0" w:right="0" w:firstLine="240"/>
              <w:jc w:val="left"/>
              <w:rPr/>
            </w:pPr>
            <w:r>
              <w:rPr/>
              <w:t> </w:t>
            </w:r>
          </w:p>
        </w:tc>
        <w:tc>
          <w:tcPr>
            <w:tcW w:w="451" w:type="dxa"/>
            <w:tcBorders/>
            <w:vAlign w:val="center"/>
          </w:tcPr>
          <w:p>
            <w:pPr>
              <w:pStyle w:val="TableContents"/>
              <w:bidi w:val="0"/>
              <w:spacing w:before="0" w:after="283"/>
              <w:ind w:left="0" w:right="0" w:firstLine="240"/>
              <w:jc w:val="left"/>
              <w:rPr>
                <w:sz w:val="4"/>
                <w:szCs w:val="4"/>
              </w:rPr>
            </w:pPr>
            <w:r>
              <w:rPr>
                <w:sz w:val="4"/>
                <w:szCs w:val="4"/>
              </w:rPr>
            </w:r>
          </w:p>
        </w:tc>
        <w:tc>
          <w:tcPr>
            <w:tcW w:w="931" w:type="dxa"/>
            <w:tcBorders/>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34,292</w:t>
            </w:r>
          </w:p>
        </w:tc>
        <w:tc>
          <w:tcPr>
            <w:tcW w:w="671" w:type="dxa"/>
            <w:tcBorders/>
            <w:vAlign w:val="center"/>
          </w:tcPr>
          <w:p>
            <w:pPr>
              <w:pStyle w:val="TableContents"/>
              <w:pBdr/>
              <w:bidi w:val="0"/>
              <w:spacing w:before="0" w:after="283"/>
              <w:ind w:left="0" w:right="0" w:hanging="240"/>
              <w:jc w:val="left"/>
              <w:rPr/>
            </w:pPr>
            <w:r>
              <w:rPr/>
              <w:t> </w:t>
            </w:r>
          </w:p>
        </w:tc>
      </w:tr>
      <w:tr>
        <w:trPr/>
        <w:tc>
          <w:tcPr>
            <w:tcW w:w="57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71" w:type="dxa"/>
            <w:tcBorders/>
            <w:vAlign w:val="center"/>
          </w:tcPr>
          <w:p>
            <w:pPr>
              <w:pStyle w:val="TableContents"/>
              <w:bidi w:val="0"/>
              <w:spacing w:before="0" w:after="283"/>
              <w:ind w:left="0" w:right="0" w:firstLine="480"/>
              <w:jc w:val="left"/>
              <w:rPr/>
            </w:pPr>
            <w:r>
              <w:rPr/>
              <w:t> </w:t>
            </w:r>
          </w:p>
        </w:tc>
      </w:tr>
      <w:tr>
        <w:trPr/>
        <w:tc>
          <w:tcPr>
            <w:tcW w:w="5716" w:type="dxa"/>
            <w:tcBorders/>
            <w:shd w:fill="E5E5E5" w:val="clear"/>
            <w:vAlign w:val="center"/>
          </w:tcPr>
          <w:p>
            <w:pPr>
              <w:pStyle w:val="TableContents"/>
              <w:pBdr/>
              <w:bidi w:val="0"/>
              <w:spacing w:before="0" w:after="283"/>
              <w:ind w:left="0" w:right="0" w:firstLine="240"/>
              <w:jc w:val="left"/>
              <w:rPr>
                <w:rFonts w:ascii="Arial" w:hAnsi="Arial"/>
                <w:b w:val="false"/>
                <w:color w:val="000000"/>
                <w:sz w:val="20"/>
              </w:rPr>
            </w:pPr>
            <w:r>
              <w:rPr>
                <w:rFonts w:ascii="Arial" w:hAnsi="Arial"/>
                <w:b w:val="false"/>
                <w:color w:val="000000"/>
                <w:sz w:val="20"/>
              </w:rPr>
              <w:t>Total</w:t>
            </w:r>
          </w:p>
        </w:tc>
        <w:tc>
          <w:tcPr>
            <w:tcW w:w="386" w:type="dxa"/>
            <w:tcBorders/>
            <w:shd w:fill="E5E5E5" w:val="clear"/>
            <w:vAlign w:val="center"/>
          </w:tcPr>
          <w:p>
            <w:pPr>
              <w:pStyle w:val="TableContents"/>
              <w:pBdr/>
              <w:bidi w:val="0"/>
              <w:spacing w:before="0" w:after="283"/>
              <w:ind w:left="0" w:right="0" w:hanging="240"/>
              <w:jc w:val="left"/>
              <w:rPr/>
            </w:pPr>
            <w:r>
              <w:rPr/>
              <w:t> </w:t>
            </w:r>
          </w:p>
        </w:tc>
        <w:tc>
          <w:tcPr>
            <w:tcW w:w="45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1" w:type="dxa"/>
            <w:tcBorders/>
            <w:shd w:fill="E5E5E5" w:val="cle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51,292</w:t>
            </w:r>
          </w:p>
        </w:tc>
        <w:tc>
          <w:tcPr>
            <w:tcW w:w="671" w:type="dxa"/>
            <w:tcBorders/>
            <w:shd w:fill="E5E5E5" w:val="clear"/>
            <w:vAlign w:val="center"/>
          </w:tcPr>
          <w:p>
            <w:pPr>
              <w:pStyle w:val="TableContents"/>
              <w:pBdr/>
              <w:bidi w:val="0"/>
              <w:spacing w:before="0" w:after="283"/>
              <w:ind w:left="0" w:right="0" w:hanging="240"/>
              <w:jc w:val="left"/>
              <w:rPr/>
            </w:pPr>
            <w:r>
              <w:rPr/>
              <w:t> </w:t>
            </w:r>
          </w:p>
        </w:tc>
      </w:tr>
      <w:tr>
        <w:trPr/>
        <w:tc>
          <w:tcPr>
            <w:tcW w:w="57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b w:val="false"/>
          <w:color w:val="000000"/>
          <w:sz w:val="20"/>
          <w:u w:val="single"/>
        </w:rPr>
        <w:t xml:space="preserve">NOTE 10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b w:val="false"/>
          <w:color w:val="000000"/>
          <w:sz w:val="20"/>
        </w:rPr>
      </w:pPr>
      <w:r>
        <w:rPr>
          <w:rFonts w:ascii="Arial" w:hAnsi="Arial"/>
          <w:b w:val="false"/>
          <w:color w:val="000000"/>
          <w:sz w:val="20"/>
        </w:rPr>
        <w:t>Our effective tax rate was 18% and 19% for the three months ended September 30, 2023 and 2022, respectively. The decrease in our effective tax rate for the current quarter compared to the prior year was primarily due to tax benefits from tax law changes in the first quarter of fiscal year 2024, including the impact from the issuance of Notice 2023-55 by the Internal Revenue Service (“IRS”) and U.S. Treasury Department, which delayed the effective date of final foreign tax credit regulations to fiscal year 2024 for Microsoft.</w:t>
      </w:r>
    </w:p>
    <w:p>
      <w:pPr>
        <w:pStyle w:val="TextBody"/>
        <w:bidi w:val="0"/>
        <w:spacing w:before="180" w:after="283"/>
        <w:jc w:val="both"/>
        <w:rPr>
          <w:rFonts w:ascii="Arial" w:hAnsi="Arial"/>
          <w:b w:val="false"/>
          <w:color w:val="000000"/>
          <w:sz w:val="20"/>
        </w:rPr>
      </w:pPr>
      <w:r>
        <w:rPr>
          <w:rFonts w:ascii="Arial" w:hAnsi="Arial"/>
          <w:b w:val="false"/>
          <w:color w:val="000000"/>
          <w:sz w:val="20"/>
        </w:rPr>
        <w:t>Our effective tax rate was lower than the U.S. federal statutory rate for the three months ended September 30, 2023,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Times New Roman" w:hAnsi="Times New Roman"/>
          <w:sz w:val="20"/>
        </w:rPr>
      </w:pPr>
      <w:r>
        <w:rPr>
          <w:rFonts w:ascii="Arial" w:hAnsi="Arial"/>
          <w:b w:val="false"/>
          <w:color w:val="000000"/>
          <w:sz w:val="20"/>
        </w:rPr>
        <w:t>As of September 30, 2023 and June 30, 2023, unrecognized tax benefits and other income tax liabilities were $19.8</w:t>
      </w:r>
      <w:r>
        <w:rPr>
          <w:rFonts w:ascii="Times New Roman" w:hAnsi="Times New Roman"/>
          <w:color w:val="000000"/>
          <w:sz w:val="20"/>
        </w:rPr>
        <w:t xml:space="preserve"> </w:t>
      </w:r>
      <w:r>
        <w:rPr>
          <w:rFonts w:ascii="Arial" w:hAnsi="Arial"/>
          <w:b w:val="false"/>
          <w:color w:val="000000"/>
          <w:sz w:val="20"/>
        </w:rPr>
        <w:t>billion and $18.7</w:t>
      </w:r>
      <w:r>
        <w:rPr>
          <w:rFonts w:ascii="Times New Roman" w:hAnsi="Times New Roman"/>
          <w:color w:val="000000"/>
          <w:sz w:val="20"/>
        </w:rPr>
        <w:t xml:space="preserve"> </w:t>
      </w:r>
      <w:r>
        <w:rPr>
          <w:rFonts w:ascii="Arial" w:hAnsi="Arial"/>
          <w:b w:val="false"/>
          <w:color w:val="000000"/>
          <w:sz w:val="20"/>
        </w:rPr>
        <w:t>billion, respectively, and are included in long-term income taxes in our consolidated balance sheets.</w:t>
      </w:r>
    </w:p>
    <w:p>
      <w:pPr>
        <w:pStyle w:val="TextBody"/>
        <w:bidi w:val="0"/>
        <w:spacing w:before="180" w:after="283"/>
        <w:jc w:val="both"/>
        <w:rPr>
          <w:rFonts w:ascii="Times New Roman" w:hAnsi="Times New Roman"/>
          <w:sz w:val="20"/>
        </w:rPr>
      </w:pPr>
      <w:r>
        <w:rPr>
          <w:rFonts w:ascii="Arial" w:hAnsi="Arial"/>
          <w:b w:val="false"/>
          <w:color w:val="000000"/>
          <w:sz w:val="20"/>
        </w:rPr>
        <w:t>We remain under audit by the IRS for tax years 2014</w:t>
      </w:r>
      <w:r>
        <w:rPr>
          <w:rFonts w:ascii="Times New Roman" w:hAnsi="Times New Roman"/>
          <w:color w:val="000000"/>
          <w:sz w:val="20"/>
        </w:rPr>
        <w:t xml:space="preserve"> </w:t>
      </w:r>
      <w:r>
        <w:rPr>
          <w:rFonts w:ascii="Arial" w:hAnsi="Arial"/>
          <w:b w:val="false"/>
          <w:color w:val="000000"/>
          <w:sz w:val="20"/>
        </w:rPr>
        <w:t>to 2017. With respect to the audit for tax years 2004</w:t>
      </w:r>
      <w:r>
        <w:rPr>
          <w:rFonts w:ascii="Times New Roman" w:hAnsi="Times New Roman"/>
          <w:color w:val="000000"/>
          <w:sz w:val="20"/>
        </w:rPr>
        <w:t xml:space="preserve"> </w:t>
      </w:r>
      <w:r>
        <w:rPr>
          <w:rFonts w:ascii="Arial" w:hAnsi="Arial"/>
          <w:b w:val="false"/>
          <w:color w:val="000000"/>
          <w:sz w:val="20"/>
        </w:rPr>
        <w:t>to 2013, on September 26, 2023, we received Notices of Proposed Adjustment (“NOPAs”) from the IRS. The primary issues in the NOPAs relate to intercompany transfer pricing. In the NOPAs, the IRS is seeking an additional tax payment of $28.9</w:t>
      </w:r>
      <w:r>
        <w:rPr>
          <w:rFonts w:ascii="Times New Roman" w:hAnsi="Times New Roman"/>
          <w:color w:val="000000"/>
          <w:sz w:val="20"/>
        </w:rPr>
        <w:t xml:space="preserve"> </w:t>
      </w:r>
      <w:r>
        <w:rPr>
          <w:rFonts w:ascii="Arial" w:hAnsi="Arial"/>
          <w:b w:val="false"/>
          <w:color w:val="000000"/>
          <w:sz w:val="20"/>
        </w:rPr>
        <w:t>billion plus penalties and interest. As of September 30, 2023,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We are subject to income tax in many jurisdictions outside the U.S. Our operations in certain jurisdictions remain subject to examination for tax years 1996</w:t>
      </w:r>
      <w:r>
        <w:rPr>
          <w:rFonts w:ascii="Times New Roman" w:hAnsi="Times New Roman"/>
          <w:color w:val="000000"/>
          <w:sz w:val="20"/>
        </w:rPr>
        <w:t xml:space="preserve"> </w:t>
      </w:r>
      <w:r>
        <w:rPr>
          <w:rFonts w:ascii="Arial" w:hAnsi="Arial"/>
          <w:b w:val="false"/>
          <w:color w:val="000000"/>
          <w:sz w:val="20"/>
        </w:rPr>
        <w:t>to 2023, some of which are currently under audit by local tax authorities. The resolution of each of these audits is not expected to be material to our consolidated financial statements.</w:t>
      </w:r>
    </w:p>
    <w:p>
      <w:pPr>
        <w:pStyle w:val="TextBody"/>
        <w:bidi w:val="0"/>
        <w:spacing w:before="270" w:after="283"/>
        <w:jc w:val="center"/>
        <w:rPr>
          <w:rFonts w:ascii="Times New Roman" w:hAnsi="Times New Roman"/>
          <w:sz w:val="20"/>
        </w:rPr>
      </w:pPr>
      <w:r>
        <w:rPr>
          <w:rFonts w:ascii="Arial" w:hAnsi="Arial"/>
          <w:b w:val="false"/>
          <w:color w:val="000000"/>
          <w:sz w:val="20"/>
          <w:u w:val="single"/>
        </w:rPr>
        <w:t>NOTE 11 — UNEARNED REVENUE</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Unearned revenue by segment was as follows:</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3391"/>
        <w:gridCol w:w="146"/>
        <w:gridCol w:w="273"/>
        <w:gridCol w:w="897"/>
        <w:gridCol w:w="146"/>
        <w:gridCol w:w="146"/>
        <w:gridCol w:w="211"/>
        <w:gridCol w:w="691"/>
        <w:gridCol w:w="43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pPr>
            <w:r>
              <w:rPr/>
              <w:t> </w:t>
            </w:r>
          </w:p>
        </w:tc>
        <w:tc>
          <w:tcPr>
            <w:tcW w:w="1484" w:type="dxa"/>
            <w:gridSpan w:val="4"/>
            <w:tcBorders/>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June 30,</w:t>
              <w:br/>
              <w:t>2023</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pPr>
            <w:r>
              <w:rPr/>
              <w:t> </w:t>
            </w:r>
          </w:p>
        </w:tc>
        <w:tc>
          <w:tcPr>
            <w:tcW w:w="1484" w:type="dxa"/>
            <w:gridSpan w:val="4"/>
            <w:tcBorders/>
            <w:vAlign w:val="center"/>
          </w:tcPr>
          <w:p>
            <w:pPr>
              <w:pStyle w:val="TableContents"/>
              <w:bidi w:val="0"/>
              <w:spacing w:before="0" w:after="283"/>
              <w:ind w:left="0" w:right="0" w:firstLine="245"/>
              <w:jc w:val="lef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25,316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27,572</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19,471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21,563</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3" w:type="dxa"/>
            <w:tcBorders/>
            <w:shd w:fill="E5E5E5" w:val="clear"/>
            <w:vAlign w:val="center"/>
          </w:tcPr>
          <w:p>
            <w:pPr>
              <w:pStyle w:val="TableContents"/>
              <w:bidi w:val="0"/>
              <w:spacing w:before="0" w:after="283"/>
              <w:jc w:val="left"/>
              <w:rPr>
                <w:sz w:val="4"/>
                <w:szCs w:val="4"/>
              </w:rPr>
            </w:pPr>
            <w:r>
              <w:rPr>
                <w:sz w:val="4"/>
                <w:szCs w:val="4"/>
              </w:rPr>
            </w:r>
          </w:p>
        </w:tc>
        <w:tc>
          <w:tcPr>
            <w:tcW w:w="89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4,401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4,678</w:t>
            </w:r>
          </w:p>
        </w:tc>
        <w:tc>
          <w:tcPr>
            <w:tcW w:w="436" w:type="dxa"/>
            <w:tcBorders/>
            <w:shd w:fill="E5E5E5" w:val="clear"/>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391"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3391" w:type="dxa"/>
            <w:tcBorders/>
            <w:vAlign w:val="center"/>
          </w:tcPr>
          <w:p>
            <w:pPr>
              <w:pStyle w:val="TableContents"/>
              <w:bidi w:val="0"/>
              <w:spacing w:before="0" w:after="283"/>
              <w:ind w:left="245" w:right="0" w:firstLine="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49,188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53,813</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Changes in unearned revenue were as follows:</w:t>
      </w:r>
    </w:p>
    <w:p>
      <w:pPr>
        <w:pStyle w:val="TextBody"/>
        <w:bidi w:val="0"/>
        <w:jc w:val="both"/>
        <w:rPr/>
      </w:pPr>
      <w:r>
        <w:rPr/>
        <w:t> </w:t>
      </w:r>
    </w:p>
    <w:tbl>
      <w:tblPr>
        <w:tblW w:w="4760" w:type="dxa"/>
        <w:jc w:val="left"/>
        <w:tblInd w:w="0" w:type="dxa"/>
        <w:tblLayout w:type="fixed"/>
        <w:tblCellMar>
          <w:top w:w="28" w:type="dxa"/>
          <w:left w:w="28" w:type="dxa"/>
          <w:bottom w:w="28" w:type="dxa"/>
          <w:right w:w="28" w:type="dxa"/>
        </w:tblCellMar>
      </w:tblPr>
      <w:tblGrid>
        <w:gridCol w:w="2971"/>
        <w:gridCol w:w="146"/>
        <w:gridCol w:w="211"/>
        <w:gridCol w:w="751"/>
        <w:gridCol w:w="68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0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79" w:type="dxa"/>
            <w:gridSpan w:val="4"/>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240"/>
              <w:jc w:val="left"/>
              <w:rPr/>
            </w:pPr>
            <w:r>
              <w:rPr/>
              <w:t> </w:t>
            </w:r>
          </w:p>
        </w:tc>
      </w:tr>
      <w:tr>
        <w:trPr/>
        <w:tc>
          <w:tcPr>
            <w:tcW w:w="4079" w:type="dxa"/>
            <w:gridSpan w:val="4"/>
            <w:tcBorders/>
            <w:vAlign w:val="center"/>
          </w:tcPr>
          <w:p>
            <w:pPr>
              <w:pStyle w:val="TableContents"/>
              <w:pBdr/>
              <w:bidi w:val="0"/>
              <w:spacing w:before="0" w:after="283"/>
              <w:ind w:left="0" w:right="0" w:hanging="240"/>
              <w:jc w:val="left"/>
              <w:rPr>
                <w:rFonts w:ascii="Arial" w:hAnsi="Arial"/>
                <w:b/>
                <w:color w:val="000000"/>
                <w:sz w:val="15"/>
              </w:rPr>
            </w:pPr>
            <w:r>
              <w:rPr>
                <w:rFonts w:ascii="Arial" w:hAnsi="Arial"/>
                <w:b/>
                <w:color w:val="000000"/>
                <w:sz w:val="15"/>
              </w:rPr>
              <w:t>Three Months Ended September 30, 2023</w:t>
            </w:r>
          </w:p>
        </w:tc>
        <w:tc>
          <w:tcPr>
            <w:tcW w:w="681" w:type="dxa"/>
            <w:tcBorders/>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789" w:type="dxa"/>
            <w:gridSpan w:val="4"/>
            <w:tcBorders/>
            <w:vAlign w:val="center"/>
          </w:tcPr>
          <w:p>
            <w:pPr>
              <w:pStyle w:val="TableContents"/>
              <w:bidi w:val="0"/>
              <w:spacing w:before="0" w:after="283"/>
              <w:ind w:left="0" w:right="0" w:firstLine="245"/>
              <w:jc w:val="left"/>
              <w:rPr/>
            </w:pPr>
            <w:r>
              <w:rPr/>
              <w:t> </w:t>
            </w:r>
          </w:p>
        </w:tc>
      </w:tr>
      <w:tr>
        <w:trPr/>
        <w:tc>
          <w:tcPr>
            <w:tcW w:w="297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53,813</w:t>
            </w:r>
          </w:p>
        </w:tc>
        <w:tc>
          <w:tcPr>
            <w:tcW w:w="681" w:type="dxa"/>
            <w:tcBorders/>
            <w:shd w:fill="E5E5E5" w:val="clear"/>
            <w:vAlign w:val="center"/>
          </w:tcPr>
          <w:p>
            <w:pPr>
              <w:pStyle w:val="TableContents"/>
              <w:bidi w:val="0"/>
              <w:spacing w:before="0" w:after="283"/>
              <w:ind w:left="0" w:right="0" w:firstLine="490"/>
              <w:jc w:val="left"/>
              <w:rPr/>
            </w:pPr>
            <w:r>
              <w:rPr/>
              <w:t> </w:t>
            </w:r>
          </w:p>
        </w:tc>
      </w:tr>
      <w:tr>
        <w:trPr/>
        <w:tc>
          <w:tcPr>
            <w:tcW w:w="297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Deferral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27,646</w:t>
            </w:r>
          </w:p>
        </w:tc>
        <w:tc>
          <w:tcPr>
            <w:tcW w:w="681" w:type="dxa"/>
            <w:tcBorders/>
            <w:vAlign w:val="center"/>
          </w:tcPr>
          <w:p>
            <w:pPr>
              <w:pStyle w:val="TableContents"/>
              <w:bidi w:val="0"/>
              <w:spacing w:before="0" w:after="283"/>
              <w:ind w:left="0" w:right="0" w:firstLine="490"/>
              <w:jc w:val="left"/>
              <w:rPr/>
            </w:pPr>
            <w:r>
              <w:rPr/>
              <w:t> </w:t>
            </w:r>
          </w:p>
        </w:tc>
      </w:tr>
      <w:tr>
        <w:trPr/>
        <w:tc>
          <w:tcPr>
            <w:tcW w:w="297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Recognition of unearned 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(32,271</w:t>
            </w:r>
          </w:p>
        </w:tc>
        <w:tc>
          <w:tcPr>
            <w:tcW w:w="68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079" w:type="dxa"/>
            <w:gridSpan w:val="4"/>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0"/>
              <w:jc w:val="left"/>
              <w:rPr/>
            </w:pPr>
            <w:r>
              <w:rPr/>
              <w:t> </w:t>
            </w:r>
          </w:p>
        </w:tc>
      </w:tr>
      <w:tr>
        <w:trPr/>
        <w:tc>
          <w:tcPr>
            <w:tcW w:w="2971" w:type="dxa"/>
            <w:tcBorders/>
            <w:vAlign w:val="center"/>
          </w:tcPr>
          <w:p>
            <w:pPr>
              <w:pStyle w:val="TableContents"/>
              <w:pBdr/>
              <w:bidi w:val="0"/>
              <w:spacing w:before="0" w:after="283"/>
              <w:ind w:left="0" w:right="0" w:hanging="240"/>
              <w:jc w:val="left"/>
              <w:rPr>
                <w:rFonts w:ascii="Arial" w:hAnsi="Arial"/>
                <w:b w:val="false"/>
                <w:color w:val="000000"/>
                <w:sz w:val="20"/>
              </w:rPr>
            </w:pPr>
            <w:r>
              <w:rPr>
                <w:rFonts w:ascii="Arial" w:hAnsi="Arial"/>
                <w:b w:val="false"/>
                <w:color w:val="000000"/>
                <w:sz w:val="20"/>
              </w:rPr>
              <w:t>Balance, end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49,188</w:t>
            </w:r>
          </w:p>
        </w:tc>
        <w:tc>
          <w:tcPr>
            <w:tcW w:w="681" w:type="dxa"/>
            <w:tcBorders/>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both"/>
        <w:rPr>
          <w:rFonts w:ascii="Times New Roman" w:hAnsi="Times New Roman"/>
          <w:sz w:val="20"/>
        </w:rPr>
      </w:pPr>
      <w:r>
        <w:rPr>
          <w:rFonts w:ascii="Arial" w:hAnsi="Arial"/>
          <w:b w:val="false"/>
          <w:color w:val="000000"/>
          <w:sz w:val="20"/>
        </w:rPr>
        <w:t>Revenue allocated to remaining performance obligations, which includes unearned revenue and amounts that will be invoiced and recognized as revenue in future periods, was $216</w:t>
      </w:r>
      <w:r>
        <w:rPr>
          <w:rFonts w:ascii="Times New Roman" w:hAnsi="Times New Roman"/>
          <w:color w:val="000000"/>
          <w:sz w:val="20"/>
        </w:rPr>
        <w:t xml:space="preserve"> </w:t>
      </w:r>
      <w:r>
        <w:rPr>
          <w:rFonts w:ascii="Arial" w:hAnsi="Arial"/>
          <w:b w:val="false"/>
          <w:color w:val="000000"/>
          <w:sz w:val="20"/>
        </w:rPr>
        <w:t>billion as of September 30, 2023, of which $212</w:t>
      </w:r>
      <w:r>
        <w:rPr>
          <w:rFonts w:ascii="Times New Roman" w:hAnsi="Times New Roman"/>
          <w:color w:val="000000"/>
          <w:sz w:val="20"/>
        </w:rPr>
        <w:t xml:space="preserve"> </w:t>
      </w:r>
      <w:r>
        <w:rPr>
          <w:rFonts w:ascii="Arial" w:hAnsi="Arial"/>
          <w:b w:val="false"/>
          <w:color w:val="000000"/>
          <w:sz w:val="20"/>
        </w:rPr>
        <w:t>billion is related to the commercial portion of revenue. We expect to recognize approximately 45% of this revenue over the next 12</w:t>
      </w:r>
      <w:r>
        <w:rPr>
          <w:rFonts w:ascii="Times New Roman" w:hAnsi="Times New Roman"/>
          <w:color w:val="000000"/>
          <w:sz w:val="20"/>
        </w:rPr>
        <w:t xml:space="preserve"> </w:t>
      </w:r>
      <w:r>
        <w:rPr>
          <w:rFonts w:ascii="Arial" w:hAnsi="Arial"/>
          <w:b w:val="false"/>
          <w:color w:val="000000"/>
          <w:sz w:val="20"/>
        </w:rPr>
        <w:t>months and the remainder thereafter.</w:t>
      </w:r>
    </w:p>
    <w:p>
      <w:pPr>
        <w:pStyle w:val="TextBody"/>
        <w:bidi w:val="0"/>
        <w:spacing w:before="270" w:after="283"/>
        <w:jc w:val="center"/>
        <w:rPr>
          <w:rFonts w:ascii="Times New Roman" w:hAnsi="Times New Roman"/>
          <w:sz w:val="20"/>
        </w:rPr>
      </w:pPr>
      <w:r>
        <w:rPr>
          <w:rFonts w:ascii="Arial" w:hAnsi="Arial"/>
          <w:b w:val="false"/>
          <w:color w:val="000000"/>
          <w:sz w:val="20"/>
          <w:u w:val="single"/>
        </w:rPr>
        <w:t xml:space="preserve">NOTE 12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LEASES</w:t>
      </w:r>
    </w:p>
    <w:p>
      <w:pPr>
        <w:pStyle w:val="TextBody"/>
        <w:bidi w:val="0"/>
        <w:spacing w:before="180" w:after="283"/>
        <w:jc w:val="both"/>
        <w:rPr>
          <w:rFonts w:ascii="Times New Roman" w:hAnsi="Times New Roman"/>
          <w:sz w:val="20"/>
        </w:rPr>
      </w:pPr>
      <w:r>
        <w:rPr>
          <w:rFonts w:ascii="Arial" w:hAnsi="Arial"/>
          <w:b w:val="false"/>
          <w:color w:val="000000"/>
          <w:sz w:val="20"/>
        </w:rPr>
        <w:t>We have operating and finance leases for datacenters, corporate offices, research and development facilities, Microsoft Experience Centers, and certain equipment. Our leases have remaining lease terms of less than 1</w:t>
      </w:r>
      <w:r>
        <w:rPr>
          <w:rFonts w:ascii="Times New Roman" w:hAnsi="Times New Roman"/>
          <w:color w:val="000000"/>
          <w:sz w:val="20"/>
        </w:rPr>
        <w:t xml:space="preserve"> </w:t>
      </w:r>
      <w:r>
        <w:rPr>
          <w:rFonts w:ascii="Arial" w:hAnsi="Arial"/>
          <w:b w:val="false"/>
          <w:color w:val="000000"/>
          <w:sz w:val="20"/>
        </w:rPr>
        <w:t>year to 18</w:t>
      </w:r>
      <w:r>
        <w:rPr>
          <w:rFonts w:ascii="Times New Roman" w:hAnsi="Times New Roman"/>
          <w:color w:val="000000"/>
          <w:sz w:val="20"/>
        </w:rPr>
        <w:t xml:space="preserve"> </w:t>
      </w:r>
      <w:r>
        <w:rPr>
          <w:rFonts w:ascii="Arial" w:hAnsi="Arial"/>
          <w:b w:val="false"/>
          <w:color w:val="000000"/>
          <w:sz w:val="20"/>
        </w:rPr>
        <w:t>years, some of which include options to extend the leases for up to 5</w:t>
      </w:r>
      <w:r>
        <w:rPr>
          <w:rFonts w:ascii="Times New Roman" w:hAnsi="Times New Roman"/>
          <w:color w:val="000000"/>
          <w:sz w:val="20"/>
        </w:rPr>
        <w:t xml:space="preserve"> </w:t>
      </w:r>
      <w:r>
        <w:rPr>
          <w:rFonts w:ascii="Arial" w:hAnsi="Arial"/>
          <w:b w:val="false"/>
          <w:color w:val="000000"/>
          <w:sz w:val="20"/>
        </w:rPr>
        <w:t>years, and some of which include options to terminate the leases within 1</w:t>
      </w:r>
      <w:r>
        <w:rPr>
          <w:rFonts w:ascii="Times New Roman" w:hAnsi="Times New Roman"/>
          <w:color w:val="000000"/>
          <w:sz w:val="20"/>
        </w:rPr>
        <w:t xml:space="preserve"> </w:t>
      </w:r>
      <w:r>
        <w:rPr>
          <w:rFonts w:ascii="Arial" w:hAnsi="Arial"/>
          <w:b w:val="false"/>
          <w:color w:val="000000"/>
          <w:sz w:val="20"/>
        </w:rPr>
        <w:t>year.</w:t>
      </w:r>
    </w:p>
    <w:p>
      <w:pPr>
        <w:pStyle w:val="TextBody"/>
        <w:bidi w:val="0"/>
        <w:spacing w:before="180" w:after="283"/>
        <w:jc w:val="both"/>
        <w:rPr>
          <w:rFonts w:ascii="Arial" w:hAnsi="Arial"/>
          <w:b w:val="false"/>
          <w:color w:val="000000"/>
          <w:sz w:val="20"/>
        </w:rPr>
      </w:pPr>
      <w:r>
        <w:rPr>
          <w:rFonts w:ascii="Arial" w:hAnsi="Arial"/>
          <w:b w:val="false"/>
          <w:color w:val="000000"/>
          <w:sz w:val="20"/>
        </w:rPr>
        <w:t>The components of lease expense were as follows:</w:t>
      </w:r>
    </w:p>
    <w:p>
      <w:pPr>
        <w:pStyle w:val="TextBody"/>
        <w:bidi w:val="0"/>
        <w:jc w:val="both"/>
        <w:rPr/>
      </w:pPr>
      <w:r>
        <w:rPr/>
        <w:t> </w:t>
      </w:r>
    </w:p>
    <w:tbl>
      <w:tblPr>
        <w:tblW w:w="5534" w:type="dxa"/>
        <w:jc w:val="left"/>
        <w:tblInd w:w="0" w:type="dxa"/>
        <w:tblLayout w:type="fixed"/>
        <w:tblCellMar>
          <w:top w:w="28" w:type="dxa"/>
          <w:left w:w="28" w:type="dxa"/>
          <w:bottom w:w="28" w:type="dxa"/>
          <w:right w:w="28" w:type="dxa"/>
        </w:tblCellMar>
      </w:tblPr>
      <w:tblGrid>
        <w:gridCol w:w="3121"/>
        <w:gridCol w:w="146"/>
        <w:gridCol w:w="211"/>
        <w:gridCol w:w="466"/>
        <w:gridCol w:w="146"/>
        <w:gridCol w:w="146"/>
        <w:gridCol w:w="211"/>
        <w:gridCol w:w="466"/>
        <w:gridCol w:w="62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646" w:type="dxa"/>
            <w:gridSpan w:val="6"/>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1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lease cost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775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6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662</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1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Finance lease cost: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12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Amortization of right-of-use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6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w:t>
            </w:r>
          </w:p>
        </w:tc>
        <w:tc>
          <w:tcPr>
            <w:tcW w:w="621"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312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Interest on lease liabilities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113</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1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Total finance lease cost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6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302</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Supplemental cash flow information related to leases was as follows:</w:t>
      </w:r>
    </w:p>
    <w:p>
      <w:pPr>
        <w:pStyle w:val="TextBody"/>
        <w:bidi w:val="0"/>
        <w:jc w:val="both"/>
        <w:rPr/>
      </w:pPr>
      <w:r>
        <w:rPr/>
        <w:t> </w:t>
      </w:r>
    </w:p>
    <w:tbl>
      <w:tblPr>
        <w:tblW w:w="8840" w:type="dxa"/>
        <w:jc w:val="left"/>
        <w:tblInd w:w="0" w:type="dxa"/>
        <w:tblLayout w:type="fixed"/>
        <w:tblCellMar>
          <w:top w:w="28" w:type="dxa"/>
          <w:left w:w="28" w:type="dxa"/>
          <w:bottom w:w="28" w:type="dxa"/>
          <w:right w:w="28" w:type="dxa"/>
        </w:tblCellMar>
      </w:tblPr>
      <w:tblGrid>
        <w:gridCol w:w="6271"/>
        <w:gridCol w:w="146"/>
        <w:gridCol w:w="211"/>
        <w:gridCol w:w="586"/>
        <w:gridCol w:w="109"/>
        <w:gridCol w:w="109"/>
        <w:gridCol w:w="211"/>
        <w:gridCol w:w="586"/>
        <w:gridCol w:w="61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7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812" w:type="dxa"/>
            <w:gridSpan w:val="6"/>
            <w:tcBorders/>
            <w:vAlign w:val="center"/>
          </w:tcPr>
          <w:p>
            <w:pPr>
              <w:pStyle w:val="TableContents"/>
              <w:bidi w:val="0"/>
              <w:spacing w:before="0" w:after="283"/>
              <w:jc w:val="right"/>
              <w:rPr/>
            </w:pPr>
            <w:r>
              <w:rPr/>
              <w:t> </w:t>
            </w:r>
          </w:p>
        </w:tc>
        <w:tc>
          <w:tcPr>
            <w:tcW w:w="611" w:type="dxa"/>
            <w:tcBorders/>
            <w:vAlign w:val="center"/>
          </w:tcPr>
          <w:p>
            <w:pPr>
              <w:pStyle w:val="TableContents"/>
              <w:bidi w:val="0"/>
              <w:spacing w:before="0" w:after="283"/>
              <w:jc w:val="left"/>
              <w:rPr/>
            </w:pPr>
            <w:r>
              <w:rPr/>
              <w:t> </w:t>
            </w:r>
          </w:p>
        </w:tc>
      </w:tr>
      <w:tr>
        <w:trPr/>
        <w:tc>
          <w:tcPr>
            <w:tcW w:w="627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7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11" w:type="dxa"/>
            <w:tcBorders/>
            <w:vAlign w:val="center"/>
          </w:tcPr>
          <w:p>
            <w:pPr>
              <w:pStyle w:val="TableContents"/>
              <w:bidi w:val="0"/>
              <w:spacing w:before="0" w:after="283"/>
              <w:jc w:val="left"/>
              <w:rPr>
                <w:sz w:val="4"/>
                <w:szCs w:val="4"/>
              </w:rPr>
            </w:pPr>
            <w:r>
              <w:rPr>
                <w:sz w:val="4"/>
                <w:szCs w:val="4"/>
              </w:rPr>
            </w:r>
          </w:p>
        </w:tc>
      </w:tr>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pPr>
            <w:r>
              <w:rPr/>
              <w:t> </w:t>
            </w:r>
          </w:p>
        </w:tc>
        <w:tc>
          <w:tcPr>
            <w:tcW w:w="6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271" w:type="dxa"/>
            <w:tcBorders/>
            <w:shd w:fill="E5E5E5" w:val="clear"/>
            <w:vAlign w:val="center"/>
          </w:tcPr>
          <w:p>
            <w:pPr>
              <w:pStyle w:val="TableContents"/>
              <w:pBdr/>
              <w:bidi w:val="0"/>
              <w:spacing w:before="0" w:after="283"/>
              <w:ind w:left="0" w:right="0" w:hanging="240"/>
              <w:jc w:val="left"/>
              <w:rPr>
                <w:rFonts w:ascii="Arial" w:hAnsi="Arial"/>
                <w:b w:val="false"/>
                <w:color w:val="000000"/>
                <w:sz w:val="20"/>
              </w:rPr>
            </w:pPr>
            <w:r>
              <w:rPr>
                <w:rFonts w:ascii="Arial" w:hAnsi="Arial"/>
                <w:b w:val="false"/>
                <w:color w:val="000000"/>
                <w:sz w:val="20"/>
              </w:rPr>
              <w:t>Cash paid for amounts included in the measurement of lease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pPr>
            <w:r>
              <w:rPr/>
              <w:t> </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pPr>
            <w:r>
              <w:rPr/>
              <w:t> </w:t>
            </w:r>
          </w:p>
        </w:tc>
        <w:tc>
          <w:tcPr>
            <w:tcW w:w="611" w:type="dxa"/>
            <w:tcBorders/>
            <w:shd w:fill="E5E5E5" w:val="clear"/>
            <w:vAlign w:val="center"/>
          </w:tcPr>
          <w:p>
            <w:pPr>
              <w:pStyle w:val="TableContents"/>
              <w:bidi w:val="0"/>
              <w:spacing w:before="0" w:after="283"/>
              <w:ind w:left="0" w:right="0" w:firstLine="480"/>
              <w:jc w:val="left"/>
              <w:rPr>
                <w:sz w:val="4"/>
                <w:szCs w:val="4"/>
              </w:rPr>
            </w:pPr>
            <w:r>
              <w:rPr>
                <w:sz w:val="4"/>
                <w:szCs w:val="4"/>
              </w:rPr>
            </w:r>
          </w:p>
        </w:tc>
      </w:tr>
      <w:tr>
        <w:trPr/>
        <w:tc>
          <w:tcPr>
            <w:tcW w:w="6271" w:type="dxa"/>
            <w:tcBorders/>
            <w:vAlign w:val="center"/>
          </w:tcPr>
          <w:p>
            <w:pPr>
              <w:pStyle w:val="TableContents"/>
              <w:pBdr/>
              <w:bidi w:val="0"/>
              <w:spacing w:before="0" w:after="283"/>
              <w:ind w:left="240" w:right="0" w:hanging="240"/>
              <w:jc w:val="left"/>
              <w:rPr>
                <w:rFonts w:ascii="Arial" w:hAnsi="Arial"/>
                <w:b w:val="false"/>
                <w:color w:val="000000"/>
                <w:sz w:val="20"/>
              </w:rPr>
            </w:pPr>
            <w:r>
              <w:rPr>
                <w:rFonts w:ascii="Arial" w:hAnsi="Arial"/>
                <w:b w:val="false"/>
                <w:color w:val="000000"/>
                <w:sz w:val="20"/>
              </w:rPr>
              <w:t>Operating cash flows from operating leases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654</w:t>
            </w:r>
          </w:p>
        </w:tc>
        <w:tc>
          <w:tcPr>
            <w:tcW w:w="611" w:type="dxa"/>
            <w:tcBorders/>
            <w:vAlign w:val="center"/>
          </w:tcPr>
          <w:p>
            <w:pPr>
              <w:pStyle w:val="TableContents"/>
              <w:bidi w:val="0"/>
              <w:spacing w:before="0" w:after="283"/>
              <w:ind w:left="0" w:right="0" w:firstLine="480"/>
              <w:jc w:val="left"/>
              <w:rPr>
                <w:sz w:val="4"/>
                <w:szCs w:val="4"/>
              </w:rPr>
            </w:pPr>
            <w:r>
              <w:rPr>
                <w:sz w:val="4"/>
                <w:szCs w:val="4"/>
              </w:rPr>
            </w:r>
          </w:p>
        </w:tc>
      </w:tr>
      <w:tr>
        <w:trPr/>
        <w:tc>
          <w:tcPr>
            <w:tcW w:w="6271" w:type="dxa"/>
            <w:tcBorders/>
            <w:shd w:fill="E5E5E5" w:val="clear"/>
            <w:vAlign w:val="center"/>
          </w:tcPr>
          <w:p>
            <w:pPr>
              <w:pStyle w:val="TableContents"/>
              <w:pBdr/>
              <w:bidi w:val="0"/>
              <w:spacing w:before="0" w:after="283"/>
              <w:ind w:left="240" w:right="0" w:hanging="240"/>
              <w:jc w:val="left"/>
              <w:rPr>
                <w:rFonts w:ascii="Arial" w:hAnsi="Arial"/>
                <w:b w:val="false"/>
                <w:color w:val="000000"/>
                <w:sz w:val="20"/>
              </w:rPr>
            </w:pPr>
            <w:r>
              <w:rPr>
                <w:rFonts w:ascii="Arial" w:hAnsi="Arial"/>
                <w:b w:val="false"/>
                <w:color w:val="000000"/>
                <w:sz w:val="20"/>
              </w:rPr>
              <w:t>Operating cash flows from finance leases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149</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113</w:t>
            </w:r>
          </w:p>
        </w:tc>
        <w:tc>
          <w:tcPr>
            <w:tcW w:w="611" w:type="dxa"/>
            <w:tcBorders/>
            <w:shd w:fill="E5E5E5" w:val="clear"/>
            <w:vAlign w:val="center"/>
          </w:tcPr>
          <w:p>
            <w:pPr>
              <w:pStyle w:val="TableContents"/>
              <w:bidi w:val="0"/>
              <w:spacing w:before="0" w:after="283"/>
              <w:ind w:left="0" w:right="0" w:firstLine="480"/>
              <w:jc w:val="left"/>
              <w:rPr>
                <w:sz w:val="4"/>
                <w:szCs w:val="4"/>
              </w:rPr>
            </w:pPr>
            <w:r>
              <w:rPr>
                <w:sz w:val="4"/>
                <w:szCs w:val="4"/>
              </w:rPr>
            </w:r>
          </w:p>
        </w:tc>
      </w:tr>
      <w:tr>
        <w:trPr/>
        <w:tc>
          <w:tcPr>
            <w:tcW w:w="6271" w:type="dxa"/>
            <w:tcBorders/>
            <w:vAlign w:val="center"/>
          </w:tcPr>
          <w:p>
            <w:pPr>
              <w:pStyle w:val="TableContents"/>
              <w:pBdr/>
              <w:bidi w:val="0"/>
              <w:spacing w:before="0" w:after="283"/>
              <w:ind w:left="240" w:right="0" w:hanging="240"/>
              <w:jc w:val="left"/>
              <w:rPr>
                <w:rFonts w:ascii="Arial" w:hAnsi="Arial"/>
                <w:b w:val="false"/>
                <w:color w:val="000000"/>
                <w:sz w:val="20"/>
              </w:rPr>
            </w:pPr>
            <w:r>
              <w:rPr>
                <w:rFonts w:ascii="Arial" w:hAnsi="Arial"/>
                <w:b w:val="false"/>
                <w:color w:val="000000"/>
                <w:sz w:val="20"/>
              </w:rPr>
              <w:t>Financing cash flows from finance leases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256</w:t>
            </w:r>
          </w:p>
        </w:tc>
        <w:tc>
          <w:tcPr>
            <w:tcW w:w="611" w:type="dxa"/>
            <w:tcBorders/>
            <w:vAlign w:val="center"/>
          </w:tcPr>
          <w:p>
            <w:pPr>
              <w:pStyle w:val="TableContents"/>
              <w:bidi w:val="0"/>
              <w:spacing w:before="0" w:after="283"/>
              <w:jc w:val="left"/>
              <w:rPr/>
            </w:pPr>
            <w:r>
              <w:rPr/>
              <w:t> </w:t>
            </w:r>
          </w:p>
        </w:tc>
      </w:tr>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pPr>
            <w:r>
              <w:rPr/>
              <w:t> </w:t>
            </w:r>
          </w:p>
        </w:tc>
        <w:tc>
          <w:tcPr>
            <w:tcW w:w="6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271" w:type="dxa"/>
            <w:tcBorders/>
            <w:shd w:fill="E5E5E5" w:val="clear"/>
            <w:vAlign w:val="center"/>
          </w:tcPr>
          <w:p>
            <w:pPr>
              <w:pStyle w:val="TableContents"/>
              <w:pBdr/>
              <w:bidi w:val="0"/>
              <w:spacing w:before="0" w:after="283"/>
              <w:ind w:left="0" w:right="0" w:hanging="240"/>
              <w:jc w:val="left"/>
              <w:rPr>
                <w:rFonts w:ascii="Arial" w:hAnsi="Arial"/>
                <w:b w:val="false"/>
                <w:color w:val="000000"/>
                <w:sz w:val="20"/>
              </w:rPr>
            </w:pPr>
            <w:r>
              <w:rPr>
                <w:rFonts w:ascii="Arial" w:hAnsi="Arial"/>
                <w:b w:val="false"/>
                <w:color w:val="000000"/>
                <w:sz w:val="20"/>
              </w:rPr>
              <w:t>Right-of-use assets obtained in exchange for lease obligations: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pPr>
            <w:r>
              <w:rPr/>
              <w:t> </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pPr>
            <w:r>
              <w:rPr/>
              <w:t> </w:t>
            </w:r>
          </w:p>
        </w:tc>
        <w:tc>
          <w:tcPr>
            <w:tcW w:w="611" w:type="dxa"/>
            <w:tcBorders/>
            <w:shd w:fill="E5E5E5" w:val="clear"/>
            <w:vAlign w:val="center"/>
          </w:tcPr>
          <w:p>
            <w:pPr>
              <w:pStyle w:val="TableContents"/>
              <w:bidi w:val="0"/>
              <w:spacing w:before="0" w:after="283"/>
              <w:ind w:left="0" w:right="0" w:firstLine="480"/>
              <w:jc w:val="left"/>
              <w:rPr>
                <w:sz w:val="4"/>
                <w:szCs w:val="4"/>
              </w:rPr>
            </w:pPr>
            <w:r>
              <w:rPr>
                <w:sz w:val="4"/>
                <w:szCs w:val="4"/>
              </w:rPr>
            </w:r>
          </w:p>
        </w:tc>
      </w:tr>
      <w:tr>
        <w:trPr/>
        <w:tc>
          <w:tcPr>
            <w:tcW w:w="6271" w:type="dxa"/>
            <w:tcBorders/>
            <w:vAlign w:val="center"/>
          </w:tcPr>
          <w:p>
            <w:pPr>
              <w:pStyle w:val="TableContents"/>
              <w:pBdr/>
              <w:bidi w:val="0"/>
              <w:spacing w:before="0" w:after="283"/>
              <w:ind w:left="240" w:right="0" w:hanging="240"/>
              <w:jc w:val="left"/>
              <w:rPr>
                <w:rFonts w:ascii="Arial" w:hAnsi="Arial"/>
                <w:b w:val="false"/>
                <w:color w:val="000000"/>
                <w:sz w:val="20"/>
              </w:rPr>
            </w:pPr>
            <w:r>
              <w:rPr>
                <w:rFonts w:ascii="Arial" w:hAnsi="Arial"/>
                <w:b w:val="false"/>
                <w:color w:val="000000"/>
                <w:sz w:val="20"/>
              </w:rPr>
              <w:t>Operating leases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1,189</w:t>
            </w:r>
          </w:p>
        </w:tc>
        <w:tc>
          <w:tcPr>
            <w:tcW w:w="611" w:type="dxa"/>
            <w:tcBorders/>
            <w:vAlign w:val="center"/>
          </w:tcPr>
          <w:p>
            <w:pPr>
              <w:pStyle w:val="TableContents"/>
              <w:bidi w:val="0"/>
              <w:spacing w:before="0" w:after="283"/>
              <w:ind w:left="0" w:right="0" w:firstLine="480"/>
              <w:jc w:val="left"/>
              <w:rPr>
                <w:sz w:val="4"/>
                <w:szCs w:val="4"/>
              </w:rPr>
            </w:pPr>
            <w:r>
              <w:rPr>
                <w:sz w:val="4"/>
                <w:szCs w:val="4"/>
              </w:rPr>
            </w:r>
          </w:p>
        </w:tc>
      </w:tr>
      <w:tr>
        <w:trPr/>
        <w:tc>
          <w:tcPr>
            <w:tcW w:w="6271" w:type="dxa"/>
            <w:tcBorders/>
            <w:shd w:fill="E5E5E5" w:val="clear"/>
            <w:vAlign w:val="center"/>
          </w:tcPr>
          <w:p>
            <w:pPr>
              <w:pStyle w:val="TableContents"/>
              <w:pBdr/>
              <w:bidi w:val="0"/>
              <w:spacing w:before="0" w:after="283"/>
              <w:ind w:left="240" w:right="0" w:hanging="240"/>
              <w:jc w:val="left"/>
              <w:rPr>
                <w:rFonts w:ascii="Arial" w:hAnsi="Arial"/>
                <w:b w:val="false"/>
                <w:color w:val="000000"/>
                <w:sz w:val="20"/>
              </w:rPr>
            </w:pPr>
            <w:r>
              <w:rPr>
                <w:rFonts w:ascii="Arial" w:hAnsi="Arial"/>
                <w:b w:val="false"/>
                <w:color w:val="000000"/>
                <w:sz w:val="20"/>
              </w:rPr>
              <w:t>Finance leases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1,704</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611</w:t>
            </w:r>
          </w:p>
        </w:tc>
        <w:tc>
          <w:tcPr>
            <w:tcW w:w="611" w:type="dxa"/>
            <w:tcBorders/>
            <w:shd w:fill="E5E5E5" w:val="clear"/>
            <w:vAlign w:val="center"/>
          </w:tcPr>
          <w:p>
            <w:pPr>
              <w:pStyle w:val="TableContents"/>
              <w:bidi w:val="0"/>
              <w:spacing w:before="0" w:after="283"/>
              <w:jc w:val="left"/>
              <w:rPr>
                <w:sz w:val="4"/>
                <w:szCs w:val="4"/>
              </w:rPr>
            </w:pPr>
            <w:r>
              <w:rPr>
                <w:sz w:val="4"/>
                <w:szCs w:val="4"/>
              </w:rPr>
            </w:r>
          </w:p>
        </w:tc>
      </w:tr>
      <w:tr>
        <w:trPr/>
        <w:tc>
          <w:tcPr>
            <w:tcW w:w="627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Supplemental balance sheet information related to leases was as follows:</w:t>
      </w:r>
    </w:p>
    <w:p>
      <w:pPr>
        <w:pStyle w:val="TextBody"/>
        <w:bidi w:val="0"/>
        <w:jc w:val="both"/>
        <w:rPr/>
      </w:pPr>
      <w:r>
        <w:rPr/>
        <w:t> </w:t>
      </w:r>
    </w:p>
    <w:tbl>
      <w:tblPr>
        <w:tblW w:w="7007" w:type="dxa"/>
        <w:jc w:val="left"/>
        <w:tblInd w:w="0" w:type="dxa"/>
        <w:tblLayout w:type="fixed"/>
        <w:tblCellMar>
          <w:top w:w="28" w:type="dxa"/>
          <w:left w:w="28" w:type="dxa"/>
          <w:bottom w:w="28" w:type="dxa"/>
          <w:right w:w="28" w:type="dxa"/>
        </w:tblCellMar>
      </w:tblPr>
      <w:tblGrid>
        <w:gridCol w:w="3706"/>
        <w:gridCol w:w="146"/>
        <w:gridCol w:w="231"/>
        <w:gridCol w:w="939"/>
        <w:gridCol w:w="166"/>
        <w:gridCol w:w="146"/>
        <w:gridCol w:w="211"/>
        <w:gridCol w:w="841"/>
        <w:gridCol w:w="62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lease term and discount rate)</w:t>
            </w:r>
          </w:p>
        </w:tc>
        <w:tc>
          <w:tcPr>
            <w:tcW w:w="146"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Operating Leases</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lease right-of-use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15,435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14,346</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2,538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2,409</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lease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1" w:type="dxa"/>
            <w:tcBorders/>
            <w:shd w:fill="E5E5E5" w:val="clear"/>
            <w:vAlign w:val="center"/>
          </w:tcPr>
          <w:p>
            <w:pPr>
              <w:pStyle w:val="TableContents"/>
              <w:bidi w:val="0"/>
              <w:spacing w:before="0" w:after="283"/>
              <w:jc w:val="left"/>
              <w:rPr>
                <w:sz w:val="4"/>
                <w:szCs w:val="4"/>
              </w:rPr>
            </w:pPr>
            <w:r>
              <w:rPr>
                <w:sz w:val="4"/>
                <w:szCs w:val="4"/>
              </w:rPr>
            </w:r>
          </w:p>
        </w:tc>
        <w:tc>
          <w:tcPr>
            <w:tcW w:w="93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13,487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12,728</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operating lease liabilities</w:t>
            </w:r>
          </w:p>
        </w:tc>
        <w:tc>
          <w:tcPr>
            <w:tcW w:w="146"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16,025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15,137</w:t>
            </w:r>
          </w:p>
        </w:tc>
        <w:tc>
          <w:tcPr>
            <w:tcW w:w="621" w:type="dxa"/>
            <w:tcBorders/>
            <w:vAlign w:val="center"/>
          </w:tcPr>
          <w:p>
            <w:pPr>
              <w:pStyle w:val="TableContents"/>
              <w:bidi w:val="0"/>
              <w:spacing w:before="0" w:after="283"/>
              <w:jc w:val="left"/>
              <w:rPr/>
            </w:pPr>
            <w:r>
              <w:rPr/>
              <w:t> </w:t>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Finance Leases</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Property and equipment, at cost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21,892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20,538</w:t>
            </w:r>
          </w:p>
        </w:tc>
        <w:tc>
          <w:tcPr>
            <w:tcW w:w="621" w:type="dxa"/>
            <w:tcBorders/>
            <w:shd w:fill="E5E5E5" w:val="clear"/>
            <w:vAlign w:val="center"/>
          </w:tcPr>
          <w:p>
            <w:pPr>
              <w:pStyle w:val="TableContents"/>
              <w:bidi w:val="0"/>
              <w:spacing w:before="0" w:after="283"/>
              <w:ind w:left="0" w:right="0" w:firstLine="245"/>
              <w:jc w:val="left"/>
              <w:rPr/>
            </w:pPr>
            <w:r>
              <w:rPr/>
              <w:t> </w:t>
            </w:r>
          </w:p>
        </w:tc>
      </w:tr>
      <w:tr>
        <w:trPr/>
        <w:tc>
          <w:tcPr>
            <w:tcW w:w="370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Accumulated depreciation</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(4,949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(4,647</w:t>
            </w:r>
          </w:p>
        </w:tc>
        <w:tc>
          <w:tcPr>
            <w:tcW w:w="62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Property and equipment, net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16,943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15,891</w:t>
            </w:r>
          </w:p>
        </w:tc>
        <w:tc>
          <w:tcPr>
            <w:tcW w:w="621" w:type="dxa"/>
            <w:tcBorders/>
            <w:shd w:fill="E5E5E5" w:val="clear"/>
            <w:vAlign w:val="center"/>
          </w:tcPr>
          <w:p>
            <w:pPr>
              <w:pStyle w:val="TableContents"/>
              <w:bidi w:val="0"/>
              <w:spacing w:before="0" w:after="283"/>
              <w:jc w:val="left"/>
              <w:rPr/>
            </w:pPr>
            <w:r>
              <w:rPr/>
              <w:t> </w:t>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current liabilities</w:t>
            </w:r>
          </w:p>
        </w:tc>
        <w:tc>
          <w:tcPr>
            <w:tcW w:w="146"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1,577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1,197</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long-term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1" w:type="dxa"/>
            <w:tcBorders/>
            <w:shd w:fill="E5E5E5" w:val="clear"/>
            <w:vAlign w:val="center"/>
          </w:tcPr>
          <w:p>
            <w:pPr>
              <w:pStyle w:val="TableContents"/>
              <w:bidi w:val="0"/>
              <w:spacing w:before="0" w:after="283"/>
              <w:jc w:val="left"/>
              <w:rPr>
                <w:sz w:val="4"/>
                <w:szCs w:val="4"/>
              </w:rPr>
            </w:pPr>
            <w:r>
              <w:rPr>
                <w:sz w:val="4"/>
                <w:szCs w:val="4"/>
              </w:rPr>
            </w:r>
          </w:p>
        </w:tc>
        <w:tc>
          <w:tcPr>
            <w:tcW w:w="93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16,577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15,870</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finance lease liabilities</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9"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18,154</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4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17,067</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Remaining Lease Term</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leases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1" w:type="dxa"/>
            <w:tcBorders/>
            <w:shd w:fill="E5E5E5" w:val="clear"/>
            <w:vAlign w:val="center"/>
          </w:tcPr>
          <w:p>
            <w:pPr>
              <w:pStyle w:val="TableContents"/>
              <w:bidi w:val="0"/>
              <w:spacing w:before="0" w:after="283"/>
              <w:jc w:val="left"/>
              <w:rPr>
                <w:sz w:val="4"/>
                <w:szCs w:val="4"/>
              </w:rPr>
            </w:pPr>
            <w:r>
              <w:rPr>
                <w:sz w:val="4"/>
                <w:szCs w:val="4"/>
              </w:rPr>
            </w:r>
          </w:p>
        </w:tc>
        <w:tc>
          <w:tcPr>
            <w:tcW w:w="939" w:type="dxa"/>
            <w:tcBorders/>
            <w:shd w:fill="E5E5E5" w:val="clear"/>
            <w:vAlign w:val="center"/>
          </w:tcPr>
          <w:p>
            <w:pPr>
              <w:pStyle w:val="TableContents"/>
              <w:bidi w:val="0"/>
              <w:spacing w:before="0" w:after="283"/>
              <w:jc w:val="right"/>
              <w:rPr>
                <w:rFonts w:ascii="Times New Roman" w:hAnsi="Times New Roman"/>
                <w:sz w:val="20"/>
              </w:rPr>
            </w:pPr>
            <w:r>
              <w:rPr>
                <w:rFonts w:ascii="Arial" w:hAnsi="Arial"/>
                <w:b/>
                <w:color w:val="000000"/>
                <w:sz w:val="20"/>
              </w:rPr>
              <w:t>8</w:t>
            </w:r>
            <w:r>
              <w:rPr>
                <w:rFonts w:ascii="Times New Roman" w:hAnsi="Times New Roman"/>
                <w:color w:val="000000"/>
                <w:sz w:val="20"/>
              </w:rPr>
              <w:t> </w:t>
            </w:r>
            <w:r>
              <w:rPr>
                <w:rFonts w:ascii="Arial" w:hAnsi="Arial"/>
                <w:b/>
                <w:color w:val="000000"/>
                <w:sz w:val="20"/>
              </w:rPr>
              <w:t>years</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Times New Roman" w:hAnsi="Times New Roman"/>
                <w:sz w:val="20"/>
              </w:rPr>
            </w:pPr>
            <w:r>
              <w:rPr>
                <w:rFonts w:ascii="Arial" w:hAnsi="Arial"/>
                <w:b w:val="false"/>
                <w:color w:val="000000"/>
                <w:sz w:val="20"/>
              </w:rPr>
              <w:t>8</w:t>
            </w:r>
            <w:r>
              <w:rPr>
                <w:rFonts w:ascii="Times New Roman" w:hAnsi="Times New Roman"/>
                <w:color w:val="000000"/>
                <w:sz w:val="20"/>
              </w:rPr>
              <w:t> </w:t>
            </w:r>
            <w:r>
              <w:rPr>
                <w:rFonts w:ascii="Arial" w:hAnsi="Arial"/>
                <w:b w:val="false"/>
                <w:color w:val="000000"/>
                <w:sz w:val="20"/>
              </w:rPr>
              <w:t>years</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Finance leases</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rFonts w:ascii="Times New Roman" w:hAnsi="Times New Roman"/>
                <w:sz w:val="20"/>
              </w:rPr>
            </w:pPr>
            <w:r>
              <w:rPr>
                <w:rFonts w:ascii="Arial" w:hAnsi="Arial"/>
                <w:b/>
                <w:color w:val="000000"/>
                <w:sz w:val="20"/>
              </w:rPr>
              <w:t>11</w:t>
            </w:r>
            <w:r>
              <w:rPr>
                <w:rFonts w:ascii="Times New Roman" w:hAnsi="Times New Roman"/>
                <w:color w:val="000000"/>
                <w:sz w:val="20"/>
              </w:rPr>
              <w:t> </w:t>
            </w:r>
            <w:r>
              <w:rPr>
                <w:rFonts w:ascii="Arial" w:hAnsi="Arial"/>
                <w:b/>
                <w:color w:val="000000"/>
                <w:sz w:val="20"/>
              </w:rPr>
              <w:t>years</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rFonts w:ascii="Times New Roman" w:hAnsi="Times New Roman"/>
                <w:sz w:val="20"/>
              </w:rPr>
            </w:pPr>
            <w:r>
              <w:rPr>
                <w:rFonts w:ascii="Arial" w:hAnsi="Arial"/>
                <w:b w:val="false"/>
                <w:color w:val="000000"/>
                <w:sz w:val="20"/>
              </w:rPr>
              <w:t>11</w:t>
            </w:r>
            <w:r>
              <w:rPr>
                <w:rFonts w:ascii="Times New Roman" w:hAnsi="Times New Roman"/>
                <w:color w:val="000000"/>
                <w:sz w:val="20"/>
              </w:rPr>
              <w:t> </w:t>
            </w:r>
            <w:r>
              <w:rPr>
                <w:rFonts w:ascii="Arial" w:hAnsi="Arial"/>
                <w:b w:val="false"/>
                <w:color w:val="000000"/>
                <w:sz w:val="20"/>
              </w:rPr>
              <w:t>years</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Discount Rate</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Operating leases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1" w:type="dxa"/>
            <w:tcBorders/>
            <w:shd w:fill="E5E5E5" w:val="clear"/>
            <w:vAlign w:val="center"/>
          </w:tcPr>
          <w:p>
            <w:pPr>
              <w:pStyle w:val="TableContents"/>
              <w:bidi w:val="0"/>
              <w:spacing w:before="0" w:after="283"/>
              <w:jc w:val="left"/>
              <w:rPr>
                <w:sz w:val="4"/>
                <w:szCs w:val="4"/>
              </w:rPr>
            </w:pPr>
            <w:r>
              <w:rPr>
                <w:sz w:val="4"/>
                <w:szCs w:val="4"/>
              </w:rPr>
            </w:r>
          </w:p>
        </w:tc>
        <w:tc>
          <w:tcPr>
            <w:tcW w:w="93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Finance leases</w:t>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The following table outlines maturities of our lease liabilities as of September 30, 2023:</w:t>
      </w:r>
    </w:p>
    <w:p>
      <w:pPr>
        <w:pStyle w:val="TextBody"/>
        <w:bidi w:val="0"/>
        <w:jc w:val="both"/>
        <w:rPr/>
      </w:pPr>
      <w:r>
        <w:rPr/>
        <w:t> </w:t>
      </w:r>
    </w:p>
    <w:tbl>
      <w:tblPr>
        <w:tblW w:w="9240" w:type="dxa"/>
        <w:jc w:val="left"/>
        <w:tblInd w:w="0" w:type="dxa"/>
        <w:tblLayout w:type="fixed"/>
        <w:tblCellMar>
          <w:top w:w="28" w:type="dxa"/>
          <w:left w:w="28" w:type="dxa"/>
          <w:bottom w:w="28" w:type="dxa"/>
          <w:right w:w="28" w:type="dxa"/>
        </w:tblCellMar>
      </w:tblPr>
      <w:tblGrid>
        <w:gridCol w:w="5476"/>
        <w:gridCol w:w="146"/>
        <w:gridCol w:w="330"/>
        <w:gridCol w:w="1080"/>
        <w:gridCol w:w="166"/>
        <w:gridCol w:w="146"/>
        <w:gridCol w:w="298"/>
        <w:gridCol w:w="977"/>
        <w:gridCol w:w="62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gridSpan w:val="2"/>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gridSpan w:val="2"/>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Operating Leases</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Finance Leases</w:t>
            </w:r>
          </w:p>
        </w:tc>
        <w:tc>
          <w:tcPr>
            <w:tcW w:w="62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2042" w:type="dxa"/>
            <w:gridSpan w:val="4"/>
            <w:tcBorders/>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2024 (excluding the three months ended September 30,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2,287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1,378</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2025</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2,834</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2,196</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pPr>
            <w:r>
              <w:rPr/>
              <w:t> </w:t>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2,365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pPr>
            <w:r>
              <w:rPr/>
              <w:t> </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1,883</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2027</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1,961</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1,890</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2028</w:t>
            </w:r>
          </w:p>
        </w:tc>
        <w:tc>
          <w:tcPr>
            <w:tcW w:w="146" w:type="dxa"/>
            <w:tcBorders/>
            <w:shd w:fill="E5E5E5" w:val="clear"/>
            <w:vAlign w:val="center"/>
          </w:tcPr>
          <w:p>
            <w:pPr>
              <w:pStyle w:val="TableContents"/>
              <w:bidi w:val="0"/>
              <w:spacing w:before="0" w:after="283"/>
              <w:jc w:val="left"/>
              <w:rPr/>
            </w:pPr>
            <w:r>
              <w:rPr/>
              <w:t> </w:t>
            </w:r>
          </w:p>
        </w:tc>
        <w:tc>
          <w:tcPr>
            <w:tcW w:w="330" w:type="dxa"/>
            <w:tcBorders/>
            <w:shd w:fill="E5E5E5" w:val="clear"/>
            <w:vAlign w:val="center"/>
          </w:tcPr>
          <w:p>
            <w:pPr>
              <w:pStyle w:val="TableContents"/>
              <w:bidi w:val="0"/>
              <w:spacing w:before="0" w:after="283"/>
              <w:jc w:val="left"/>
              <w:rPr>
                <w:sz w:val="4"/>
                <w:szCs w:val="4"/>
              </w:rPr>
            </w:pPr>
            <w:r>
              <w:rPr>
                <w:sz w:val="4"/>
                <w:szCs w:val="4"/>
              </w:rPr>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1,767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1,900</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Thereafter</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6,803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12,934</w:t>
            </w:r>
          </w:p>
        </w:tc>
        <w:tc>
          <w:tcPr>
            <w:tcW w:w="62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547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 lease payments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sz w:val="4"/>
                <w:szCs w:val="4"/>
              </w:rPr>
            </w:pPr>
            <w:r>
              <w:rPr>
                <w:sz w:val="4"/>
                <w:szCs w:val="4"/>
              </w:rPr>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18,017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pPr>
            <w:r>
              <w:rPr/>
              <w:t> </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22,181</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476"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Less imputed interest</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(1,992</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(4,027</w:t>
            </w:r>
          </w:p>
        </w:tc>
        <w:tc>
          <w:tcPr>
            <w:tcW w:w="62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5476"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16,025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18,154</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As of September 30, 2023, we had additional operating and finance leases, primarily for datacenters, that had not yet commenced of $7.5</w:t>
      </w:r>
      <w:r>
        <w:rPr>
          <w:rFonts w:ascii="Times New Roman" w:hAnsi="Times New Roman"/>
          <w:color w:val="000000"/>
          <w:sz w:val="20"/>
        </w:rPr>
        <w:t xml:space="preserve"> </w:t>
      </w:r>
      <w:r>
        <w:rPr>
          <w:rFonts w:ascii="Arial" w:hAnsi="Arial"/>
          <w:b w:val="false"/>
          <w:color w:val="000000"/>
          <w:sz w:val="20"/>
        </w:rPr>
        <w:t>billion and $75.1</w:t>
      </w:r>
      <w:r>
        <w:rPr>
          <w:rFonts w:ascii="Times New Roman" w:hAnsi="Times New Roman"/>
          <w:color w:val="000000"/>
          <w:sz w:val="20"/>
        </w:rPr>
        <w:t xml:space="preserve"> </w:t>
      </w:r>
      <w:r>
        <w:rPr>
          <w:rFonts w:ascii="Arial" w:hAnsi="Arial"/>
          <w:b w:val="false"/>
          <w:color w:val="000000"/>
          <w:sz w:val="20"/>
        </w:rPr>
        <w:t>billion, respectively. These operating and finance leases will commence between fiscal year 2024 and fiscal year 2030 with lease terms of 1</w:t>
      </w:r>
      <w:r>
        <w:rPr>
          <w:rFonts w:ascii="Times New Roman" w:hAnsi="Times New Roman"/>
          <w:color w:val="000000"/>
          <w:sz w:val="20"/>
        </w:rPr>
        <w:t xml:space="preserve"> </w:t>
      </w:r>
      <w:r>
        <w:rPr>
          <w:rFonts w:ascii="Arial" w:hAnsi="Arial"/>
          <w:b w:val="false"/>
          <w:color w:val="000000"/>
          <w:sz w:val="20"/>
        </w:rPr>
        <w:t>year to 18</w:t>
      </w:r>
      <w:r>
        <w:rPr>
          <w:rFonts w:ascii="Times New Roman" w:hAnsi="Times New Roman"/>
          <w:color w:val="000000"/>
          <w:sz w:val="20"/>
        </w:rPr>
        <w:t xml:space="preserve"> </w:t>
      </w:r>
      <w:r>
        <w:rPr>
          <w:rFonts w:ascii="Arial" w:hAnsi="Arial"/>
          <w:b w:val="false"/>
          <w:color w:val="000000"/>
          <w:sz w:val="20"/>
        </w:rPr>
        <w:t>years.</w:t>
      </w:r>
    </w:p>
    <w:p>
      <w:pPr>
        <w:pStyle w:val="TextBody"/>
        <w:bidi w:val="0"/>
        <w:spacing w:before="240" w:after="283"/>
        <w:jc w:val="center"/>
        <w:rPr>
          <w:rFonts w:ascii="Arial" w:hAnsi="Arial"/>
          <w:b w:val="false"/>
          <w:color w:val="000000"/>
          <w:sz w:val="16"/>
        </w:rPr>
      </w:pPr>
      <w:r>
        <w:rPr>
          <w:rFonts w:ascii="Arial" w:hAnsi="Arial"/>
          <w:b w:val="false"/>
          <w:color w:val="000000"/>
          <w:sz w:val="16"/>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NOTE 13 — CONTINGENCIES</w:t>
      </w:r>
    </w:p>
    <w:p>
      <w:pPr>
        <w:pStyle w:val="TextBody"/>
        <w:bidi w:val="0"/>
        <w:spacing w:before="180" w:after="283"/>
        <w:jc w:val="both"/>
        <w:rPr>
          <w:rFonts w:ascii="Arial" w:hAnsi="Arial"/>
          <w:b/>
          <w:color w:val="000000"/>
          <w:sz w:val="20"/>
        </w:rPr>
      </w:pPr>
      <w:r>
        <w:rPr>
          <w:rFonts w:ascii="Arial" w:hAnsi="Arial"/>
          <w:b/>
          <w:color w:val="000000"/>
          <w:sz w:val="20"/>
        </w:rPr>
        <w:t>U.S. Cell Phone Litigation</w:t>
      </w:r>
    </w:p>
    <w:p>
      <w:pPr>
        <w:pStyle w:val="TextBody"/>
        <w:bidi w:val="0"/>
        <w:spacing w:before="180" w:after="283"/>
        <w:jc w:val="both"/>
        <w:rPr>
          <w:rFonts w:ascii="Arial" w:hAnsi="Arial"/>
          <w:b w:val="false"/>
          <w:color w:val="000000"/>
          <w:sz w:val="20"/>
        </w:rPr>
      </w:pPr>
      <w:r>
        <w:rPr>
          <w:rFonts w:ascii="Arial" w:hAnsi="Arial"/>
          <w:b w:val="false"/>
          <w:color w:val="000000"/>
          <w:sz w:val="20"/>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pStyle w:val="TextBody"/>
        <w:bidi w:val="0"/>
        <w:spacing w:before="180" w:after="283"/>
        <w:jc w:val="both"/>
        <w:rPr>
          <w:rFonts w:ascii="Times New Roman" w:hAnsi="Times New Roman"/>
          <w:sz w:val="20"/>
        </w:rPr>
      </w:pPr>
      <w:r>
        <w:rPr>
          <w:rFonts w:ascii="Arial" w:hAnsi="Arial"/>
          <w:b w:val="false"/>
          <w:color w:val="000000"/>
          <w:sz w:val="20"/>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 In April of 2023, the court granted defendants’ motion to strike the testimony of plaintiffs’ experts that cell phones cause brain cancer and entered an order excluding all of plaintiffs’ experts from testifying. The plaintiffs appealed the court’s order in August of 2023.</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Irish Data Protection Commission Matter</w:t>
      </w:r>
    </w:p>
    <w:p>
      <w:pPr>
        <w:pStyle w:val="TextBody"/>
        <w:bidi w:val="0"/>
        <w:spacing w:before="180" w:after="283"/>
        <w:jc w:val="both"/>
        <w:rPr>
          <w:rFonts w:ascii="Arial" w:hAnsi="Arial"/>
          <w:b w:val="false"/>
          <w:color w:val="000000"/>
          <w:sz w:val="20"/>
        </w:rPr>
      </w:pPr>
      <w:r>
        <w:rPr>
          <w:rFonts w:ascii="Arial" w:hAnsi="Arial"/>
          <w:b w:val="false"/>
          <w:color w:val="000000"/>
          <w:sz w:val="20"/>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April 2023, the IDPC provided LinkedIn with a non-public preliminary draft decision alleging GDPR violations and proposing a fine. Microsoft intends to challenge the preliminary draft decision. There is no set timeline for the IDPC to issue a final decision.</w:t>
      </w:r>
    </w:p>
    <w:p>
      <w:pPr>
        <w:pStyle w:val="TextBody"/>
        <w:bidi w:val="0"/>
        <w:spacing w:before="270" w:after="283"/>
        <w:jc w:val="both"/>
        <w:rPr>
          <w:rFonts w:ascii="Arial" w:hAnsi="Arial"/>
          <w:b/>
          <w:color w:val="000000"/>
          <w:sz w:val="20"/>
        </w:rPr>
      </w:pPr>
      <w:r>
        <w:rPr>
          <w:rFonts w:ascii="Arial" w:hAnsi="Arial"/>
          <w:b/>
          <w:color w:val="000000"/>
          <w:sz w:val="20"/>
        </w:rPr>
        <w:t>Other Contingencies</w:t>
      </w:r>
    </w:p>
    <w:p>
      <w:pPr>
        <w:pStyle w:val="TextBody"/>
        <w:bidi w:val="0"/>
        <w:spacing w:before="180" w:after="283"/>
        <w:jc w:val="both"/>
        <w:rPr>
          <w:rFonts w:ascii="Arial" w:hAnsi="Arial"/>
          <w:b w:val="false"/>
          <w:color w:val="000000"/>
          <w:sz w:val="20"/>
        </w:rPr>
      </w:pPr>
      <w:r>
        <w:rPr>
          <w:rFonts w:ascii="Arial" w:hAnsi="Arial"/>
          <w:b w:val="false"/>
          <w:color w:val="000000"/>
          <w:sz w:val="20"/>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pStyle w:val="TextBody"/>
        <w:bidi w:val="0"/>
        <w:spacing w:before="180" w:after="283"/>
        <w:jc w:val="both"/>
        <w:rPr>
          <w:rFonts w:ascii="Times New Roman" w:hAnsi="Times New Roman"/>
          <w:sz w:val="20"/>
        </w:rPr>
      </w:pPr>
      <w:r>
        <w:rPr>
          <w:rFonts w:ascii="Arial" w:hAnsi="Arial"/>
          <w:b w:val="false"/>
          <w:color w:val="000000"/>
          <w:sz w:val="20"/>
        </w:rPr>
        <w:t>As of September 30, 2023, we accrued aggregate legal liabilities of $597</w:t>
      </w:r>
      <w:r>
        <w:rPr>
          <w:rFonts w:ascii="Times New Roman" w:hAnsi="Times New Roman"/>
          <w:color w:val="000000"/>
          <w:sz w:val="20"/>
        </w:rPr>
        <w:t xml:space="preserve"> </w:t>
      </w:r>
      <w:r>
        <w:rPr>
          <w:rFonts w:ascii="Arial" w:hAnsi="Arial"/>
          <w:b w:val="false"/>
          <w:color w:val="000000"/>
          <w:sz w:val="20"/>
        </w:rPr>
        <w:t>million. While we intend to defend these matters vigorously, adverse outcomes that we estimate could reach approximately $600</w:t>
      </w:r>
      <w:r>
        <w:rPr>
          <w:rFonts w:ascii="Times New Roman" w:hAnsi="Times New Roman"/>
          <w:color w:val="000000"/>
          <w:sz w:val="20"/>
        </w:rPr>
        <w:t xml:space="preserve"> </w:t>
      </w:r>
      <w:r>
        <w:rPr>
          <w:rFonts w:ascii="Arial" w:hAnsi="Arial"/>
          <w:b w:val="false"/>
          <w:color w:val="000000"/>
          <w:sz w:val="20"/>
        </w:rPr>
        <w:t>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pStyle w:val="TextBody"/>
        <w:bidi w:val="0"/>
        <w:spacing w:before="270" w:after="283"/>
        <w:jc w:val="center"/>
        <w:rPr>
          <w:rFonts w:ascii="Times New Roman" w:hAnsi="Times New Roman"/>
          <w:sz w:val="20"/>
        </w:rPr>
      </w:pPr>
      <w:r>
        <w:rPr>
          <w:rFonts w:ascii="Arial" w:hAnsi="Arial"/>
          <w:b w:val="false"/>
          <w:color w:val="000000"/>
          <w:sz w:val="20"/>
          <w:u w:val="single"/>
        </w:rPr>
        <w:t xml:space="preserve">NOTE 14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STOCKHOLDERS’ EQUITY</w:t>
      </w:r>
    </w:p>
    <w:p>
      <w:pPr>
        <w:pStyle w:val="TextBody"/>
        <w:bidi w:val="0"/>
        <w:spacing w:before="180" w:after="283"/>
        <w:jc w:val="both"/>
        <w:rPr>
          <w:rFonts w:ascii="Arial" w:hAnsi="Arial"/>
          <w:b/>
          <w:color w:val="000000"/>
          <w:sz w:val="20"/>
        </w:rPr>
      </w:pPr>
      <w:r>
        <w:rPr>
          <w:rFonts w:ascii="Arial" w:hAnsi="Arial"/>
          <w:b/>
          <w:color w:val="000000"/>
          <w:sz w:val="20"/>
        </w:rPr>
        <w:t>Share Repurchases</w:t>
      </w:r>
    </w:p>
    <w:p>
      <w:pPr>
        <w:pStyle w:val="TextBody"/>
        <w:bidi w:val="0"/>
        <w:spacing w:before="180" w:after="283"/>
        <w:jc w:val="both"/>
        <w:rPr>
          <w:rFonts w:ascii="Times New Roman" w:hAnsi="Times New Roman"/>
          <w:sz w:val="20"/>
        </w:rPr>
      </w:pPr>
      <w:r>
        <w:rPr>
          <w:rFonts w:ascii="Arial" w:hAnsi="Arial"/>
          <w:b w:val="false"/>
          <w:color w:val="000000"/>
          <w:sz w:val="20"/>
        </w:rPr>
        <w:t>On September 14, 2021, our Board of Directors approved a share repurchase program authorizing up to $60.0</w:t>
      </w:r>
      <w:r>
        <w:rPr>
          <w:rFonts w:ascii="Times New Roman" w:hAnsi="Times New Roman"/>
          <w:color w:val="000000"/>
          <w:sz w:val="20"/>
        </w:rPr>
        <w:t xml:space="preserve"> </w:t>
      </w:r>
      <w:r>
        <w:rPr>
          <w:rFonts w:ascii="Arial" w:hAnsi="Arial"/>
          <w:b w:val="false"/>
          <w:color w:val="000000"/>
          <w:sz w:val="20"/>
        </w:rPr>
        <w:t>billion in share repurchases. This share repurchase program commenced in November 2021, has no expiration date, and may be terminated at any time. As of September 30, 2023, $18.7</w:t>
      </w:r>
      <w:r>
        <w:rPr>
          <w:rFonts w:ascii="Times New Roman" w:hAnsi="Times New Roman"/>
          <w:color w:val="000000"/>
          <w:sz w:val="20"/>
        </w:rPr>
        <w:t xml:space="preserve"> </w:t>
      </w:r>
      <w:r>
        <w:rPr>
          <w:rFonts w:ascii="Arial" w:hAnsi="Arial"/>
          <w:b w:val="false"/>
          <w:color w:val="000000"/>
          <w:sz w:val="20"/>
        </w:rPr>
        <w:t>billion remained of this $60.0</w:t>
      </w:r>
      <w:r>
        <w:rPr>
          <w:rFonts w:ascii="Times New Roman" w:hAnsi="Times New Roman"/>
          <w:color w:val="000000"/>
          <w:sz w:val="20"/>
        </w:rPr>
        <w:t xml:space="preserve"> </w:t>
      </w:r>
      <w:r>
        <w:rPr>
          <w:rFonts w:ascii="Arial" w:hAnsi="Arial"/>
          <w:b w:val="false"/>
          <w:color w:val="000000"/>
          <w:sz w:val="20"/>
        </w:rPr>
        <w:t>billion share repurchase program.</w:t>
      </w:r>
    </w:p>
    <w:p>
      <w:pPr>
        <w:pStyle w:val="TextBody"/>
        <w:bidi w:val="0"/>
        <w:spacing w:before="240" w:after="283"/>
        <w:jc w:val="center"/>
        <w:rPr>
          <w:rFonts w:ascii="Arial" w:hAnsi="Arial"/>
          <w:b w:val="false"/>
          <w:color w:val="000000"/>
          <w:sz w:val="16"/>
        </w:rPr>
      </w:pPr>
      <w:r>
        <w:rPr>
          <w:rFonts w:ascii="Arial" w:hAnsi="Arial"/>
          <w:b w:val="false"/>
          <w:color w:val="000000"/>
          <w:sz w:val="16"/>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We repurchased the following shares of common stock under the share repurchase program:</w:t>
      </w:r>
    </w:p>
    <w:p>
      <w:pPr>
        <w:pStyle w:val="TextBody"/>
        <w:bidi w:val="0"/>
        <w:jc w:val="both"/>
        <w:rPr/>
      </w:pPr>
      <w:r>
        <w:rPr/>
        <w:t> </w:t>
      </w:r>
    </w:p>
    <w:tbl>
      <w:tblPr>
        <w:tblW w:w="5285" w:type="dxa"/>
        <w:jc w:val="left"/>
        <w:tblInd w:w="0" w:type="dxa"/>
        <w:tblLayout w:type="fixed"/>
        <w:tblCellMar>
          <w:top w:w="28" w:type="dxa"/>
          <w:left w:w="28" w:type="dxa"/>
          <w:bottom w:w="28" w:type="dxa"/>
          <w:right w:w="28" w:type="dxa"/>
        </w:tblCellMar>
      </w:tblPr>
      <w:tblGrid>
        <w:gridCol w:w="1216"/>
        <w:gridCol w:w="109"/>
        <w:gridCol w:w="161"/>
        <w:gridCol w:w="470"/>
        <w:gridCol w:w="146"/>
        <w:gridCol w:w="109"/>
        <w:gridCol w:w="211"/>
        <w:gridCol w:w="586"/>
        <w:gridCol w:w="109"/>
        <w:gridCol w:w="109"/>
        <w:gridCol w:w="161"/>
        <w:gridCol w:w="470"/>
        <w:gridCol w:w="146"/>
        <w:gridCol w:w="109"/>
        <w:gridCol w:w="211"/>
        <w:gridCol w:w="586"/>
        <w:gridCol w:w="376"/>
      </w:tblGrid>
      <w:tr>
        <w:trPr/>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1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vAlign w:val="center"/>
          </w:tcPr>
          <w:p>
            <w:pPr>
              <w:pStyle w:val="TableContents"/>
              <w:bidi w:val="0"/>
              <w:spacing w:before="0" w:after="283"/>
              <w:jc w:val="right"/>
              <w:rPr/>
            </w:pPr>
            <w:r>
              <w:rPr/>
              <w:t> </w:t>
            </w:r>
          </w:p>
        </w:tc>
        <w:tc>
          <w:tcPr>
            <w:tcW w:w="906" w:type="dxa"/>
            <w:gridSpan w:val="3"/>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vAlign w:val="center"/>
          </w:tcPr>
          <w:p>
            <w:pPr>
              <w:pStyle w:val="TableContents"/>
              <w:bidi w:val="0"/>
              <w:spacing w:before="0" w:after="283"/>
              <w:jc w:val="right"/>
              <w:rPr/>
            </w:pPr>
            <w:r>
              <w:rPr/>
              <w:t> </w:t>
            </w:r>
          </w:p>
        </w:tc>
        <w:tc>
          <w:tcPr>
            <w:tcW w:w="906" w:type="dxa"/>
            <w:gridSpan w:val="3"/>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376" w:type="dxa"/>
            <w:tcBorders/>
            <w:vAlign w:val="center"/>
          </w:tcPr>
          <w:p>
            <w:pPr>
              <w:pStyle w:val="TableContents"/>
              <w:bidi w:val="0"/>
              <w:spacing w:before="0" w:after="283"/>
              <w:jc w:val="left"/>
              <w:rPr>
                <w:sz w:val="4"/>
                <w:szCs w:val="4"/>
              </w:rPr>
            </w:pPr>
            <w:r>
              <w:rPr>
                <w:sz w:val="4"/>
                <w:szCs w:val="4"/>
              </w:rPr>
            </w:r>
          </w:p>
        </w:tc>
      </w:tr>
      <w:tr>
        <w:trPr/>
        <w:tc>
          <w:tcPr>
            <w:tcW w:w="1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6"/>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6"/>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21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376" w:type="dxa"/>
            <w:tcBorders/>
            <w:vAlign w:val="center"/>
          </w:tcPr>
          <w:p>
            <w:pPr>
              <w:pStyle w:val="TableContents"/>
              <w:bidi w:val="0"/>
              <w:spacing w:before="0" w:after="283"/>
              <w:jc w:val="left"/>
              <w:rPr>
                <w:sz w:val="4"/>
                <w:szCs w:val="4"/>
              </w:rPr>
            </w:pPr>
            <w:r>
              <w:rPr>
                <w:sz w:val="4"/>
                <w:szCs w:val="4"/>
              </w:rPr>
            </w:r>
          </w:p>
        </w:tc>
      </w:tr>
      <w:tr>
        <w:trPr/>
        <w:tc>
          <w:tcPr>
            <w:tcW w:w="1216" w:type="dxa"/>
            <w:tcBorders/>
            <w:vAlign w:val="center"/>
          </w:tcPr>
          <w:p>
            <w:pPr>
              <w:pStyle w:val="TableContents"/>
              <w:bidi w:val="0"/>
              <w:spacing w:before="0" w:after="283"/>
              <w:jc w:val="left"/>
              <w:rPr>
                <w:sz w:val="4"/>
                <w:szCs w:val="4"/>
              </w:rPr>
            </w:pPr>
            <w:r>
              <w:rPr>
                <w:sz w:val="4"/>
                <w:szCs w:val="4"/>
              </w:rPr>
            </w:r>
          </w:p>
        </w:tc>
        <w:tc>
          <w:tcPr>
            <w:tcW w:w="886"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886" w:type="dxa"/>
            <w:gridSpan w:val="4"/>
            <w:tcBorders/>
            <w:vAlign w:val="center"/>
          </w:tcPr>
          <w:p>
            <w:pPr>
              <w:pStyle w:val="TableContents"/>
              <w:bidi w:val="0"/>
              <w:spacing w:before="0" w:after="283"/>
              <w:jc w:val="left"/>
              <w:rPr>
                <w:sz w:val="4"/>
                <w:szCs w:val="4"/>
              </w:rPr>
            </w:pPr>
            <w:r>
              <w:rPr>
                <w:sz w:val="4"/>
                <w:szCs w:val="4"/>
              </w:rPr>
            </w:r>
          </w:p>
        </w:tc>
        <w:tc>
          <w:tcPr>
            <w:tcW w:w="1282" w:type="dxa"/>
            <w:gridSpan w:val="4"/>
            <w:tcBorders/>
            <w:vAlign w:val="center"/>
          </w:tcPr>
          <w:p>
            <w:pPr>
              <w:pStyle w:val="TableContents"/>
              <w:bidi w:val="0"/>
              <w:spacing w:before="0" w:after="283"/>
              <w:ind w:left="0" w:right="0" w:firstLine="245"/>
              <w:jc w:val="left"/>
              <w:rPr>
                <w:sz w:val="4"/>
                <w:szCs w:val="4"/>
              </w:rPr>
            </w:pPr>
            <w:r>
              <w:rPr>
                <w:sz w:val="4"/>
                <w:szCs w:val="4"/>
              </w:rPr>
            </w:r>
          </w:p>
        </w:tc>
      </w:tr>
      <w:tr>
        <w:trPr/>
        <w:tc>
          <w:tcPr>
            <w:tcW w:w="1216"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First Quarter</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161" w:type="dxa"/>
            <w:tcBorders/>
            <w:shd w:fill="E5E5E5" w:val="clear"/>
            <w:vAlign w:val="center"/>
          </w:tcPr>
          <w:p>
            <w:pPr>
              <w:pStyle w:val="TableContents"/>
              <w:bidi w:val="0"/>
              <w:spacing w:before="0" w:after="283"/>
              <w:jc w:val="left"/>
              <w:rPr>
                <w:sz w:val="4"/>
                <w:szCs w:val="4"/>
              </w:rPr>
            </w:pPr>
            <w:r>
              <w:rPr>
                <w:sz w:val="4"/>
                <w:szCs w:val="4"/>
              </w:rPr>
            </w:r>
          </w:p>
        </w:tc>
        <w:tc>
          <w:tcPr>
            <w:tcW w:w="47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3,560</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161" w:type="dxa"/>
            <w:tcBorders/>
            <w:shd w:fill="E5E5E5" w:val="clear"/>
            <w:vAlign w:val="center"/>
          </w:tcPr>
          <w:p>
            <w:pPr>
              <w:pStyle w:val="TableContents"/>
              <w:bidi w:val="0"/>
              <w:spacing w:before="0" w:after="283"/>
              <w:jc w:val="left"/>
              <w:rPr>
                <w:sz w:val="4"/>
                <w:szCs w:val="4"/>
              </w:rPr>
            </w:pPr>
            <w:r>
              <w:rPr>
                <w:sz w:val="4"/>
                <w:szCs w:val="4"/>
              </w:rPr>
            </w:r>
          </w:p>
        </w:tc>
        <w:tc>
          <w:tcPr>
            <w:tcW w:w="470"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4,600</w:t>
            </w:r>
          </w:p>
        </w:tc>
        <w:tc>
          <w:tcPr>
            <w:tcW w:w="376" w:type="dxa"/>
            <w:tcBorders/>
            <w:shd w:fill="E5E5E5" w:val="clear"/>
            <w:vAlign w:val="center"/>
          </w:tcPr>
          <w:p>
            <w:pPr>
              <w:pStyle w:val="TableContents"/>
              <w:bidi w:val="0"/>
              <w:spacing w:before="0" w:after="283"/>
              <w:jc w:val="left"/>
              <w:rPr>
                <w:sz w:val="4"/>
                <w:szCs w:val="4"/>
              </w:rPr>
            </w:pPr>
            <w:r>
              <w:rPr>
                <w:sz w:val="4"/>
                <w:szCs w:val="4"/>
              </w:rPr>
            </w:r>
          </w:p>
        </w:tc>
      </w:tr>
      <w:tr>
        <w:trPr/>
        <w:tc>
          <w:tcPr>
            <w:tcW w:w="1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All repurchases were made using cash resources. All shares repurchased were under the share repurchase program approved on September 14, 2021. The above table excludes shares repurchased to settle employee tax withholding related to the vesting of stock awards of $1.3</w:t>
      </w:r>
      <w:r>
        <w:rPr>
          <w:rFonts w:ascii="Times New Roman" w:hAnsi="Times New Roman"/>
          <w:color w:val="000000"/>
          <w:sz w:val="20"/>
        </w:rPr>
        <w:t xml:space="preserve"> </w:t>
      </w:r>
      <w:r>
        <w:rPr>
          <w:rFonts w:ascii="Arial" w:hAnsi="Arial"/>
          <w:b w:val="false"/>
          <w:color w:val="000000"/>
          <w:sz w:val="20"/>
        </w:rPr>
        <w:t>billion and $973</w:t>
      </w:r>
      <w:r>
        <w:rPr>
          <w:rFonts w:ascii="Times New Roman" w:hAnsi="Times New Roman"/>
          <w:color w:val="000000"/>
          <w:sz w:val="20"/>
        </w:rPr>
        <w:t xml:space="preserve"> </w:t>
      </w:r>
      <w:r>
        <w:rPr>
          <w:rFonts w:ascii="Arial" w:hAnsi="Arial"/>
          <w:b w:val="false"/>
          <w:color w:val="000000"/>
          <w:sz w:val="20"/>
        </w:rPr>
        <w:t>million for the first quarter of fiscal years 2024 and 2023, respectively.</w:t>
      </w:r>
    </w:p>
    <w:p>
      <w:pPr>
        <w:pStyle w:val="TextBody"/>
        <w:bidi w:val="0"/>
        <w:spacing w:before="270" w:after="283"/>
        <w:jc w:val="both"/>
        <w:rPr>
          <w:rFonts w:ascii="Arial" w:hAnsi="Arial"/>
          <w:b/>
          <w:color w:val="000000"/>
          <w:sz w:val="20"/>
        </w:rPr>
      </w:pPr>
      <w:r>
        <w:rPr>
          <w:rFonts w:ascii="Arial" w:hAnsi="Arial"/>
          <w:b/>
          <w:color w:val="000000"/>
          <w:sz w:val="20"/>
        </w:rPr>
        <w:t>Dividends</w:t>
      </w:r>
    </w:p>
    <w:p>
      <w:pPr>
        <w:pStyle w:val="TextBody"/>
        <w:bidi w:val="0"/>
        <w:spacing w:before="180" w:after="283"/>
        <w:jc w:val="both"/>
        <w:rPr>
          <w:rFonts w:ascii="Arial" w:hAnsi="Arial"/>
          <w:b w:val="false"/>
          <w:color w:val="000000"/>
          <w:sz w:val="20"/>
        </w:rPr>
      </w:pPr>
      <w:r>
        <w:rPr>
          <w:rFonts w:ascii="Arial" w:hAnsi="Arial"/>
          <w:b w:val="false"/>
          <w:color w:val="000000"/>
          <w:sz w:val="20"/>
        </w:rPr>
        <w:t>Our Board of Directors declared the following dividends: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42"/>
        <w:gridCol w:w="146"/>
        <w:gridCol w:w="391"/>
        <w:gridCol w:w="1759"/>
        <w:gridCol w:w="146"/>
        <w:gridCol w:w="146"/>
        <w:gridCol w:w="391"/>
        <w:gridCol w:w="1744"/>
        <w:gridCol w:w="146"/>
        <w:gridCol w:w="146"/>
        <w:gridCol w:w="456"/>
        <w:gridCol w:w="832"/>
        <w:gridCol w:w="146"/>
        <w:gridCol w:w="146"/>
        <w:gridCol w:w="456"/>
        <w:gridCol w:w="934"/>
        <w:gridCol w:w="378"/>
      </w:tblGrid>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842"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378" w:type="dxa"/>
            <w:tcBorders/>
            <w:vAlign w:val="center"/>
          </w:tcPr>
          <w:p>
            <w:pPr>
              <w:pStyle w:val="TableContents"/>
              <w:bidi w:val="0"/>
              <w:spacing w:before="0" w:after="283"/>
              <w:jc w:val="left"/>
              <w:rPr>
                <w:sz w:val="4"/>
                <w:szCs w:val="4"/>
              </w:rPr>
            </w:pPr>
            <w:r>
              <w:rPr>
                <w:sz w:val="4"/>
                <w:szCs w:val="4"/>
              </w:rPr>
            </w:r>
          </w:p>
        </w:tc>
      </w:tr>
      <w:tr>
        <w:trPr/>
        <w:tc>
          <w:tcPr>
            <w:tcW w:w="184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842"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Fiscal Year 2024</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378" w:type="dxa"/>
            <w:tcBorders/>
            <w:vAlign w:val="center"/>
          </w:tcPr>
          <w:p>
            <w:pPr>
              <w:pStyle w:val="TableContents"/>
              <w:bidi w:val="0"/>
              <w:spacing w:before="0" w:after="283"/>
              <w:jc w:val="left"/>
              <w:rPr/>
            </w:pPr>
            <w:r>
              <w:rPr/>
              <w:t> </w:t>
            </w:r>
          </w:p>
        </w:tc>
      </w:tr>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842"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September 19, 2023</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759"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November 16,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744"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December 14,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832" w:type="dxa"/>
            <w:tcBorders/>
            <w:shd w:fill="E5E5E5" w:val="clear"/>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0.75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34" w:type="dxa"/>
            <w:tcBorders/>
            <w:shd w:fill="E5E5E5" w:val="clear"/>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5,573</w:t>
            </w:r>
          </w:p>
        </w:tc>
        <w:tc>
          <w:tcPr>
            <w:tcW w:w="378" w:type="dxa"/>
            <w:tcBorders/>
            <w:shd w:fill="E5E5E5" w:val="clear"/>
            <w:vAlign w:val="center"/>
          </w:tcPr>
          <w:p>
            <w:pPr>
              <w:pStyle w:val="TableContents"/>
              <w:bidi w:val="0"/>
              <w:spacing w:before="0" w:after="283"/>
              <w:jc w:val="left"/>
              <w:rPr/>
            </w:pPr>
            <w:r>
              <w:rPr/>
              <w:t> </w:t>
            </w:r>
          </w:p>
        </w:tc>
      </w:tr>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45"/>
              <w:jc w:val="left"/>
              <w:rPr>
                <w:sz w:val="4"/>
                <w:szCs w:val="4"/>
              </w:rPr>
            </w:pPr>
            <w:r>
              <w:rPr>
                <w:sz w:val="4"/>
                <w:szCs w:val="4"/>
              </w:rPr>
            </w:r>
          </w:p>
        </w:tc>
        <w:tc>
          <w:tcPr>
            <w:tcW w:w="832"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45"/>
              <w:jc w:val="left"/>
              <w:rPr>
                <w:sz w:val="4"/>
                <w:szCs w:val="4"/>
              </w:rPr>
            </w:pPr>
            <w:r>
              <w:rPr>
                <w:sz w:val="4"/>
                <w:szCs w:val="4"/>
              </w:rPr>
            </w:r>
          </w:p>
        </w:tc>
        <w:tc>
          <w:tcPr>
            <w:tcW w:w="934" w:type="dxa"/>
            <w:tcBorders/>
            <w:vAlign w:val="center"/>
          </w:tcPr>
          <w:p>
            <w:pPr>
              <w:pStyle w:val="TableContents"/>
              <w:bidi w:val="0"/>
              <w:spacing w:before="0" w:after="283"/>
              <w:ind w:left="0" w:right="0" w:firstLine="245"/>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842"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Fiscal Year 2023</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832" w:type="dxa"/>
            <w:tcBorders/>
            <w:vAlign w:val="center"/>
          </w:tcPr>
          <w:p>
            <w:pPr>
              <w:pStyle w:val="TableContents"/>
              <w:pBdr/>
              <w:bidi w:val="0"/>
              <w:spacing w:before="0" w:after="283"/>
              <w:ind w:left="0" w:right="0" w:hanging="245"/>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934" w:type="dxa"/>
            <w:tcBorders/>
            <w:vAlign w:val="center"/>
          </w:tcPr>
          <w:p>
            <w:pPr>
              <w:pStyle w:val="TableContents"/>
              <w:pBdr/>
              <w:bidi w:val="0"/>
              <w:spacing w:before="0" w:after="283"/>
              <w:ind w:left="0" w:right="0" w:hanging="245"/>
              <w:jc w:val="right"/>
              <w:rPr/>
            </w:pPr>
            <w:r>
              <w:rPr/>
              <w:t> </w:t>
            </w:r>
          </w:p>
        </w:tc>
        <w:tc>
          <w:tcPr>
            <w:tcW w:w="378" w:type="dxa"/>
            <w:tcBorders/>
            <w:vAlign w:val="center"/>
          </w:tcPr>
          <w:p>
            <w:pPr>
              <w:pStyle w:val="TableContents"/>
              <w:bidi w:val="0"/>
              <w:spacing w:before="0" w:after="283"/>
              <w:jc w:val="left"/>
              <w:rPr/>
            </w:pPr>
            <w:r>
              <w:rPr/>
              <w:t> </w:t>
            </w:r>
          </w:p>
        </w:tc>
      </w:tr>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45"/>
              <w:jc w:val="left"/>
              <w:rPr>
                <w:sz w:val="4"/>
                <w:szCs w:val="4"/>
              </w:rPr>
            </w:pPr>
            <w:r>
              <w:rPr>
                <w:sz w:val="4"/>
                <w:szCs w:val="4"/>
              </w:rPr>
            </w:r>
          </w:p>
        </w:tc>
        <w:tc>
          <w:tcPr>
            <w:tcW w:w="832"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45"/>
              <w:jc w:val="left"/>
              <w:rPr>
                <w:sz w:val="4"/>
                <w:szCs w:val="4"/>
              </w:rPr>
            </w:pPr>
            <w:r>
              <w:rPr>
                <w:sz w:val="4"/>
                <w:szCs w:val="4"/>
              </w:rPr>
            </w:r>
          </w:p>
        </w:tc>
        <w:tc>
          <w:tcPr>
            <w:tcW w:w="934" w:type="dxa"/>
            <w:tcBorders/>
            <w:vAlign w:val="center"/>
          </w:tcPr>
          <w:p>
            <w:pPr>
              <w:pStyle w:val="TableContents"/>
              <w:bidi w:val="0"/>
              <w:spacing w:before="0" w:after="283"/>
              <w:ind w:left="0" w:right="0" w:firstLine="245"/>
              <w:jc w:val="left"/>
              <w:rPr>
                <w:sz w:val="4"/>
                <w:szCs w:val="4"/>
              </w:rPr>
            </w:pPr>
            <w:r>
              <w:rPr>
                <w:sz w:val="4"/>
                <w:szCs w:val="4"/>
              </w:rPr>
            </w:r>
          </w:p>
        </w:tc>
        <w:tc>
          <w:tcPr>
            <w:tcW w:w="378"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842"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September 20, 2022</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759"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November 17, 2022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744"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December 8, 2022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c>
          <w:tcPr>
            <w:tcW w:w="832" w:type="dxa"/>
            <w:tcBorders/>
            <w:shd w:fill="E5E5E5" w:val="clear"/>
            <w:vAlign w:val="center"/>
          </w:tcPr>
          <w:p>
            <w:pPr>
              <w:pStyle w:val="TableContents"/>
              <w:pBdr/>
              <w:bidi w:val="0"/>
              <w:spacing w:before="0" w:after="283"/>
              <w:ind w:left="0" w:right="0" w:hanging="245"/>
              <w:jc w:val="right"/>
              <w:rPr>
                <w:rFonts w:ascii="Arial" w:hAnsi="Arial"/>
                <w:b w:val="false"/>
                <w:color w:val="000000"/>
                <w:sz w:val="20"/>
              </w:rPr>
            </w:pPr>
            <w:r>
              <w:rPr>
                <w:rFonts w:ascii="Arial" w:hAnsi="Arial"/>
                <w:b w:val="false"/>
                <w:color w:val="000000"/>
                <w:sz w:val="20"/>
              </w:rPr>
              <w:t>0.68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c>
          <w:tcPr>
            <w:tcW w:w="934" w:type="dxa"/>
            <w:tcBorders/>
            <w:shd w:fill="E5E5E5" w:val="clear"/>
            <w:vAlign w:val="center"/>
          </w:tcPr>
          <w:p>
            <w:pPr>
              <w:pStyle w:val="TableContents"/>
              <w:pBdr/>
              <w:bidi w:val="0"/>
              <w:spacing w:before="0" w:after="283"/>
              <w:ind w:left="0" w:right="0" w:hanging="245"/>
              <w:jc w:val="right"/>
              <w:rPr>
                <w:rFonts w:ascii="Arial" w:hAnsi="Arial"/>
                <w:b w:val="false"/>
                <w:color w:val="000000"/>
                <w:sz w:val="20"/>
              </w:rPr>
            </w:pPr>
            <w:r>
              <w:rPr>
                <w:rFonts w:ascii="Arial" w:hAnsi="Arial"/>
                <w:b w:val="false"/>
                <w:color w:val="000000"/>
                <w:sz w:val="20"/>
              </w:rPr>
              <w:t>5,066</w:t>
            </w:r>
          </w:p>
        </w:tc>
        <w:tc>
          <w:tcPr>
            <w:tcW w:w="378" w:type="dxa"/>
            <w:tcBorders/>
            <w:shd w:fill="E5E5E5" w:val="clear"/>
            <w:vAlign w:val="center"/>
          </w:tcPr>
          <w:p>
            <w:pPr>
              <w:pStyle w:val="TableContents"/>
              <w:bidi w:val="0"/>
              <w:spacing w:before="0" w:after="283"/>
              <w:jc w:val="left"/>
              <w:rPr/>
            </w:pPr>
            <w:r>
              <w:rPr/>
              <w:t> </w:t>
            </w:r>
          </w:p>
        </w:tc>
      </w:tr>
      <w:tr>
        <w:trPr/>
        <w:tc>
          <w:tcPr>
            <w:tcW w:w="184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74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3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3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37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The dividend declared on September 19, 2023 was included in other current liabilities as of September 30, 2023.</w:t>
      </w:r>
    </w:p>
    <w:p>
      <w:pPr>
        <w:pStyle w:val="TextBody"/>
        <w:bidi w:val="0"/>
        <w:jc w:val="both"/>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90" w:after="283"/>
        <w:jc w:val="center"/>
        <w:rPr>
          <w:rFonts w:ascii="Arial" w:hAnsi="Arial"/>
          <w:b w:val="false"/>
          <w:color w:val="000000"/>
          <w:sz w:val="20"/>
          <w:u w:val="single"/>
        </w:rPr>
      </w:pPr>
      <w:r>
        <w:rPr>
          <w:rFonts w:ascii="Arial" w:hAnsi="Arial"/>
          <w:b w:val="false"/>
          <w:color w:val="000000"/>
          <w:sz w:val="20"/>
          <w:u w:val="single"/>
        </w:rPr>
        <w:t>NOTE 15 — ACCUMULATED OTHER COMPREHENSIVE INCOME (LOSS)</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summarizes the changes in accumulated other comprehensive income (loss) by component:</w:t>
      </w:r>
    </w:p>
    <w:p>
      <w:pPr>
        <w:pStyle w:val="TextBody"/>
        <w:bidi w:val="0"/>
        <w:jc w:val="both"/>
        <w:rPr/>
      </w:pPr>
      <w:r>
        <w:rPr/>
        <w:t> </w:t>
      </w:r>
    </w:p>
    <w:tbl>
      <w:tblPr>
        <w:tblW w:w="9874" w:type="dxa"/>
        <w:jc w:val="left"/>
        <w:tblInd w:w="0" w:type="dxa"/>
        <w:tblLayout w:type="fixed"/>
        <w:tblCellMar>
          <w:top w:w="28" w:type="dxa"/>
          <w:left w:w="28" w:type="dxa"/>
          <w:bottom w:w="28" w:type="dxa"/>
          <w:right w:w="28" w:type="dxa"/>
        </w:tblCellMar>
      </w:tblPr>
      <w:tblGrid>
        <w:gridCol w:w="7021"/>
        <w:gridCol w:w="146"/>
        <w:gridCol w:w="211"/>
        <w:gridCol w:w="646"/>
        <w:gridCol w:w="166"/>
        <w:gridCol w:w="146"/>
        <w:gridCol w:w="211"/>
        <w:gridCol w:w="646"/>
        <w:gridCol w:w="681"/>
      </w:tblGrid>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026"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7021"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 xml:space="preserve">Unrealized losses, net of tax of </w:t>
            </w:r>
            <w:r>
              <w:rPr>
                <w:rFonts w:ascii="Arial" w:hAnsi="Arial"/>
                <w:b/>
                <w:color w:val="000000"/>
                <w:sz w:val="20"/>
              </w:rPr>
              <w:t xml:space="preserve">$(4) </w:t>
            </w:r>
            <w:r>
              <w:rPr>
                <w:rFonts w:ascii="Arial" w:hAnsi="Arial"/>
                <w:b w:val="false"/>
                <w:color w:val="000000"/>
                <w:sz w:val="20"/>
              </w:rPr>
              <w:t>and $(11)</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Reclassification adjustments for losses included in other income (expense), net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70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Tax benefit included in provision for income taxes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702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Amounts reclassified from accumulated other comprehensive loss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7021"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 xml:space="preserve">Net change related to derivatives, net of tax of </w:t>
            </w:r>
            <w:r>
              <w:rPr>
                <w:rFonts w:ascii="Arial" w:hAnsi="Arial"/>
                <w:b/>
                <w:color w:val="000000"/>
                <w:sz w:val="20"/>
              </w:rPr>
              <w:t>$6</w:t>
            </w:r>
            <w:r>
              <w:rPr>
                <w:rFonts w:ascii="Times New Roman" w:hAnsi="Times New Roman"/>
                <w:color w:val="000000"/>
                <w:sz w:val="20"/>
              </w:rPr>
              <w:t> </w:t>
            </w:r>
            <w:r>
              <w:rPr>
                <w:rFonts w:ascii="Arial" w:hAnsi="Arial"/>
                <w:b w:val="false"/>
                <w:color w:val="000000"/>
                <w:sz w:val="20"/>
              </w:rPr>
              <w:t>and $1</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681" w:type="dxa"/>
            <w:tcBorders/>
            <w:vAlign w:val="center"/>
          </w:tcPr>
          <w:p>
            <w:pPr>
              <w:pStyle w:val="TableContents"/>
              <w:bidi w:val="0"/>
              <w:spacing w:before="0" w:after="283"/>
              <w:jc w:val="left"/>
              <w:rPr/>
            </w:pPr>
            <w:r>
              <w:rPr/>
              <w:t> </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Investments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(3,582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(2,138</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7021"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Unrealized losses, net of tax of</w:t>
            </w:r>
            <w:r>
              <w:rPr>
                <w:rFonts w:ascii="Times New Roman" w:hAnsi="Times New Roman"/>
                <w:color w:val="000000"/>
                <w:sz w:val="20"/>
              </w:rPr>
              <w:t> </w:t>
            </w:r>
            <w:r>
              <w:rPr>
                <w:rFonts w:ascii="Arial" w:hAnsi="Arial"/>
                <w:b/>
                <w:color w:val="000000"/>
                <w:sz w:val="20"/>
              </w:rPr>
              <w:t>$(75)</w:t>
            </w:r>
            <w:r>
              <w:rPr>
                <w:rFonts w:ascii="Times New Roman" w:hAnsi="Times New Roman"/>
                <w:color w:val="000000"/>
                <w:sz w:val="20"/>
              </w:rPr>
              <w:t> </w:t>
            </w:r>
            <w:r>
              <w:rPr>
                <w:rFonts w:ascii="Arial" w:hAnsi="Arial"/>
                <w:b w:val="false"/>
                <w:color w:val="000000"/>
                <w:sz w:val="20"/>
              </w:rPr>
              <w:t>and $(510)</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(283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(1,925</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Reclassification adjustments for losses included in other income (expense), net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70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Tax benefit included in provision for income taxes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702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Amounts reclassified from accumulated other comprehensive loss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w:t>
            </w:r>
          </w:p>
        </w:tc>
        <w:tc>
          <w:tcPr>
            <w:tcW w:w="681" w:type="dxa"/>
            <w:tcBorders/>
            <w:shd w:fill="E5E5E5" w:val="clear"/>
            <w:vAlign w:val="center"/>
          </w:tcPr>
          <w:p>
            <w:pPr>
              <w:pStyle w:val="TableContents"/>
              <w:bidi w:val="0"/>
              <w:spacing w:before="0" w:after="283"/>
              <w:jc w:val="left"/>
              <w:rPr/>
            </w:pPr>
            <w:r>
              <w:rPr/>
              <w:t> </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 xml:space="preserve">Net change related to investments, net of tax of </w:t>
            </w:r>
            <w:r>
              <w:rPr>
                <w:rFonts w:ascii="Arial" w:hAnsi="Arial"/>
                <w:b/>
                <w:color w:val="000000"/>
                <w:sz w:val="20"/>
              </w:rPr>
              <w:t>$(69)</w:t>
            </w:r>
            <w:r>
              <w:rPr>
                <w:rFonts w:ascii="Times New Roman" w:hAnsi="Times New Roman"/>
                <w:color w:val="000000"/>
                <w:sz w:val="20"/>
              </w:rPr>
              <w:t> </w:t>
            </w:r>
            <w:r>
              <w:rPr>
                <w:rFonts w:ascii="Arial" w:hAnsi="Arial"/>
                <w:b w:val="false"/>
                <w:color w:val="000000"/>
                <w:sz w:val="20"/>
              </w:rPr>
              <w:t>and $(503)</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(1,897</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(3,842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(4,035</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Translation Adjustments and Other</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(2,734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(2,527</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7021"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 xml:space="preserve">Translation adjustments and other, net of tax of </w:t>
            </w:r>
            <w:r>
              <w:rPr>
                <w:rFonts w:ascii="Arial" w:hAnsi="Arial"/>
                <w:b/>
                <w:color w:val="000000"/>
                <w:sz w:val="20"/>
              </w:rPr>
              <w:t>$0</w:t>
            </w:r>
            <w:r>
              <w:rPr>
                <w:rFonts w:ascii="Times New Roman" w:hAnsi="Times New Roman"/>
                <w:color w:val="000000"/>
                <w:sz w:val="20"/>
              </w:rPr>
              <w:t> </w:t>
            </w:r>
            <w:r>
              <w:rPr>
                <w:rFonts w:ascii="Arial" w:hAnsi="Arial"/>
                <w:b w:val="false"/>
                <w:color w:val="000000"/>
                <w:sz w:val="20"/>
              </w:rPr>
              <w:t>and $0</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(355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(775</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(3,089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(3,302</w:t>
            </w:r>
          </w:p>
        </w:tc>
        <w:tc>
          <w:tcPr>
            <w:tcW w:w="68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70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Accumulated other comprehensive loss, end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(6,937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4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(7,343</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b w:val="false"/>
          <w:color w:val="000000"/>
          <w:sz w:val="20"/>
          <w:u w:val="single"/>
        </w:rPr>
        <w:t xml:space="preserve">NOTE 16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SEGMENT INFORMATION AND GEOGRAPHIC DATA</w:t>
      </w:r>
    </w:p>
    <w:p>
      <w:pPr>
        <w:pStyle w:val="TextBody"/>
        <w:bidi w:val="0"/>
        <w:spacing w:before="180" w:after="283"/>
        <w:jc w:val="both"/>
        <w:rPr>
          <w:rFonts w:ascii="Arial" w:hAnsi="Arial"/>
          <w:b w:val="false"/>
          <w:color w:val="000000"/>
          <w:sz w:val="20"/>
        </w:rPr>
      </w:pPr>
      <w:r>
        <w:rPr>
          <w:rFonts w:ascii="Arial" w:hAnsi="Arial"/>
          <w:b w:val="false"/>
          <w:color w:val="000000"/>
          <w:sz w:val="20"/>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pStyle w:val="TextBody"/>
        <w:bidi w:val="0"/>
        <w:spacing w:before="180" w:after="283"/>
        <w:jc w:val="both"/>
        <w:rPr>
          <w:rFonts w:ascii="Arial" w:hAnsi="Arial"/>
          <w:b w:val="false"/>
          <w:color w:val="000000"/>
          <w:sz w:val="20"/>
        </w:rPr>
      </w:pPr>
      <w:r>
        <w:rPr>
          <w:rFonts w:ascii="Arial" w:hAnsi="Arial"/>
          <w:b w:val="false"/>
          <w:color w:val="000000"/>
          <w:sz w:val="20"/>
        </w:rPr>
        <w:t>Our reportable segments are described below.</w:t>
      </w:r>
    </w:p>
    <w:p>
      <w:pPr>
        <w:pStyle w:val="TextBody"/>
        <w:bidi w:val="0"/>
        <w:spacing w:before="270" w:after="283"/>
        <w:jc w:val="both"/>
        <w:rPr>
          <w:rFonts w:ascii="Arial" w:hAnsi="Arial"/>
          <w:b/>
          <w:color w:val="000000"/>
          <w:sz w:val="20"/>
        </w:rPr>
      </w:pPr>
      <w:r>
        <w:rPr>
          <w:rFonts w:ascii="Arial" w:hAnsi="Arial"/>
          <w:b/>
          <w:color w:val="000000"/>
          <w:sz w:val="20"/>
        </w:rPr>
        <w:t>Productivity and Business Processes</w:t>
      </w:r>
    </w:p>
    <w:p>
      <w:pPr>
        <w:pStyle w:val="TextBody"/>
        <w:bidi w:val="0"/>
        <w:spacing w:before="180" w:after="283"/>
        <w:jc w:val="both"/>
        <w:rPr>
          <w:rFonts w:ascii="Arial" w:hAnsi="Arial"/>
          <w:b w:val="false"/>
          <w:color w:val="000000"/>
          <w:sz w:val="20"/>
        </w:rPr>
      </w:pPr>
      <w:r>
        <w:rPr>
          <w:rFonts w:ascii="Arial" w:hAnsi="Arial"/>
          <w:b w:val="false"/>
          <w:color w:val="000000"/>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Office Commercial (Office 365 subscriptions, the Office 365 portion of Microsoft 365 Commercial subscriptions, and Office licensed on-premises), comprising Office, Exchange, SharePoint, Microsoft Teams, Office 365 Security and Compliance, Microsoft Viva, and Microsoft 365 Copilot.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Office Consumer, including Microsoft 365 Consumer subscriptions, Office licensed on-premises, and other Office services.</w:t>
      </w:r>
    </w:p>
    <w:p>
      <w:pPr>
        <w:pStyle w:val="TextBody"/>
        <w:bidi w:val="0"/>
        <w:spacing w:before="240" w:after="283"/>
        <w:jc w:val="center"/>
        <w:rPr>
          <w:rFonts w:ascii="Arial" w:hAnsi="Arial"/>
          <w:b w:val="false"/>
          <w:color w:val="000000"/>
          <w:sz w:val="16"/>
        </w:rPr>
      </w:pPr>
      <w:r>
        <w:rPr>
          <w:rFonts w:ascii="Arial" w:hAnsi="Arial"/>
          <w:b w:val="false"/>
          <w:color w:val="000000"/>
          <w:sz w:val="16"/>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LinkedIn, including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Dynamics business solutions, including Dynamics 365, comprising a set of intelligent, cloud-based applications across ERP, CRM (including Customer Insights), Power Apps, and Power Automate; and on-premises ERP and CRM applications.</w:t>
      </w:r>
    </w:p>
    <w:p>
      <w:pPr>
        <w:pStyle w:val="TextBody"/>
        <w:bidi w:val="0"/>
        <w:spacing w:before="270" w:after="283"/>
        <w:jc w:val="both"/>
        <w:rPr>
          <w:rFonts w:ascii="Arial" w:hAnsi="Arial"/>
          <w:b/>
          <w:color w:val="000000"/>
          <w:sz w:val="20"/>
        </w:rPr>
      </w:pPr>
      <w:r>
        <w:rPr>
          <w:rFonts w:ascii="Arial" w:hAnsi="Arial"/>
          <w:b/>
          <w:color w:val="000000"/>
          <w:sz w:val="20"/>
        </w:rPr>
        <w:t>Intelligent Cloud</w:t>
      </w:r>
    </w:p>
    <w:p>
      <w:pPr>
        <w:pStyle w:val="TextBody"/>
        <w:bidi w:val="0"/>
        <w:spacing w:before="180" w:after="283"/>
        <w:jc w:val="both"/>
        <w:rPr>
          <w:rFonts w:ascii="Arial" w:hAnsi="Arial"/>
          <w:b w:val="false"/>
          <w:color w:val="000000"/>
          <w:sz w:val="20"/>
        </w:rPr>
      </w:pPr>
      <w:r>
        <w:rPr>
          <w:rFonts w:ascii="Arial" w:hAnsi="Arial"/>
          <w:b w:val="false"/>
          <w:color w:val="000000"/>
          <w:sz w:val="20"/>
        </w:rPr>
        <w:t>Our Intelligent Cloud segment consists of our public, private, and hybrid server products and cloud services that can power modern business and developers.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Server products and cloud services, including Azure and other cloud services; SQL Server, Windows Server, Visual Studio, System Center, and related Client Access Licenses (“CALs”); and Nuance and GitHub.</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Enterprise and partner services, including Enterprise Support Services, Industry Solutions, Nuance professional services, Microsoft Partner Network, and Learning Experience.</w:t>
      </w:r>
    </w:p>
    <w:p>
      <w:pPr>
        <w:pStyle w:val="TextBody"/>
        <w:bidi w:val="0"/>
        <w:spacing w:before="270" w:after="283"/>
        <w:jc w:val="both"/>
        <w:rPr>
          <w:rFonts w:ascii="Arial" w:hAnsi="Arial"/>
          <w:b/>
          <w:color w:val="000000"/>
          <w:sz w:val="20"/>
        </w:rPr>
      </w:pPr>
      <w:r>
        <w:rPr>
          <w:rFonts w:ascii="Arial" w:hAnsi="Arial"/>
          <w:b/>
          <w:color w:val="000000"/>
          <w:sz w:val="20"/>
        </w:rPr>
        <w:t>More Personal Computing</w:t>
      </w:r>
    </w:p>
    <w:p>
      <w:pPr>
        <w:pStyle w:val="TextBody"/>
        <w:bidi w:val="0"/>
        <w:spacing w:before="180" w:after="283"/>
        <w:jc w:val="both"/>
        <w:rPr>
          <w:rFonts w:ascii="Arial" w:hAnsi="Arial"/>
          <w:b w:val="false"/>
          <w:color w:val="000000"/>
          <w:sz w:val="20"/>
        </w:rPr>
      </w:pPr>
      <w:r>
        <w:rPr>
          <w:rFonts w:ascii="Arial" w:hAnsi="Arial"/>
          <w:b w:val="false"/>
          <w:color w:val="000000"/>
          <w:sz w:val="20"/>
        </w:rPr>
        <w:t>Our More Personal Computing segment consists of products and services that put customers at the center of the experience with our technology.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Windows, including Windows original equipment manufacturer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Devices, including Surface, HoloLens, and PC accessories.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Gaming, including Xbox hardware and Xbox content and services, comprising first- and third-party content (including games and in-game content), Xbox Game Pass and other subscriptions, Xbox Cloud Gaming, advertising, third-party disc royalties, and other cloud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Search and news advertising, comprising Bing (including Bing Chat), Microsoft News, Microsoft Edge, and third-party affiliates.</w:t>
      </w:r>
    </w:p>
    <w:p>
      <w:pPr>
        <w:pStyle w:val="TextBody"/>
        <w:bidi w:val="0"/>
        <w:spacing w:before="180" w:after="283"/>
        <w:jc w:val="both"/>
        <w:rPr>
          <w:rFonts w:ascii="Arial" w:hAnsi="Arial"/>
          <w:b w:val="false"/>
          <w:color w:val="000000"/>
          <w:sz w:val="20"/>
        </w:rPr>
      </w:pPr>
      <w:r>
        <w:rPr>
          <w:rFonts w:ascii="Arial" w:hAnsi="Arial"/>
          <w:b w:val="false"/>
          <w:color w:val="000000"/>
          <w:sz w:val="20"/>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pStyle w:val="TextBody"/>
        <w:bidi w:val="0"/>
        <w:spacing w:before="180" w:after="283"/>
        <w:jc w:val="both"/>
        <w:rPr>
          <w:rFonts w:ascii="Arial" w:hAnsi="Arial"/>
          <w:b w:val="false"/>
          <w:color w:val="000000"/>
          <w:sz w:val="20"/>
        </w:rPr>
      </w:pPr>
      <w:r>
        <w:rPr>
          <w:rFonts w:ascii="Arial" w:hAnsi="Arial"/>
          <w:b w:val="false"/>
          <w:color w:val="000000"/>
          <w:sz w:val="20"/>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pStyle w:val="TextBody"/>
        <w:bidi w:val="0"/>
        <w:spacing w:before="240" w:after="283"/>
        <w:jc w:val="center"/>
        <w:rPr>
          <w:rFonts w:ascii="Arial" w:hAnsi="Arial"/>
          <w:b w:val="false"/>
          <w:color w:val="000000"/>
          <w:sz w:val="16"/>
        </w:rPr>
      </w:pPr>
      <w:r>
        <w:rPr>
          <w:rFonts w:ascii="Arial" w:hAnsi="Arial"/>
          <w:b w:val="false"/>
          <w:color w:val="000000"/>
          <w:sz w:val="16"/>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Segment revenue and operating income were as follows during the periods presented:</w:t>
      </w:r>
    </w:p>
    <w:p>
      <w:pPr>
        <w:pStyle w:val="TextBody"/>
        <w:bidi w:val="0"/>
        <w:jc w:val="left"/>
        <w:rPr/>
      </w:pPr>
      <w:r>
        <w:rPr/>
        <w:t> </w:t>
      </w:r>
    </w:p>
    <w:tbl>
      <w:tblPr>
        <w:tblW w:w="6240" w:type="dxa"/>
        <w:jc w:val="left"/>
        <w:tblInd w:w="0" w:type="dxa"/>
        <w:tblLayout w:type="fixed"/>
        <w:tblCellMar>
          <w:top w:w="28" w:type="dxa"/>
          <w:left w:w="28" w:type="dxa"/>
          <w:bottom w:w="28" w:type="dxa"/>
          <w:right w:w="28" w:type="dxa"/>
        </w:tblCellMar>
      </w:tblPr>
      <w:tblGrid>
        <w:gridCol w:w="3391"/>
        <w:gridCol w:w="109"/>
        <w:gridCol w:w="211"/>
        <w:gridCol w:w="691"/>
        <w:gridCol w:w="146"/>
        <w:gridCol w:w="109"/>
        <w:gridCol w:w="211"/>
        <w:gridCol w:w="691"/>
        <w:gridCol w:w="681"/>
      </w:tblGrid>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059"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9" w:type="dxa"/>
            <w:gridSpan w:val="6"/>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559" w:type="dxa"/>
            <w:gridSpan w:val="8"/>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Revenue</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157" w:type="dxa"/>
            <w:gridSpan w:val="4"/>
            <w:tcBorders/>
            <w:vAlign w:val="center"/>
          </w:tcPr>
          <w:p>
            <w:pPr>
              <w:pStyle w:val="TableContents"/>
              <w:bidi w:val="0"/>
              <w:spacing w:before="0" w:after="283"/>
              <w:jc w:val="left"/>
              <w:rPr/>
            </w:pPr>
            <w:r>
              <w:rPr/>
              <w:t> </w:t>
            </w:r>
          </w:p>
        </w:tc>
        <w:tc>
          <w:tcPr>
            <w:tcW w:w="1692" w:type="dxa"/>
            <w:gridSpan w:val="4"/>
            <w:tcBorders/>
            <w:vAlign w:val="center"/>
          </w:tcPr>
          <w:p>
            <w:pPr>
              <w:pStyle w:val="TableContents"/>
              <w:bidi w:val="0"/>
              <w:spacing w:before="0" w:after="283"/>
              <w:ind w:left="0" w:right="0" w:firstLine="245"/>
              <w:jc w:val="lef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Productivity and Business Processes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18,592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16,465</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Intelligent Cloud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24,259</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20,325</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More Personal Computing</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13,666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13,332</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440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02"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39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56,517</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50,122</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59" w:type="dxa"/>
            <w:gridSpan w:val="8"/>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559" w:type="dxa"/>
            <w:gridSpan w:val="8"/>
            <w:tcBorders/>
            <w:vAlign w:val="center"/>
          </w:tcPr>
          <w:p>
            <w:pPr>
              <w:pStyle w:val="TableContents"/>
              <w:bidi w:val="0"/>
              <w:spacing w:before="0" w:after="283"/>
              <w:ind w:left="0" w:right="0" w:firstLine="240"/>
              <w:jc w:val="left"/>
              <w:rPr>
                <w:rFonts w:ascii="Times New Roman" w:hAnsi="Times New Roman"/>
                <w:sz w:val="15"/>
              </w:rPr>
            </w:pPr>
            <w:r>
              <w:rPr>
                <w:rFonts w:ascii="Arial" w:hAnsi="Arial"/>
                <w:b/>
                <w:color w:val="000000"/>
                <w:sz w:val="15"/>
              </w:rPr>
              <w:t>Operating Income</w:t>
            </w:r>
            <w:r>
              <w:rPr>
                <w:rFonts w:ascii="Times New Roman" w:hAnsi="Times New Roman"/>
                <w:color w:val="000000"/>
                <w:sz w:val="15"/>
              </w:rPr>
              <w:t xml:space="preserve"> </w:t>
            </w:r>
          </w:p>
        </w:tc>
        <w:tc>
          <w:tcPr>
            <w:tcW w:w="68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157" w:type="dxa"/>
            <w:gridSpan w:val="4"/>
            <w:tcBorders/>
            <w:vAlign w:val="center"/>
          </w:tcPr>
          <w:p>
            <w:pPr>
              <w:pStyle w:val="TableContents"/>
              <w:bidi w:val="0"/>
              <w:spacing w:before="0" w:after="283"/>
              <w:jc w:val="left"/>
              <w:rPr/>
            </w:pPr>
            <w:r>
              <w:rPr/>
              <w:t> </w:t>
            </w:r>
          </w:p>
        </w:tc>
        <w:tc>
          <w:tcPr>
            <w:tcW w:w="1692" w:type="dxa"/>
            <w:gridSpan w:val="4"/>
            <w:tcBorders/>
            <w:vAlign w:val="center"/>
          </w:tcPr>
          <w:p>
            <w:pPr>
              <w:pStyle w:val="TableContents"/>
              <w:bidi w:val="0"/>
              <w:spacing w:before="0" w:after="283"/>
              <w:ind w:left="0" w:right="0" w:firstLine="245"/>
              <w:jc w:val="lef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Productivity and Business Processes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9,970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8,323</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Intelligent Cloud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11,751</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8,978</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More Personal Computing</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5,174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4,217</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391" w:type="dxa"/>
            <w:tcBorders/>
            <w:vAlign w:val="center"/>
          </w:tcPr>
          <w:p>
            <w:pPr>
              <w:pStyle w:val="TableContents"/>
              <w:pBdr/>
              <w:bidi w:val="0"/>
              <w:spacing w:before="0" w:after="283"/>
              <w:ind w:left="245" w:right="0" w:hanging="245"/>
              <w:jc w:val="left"/>
              <w:rPr>
                <w:rFonts w:ascii="Times New Roman" w:hAnsi="Times New Roman"/>
                <w:sz w:val="20"/>
              </w:rPr>
            </w:pPr>
            <w:r>
              <w:rPr>
                <w:rFonts w:ascii="Arial" w:hAnsi="Arial"/>
                <w:b w:val="false"/>
                <w:color w:val="000000"/>
                <w:sz w:val="20"/>
              </w:rPr>
              <w:t>Total</w:t>
            </w:r>
            <w:r>
              <w:rPr>
                <w:rFonts w:ascii="Times New Roman" w:hAnsi="Times New Roman"/>
                <w:color w:val="000000"/>
                <w:sz w:val="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26,895</w:t>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21,518</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No sales to an individual customer or country other than the United States accounted for more than 10% of revenue for the three months ended September 30, 2023 or 2022.</w:t>
      </w:r>
      <w:r>
        <w:rPr>
          <w:rFonts w:ascii="Times New Roman" w:hAnsi="Times New Roman"/>
          <w:color w:val="000000"/>
          <w:sz w:val="20"/>
        </w:rPr>
        <w:t xml:space="preserve"> </w:t>
      </w:r>
      <w:r>
        <w:rPr>
          <w:rFonts w:ascii="Arial" w:hAnsi="Arial"/>
          <w:b w:val="false"/>
          <w:color w:val="000000"/>
          <w:sz w:val="20"/>
        </w:rPr>
        <w:t>Revenue, classified by the major geographic areas in which our customers were located, was as follows:</w:t>
      </w:r>
    </w:p>
    <w:p>
      <w:pPr>
        <w:pStyle w:val="TextBody"/>
        <w:bidi w:val="0"/>
        <w:jc w:val="both"/>
        <w:rPr/>
      </w:pPr>
      <w:r>
        <w:rPr/>
        <w:t> </w:t>
      </w:r>
    </w:p>
    <w:tbl>
      <w:tblPr>
        <w:tblW w:w="5654" w:type="dxa"/>
        <w:jc w:val="left"/>
        <w:tblInd w:w="0" w:type="dxa"/>
        <w:tblLayout w:type="fixed"/>
        <w:tblCellMar>
          <w:top w:w="28" w:type="dxa"/>
          <w:left w:w="28" w:type="dxa"/>
          <w:bottom w:w="28" w:type="dxa"/>
          <w:right w:w="28" w:type="dxa"/>
        </w:tblCellMar>
      </w:tblPr>
      <w:tblGrid>
        <w:gridCol w:w="2731"/>
        <w:gridCol w:w="146"/>
        <w:gridCol w:w="211"/>
        <w:gridCol w:w="691"/>
        <w:gridCol w:w="146"/>
        <w:gridCol w:w="146"/>
        <w:gridCol w:w="211"/>
        <w:gridCol w:w="691"/>
        <w:gridCol w:w="68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 xml:space="preserve">United States </w:t>
            </w:r>
            <w:r>
              <w:rPr>
                <w:rFonts w:ascii="Arial" w:hAnsi="Arial"/>
                <w:b w:val="false"/>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25,867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1"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Other countries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24,255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731" w:type="dxa"/>
            <w:tcBorders/>
            <w:shd w:fill="E5E5E5" w:val="clear"/>
            <w:tcMar>
              <w:top w:w="0" w:type="dxa"/>
              <w:left w:w="0" w:type="dxa"/>
              <w:bottom w:w="0" w:type="dxa"/>
              <w:right w:w="0" w:type="dxa"/>
            </w:tcM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56,517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50,122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b w:val="false"/>
          <w:color w:val="000000"/>
          <w:sz w:val="20"/>
        </w:rPr>
      </w:pPr>
      <w:r>
        <w:rPr>
          <w:rFonts w:ascii="Arial" w:hAnsi="Arial"/>
          <w:b w:val="false"/>
          <w:color w:val="000000"/>
          <w:sz w:val="20"/>
        </w:rPr>
        <w:t>(a)</w:t>
      </w:r>
    </w:p>
    <w:p>
      <w:pPr>
        <w:pStyle w:val="TextBody"/>
        <w:bidi w:val="0"/>
        <w:jc w:val="both"/>
        <w:rPr>
          <w:rFonts w:ascii="Arial" w:hAnsi="Arial"/>
          <w:b w:val="false"/>
          <w:i/>
          <w:color w:val="000000"/>
          <w:sz w:val="20"/>
        </w:rPr>
      </w:pPr>
      <w:r>
        <w:rPr>
          <w:rFonts w:ascii="Arial" w:hAnsi="Arial"/>
          <w:b w:val="false"/>
          <w:i/>
          <w:color w:val="000000"/>
          <w:sz w:val="20"/>
        </w:rPr>
        <w:t>Includes billings to OEMs and certain multinational organizations because of the nature of these businesses and the impracticability of determining the geographic source of the revenue.</w:t>
      </w:r>
    </w:p>
    <w:p>
      <w:pPr>
        <w:pStyle w:val="TextBody"/>
        <w:bidi w:val="0"/>
        <w:spacing w:before="180" w:after="283"/>
        <w:jc w:val="both"/>
        <w:rPr>
          <w:rFonts w:ascii="Arial" w:hAnsi="Arial"/>
          <w:b w:val="false"/>
          <w:color w:val="000000"/>
          <w:sz w:val="20"/>
        </w:rPr>
      </w:pPr>
      <w:r>
        <w:rPr>
          <w:rFonts w:ascii="Arial" w:hAnsi="Arial"/>
          <w:b w:val="false"/>
          <w:color w:val="000000"/>
          <w:sz w:val="20"/>
        </w:rPr>
        <w:t>Revenue, classified by significant product and service offerings, was as follows:</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3196"/>
        <w:gridCol w:w="146"/>
        <w:gridCol w:w="211"/>
        <w:gridCol w:w="691"/>
        <w:gridCol w:w="146"/>
        <w:gridCol w:w="146"/>
        <w:gridCol w:w="211"/>
        <w:gridCol w:w="691"/>
        <w:gridCol w:w="68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Server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22,308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18,388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Office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11,577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Windows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5,313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Gaming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LinkedIn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3,628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Search and news advertising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2,913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Enterprise and partner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1,929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Dynamics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Devices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1,448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Other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4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196" w:type="dxa"/>
            <w:tcBorders/>
            <w:shd w:fill="E5E5E5" w:val="clear"/>
            <w:tcMar>
              <w:top w:w="0" w:type="dxa"/>
              <w:left w:w="0" w:type="dxa"/>
              <w:bottom w:w="0" w:type="dxa"/>
              <w:right w:w="0" w:type="dxa"/>
            </w:tcM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56,517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50,122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We have recast certain prior period amounts to conform to the way we internally manage and monitor our business.</w:t>
      </w:r>
    </w:p>
    <w:p>
      <w:pPr>
        <w:pStyle w:val="TextBody"/>
        <w:bidi w:val="0"/>
        <w:spacing w:before="180" w:after="283"/>
        <w:jc w:val="both"/>
        <w:rPr>
          <w:rFonts w:ascii="Times New Roman" w:hAnsi="Times New Roman"/>
          <w:sz w:val="20"/>
        </w:rPr>
      </w:pPr>
      <w:r>
        <w:rPr>
          <w:rFonts w:ascii="Arial" w:hAnsi="Arial"/>
          <w:b w:val="false"/>
          <w:color w:val="000000"/>
          <w:sz w:val="20"/>
        </w:rPr>
        <w:t>Our Microsoft Cloud revenue, which includes Azure and other cloud services, Office 365 Commercial, the commercial portion of LinkedIn, Dynamics 365, and other commercial cloud properties, was $31.8</w:t>
      </w:r>
      <w:r>
        <w:rPr>
          <w:rFonts w:ascii="Times New Roman" w:hAnsi="Times New Roman"/>
          <w:color w:val="000000"/>
          <w:sz w:val="20"/>
        </w:rPr>
        <w:t xml:space="preserve"> </w:t>
      </w:r>
      <w:r>
        <w:rPr>
          <w:rFonts w:ascii="Arial" w:hAnsi="Arial"/>
          <w:b w:val="false"/>
          <w:color w:val="000000"/>
          <w:sz w:val="20"/>
        </w:rPr>
        <w:t>billion and $25.7</w:t>
      </w:r>
      <w:r>
        <w:rPr>
          <w:rFonts w:ascii="Times New Roman" w:hAnsi="Times New Roman"/>
          <w:color w:val="000000"/>
          <w:sz w:val="20"/>
        </w:rPr>
        <w:t xml:space="preserve"> </w:t>
      </w:r>
      <w:r>
        <w:rPr>
          <w:rFonts w:ascii="Arial" w:hAnsi="Arial"/>
          <w:b w:val="false"/>
          <w:color w:val="000000"/>
          <w:sz w:val="20"/>
        </w:rPr>
        <w:t>billion for the three months ended September 30, 2023 and 2022, respectively. These amounts are primarily included in Server products and cloud services, Office products and cloud services, LinkedIn, and Dynamics in the table above.</w:t>
      </w:r>
    </w:p>
    <w:p>
      <w:pPr>
        <w:pStyle w:val="TextBody"/>
        <w:bidi w:val="0"/>
        <w:spacing w:before="240" w:after="283"/>
        <w:jc w:val="center"/>
        <w:rPr>
          <w:rFonts w:ascii="Arial" w:hAnsi="Arial"/>
          <w:b w:val="false"/>
          <w:color w:val="000000"/>
          <w:sz w:val="16"/>
        </w:rPr>
      </w:pPr>
      <w:r>
        <w:rPr>
          <w:rFonts w:ascii="Arial" w:hAnsi="Arial"/>
          <w:b w:val="false"/>
          <w:color w:val="000000"/>
          <w:sz w:val="16"/>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pStyle w:val="TextBody"/>
        <w:bidi w:val="0"/>
        <w:spacing w:before="270" w:after="283"/>
        <w:jc w:val="center"/>
        <w:rPr>
          <w:rFonts w:ascii="Times New Roman" w:hAnsi="Times New Roman"/>
          <w:sz w:val="20"/>
        </w:rPr>
      </w:pPr>
      <w:r>
        <w:rPr>
          <w:rFonts w:ascii="Arial" w:hAnsi="Arial"/>
          <w:b w:val="false"/>
          <w:color w:val="000000"/>
          <w:sz w:val="20"/>
          <w:u w:val="single"/>
        </w:rPr>
        <w:t xml:space="preserve">NOTE 17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b w:val="false"/>
          <w:color w:val="000000"/>
          <w:sz w:val="20"/>
          <w:u w:val="single"/>
        </w:rPr>
        <w:t>SUBSEQUENT EVENT</w:t>
      </w:r>
    </w:p>
    <w:p>
      <w:pPr>
        <w:pStyle w:val="TextBody"/>
        <w:bidi w:val="0"/>
        <w:spacing w:before="180" w:after="283"/>
        <w:jc w:val="both"/>
        <w:rPr>
          <w:rFonts w:ascii="Times New Roman" w:hAnsi="Times New Roman"/>
          <w:sz w:val="20"/>
        </w:rPr>
      </w:pPr>
      <w:r>
        <w:rPr>
          <w:rFonts w:ascii="Arial" w:hAnsi="Arial"/>
          <w:b w:val="false"/>
          <w:color w:val="000000"/>
          <w:sz w:val="20"/>
        </w:rPr>
        <w:t>On October 13, 2023, we completed our acquisition of Activision Blizzard, Inc. (“Activision Blizzard”) for a cash payment of $61.8</w:t>
      </w:r>
      <w:r>
        <w:rPr>
          <w:rFonts w:ascii="Times New Roman" w:hAnsi="Times New Roman"/>
          <w:color w:val="000000"/>
          <w:sz w:val="20"/>
        </w:rPr>
        <w:t xml:space="preserve"> </w:t>
      </w:r>
      <w:r>
        <w:rPr>
          <w:rFonts w:ascii="Arial" w:hAnsi="Arial"/>
          <w:b w:val="false"/>
          <w:color w:val="000000"/>
          <w:sz w:val="20"/>
        </w:rPr>
        <w:t>billion, net of cash acquired. Activision Blizzard is a leader in game development and an interactive entertainment content publisher. The acquisition will accelerate the growth in our gaming business across mobile, PC, console, and cloud gaming.</w:t>
      </w:r>
    </w:p>
    <w:p>
      <w:pPr>
        <w:pStyle w:val="TextBody"/>
        <w:bidi w:val="0"/>
        <w:spacing w:before="180" w:after="283"/>
        <w:jc w:val="both"/>
        <w:rPr>
          <w:rFonts w:ascii="Arial" w:hAnsi="Arial"/>
          <w:b w:val="false"/>
          <w:color w:val="000000"/>
          <w:sz w:val="20"/>
        </w:rPr>
      </w:pPr>
      <w:r>
        <w:rPr>
          <w:rFonts w:ascii="Arial" w:hAnsi="Arial"/>
          <w:b w:val="false"/>
          <w:color w:val="000000"/>
          <w:sz w:val="20"/>
        </w:rPr>
        <w:t>Due to the limited amount of time since closing the transaction, the preliminary allocation of the purchase price is not yet complete. The initial purchase price allocation will be provided within our Form 10-Q for the second quarter of fiscal year 2024, and we expect most of the purchase price will be allocated to goodwill and other identifiable intangible assets. Activision Blizzard will be included in our consolidated financial statements beginning on the date of acquisition and reported as part of our More Personal Computing segment.</w:t>
      </w:r>
    </w:p>
    <w:p>
      <w:pPr>
        <w:pStyle w:val="TextBody"/>
        <w:bidi w:val="0"/>
        <w:spacing w:before="240" w:after="283"/>
        <w:jc w:val="center"/>
        <w:rPr>
          <w:rFonts w:ascii="Arial" w:hAnsi="Arial"/>
          <w:b w:val="false"/>
          <w:color w:val="000000"/>
          <w:sz w:val="16"/>
        </w:rPr>
      </w:pPr>
      <w:r>
        <w:rPr>
          <w:rFonts w:ascii="Arial" w:hAnsi="Arial"/>
          <w:b w:val="false"/>
          <w:color w:val="000000"/>
          <w:sz w:val="16"/>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1</w:t>
      </w:r>
    </w:p>
    <w:p>
      <w:pPr>
        <w:pStyle w:val="TextBody"/>
        <w:bidi w:val="0"/>
        <w:jc w:val="left"/>
        <w:rPr/>
      </w:pPr>
      <w:r>
        <w:rPr/>
        <w:t> </w:t>
      </w:r>
    </w:p>
    <w:p>
      <w:pPr>
        <w:pStyle w:val="TextBody"/>
        <w:bidi w:val="0"/>
        <w:jc w:val="both"/>
        <w:rPr>
          <w:rFonts w:ascii="Arial" w:hAnsi="Arial"/>
          <w:b/>
          <w:color w:val="000000"/>
          <w:sz w:val="20"/>
        </w:rPr>
      </w:pPr>
      <w:bookmarkStart w:id="10" w:name="report_independent_registered_public_acc"/>
      <w:bookmarkEnd w:id="10"/>
      <w:r>
        <w:rPr>
          <w:rFonts w:ascii="Arial" w:hAnsi="Arial"/>
          <w:b/>
          <w:color w:val="000000"/>
          <w:sz w:val="20"/>
        </w:rPr>
        <w:t>REPORT OF INDEPENDENT REGISTERED PUBLIC ACCOUNTING FIRM</w:t>
      </w:r>
    </w:p>
    <w:p>
      <w:pPr>
        <w:pStyle w:val="TextBody"/>
        <w:bidi w:val="0"/>
        <w:spacing w:before="180" w:after="283"/>
        <w:jc w:val="both"/>
        <w:rPr>
          <w:rFonts w:ascii="Arial" w:hAnsi="Arial"/>
          <w:b w:val="false"/>
          <w:color w:val="000000"/>
          <w:sz w:val="20"/>
        </w:rPr>
      </w:pPr>
      <w:r>
        <w:rPr>
          <w:rFonts w:ascii="Arial" w:hAnsi="Arial"/>
          <w:b w:val="false"/>
          <w:color w:val="000000"/>
          <w:sz w:val="20"/>
        </w:rPr>
        <w:t>To the Stockholders and the Board of Directors of Microsoft Corporation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Results of Review of Interim Financial Information</w:t>
      </w:r>
    </w:p>
    <w:p>
      <w:pPr>
        <w:pStyle w:val="TextBody"/>
        <w:bidi w:val="0"/>
        <w:spacing w:before="180" w:after="283"/>
        <w:jc w:val="both"/>
        <w:rPr>
          <w:rFonts w:ascii="Arial" w:hAnsi="Arial"/>
          <w:b w:val="false"/>
          <w:color w:val="000000"/>
          <w:sz w:val="20"/>
        </w:rPr>
      </w:pPr>
      <w:r>
        <w:rPr>
          <w:rFonts w:ascii="Arial" w:hAnsi="Arial"/>
          <w:b w:val="false"/>
          <w:color w:val="000000"/>
          <w:sz w:val="20"/>
        </w:rPr>
        <w:t>We have reviewed the accompanying consolidated balance sheet of Microsoft Corporation and subsidiaries (the "Company") as of September 30, 2023, the related consolidated statements of income, comprehensive income, cash flows, and stockholders’ equity for the three-month periods ended September 30, 2023 and 2022,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We have previously audited, in accordance with the standards of the Public Company Accounting Oversight Board (United States) (PCAOB), the consolidated balance sheet of the Company as of June 30, 2023, and the related consolidated statements of income, comprehensive income, cash flows, and stockholders' equity for the year then ended (not presented herein); and in our report dated July 27, 2023, we expressed an unqualified opinion on those consolidated financial statements. In our opinion, the information set forth in the accompanying consolidated balance sheet as of June 30, 2023, is fairly stated, in all material respects, in relation to the consolidated balance sheet from which it has been derived.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Basis for Review Results</w:t>
      </w:r>
    </w:p>
    <w:p>
      <w:pPr>
        <w:pStyle w:val="TextBody"/>
        <w:bidi w:val="0"/>
        <w:spacing w:before="180" w:after="283"/>
        <w:jc w:val="both"/>
        <w:rPr>
          <w:rFonts w:ascii="Arial" w:hAnsi="Arial"/>
          <w:b w:val="false"/>
          <w:color w:val="000000"/>
          <w:sz w:val="20"/>
        </w:rPr>
      </w:pPr>
      <w:r>
        <w:rPr>
          <w:rFonts w:ascii="Arial" w:hAnsi="Arial"/>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spacing w:before="0" w:after="180"/>
        <w:jc w:val="both"/>
        <w:rPr>
          <w:rFonts w:ascii="Arial" w:hAnsi="Arial"/>
          <w:b w:val="false"/>
          <w:color w:val="000000"/>
          <w:sz w:val="20"/>
        </w:rPr>
      </w:pPr>
      <w:r>
        <w:rPr>
          <w:rFonts w:ascii="Arial" w:hAnsi="Arial"/>
          <w:b w:val="false"/>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w:t>
      </w:r>
      <w:r>
        <w:rPr>
          <w:rFonts w:ascii="Arial" w:hAnsi="Arial"/>
          <w:b w:val="false"/>
          <w:color w:val="000000"/>
          <w:sz w:val="15"/>
        </w:rPr>
        <w:t>S</w:t>
      </w:r>
      <w:r>
        <w:rPr>
          <w:rFonts w:ascii="Arial" w:hAnsi="Arial"/>
          <w:b w:val="false"/>
          <w:color w:val="000000"/>
          <w:sz w:val="20"/>
        </w:rPr>
        <w:t>/ D</w:t>
      </w:r>
      <w:r>
        <w:rPr>
          <w:rFonts w:ascii="Arial" w:hAnsi="Arial"/>
          <w:b w:val="false"/>
          <w:color w:val="000000"/>
          <w:sz w:val="15"/>
        </w:rPr>
        <w:t>ELOITTE</w:t>
      </w:r>
      <w:r>
        <w:rPr>
          <w:rFonts w:ascii="Times New Roman" w:hAnsi="Times New Roman"/>
          <w:color w:val="000000"/>
          <w:sz w:val="20"/>
        </w:rPr>
        <w:t xml:space="preserve"> </w:t>
      </w:r>
      <w:r>
        <w:rPr>
          <w:rFonts w:ascii="Arial" w:hAnsi="Arial"/>
          <w:b w:val="false"/>
          <w:color w:val="000000"/>
          <w:sz w:val="20"/>
        </w:rPr>
        <w:t>&amp; T</w:t>
      </w:r>
      <w:r>
        <w:rPr>
          <w:rFonts w:ascii="Arial" w:hAnsi="Arial"/>
          <w:b w:val="false"/>
          <w:color w:val="000000"/>
          <w:sz w:val="15"/>
        </w:rPr>
        <w:t>OUCHE</w:t>
      </w:r>
      <w:r>
        <w:rPr>
          <w:rFonts w:ascii="Times New Roman" w:hAnsi="Times New Roman"/>
          <w:color w:val="000000"/>
          <w:sz w:val="20"/>
        </w:rPr>
        <w:t xml:space="preserve"> </w:t>
      </w:r>
      <w:r>
        <w:rPr>
          <w:rFonts w:ascii="Arial" w:hAnsi="Arial"/>
          <w:b w:val="false"/>
          <w:color w:val="000000"/>
          <w:sz w:val="20"/>
        </w:rPr>
        <w:t>LLP</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Seattle, Washington</w:t>
      </w:r>
    </w:p>
    <w:p>
      <w:pPr>
        <w:pStyle w:val="TextBody"/>
        <w:bidi w:val="0"/>
        <w:jc w:val="both"/>
        <w:rPr>
          <w:rFonts w:ascii="Arial" w:hAnsi="Arial"/>
          <w:b w:val="false"/>
          <w:color w:val="000000"/>
          <w:sz w:val="20"/>
        </w:rPr>
      </w:pPr>
      <w:r>
        <w:rPr>
          <w:rFonts w:ascii="Arial" w:hAnsi="Arial"/>
          <w:b w:val="false"/>
          <w:color w:val="000000"/>
          <w:sz w:val="20"/>
        </w:rPr>
        <w:t>October 24, 2023</w:t>
      </w:r>
    </w:p>
    <w:p>
      <w:pPr>
        <w:pStyle w:val="TextBody"/>
        <w:bidi w:val="0"/>
        <w:spacing w:before="240" w:after="283"/>
        <w:jc w:val="center"/>
        <w:rPr>
          <w:rFonts w:ascii="Arial" w:hAnsi="Arial"/>
          <w:b w:val="false"/>
          <w:color w:val="000000"/>
          <w:sz w:val="16"/>
        </w:rPr>
      </w:pPr>
      <w:r>
        <w:rPr>
          <w:rFonts w:ascii="Arial" w:hAnsi="Arial"/>
          <w:b w:val="false"/>
          <w:color w:val="000000"/>
          <w:sz w:val="16"/>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jc w:val="center"/>
        <w:rPr>
          <w:rFonts w:ascii="Times New Roman" w:hAnsi="Times New Roman"/>
          <w:sz w:val="20"/>
        </w:rPr>
      </w:pPr>
      <w:bookmarkStart w:id="11" w:name="item_2_managements_discussion_analysis_f"/>
      <w:bookmarkEnd w:id="11"/>
      <w:r>
        <w:rPr>
          <w:rFonts w:ascii="Arial" w:hAnsi="Arial"/>
          <w:b/>
          <w:color w:val="000000"/>
          <w:sz w:val="24"/>
        </w:rPr>
        <w:t>ITEM 2. MANAGEMENT’S DISCUSSION AND ANALYSIS OF</w:t>
      </w:r>
      <w:r>
        <w:rPr>
          <w:rFonts w:ascii="Times New Roman" w:hAnsi="Times New Roman"/>
          <w:color w:val="000000"/>
          <w:sz w:val="20"/>
        </w:rPr>
        <w:t xml:space="preserve"> </w:t>
      </w:r>
      <w:r>
        <w:rPr>
          <w:rFonts w:ascii="Arial" w:hAnsi="Arial"/>
          <w:b/>
          <w:color w:val="000000"/>
          <w:sz w:val="24"/>
        </w:rPr>
        <w:t>FINANCIAL CONDITION AND RESULTS OF OPERATIONS</w:t>
      </w:r>
    </w:p>
    <w:p>
      <w:pPr>
        <w:pStyle w:val="TextBody"/>
        <w:bidi w:val="0"/>
        <w:spacing w:before="180" w:after="283"/>
        <w:jc w:val="center"/>
        <w:rPr>
          <w:rFonts w:ascii="Arial" w:hAnsi="Arial"/>
          <w:b/>
          <w:color w:val="000000"/>
          <w:sz w:val="20"/>
        </w:rPr>
      </w:pPr>
      <w:r>
        <w:rPr>
          <w:rFonts w:ascii="Arial" w:hAnsi="Arial"/>
          <w:b/>
          <w:color w:val="000000"/>
          <w:sz w:val="20"/>
        </w:rPr>
        <w:t>Note About Forward-Looking Statements</w:t>
      </w:r>
    </w:p>
    <w:p>
      <w:pPr>
        <w:pStyle w:val="TextBody"/>
        <w:bidi w:val="0"/>
        <w:spacing w:before="180" w:after="283"/>
        <w:jc w:val="both"/>
        <w:rPr>
          <w:rFonts w:ascii="Arial" w:hAnsi="Arial"/>
          <w:b w:val="false"/>
          <w:color w:val="000000"/>
          <w:sz w:val="20"/>
        </w:rPr>
      </w:pPr>
      <w:r>
        <w:rPr>
          <w:rFonts w:ascii="Arial" w:hAnsi="Arial"/>
          <w:b w:val="false"/>
          <w:color w:val="000000"/>
          <w:sz w:val="20"/>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2023, and our financial statements and the accompanying Notes to Financial Statements (Part I, Item 1 of this Form 10-Q).</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OVERVIEW</w:t>
      </w:r>
    </w:p>
    <w:p>
      <w:pPr>
        <w:pStyle w:val="TextBody"/>
        <w:bidi w:val="0"/>
        <w:spacing w:before="180" w:after="283"/>
        <w:jc w:val="both"/>
        <w:rPr>
          <w:rFonts w:ascii="Times New Roman" w:hAnsi="Times New Roman"/>
          <w:sz w:val="20"/>
        </w:rPr>
      </w:pPr>
      <w:r>
        <w:rPr>
          <w:rFonts w:ascii="Arial" w:hAnsi="Arial"/>
          <w:b w:val="false"/>
          <w:color w:val="000000"/>
          <w:sz w:val="20"/>
        </w:rPr>
        <w:t>Microsoft is a technology company whose mission is to empower every person and every organization on the planet to achieve more. We strive to create local opportunity, growth, and impact in every country around the world. We are creating the platforms and tools, powered by artificial intelligence (“AI”), that deliver better, faster, and more effective solutions to support small and large business competitiveness, improve educational and health outcomes</w:t>
      </w:r>
      <w:r>
        <w:rPr>
          <w:rFonts w:ascii="Arial" w:hAnsi="Arial"/>
          <w:b w:val="false"/>
          <w:color w:val="000000"/>
          <w:sz w:val="20"/>
          <w:u w:val="single"/>
        </w:rPr>
        <w:t>,</w:t>
      </w:r>
      <w:r>
        <w:rPr>
          <w:rFonts w:ascii="Times New Roman" w:hAnsi="Times New Roman"/>
          <w:color w:val="000000"/>
          <w:sz w:val="20"/>
        </w:rPr>
        <w:t xml:space="preserve"> </w:t>
      </w:r>
      <w:r>
        <w:rPr>
          <w:rFonts w:ascii="Arial" w:hAnsi="Arial"/>
          <w:b w:val="false"/>
          <w:color w:val="000000"/>
          <w:sz w:val="20"/>
        </w:rPr>
        <w:t>grow public-sector efficiency, and empower human ingenuity.</w:t>
      </w:r>
    </w:p>
    <w:p>
      <w:pPr>
        <w:pStyle w:val="TextBody"/>
        <w:bidi w:val="0"/>
        <w:spacing w:before="180" w:after="283"/>
        <w:jc w:val="both"/>
        <w:rPr>
          <w:rFonts w:ascii="Arial" w:hAnsi="Arial"/>
          <w:b w:val="false"/>
          <w:color w:val="000000"/>
          <w:sz w:val="20"/>
        </w:rPr>
      </w:pPr>
      <w:r>
        <w:rPr>
          <w:rFonts w:ascii="Arial" w:hAnsi="Arial"/>
          <w:b w:val="false"/>
          <w:color w:val="000000"/>
          <w:sz w:val="20"/>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pStyle w:val="TextBody"/>
        <w:bidi w:val="0"/>
        <w:spacing w:before="180" w:after="283"/>
        <w:jc w:val="both"/>
        <w:rPr>
          <w:rFonts w:ascii="Arial" w:hAnsi="Arial"/>
          <w:b w:val="false"/>
          <w:color w:val="000000"/>
          <w:sz w:val="20"/>
        </w:rPr>
      </w:pPr>
      <w:r>
        <w:rPr>
          <w:rFonts w:ascii="Arial" w:hAnsi="Arial"/>
          <w:b w:val="false"/>
          <w:color w:val="000000"/>
          <w:sz w:val="20"/>
        </w:rPr>
        <w:t>Highlights from the first quarter of fiscal year 2024 compared with the first quarter of fiscal year 2023 included: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Microsoft Cloud revenue increased 24% to $31.8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Office Commercial products and cloud services revenue increased 15% driven by Office 365 Commercial growth of 18%.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Office Consumer products and cloud services revenue increased 3% and Microsoft 365 Consumer subscribers grew to 76.7 million.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LinkedIn revenue increased 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Dynamics products and cloud services revenue increased 22% driven by Dynamics 365 growth of 28%.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Server products and cloud services revenue increased 21% driven by Azure and other cloud services growth of 29%.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Windows revenue increased 5% with Windows original equipment manufacturer licensing (“Windows OEM”) revenue growth of 4% and Windows Commercial products and cloud services revenue growth of 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Devices revenue decreased 22%.</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Xbox content and services revenue increased 13%.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Search and news advertising revenue excluding traffic acquisition costs increased 10%.</w:t>
      </w:r>
    </w:p>
    <w:p>
      <w:pPr>
        <w:pStyle w:val="TextBody"/>
        <w:bidi w:val="0"/>
        <w:spacing w:before="240" w:after="283"/>
        <w:jc w:val="center"/>
        <w:rPr>
          <w:rFonts w:ascii="Arial" w:hAnsi="Arial"/>
          <w:b w:val="false"/>
          <w:color w:val="000000"/>
          <w:sz w:val="16"/>
        </w:rPr>
      </w:pPr>
      <w:r>
        <w:rPr>
          <w:rFonts w:ascii="Arial" w:hAnsi="Arial"/>
          <w:b w:val="false"/>
          <w:color w:val="000000"/>
          <w:sz w:val="16"/>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Industry Trends</w:t>
      </w:r>
    </w:p>
    <w:p>
      <w:pPr>
        <w:pStyle w:val="TextBody"/>
        <w:bidi w:val="0"/>
        <w:spacing w:before="180" w:after="283"/>
        <w:jc w:val="both"/>
        <w:rPr>
          <w:rFonts w:ascii="Arial" w:hAnsi="Arial"/>
          <w:b w:val="false"/>
          <w:color w:val="000000"/>
          <w:sz w:val="20"/>
        </w:rPr>
      </w:pPr>
      <w:r>
        <w:rPr>
          <w:rFonts w:ascii="Arial" w:hAnsi="Arial"/>
          <w:b w:val="false"/>
          <w:color w:val="000000"/>
          <w:sz w:val="20"/>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pStyle w:val="TextBody"/>
        <w:bidi w:val="0"/>
        <w:spacing w:before="270" w:after="283"/>
        <w:jc w:val="both"/>
        <w:rPr>
          <w:rFonts w:ascii="Arial" w:hAnsi="Arial"/>
          <w:b/>
          <w:color w:val="000000"/>
          <w:sz w:val="20"/>
        </w:rPr>
      </w:pPr>
      <w:r>
        <w:rPr>
          <w:rFonts w:ascii="Arial" w:hAnsi="Arial"/>
          <w:b/>
          <w:color w:val="000000"/>
          <w:sz w:val="20"/>
        </w:rPr>
        <w:t>Economic Conditions, Challenges, and Risks</w:t>
      </w:r>
    </w:p>
    <w:p>
      <w:pPr>
        <w:pStyle w:val="TextBody"/>
        <w:bidi w:val="0"/>
        <w:spacing w:before="180" w:after="283"/>
        <w:jc w:val="both"/>
        <w:rPr>
          <w:rFonts w:ascii="Arial" w:hAnsi="Arial"/>
          <w:b w:val="false"/>
          <w:color w:val="000000"/>
          <w:sz w:val="20"/>
        </w:rPr>
      </w:pPr>
      <w:r>
        <w:rPr>
          <w:rFonts w:ascii="Arial" w:hAnsi="Arial"/>
          <w:b w:val="false"/>
          <w:color w:val="000000"/>
          <w:sz w:val="20"/>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pStyle w:val="TextBody"/>
        <w:bidi w:val="0"/>
        <w:spacing w:before="180" w:after="283"/>
        <w:jc w:val="both"/>
        <w:rPr>
          <w:rFonts w:ascii="Arial" w:hAnsi="Arial"/>
          <w:b w:val="false"/>
          <w:color w:val="000000"/>
          <w:sz w:val="20"/>
        </w:rPr>
      </w:pPr>
      <w:r>
        <w:rPr>
          <w:rFonts w:ascii="Arial" w:hAnsi="Arial"/>
          <w:b w:val="false"/>
          <w:color w:val="000000"/>
          <w:sz w:val="20"/>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pStyle w:val="TextBody"/>
        <w:bidi w:val="0"/>
        <w:spacing w:before="180" w:after="283"/>
        <w:jc w:val="both"/>
        <w:rPr>
          <w:rFonts w:ascii="Arial" w:hAnsi="Arial"/>
          <w:b w:val="false"/>
          <w:color w:val="000000"/>
          <w:sz w:val="20"/>
        </w:rPr>
      </w:pPr>
      <w:r>
        <w:rPr>
          <w:rFonts w:ascii="Arial" w:hAnsi="Arial"/>
          <w:b w:val="false"/>
          <w:color w:val="000000"/>
          <w:sz w:val="20"/>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pStyle w:val="TextBody"/>
        <w:bidi w:val="0"/>
        <w:spacing w:before="180" w:after="283"/>
        <w:jc w:val="both"/>
        <w:rPr>
          <w:rFonts w:ascii="Arial" w:hAnsi="Arial"/>
          <w:b w:val="false"/>
          <w:color w:val="000000"/>
          <w:sz w:val="20"/>
        </w:rPr>
      </w:pPr>
      <w:r>
        <w:rPr>
          <w:rFonts w:ascii="Arial" w:hAnsi="Arial"/>
          <w:b w:val="false"/>
          <w:color w:val="000000"/>
          <w:sz w:val="20"/>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and expenses from our international operations in the first quarter of fiscal year 2024.</w:t>
      </w:r>
    </w:p>
    <w:p>
      <w:pPr>
        <w:pStyle w:val="TextBody"/>
        <w:bidi w:val="0"/>
        <w:spacing w:before="180" w:after="283"/>
        <w:jc w:val="both"/>
        <w:rPr>
          <w:rFonts w:ascii="Arial" w:hAnsi="Arial"/>
          <w:b w:val="false"/>
          <w:color w:val="000000"/>
          <w:sz w:val="20"/>
        </w:rPr>
      </w:pPr>
      <w:r>
        <w:rPr>
          <w:rFonts w:ascii="Arial" w:hAnsi="Arial"/>
          <w:b w:val="false"/>
          <w:color w:val="000000"/>
          <w:sz w:val="20"/>
        </w:rPr>
        <w:t>Refer to Risk Factors (Part II, Item 1A of this Form 10-Q) for a discussion of these factors and other risks.</w:t>
      </w:r>
    </w:p>
    <w:p>
      <w:pPr>
        <w:pStyle w:val="TextBody"/>
        <w:bidi w:val="0"/>
        <w:spacing w:before="270" w:after="283"/>
        <w:jc w:val="both"/>
        <w:rPr>
          <w:rFonts w:ascii="Arial" w:hAnsi="Arial"/>
          <w:b/>
          <w:color w:val="000000"/>
          <w:sz w:val="20"/>
        </w:rPr>
      </w:pPr>
      <w:r>
        <w:rPr>
          <w:rFonts w:ascii="Arial" w:hAnsi="Arial"/>
          <w:b/>
          <w:color w:val="000000"/>
          <w:sz w:val="20"/>
        </w:rPr>
        <w:t>Seasonality</w:t>
      </w:r>
    </w:p>
    <w:p>
      <w:pPr>
        <w:pStyle w:val="TextBody"/>
        <w:bidi w:val="0"/>
        <w:spacing w:before="180" w:after="283"/>
        <w:jc w:val="both"/>
        <w:rPr>
          <w:rFonts w:ascii="Arial" w:hAnsi="Arial"/>
          <w:b w:val="false"/>
          <w:color w:val="000000"/>
          <w:sz w:val="20"/>
        </w:rPr>
      </w:pPr>
      <w:r>
        <w:rPr>
          <w:rFonts w:ascii="Arial" w:hAnsi="Arial"/>
          <w:b w:val="false"/>
          <w:color w:val="000000"/>
          <w:sz w:val="20"/>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pStyle w:val="TextBody"/>
        <w:bidi w:val="0"/>
        <w:spacing w:before="27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b w:val="false"/>
          <w:color w:val="000000"/>
          <w:sz w:val="20"/>
        </w:rPr>
      </w:pPr>
      <w:r>
        <w:rPr>
          <w:rFonts w:ascii="Arial" w:hAnsi="Arial"/>
          <w:b w:val="false"/>
          <w:color w:val="000000"/>
          <w:sz w:val="20"/>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pStyle w:val="TextBody"/>
        <w:bidi w:val="0"/>
        <w:spacing w:before="180" w:after="283"/>
        <w:jc w:val="both"/>
        <w:rPr>
          <w:rFonts w:ascii="Arial" w:hAnsi="Arial"/>
          <w:b w:val="false"/>
          <w:color w:val="000000"/>
          <w:sz w:val="20"/>
        </w:rPr>
      </w:pPr>
      <w:r>
        <w:rPr>
          <w:rFonts w:ascii="Arial" w:hAnsi="Arial"/>
          <w:b w:val="false"/>
          <w:color w:val="000000"/>
          <w:sz w:val="20"/>
        </w:rPr>
        <w:t>Additional information on our reportable segments is contained in Note 16 – Segment Information and Geographic Data of the Notes to Financial Statements (Part I, Item 1 of this Form 10-Q).</w:t>
      </w:r>
    </w:p>
    <w:p>
      <w:pPr>
        <w:pStyle w:val="TextBody"/>
        <w:bidi w:val="0"/>
        <w:spacing w:before="240" w:after="283"/>
        <w:jc w:val="center"/>
        <w:rPr>
          <w:rFonts w:ascii="Arial" w:hAnsi="Arial"/>
          <w:b w:val="false"/>
          <w:color w:val="000000"/>
          <w:sz w:val="16"/>
        </w:rPr>
      </w:pPr>
      <w:r>
        <w:rPr>
          <w:rFonts w:ascii="Arial" w:hAnsi="Arial"/>
          <w:b w:val="false"/>
          <w:color w:val="000000"/>
          <w:sz w:val="16"/>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Metrics</w:t>
      </w:r>
    </w:p>
    <w:p>
      <w:pPr>
        <w:pStyle w:val="TextBody"/>
        <w:bidi w:val="0"/>
        <w:spacing w:before="180" w:after="283"/>
        <w:jc w:val="both"/>
        <w:rPr>
          <w:rFonts w:ascii="Arial" w:hAnsi="Arial"/>
          <w:b w:val="false"/>
          <w:color w:val="000000"/>
          <w:sz w:val="20"/>
        </w:rPr>
      </w:pPr>
      <w:r>
        <w:rPr>
          <w:rFonts w:ascii="Arial" w:hAnsi="Arial"/>
          <w:b w:val="false"/>
          <w:color w:val="000000"/>
          <w:sz w:val="20"/>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pStyle w:val="TextBody"/>
        <w:bidi w:val="0"/>
        <w:spacing w:before="180" w:after="283"/>
        <w:jc w:val="both"/>
        <w:rPr>
          <w:rFonts w:ascii="Arial" w:hAnsi="Arial"/>
          <w:b w:val="false"/>
          <w:color w:val="000000"/>
          <w:sz w:val="20"/>
        </w:rPr>
      </w:pPr>
      <w:r>
        <w:rPr>
          <w:rFonts w:ascii="Arial" w:hAnsi="Arial"/>
          <w:b w:val="false"/>
          <w:color w:val="000000"/>
          <w:sz w:val="20"/>
        </w:rPr>
        <w:t>In the first quarter of fiscal year 2024, we made updates to the presentation and method of calculation for certain metrics, revising our Microsoft Cloud revenue metric to include revenue growth and expanding our Microsoft 365 Consumer subscribers metric to include Microsoft 365 Basic subscribers, aligning with how we manage our business.</w:t>
      </w:r>
    </w:p>
    <w:p>
      <w:pPr>
        <w:pStyle w:val="TextBody"/>
        <w:bidi w:val="0"/>
        <w:spacing w:before="270" w:after="283"/>
        <w:jc w:val="both"/>
        <w:rPr>
          <w:rFonts w:ascii="Arial" w:hAnsi="Arial"/>
          <w:b/>
          <w:i/>
          <w:color w:val="000000"/>
          <w:sz w:val="20"/>
        </w:rPr>
      </w:pPr>
      <w:r>
        <w:rPr>
          <w:rFonts w:ascii="Arial" w:hAnsi="Arial"/>
          <w:b/>
          <w:i/>
          <w:color w:val="000000"/>
          <w:sz w:val="20"/>
        </w:rPr>
        <w:t>Commercial</w:t>
      </w:r>
    </w:p>
    <w:p>
      <w:pPr>
        <w:pStyle w:val="TextBody"/>
        <w:bidi w:val="0"/>
        <w:spacing w:before="180" w:after="283"/>
        <w:jc w:val="both"/>
        <w:rPr>
          <w:rFonts w:ascii="Arial" w:hAnsi="Arial"/>
          <w:b w:val="false"/>
          <w:color w:val="000000"/>
          <w:sz w:val="20"/>
        </w:rPr>
      </w:pPr>
      <w:r>
        <w:rPr>
          <w:rFonts w:ascii="Arial" w:hAnsi="Arial"/>
          <w:b w:val="false"/>
          <w:color w:val="000000"/>
          <w:sz w:val="20"/>
        </w:rPr>
        <w:t>Our commercial business primarily consists of Server products and cloud services, Office Commercial, Windows Commercial, the commercial portion of LinkedIn, Enterprise and partner services, and Dynamics. Our commercial metrics allow management and investors to assess the overall health of our commercial business and include leading indicators of future performance.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4"/>
        <w:gridCol w:w="146"/>
        <w:gridCol w:w="7535"/>
      </w:tblGrid>
      <w:tr>
        <w:trPr/>
        <w:tc>
          <w:tcPr>
            <w:tcW w:w="2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524"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Commercial remaining performance obligation</w:t>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Commercial portion of revenue allocated to remaining performance obligations, which includes unearned revenue and amounts that will be invoiced and recognized as revenue in future periods</w:t>
            </w:r>
          </w:p>
        </w:tc>
      </w:tr>
      <w:tr>
        <w:trPr/>
        <w:tc>
          <w:tcPr>
            <w:tcW w:w="2524"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ind w:left="0" w:right="0" w:firstLine="187"/>
              <w:jc w:val="left"/>
              <w:rPr/>
            </w:pPr>
            <w:r>
              <w:rPr/>
              <w:t> </w:t>
            </w:r>
          </w:p>
        </w:tc>
      </w:tr>
      <w:tr>
        <w:trPr/>
        <w:tc>
          <w:tcPr>
            <w:tcW w:w="2524"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Microsoft Cloud revenue and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Azure and other cloud services, Office 365 Commercial, the commercial portion of LinkedIn, Dynamics 365, and other commercial cloud properties</w:t>
            </w:r>
          </w:p>
        </w:tc>
      </w:tr>
      <w:tr>
        <w:trPr/>
        <w:tc>
          <w:tcPr>
            <w:tcW w:w="2524"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ind w:left="0" w:right="0" w:firstLine="187"/>
              <w:jc w:val="left"/>
              <w:rPr/>
            </w:pPr>
            <w:r>
              <w:rPr/>
              <w:t> </w:t>
            </w:r>
          </w:p>
        </w:tc>
      </w:tr>
      <w:tr>
        <w:trPr/>
        <w:tc>
          <w:tcPr>
            <w:tcW w:w="2524"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Microsoft Cloud gross margin percentage</w:t>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Gross margin percentage for our Microsoft Cloud business</w:t>
            </w:r>
          </w:p>
        </w:tc>
      </w:tr>
    </w:tbl>
    <w:p>
      <w:pPr>
        <w:pStyle w:val="TextBody"/>
        <w:bidi w:val="0"/>
        <w:jc w:val="both"/>
        <w:rPr/>
      </w:pPr>
      <w:r>
        <w:rPr/>
        <w:t> </w:t>
      </w:r>
    </w:p>
    <w:p>
      <w:pPr>
        <w:pStyle w:val="TextBody"/>
        <w:bidi w:val="0"/>
        <w:spacing w:before="90" w:after="283"/>
        <w:jc w:val="both"/>
        <w:rPr>
          <w:rFonts w:ascii="Arial" w:hAnsi="Arial"/>
          <w:b/>
          <w:i/>
          <w:color w:val="000000"/>
          <w:sz w:val="20"/>
        </w:rPr>
      </w:pPr>
      <w:r>
        <w:rPr>
          <w:rFonts w:ascii="Arial" w:hAnsi="Arial"/>
          <w:b/>
          <w:i/>
          <w:color w:val="000000"/>
          <w:sz w:val="20"/>
        </w:rPr>
        <w:t>Productivity and Business Processes and Intelligent Cloud</w:t>
      </w:r>
    </w:p>
    <w:p>
      <w:pPr>
        <w:pStyle w:val="TextBody"/>
        <w:bidi w:val="0"/>
        <w:spacing w:before="180" w:after="283"/>
        <w:jc w:val="both"/>
        <w:rPr>
          <w:rFonts w:ascii="Arial" w:hAnsi="Arial"/>
          <w:b w:val="false"/>
          <w:color w:val="000000"/>
          <w:sz w:val="20"/>
        </w:rPr>
      </w:pPr>
      <w:r>
        <w:rPr>
          <w:rFonts w:ascii="Arial" w:hAnsi="Arial"/>
          <w:b w:val="false"/>
          <w:color w:val="000000"/>
          <w:sz w:val="20"/>
        </w:rPr>
        <w:t>Metrics related to our Productivity and Business Processes and Intelligent Cloud segments assess the health of our core businesses within these segments. The metrics reflect our cloud and on-premises product strategies and trends.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42"/>
        <w:gridCol w:w="146"/>
        <w:gridCol w:w="7717"/>
      </w:tblGrid>
      <w:tr>
        <w:trPr/>
        <w:tc>
          <w:tcPr>
            <w:tcW w:w="2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342"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Office Commercial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Office Commercial products and cloud services (Office 365 subscriptions, the Office 365 portion of Microsoft 365 Commercial subscriptions, and Office licensed on-premises), comprising Office, Exchange, SharePoint, Microsoft Teams, Office 365 Security and Compliance, Microsoft Viva, and Microsoft 365 Copilot</w:t>
            </w:r>
          </w:p>
        </w:tc>
      </w:tr>
      <w:tr>
        <w:trPr/>
        <w:tc>
          <w:tcPr>
            <w:tcW w:w="2342"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17" w:type="dxa"/>
            <w:tcBorders/>
            <w:vAlign w:val="center"/>
          </w:tcPr>
          <w:p>
            <w:pPr>
              <w:pStyle w:val="TableContents"/>
              <w:bidi w:val="0"/>
              <w:spacing w:before="0" w:after="283"/>
              <w:ind w:left="0" w:right="0" w:firstLine="187"/>
              <w:jc w:val="left"/>
              <w:rPr/>
            </w:pPr>
            <w:r>
              <w:rPr/>
              <w:t> </w:t>
            </w:r>
          </w:p>
        </w:tc>
      </w:tr>
      <w:tr>
        <w:trPr/>
        <w:tc>
          <w:tcPr>
            <w:tcW w:w="2342"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Office Consumer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Office Consumer products and cloud services, including Microsoft 365 Consumer subscriptions, Office licensed on-premises, and other Office services</w:t>
            </w:r>
          </w:p>
        </w:tc>
      </w:tr>
      <w:tr>
        <w:trPr/>
        <w:tc>
          <w:tcPr>
            <w:tcW w:w="2342"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17" w:type="dxa"/>
            <w:tcBorders/>
            <w:vAlign w:val="center"/>
          </w:tcPr>
          <w:p>
            <w:pPr>
              <w:pStyle w:val="TableContents"/>
              <w:bidi w:val="0"/>
              <w:spacing w:before="0" w:after="283"/>
              <w:ind w:left="0" w:right="0" w:firstLine="187"/>
              <w:jc w:val="left"/>
              <w:rPr/>
            </w:pPr>
            <w:r>
              <w:rPr/>
              <w:t> </w:t>
            </w:r>
          </w:p>
        </w:tc>
      </w:tr>
      <w:tr>
        <w:trPr/>
        <w:tc>
          <w:tcPr>
            <w:tcW w:w="2342"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Office 365 Commercial seat growth</w:t>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The number of Office 365 Commercial seats at end of period where seats are paid users covered by an Office 365 Commercial subscription</w:t>
            </w:r>
          </w:p>
        </w:tc>
      </w:tr>
      <w:tr>
        <w:trPr/>
        <w:tc>
          <w:tcPr>
            <w:tcW w:w="2342"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17" w:type="dxa"/>
            <w:tcBorders/>
            <w:vAlign w:val="center"/>
          </w:tcPr>
          <w:p>
            <w:pPr>
              <w:pStyle w:val="TableContents"/>
              <w:bidi w:val="0"/>
              <w:spacing w:before="0" w:after="283"/>
              <w:ind w:left="0" w:right="0" w:firstLine="187"/>
              <w:jc w:val="left"/>
              <w:rPr/>
            </w:pPr>
            <w:r>
              <w:rPr/>
              <w:t> </w:t>
            </w:r>
          </w:p>
        </w:tc>
      </w:tr>
      <w:tr>
        <w:trPr/>
        <w:tc>
          <w:tcPr>
            <w:tcW w:w="2342"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Microsoft 365 Consumer subscribers</w:t>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The number of Microsoft 365 Consumer subscribers at end of period</w:t>
            </w:r>
          </w:p>
        </w:tc>
      </w:tr>
      <w:tr>
        <w:trPr/>
        <w:tc>
          <w:tcPr>
            <w:tcW w:w="2342"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17" w:type="dxa"/>
            <w:tcBorders/>
            <w:vAlign w:val="center"/>
          </w:tcPr>
          <w:p>
            <w:pPr>
              <w:pStyle w:val="TableContents"/>
              <w:bidi w:val="0"/>
              <w:spacing w:before="0" w:after="283"/>
              <w:ind w:left="0" w:right="0" w:firstLine="187"/>
              <w:jc w:val="left"/>
              <w:rPr/>
            </w:pPr>
            <w:r>
              <w:rPr/>
              <w:t> </w:t>
            </w:r>
          </w:p>
        </w:tc>
      </w:tr>
      <w:tr>
        <w:trPr/>
        <w:tc>
          <w:tcPr>
            <w:tcW w:w="2342"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Dynamics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Dynamics products and cloud services, including Dynamics 365, comprising a set of intelligent, cloud-based applications across ERP, CRM (including Customer Insights), Power Apps, and Power Automate; and on-premises ERP and CRM applications</w:t>
            </w:r>
          </w:p>
        </w:tc>
      </w:tr>
      <w:tr>
        <w:trPr/>
        <w:tc>
          <w:tcPr>
            <w:tcW w:w="2342"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17" w:type="dxa"/>
            <w:tcBorders/>
            <w:vAlign w:val="center"/>
          </w:tcPr>
          <w:p>
            <w:pPr>
              <w:pStyle w:val="TableContents"/>
              <w:bidi w:val="0"/>
              <w:spacing w:before="0" w:after="283"/>
              <w:ind w:left="0" w:right="0" w:firstLine="187"/>
              <w:jc w:val="left"/>
              <w:rPr/>
            </w:pPr>
            <w:r>
              <w:rPr/>
              <w:t> </w:t>
            </w:r>
          </w:p>
        </w:tc>
      </w:tr>
      <w:tr>
        <w:trPr/>
        <w:tc>
          <w:tcPr>
            <w:tcW w:w="2342"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LinkedIn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LinkedIn, including Talent Solutions, Marketing Solutions, Premium Subscriptions, and Sales Solutions</w:t>
            </w:r>
          </w:p>
        </w:tc>
      </w:tr>
      <w:tr>
        <w:trPr/>
        <w:tc>
          <w:tcPr>
            <w:tcW w:w="2342"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17" w:type="dxa"/>
            <w:tcBorders/>
            <w:vAlign w:val="center"/>
          </w:tcPr>
          <w:p>
            <w:pPr>
              <w:pStyle w:val="TableContents"/>
              <w:bidi w:val="0"/>
              <w:spacing w:before="0" w:after="283"/>
              <w:ind w:left="0" w:right="0" w:firstLine="187"/>
              <w:jc w:val="left"/>
              <w:rPr/>
            </w:pPr>
            <w:r>
              <w:rPr/>
              <w:t> </w:t>
            </w:r>
          </w:p>
        </w:tc>
      </w:tr>
      <w:tr>
        <w:trPr/>
        <w:tc>
          <w:tcPr>
            <w:tcW w:w="2342"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Server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 from Server products and cloud services, including Azure and other cloud services; SQL Server, Windows Server, Visual Studio, System Center, and related Client Access Licenses (“CALs”); and Nuance and GitHub</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More Personal Computing</w:t>
      </w:r>
    </w:p>
    <w:p>
      <w:pPr>
        <w:pStyle w:val="TextBody"/>
        <w:bidi w:val="0"/>
        <w:spacing w:before="180" w:after="283"/>
        <w:jc w:val="both"/>
        <w:rPr>
          <w:rFonts w:ascii="Arial" w:hAnsi="Arial"/>
          <w:b w:val="false"/>
          <w:color w:val="000000"/>
          <w:sz w:val="20"/>
        </w:rPr>
      </w:pPr>
      <w:r>
        <w:rPr>
          <w:rFonts w:ascii="Arial" w:hAnsi="Arial"/>
          <w:b w:val="false"/>
          <w:color w:val="000000"/>
          <w:sz w:val="20"/>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86"/>
        <w:gridCol w:w="146"/>
        <w:gridCol w:w="7373"/>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3"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686"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Windows OEM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373"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sales of Windows Pro and non-Pro licenses sold through the OEM channel</w:t>
            </w:r>
          </w:p>
        </w:tc>
      </w:tr>
      <w:tr>
        <w:trPr/>
        <w:tc>
          <w:tcPr>
            <w:tcW w:w="268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373" w:type="dxa"/>
            <w:tcBorders/>
            <w:vAlign w:val="center"/>
          </w:tcPr>
          <w:p>
            <w:pPr>
              <w:pStyle w:val="TableContents"/>
              <w:bidi w:val="0"/>
              <w:spacing w:before="0" w:after="283"/>
              <w:ind w:left="0" w:right="0" w:firstLine="187"/>
              <w:jc w:val="left"/>
              <w:rPr/>
            </w:pPr>
            <w:r>
              <w:rPr/>
              <w:t> </w:t>
            </w:r>
          </w:p>
        </w:tc>
      </w:tr>
      <w:tr>
        <w:trPr/>
        <w:tc>
          <w:tcPr>
            <w:tcW w:w="2686"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Windows Commercial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373"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Windows Commercial products and cloud services, comprising volume licensing of the Windows operating system, Windows cloud services, and other Windows commercial offerings</w:t>
            </w:r>
          </w:p>
        </w:tc>
      </w:tr>
      <w:tr>
        <w:trPr/>
        <w:tc>
          <w:tcPr>
            <w:tcW w:w="268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373" w:type="dxa"/>
            <w:tcBorders/>
            <w:vAlign w:val="center"/>
          </w:tcPr>
          <w:p>
            <w:pPr>
              <w:pStyle w:val="TableContents"/>
              <w:bidi w:val="0"/>
              <w:spacing w:before="0" w:after="283"/>
              <w:ind w:left="0" w:right="0" w:firstLine="187"/>
              <w:jc w:val="left"/>
              <w:rPr/>
            </w:pPr>
            <w:r>
              <w:rPr/>
              <w:t> </w:t>
            </w:r>
          </w:p>
        </w:tc>
      </w:tr>
      <w:tr>
        <w:trPr/>
        <w:tc>
          <w:tcPr>
            <w:tcW w:w="2686"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Devices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373"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Devices, including Surface, HoloLens, and PC accessories</w:t>
            </w:r>
          </w:p>
        </w:tc>
      </w:tr>
      <w:tr>
        <w:trPr/>
        <w:tc>
          <w:tcPr>
            <w:tcW w:w="268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373" w:type="dxa"/>
            <w:tcBorders/>
            <w:vAlign w:val="center"/>
          </w:tcPr>
          <w:p>
            <w:pPr>
              <w:pStyle w:val="TableContents"/>
              <w:bidi w:val="0"/>
              <w:spacing w:before="0" w:after="283"/>
              <w:ind w:left="0" w:right="0" w:firstLine="187"/>
              <w:jc w:val="left"/>
              <w:rPr/>
            </w:pPr>
            <w:r>
              <w:rPr/>
              <w:t> </w:t>
            </w:r>
          </w:p>
        </w:tc>
      </w:tr>
      <w:tr>
        <w:trPr/>
        <w:tc>
          <w:tcPr>
            <w:tcW w:w="2686"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Xbox content and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373" w:type="dxa"/>
            <w:tcBorders/>
            <w:vAlign w:val="center"/>
          </w:tcPr>
          <w:p>
            <w:pPr>
              <w:pStyle w:val="TableContents"/>
              <w:bidi w:val="0"/>
              <w:spacing w:before="0" w:after="283"/>
              <w:ind w:left="0" w:right="0" w:firstLine="187"/>
              <w:jc w:val="left"/>
              <w:rPr>
                <w:rFonts w:ascii="Arial" w:hAnsi="Arial"/>
                <w:b w:val="false"/>
                <w:color w:val="000000"/>
                <w:sz w:val="20"/>
              </w:rPr>
            </w:pPr>
            <w:r>
              <w:rPr>
                <w:rFonts w:ascii="Arial" w:hAnsi="Arial"/>
                <w:b w:val="false"/>
                <w:color w:val="000000"/>
                <w:sz w:val="20"/>
              </w:rPr>
              <w:t>Revenue from Xbox content and services, comprising first- and third-party content (including games and in-game content), Xbox Game Pass and other subscriptions, Xbox Cloud Gaming, advertising, third-party disc royalties, and other cloud services</w:t>
            </w:r>
          </w:p>
        </w:tc>
      </w:tr>
      <w:tr>
        <w:trPr/>
        <w:tc>
          <w:tcPr>
            <w:tcW w:w="2686" w:type="dxa"/>
            <w:tcBorders/>
            <w:vAlign w:val="center"/>
          </w:tcPr>
          <w:p>
            <w:pPr>
              <w:pStyle w:val="TableContents"/>
              <w:bidi w:val="0"/>
              <w:spacing w:before="0" w:after="283"/>
              <w:ind w:left="187" w:right="0" w:firstLine="187"/>
              <w:jc w:val="left"/>
              <w:rPr/>
            </w:pPr>
            <w:r>
              <w:rPr/>
              <w:t> </w:t>
            </w:r>
          </w:p>
        </w:tc>
        <w:tc>
          <w:tcPr>
            <w:tcW w:w="146" w:type="dxa"/>
            <w:tcBorders/>
            <w:vAlign w:val="center"/>
          </w:tcPr>
          <w:p>
            <w:pPr>
              <w:pStyle w:val="TableContents"/>
              <w:bidi w:val="0"/>
              <w:spacing w:before="0" w:after="283"/>
              <w:jc w:val="left"/>
              <w:rPr/>
            </w:pPr>
            <w:r>
              <w:rPr/>
              <w:t> </w:t>
            </w:r>
          </w:p>
        </w:tc>
        <w:tc>
          <w:tcPr>
            <w:tcW w:w="7373" w:type="dxa"/>
            <w:tcBorders/>
            <w:vAlign w:val="center"/>
          </w:tcPr>
          <w:p>
            <w:pPr>
              <w:pStyle w:val="TableContents"/>
              <w:bidi w:val="0"/>
              <w:spacing w:before="0" w:after="283"/>
              <w:ind w:left="0" w:right="0" w:firstLine="187"/>
              <w:jc w:val="left"/>
              <w:rPr/>
            </w:pPr>
            <w:r>
              <w:rPr/>
              <w:t> </w:t>
            </w:r>
          </w:p>
        </w:tc>
      </w:tr>
      <w:tr>
        <w:trPr/>
        <w:tc>
          <w:tcPr>
            <w:tcW w:w="2686" w:type="dxa"/>
            <w:tcBorders/>
            <w:vAlign w:val="center"/>
          </w:tcPr>
          <w:p>
            <w:pPr>
              <w:pStyle w:val="TableContents"/>
              <w:bidi w:val="0"/>
              <w:spacing w:before="0" w:after="283"/>
              <w:ind w:left="187" w:right="0" w:firstLine="187"/>
              <w:jc w:val="left"/>
              <w:rPr>
                <w:rFonts w:ascii="Arial" w:hAnsi="Arial"/>
                <w:b w:val="false"/>
                <w:color w:val="000000"/>
                <w:sz w:val="20"/>
              </w:rPr>
            </w:pPr>
            <w:r>
              <w:rPr>
                <w:rFonts w:ascii="Arial" w:hAnsi="Arial"/>
                <w:b w:val="false"/>
                <w:color w:val="000000"/>
                <w:sz w:val="20"/>
              </w:rPr>
              <w:t>Search and news advertising revenue (ex TAC) growth</w:t>
            </w:r>
          </w:p>
        </w:tc>
        <w:tc>
          <w:tcPr>
            <w:tcW w:w="146" w:type="dxa"/>
            <w:tcBorders/>
            <w:vAlign w:val="center"/>
          </w:tcPr>
          <w:p>
            <w:pPr>
              <w:pStyle w:val="TableContents"/>
              <w:bidi w:val="0"/>
              <w:spacing w:before="0" w:after="283"/>
              <w:jc w:val="left"/>
              <w:rPr>
                <w:sz w:val="4"/>
                <w:szCs w:val="4"/>
              </w:rPr>
            </w:pPr>
            <w:r>
              <w:rPr>
                <w:sz w:val="4"/>
                <w:szCs w:val="4"/>
              </w:rPr>
            </w:r>
          </w:p>
        </w:tc>
        <w:tc>
          <w:tcPr>
            <w:tcW w:w="7373"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 from search and news advertising excluding traffic acquisition costs (“TAC”) paid to Bing Ads network publishers and news partners</w:t>
            </w:r>
          </w:p>
        </w:tc>
      </w:tr>
    </w:tbl>
    <w:p>
      <w:pPr>
        <w:pStyle w:val="TextBody"/>
        <w:bidi w:val="0"/>
        <w:jc w:val="left"/>
        <w:rPr/>
      </w:pPr>
      <w:r>
        <w:rPr/>
        <w:t> </w:t>
      </w:r>
    </w:p>
    <w:p>
      <w:pPr>
        <w:pStyle w:val="TextBody"/>
        <w:bidi w:val="0"/>
        <w:spacing w:before="90" w:after="283"/>
        <w:jc w:val="center"/>
        <w:rPr>
          <w:rFonts w:ascii="Arial" w:hAnsi="Arial"/>
          <w:b w:val="false"/>
          <w:color w:val="000000"/>
          <w:sz w:val="20"/>
          <w:u w:val="single"/>
        </w:rPr>
      </w:pPr>
      <w:r>
        <w:rPr>
          <w:rFonts w:ascii="Arial" w:hAnsi="Arial"/>
          <w:b w:val="false"/>
          <w:color w:val="000000"/>
          <w:sz w:val="20"/>
          <w:u w:val="single"/>
        </w:rPr>
        <w:t>SUMMARY RESULTS OF OPERATIONS</w:t>
      </w:r>
    </w:p>
    <w:p>
      <w:pPr>
        <w:pStyle w:val="TextBody"/>
        <w:bidi w:val="0"/>
        <w:jc w:val="left"/>
        <w:rPr/>
      </w:pPr>
      <w:r>
        <w:rPr/>
        <w:t> </w:t>
      </w:r>
    </w:p>
    <w:tbl>
      <w:tblPr>
        <w:tblW w:w="8172" w:type="dxa"/>
        <w:jc w:val="left"/>
        <w:tblInd w:w="0" w:type="dxa"/>
        <w:tblLayout w:type="fixed"/>
        <w:tblCellMar>
          <w:top w:w="28" w:type="dxa"/>
          <w:left w:w="28" w:type="dxa"/>
          <w:bottom w:w="28" w:type="dxa"/>
          <w:right w:w="28" w:type="dxa"/>
        </w:tblCellMar>
      </w:tblPr>
      <w:tblGrid>
        <w:gridCol w:w="4261"/>
        <w:gridCol w:w="146"/>
        <w:gridCol w:w="211"/>
        <w:gridCol w:w="691"/>
        <w:gridCol w:w="146"/>
        <w:gridCol w:w="146"/>
        <w:gridCol w:w="211"/>
        <w:gridCol w:w="691"/>
        <w:gridCol w:w="146"/>
        <w:gridCol w:w="146"/>
        <w:gridCol w:w="298"/>
        <w:gridCol w:w="648"/>
        <w:gridCol w:w="43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b/>
                <w:color w:val="000000"/>
                <w:sz w:val="15"/>
              </w:rPr>
            </w:pPr>
            <w:r>
              <w:rPr>
                <w:rFonts w:ascii="Arial" w:hAnsi="Arial"/>
                <w:b/>
                <w:color w:val="000000"/>
                <w:sz w:val="15"/>
              </w:rPr>
              <w:t>(In millions, except percentages 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September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43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261" w:type="dxa"/>
            <w:tcBorders/>
            <w:tcMar>
              <w:top w:w="0" w:type="dxa"/>
              <w:left w:w="0" w:type="dxa"/>
              <w:bottom w:w="0" w:type="dxa"/>
              <w:right w:w="0" w:type="dxa"/>
            </w:tcMar>
            <w:vAlign w:val="center"/>
          </w:tcPr>
          <w:p>
            <w:pPr>
              <w:pStyle w:val="TableContents"/>
              <w:pBdr/>
              <w:bidi w:val="0"/>
              <w:spacing w:before="0" w:after="283"/>
              <w:ind w:left="0" w:right="0" w:hanging="24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261"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b w:val="false"/>
                <w:color w:val="000000"/>
                <w:sz w:val="20"/>
              </w:rPr>
            </w:pPr>
            <w:r>
              <w:rPr>
                <w:rFonts w:ascii="Arial" w:hAnsi="Arial"/>
                <w:b w:val="false"/>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56,517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4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b w:val="false"/>
                <w:color w:val="000000"/>
                <w:sz w:val="20"/>
              </w:rPr>
            </w:pPr>
            <w:r>
              <w:rPr>
                <w:rFonts w:ascii="Arial" w:hAnsi="Arial"/>
                <w:b w:val="false"/>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40,215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34,670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261"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b w:val="false"/>
                <w:color w:val="000000"/>
                <w:sz w:val="20"/>
              </w:rPr>
            </w:pPr>
            <w:r>
              <w:rPr>
                <w:rFonts w:ascii="Arial" w:hAnsi="Arial"/>
                <w:b w:val="false"/>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26,895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w:t>
            </w:r>
          </w:p>
        </w:tc>
        <w:tc>
          <w:tcPr>
            <w:tcW w:w="4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b w:val="false"/>
                <w:color w:val="000000"/>
                <w:sz w:val="20"/>
              </w:rPr>
              <w:t>Net income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22,291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17,556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261"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b w:val="false"/>
                <w:color w:val="000000"/>
                <w:sz w:val="20"/>
              </w:rPr>
            </w:pPr>
            <w:r>
              <w:rPr>
                <w:rFonts w:ascii="Arial" w:hAnsi="Arial"/>
                <w:b w:val="false"/>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w:t>
            </w:r>
          </w:p>
        </w:tc>
        <w:tc>
          <w:tcPr>
            <w:tcW w:w="4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261" w:type="dxa"/>
            <w:tcBorders>
              <w:bottom w:val="single" w:sz="2"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43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Three Months Ended September 30, 2023 Compared with Three Months Ended September 30, 2022</w:t>
      </w:r>
    </w:p>
    <w:p>
      <w:pPr>
        <w:pStyle w:val="TextBody"/>
        <w:bidi w:val="0"/>
        <w:spacing w:before="180" w:after="283"/>
        <w:jc w:val="left"/>
        <w:rPr>
          <w:rFonts w:ascii="Arial" w:hAnsi="Arial"/>
          <w:b w:val="false"/>
          <w:color w:val="000000"/>
          <w:sz w:val="20"/>
        </w:rPr>
      </w:pPr>
      <w:r>
        <w:rPr>
          <w:rFonts w:ascii="Arial" w:hAnsi="Arial"/>
          <w:b w:val="false"/>
          <w:color w:val="000000"/>
          <w:sz w:val="20"/>
        </w:rPr>
        <w:t>Revenue increased $6.4 billion or 13% driven by growth in Intelligent Cloud and Productivity and Business Processes. Intelligent Cloud revenue increased driven by Azure and other cloud services. Productivity and Business Processes revenue increased driven by Office 365 Commercial. More Personal Computing revenue increased driven by growth in Gaming and Windows, offset in part by a decline in Devices.</w:t>
      </w:r>
    </w:p>
    <w:p>
      <w:pPr>
        <w:pStyle w:val="TextBody"/>
        <w:bidi w:val="0"/>
        <w:spacing w:before="180" w:after="283"/>
        <w:jc w:val="left"/>
        <w:rPr>
          <w:rFonts w:ascii="Arial" w:hAnsi="Arial"/>
          <w:b w:val="false"/>
          <w:color w:val="000000"/>
          <w:sz w:val="20"/>
        </w:rPr>
      </w:pPr>
      <w:r>
        <w:rPr>
          <w:rFonts w:ascii="Arial" w:hAnsi="Arial"/>
          <w:b w:val="false"/>
          <w:color w:val="000000"/>
          <w:sz w:val="20"/>
        </w:rPr>
        <w:t>Cost of revenue increased $850 million or 6% driven by growth in Microsoft Cloud, offset in part by a decline in Devices.</w:t>
      </w:r>
    </w:p>
    <w:p>
      <w:pPr>
        <w:pStyle w:val="TextBody"/>
        <w:bidi w:val="0"/>
        <w:spacing w:before="180" w:after="283"/>
        <w:jc w:val="left"/>
        <w:rPr>
          <w:rFonts w:ascii="Arial" w:hAnsi="Arial"/>
          <w:b w:val="false"/>
          <w:color w:val="000000"/>
          <w:sz w:val="20"/>
        </w:rPr>
      </w:pPr>
      <w:r>
        <w:rPr>
          <w:rFonts w:ascii="Arial" w:hAnsi="Arial"/>
          <w:b w:val="false"/>
          <w:color w:val="000000"/>
          <w:sz w:val="20"/>
        </w:rPr>
        <w:t>Gross margin increased $5.5 billion or 16% driven by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Gross margin percentage increased. Excluding the impact of the prior year change in accounting estimate for the useful lives of our server and network equipment, gross margin percentage increased 3 points driven by improvements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Microsoft Cloud gross margin percentage increased slightly to 73%. Excluding the impact of the change in accounting estimate, Microsoft Cloud gross margin percentage increased 2 points driven by improvement in Azure and other cloud services and Office 365 Commercial.</w:t>
      </w:r>
    </w:p>
    <w:p>
      <w:pPr>
        <w:pStyle w:val="TextBody"/>
        <w:bidi w:val="0"/>
        <w:spacing w:before="180" w:after="283"/>
        <w:jc w:val="left"/>
        <w:rPr>
          <w:rFonts w:ascii="Arial" w:hAnsi="Arial"/>
          <w:b w:val="false"/>
          <w:color w:val="000000"/>
          <w:sz w:val="20"/>
        </w:rPr>
      </w:pPr>
      <w:r>
        <w:rPr>
          <w:rFonts w:ascii="Arial" w:hAnsi="Arial"/>
          <w:b w:val="false"/>
          <w:color w:val="000000"/>
          <w:sz w:val="20"/>
        </w:rPr>
        <w:t>Operating expenses increased $168 million or 1% driven by marketing, LinkedIn, and cloud engineering, offset in part by a decline in Devices.</w:t>
      </w:r>
    </w:p>
    <w:p>
      <w:pPr>
        <w:pStyle w:val="TextBody"/>
        <w:bidi w:val="0"/>
        <w:spacing w:before="180" w:after="283"/>
        <w:jc w:val="left"/>
        <w:rPr>
          <w:rFonts w:ascii="Arial" w:hAnsi="Arial"/>
          <w:b w:val="false"/>
          <w:color w:val="000000"/>
          <w:sz w:val="20"/>
        </w:rPr>
      </w:pPr>
      <w:r>
        <w:rPr>
          <w:rFonts w:ascii="Arial" w:hAnsi="Arial"/>
          <w:b w:val="false"/>
          <w:color w:val="000000"/>
          <w:sz w:val="20"/>
        </w:rPr>
        <w:t>Operating income increased $5.4 billion or 25% driven by growth across each of our segments.</w:t>
      </w:r>
    </w:p>
    <w:p>
      <w:pPr>
        <w:pStyle w:val="TextBody"/>
        <w:bidi w:val="0"/>
        <w:spacing w:before="240" w:after="283"/>
        <w:jc w:val="center"/>
        <w:rPr>
          <w:rFonts w:ascii="Arial" w:hAnsi="Arial"/>
          <w:b w:val="false"/>
          <w:color w:val="000000"/>
          <w:sz w:val="16"/>
        </w:rPr>
      </w:pPr>
      <w:r>
        <w:rPr>
          <w:rFonts w:ascii="Arial" w:hAnsi="Arial"/>
          <w:b w:val="false"/>
          <w:color w:val="000000"/>
          <w:sz w:val="16"/>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SEGMENT RESULTS OF OPERATIONS</w:t>
      </w:r>
    </w:p>
    <w:p>
      <w:pPr>
        <w:pStyle w:val="TextBody"/>
        <w:bidi w:val="0"/>
        <w:jc w:val="both"/>
        <w:rPr/>
      </w:pPr>
      <w:r>
        <w:rPr/>
        <w:t> </w:t>
      </w:r>
    </w:p>
    <w:tbl>
      <w:tblPr>
        <w:tblW w:w="7552" w:type="dxa"/>
        <w:jc w:val="left"/>
        <w:tblInd w:w="0" w:type="dxa"/>
        <w:tblLayout w:type="fixed"/>
        <w:tblCellMar>
          <w:top w:w="28" w:type="dxa"/>
          <w:left w:w="28" w:type="dxa"/>
          <w:bottom w:w="28" w:type="dxa"/>
          <w:right w:w="28" w:type="dxa"/>
        </w:tblCellMar>
      </w:tblPr>
      <w:tblGrid>
        <w:gridCol w:w="3391"/>
        <w:gridCol w:w="146"/>
        <w:gridCol w:w="211"/>
        <w:gridCol w:w="691"/>
        <w:gridCol w:w="146"/>
        <w:gridCol w:w="146"/>
        <w:gridCol w:w="211"/>
        <w:gridCol w:w="691"/>
        <w:gridCol w:w="146"/>
        <w:gridCol w:w="146"/>
        <w:gridCol w:w="298"/>
        <w:gridCol w:w="648"/>
        <w:gridCol w:w="68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20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September 30,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9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391"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18,592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16,465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24,259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20,325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13,666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13,332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443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sz w:val="4"/>
                <w:szCs w:val="4"/>
              </w:rPr>
            </w:pPr>
            <w:r>
              <w:rPr>
                <w:sz w:val="4"/>
                <w:szCs w:val="4"/>
              </w:rPr>
            </w:r>
          </w:p>
        </w:tc>
      </w:tr>
      <w:tr>
        <w:trPr/>
        <w:tc>
          <w:tcPr>
            <w:tcW w:w="4439"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39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56,517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391"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Operating Income</w:t>
            </w:r>
          </w:p>
        </w:tc>
        <w:tc>
          <w:tcPr>
            <w:tcW w:w="1194" w:type="dxa"/>
            <w:gridSpan w:val="4"/>
            <w:tcBorders/>
            <w:vAlign w:val="center"/>
          </w:tcPr>
          <w:p>
            <w:pPr>
              <w:pStyle w:val="TableContents"/>
              <w:bidi w:val="0"/>
              <w:spacing w:before="0" w:after="283"/>
              <w:jc w:val="right"/>
              <w:rPr/>
            </w:pPr>
            <w:r>
              <w:rPr/>
              <w:t> </w:t>
            </w:r>
          </w:p>
        </w:tc>
        <w:tc>
          <w:tcPr>
            <w:tcW w:w="2967" w:type="dxa"/>
            <w:gridSpan w:val="8"/>
            <w:tcBorders/>
            <w:vAlign w:val="center"/>
          </w:tcPr>
          <w:p>
            <w:pPr>
              <w:pStyle w:val="TableContents"/>
              <w:bidi w:val="0"/>
              <w:spacing w:before="0" w:after="283"/>
              <w:jc w:val="righ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right"/>
              <w:rPr/>
            </w:pPr>
            <w:r>
              <w:rPr/>
              <w:t> </w:t>
            </w:r>
          </w:p>
        </w:tc>
        <w:tc>
          <w:tcPr>
            <w:tcW w:w="2967" w:type="dxa"/>
            <w:gridSpan w:val="8"/>
            <w:tcBorders/>
            <w:vAlign w:val="center"/>
          </w:tcPr>
          <w:p>
            <w:pPr>
              <w:pStyle w:val="TableContents"/>
              <w:bidi w:val="0"/>
              <w:spacing w:before="0" w:after="283"/>
              <w:ind w:left="0" w:right="0" w:firstLine="245"/>
              <w:jc w:val="righ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9,970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11,751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8,978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5,174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4,217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443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4439"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391" w:type="dxa"/>
            <w:tcBorders/>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26,895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w:t>
            </w:r>
          </w:p>
        </w:tc>
        <w:tc>
          <w:tcPr>
            <w:tcW w:w="69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21,518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9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b/>
          <w:i/>
          <w:color w:val="000000"/>
          <w:sz w:val="20"/>
        </w:rPr>
      </w:pPr>
      <w:r>
        <w:rPr>
          <w:rFonts w:ascii="Arial" w:hAnsi="Arial"/>
          <w:b/>
          <w:i/>
          <w:color w:val="000000"/>
          <w:sz w:val="20"/>
        </w:rPr>
        <w:t>Three Months Ended September 30, 2023 Compared with Three Months Ended September 30, 2022</w:t>
      </w:r>
    </w:p>
    <w:p>
      <w:pPr>
        <w:pStyle w:val="TextBody"/>
        <w:bidi w:val="0"/>
        <w:spacing w:before="180" w:after="283"/>
        <w:jc w:val="both"/>
        <w:rPr>
          <w:rFonts w:ascii="Arial" w:hAnsi="Arial"/>
          <w:b w:val="false"/>
          <w:i/>
          <w:color w:val="000000"/>
          <w:sz w:val="20"/>
        </w:rPr>
      </w:pPr>
      <w:r>
        <w:rPr>
          <w:rFonts w:ascii="Arial" w:hAnsi="Arial"/>
          <w:b w:val="false"/>
          <w:i/>
          <w:color w:val="000000"/>
          <w:sz w:val="20"/>
        </w:rPr>
        <w:t>Productivity and Business Processes</w:t>
      </w:r>
    </w:p>
    <w:p>
      <w:pPr>
        <w:pStyle w:val="TextBody"/>
        <w:bidi w:val="0"/>
        <w:spacing w:before="180" w:after="283"/>
        <w:jc w:val="both"/>
        <w:rPr>
          <w:rFonts w:ascii="Arial" w:hAnsi="Arial"/>
          <w:b w:val="false"/>
          <w:color w:val="000000"/>
          <w:sz w:val="20"/>
        </w:rPr>
      </w:pPr>
      <w:r>
        <w:rPr>
          <w:rFonts w:ascii="Arial" w:hAnsi="Arial"/>
          <w:b w:val="false"/>
          <w:color w:val="000000"/>
          <w:sz w:val="20"/>
        </w:rPr>
        <w:t>Revenue increased $2.1 billion or 13%.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Office Commercial products and cloud services revenue increased $1.5 billion or 15%. Office 365 Commercial revenue grew 18% with seat growth of 10%, driven by small and medium business and frontline worker offerings, as well as growth in revenue per user. Office Commercial products revenue declined 17% driven by continued customer shift to cloud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Office Consumer products and cloud services revenue increased $44 million or 3%. Microsoft 365 Consumer subscribers grew 18% to 76.7 million.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LinkedIn revenue increased $285 million or 8% primarily driven by Talent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Dynamics products and cloud services revenue increased $280 million or 22% driven by Dynamics 365 growth of 28%.</w:t>
      </w:r>
    </w:p>
    <w:p>
      <w:pPr>
        <w:pStyle w:val="TextBody"/>
        <w:bidi w:val="0"/>
        <w:spacing w:before="180" w:after="283"/>
        <w:jc w:val="both"/>
        <w:rPr>
          <w:rFonts w:ascii="Arial" w:hAnsi="Arial"/>
          <w:b w:val="false"/>
          <w:color w:val="000000"/>
          <w:sz w:val="20"/>
        </w:rPr>
      </w:pPr>
      <w:r>
        <w:rPr>
          <w:rFonts w:ascii="Arial" w:hAnsi="Arial"/>
          <w:b w:val="false"/>
          <w:color w:val="000000"/>
          <w:sz w:val="20"/>
        </w:rPr>
        <w:t>Operating income increased $1.6 billion or 20%.</w:t>
      </w:r>
    </w:p>
    <w:p>
      <w:pPr>
        <w:pStyle w:val="TextBody"/>
        <w:bidi w:val="0"/>
        <w:spacing w:before="86" w:after="283"/>
        <w:jc w:val="left"/>
        <w:rPr>
          <w:color w:val="000000"/>
        </w:rPr>
      </w:pPr>
      <w:r>
        <w:rPr>
          <w:color w:val="000000"/>
        </w:rPr>
        <w:t>•</w:t>
      </w:r>
    </w:p>
    <w:p>
      <w:pPr>
        <w:pStyle w:val="TextBody"/>
        <w:bidi w:val="0"/>
        <w:spacing w:before="86" w:after="283"/>
        <w:jc w:val="left"/>
        <w:rPr>
          <w:rFonts w:ascii="Arial" w:hAnsi="Arial"/>
          <w:b w:val="false"/>
          <w:color w:val="000000"/>
          <w:sz w:val="20"/>
        </w:rPr>
      </w:pPr>
      <w:r>
        <w:rPr>
          <w:rFonts w:ascii="Arial" w:hAnsi="Arial"/>
          <w:b w:val="false"/>
          <w:color w:val="000000"/>
          <w:sz w:val="20"/>
        </w:rPr>
        <w:t>Gross margin increased $1.8 billion or 13% driven by growth in Office 365 Commercial. Gross margin percentage increased slightly. Excluding the impact of the change in accounting estimate, gross margin percentage increased 1 point driven by improvement in Office 365 Commercial.</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b w:val="false"/>
          <w:color w:val="000000"/>
          <w:sz w:val="20"/>
        </w:rPr>
      </w:pPr>
      <w:r>
        <w:rPr>
          <w:rFonts w:ascii="Arial" w:hAnsi="Arial"/>
          <w:b w:val="false"/>
          <w:color w:val="000000"/>
          <w:sz w:val="20"/>
        </w:rPr>
        <w:t>Operating expenses increased $119 million or 2% primarily driven by LinkedIn.</w:t>
      </w:r>
    </w:p>
    <w:p>
      <w:pPr>
        <w:pStyle w:val="TextBody"/>
        <w:bidi w:val="0"/>
        <w:spacing w:before="270" w:after="283"/>
        <w:jc w:val="both"/>
        <w:rPr>
          <w:rFonts w:ascii="Arial" w:hAnsi="Arial"/>
          <w:b w:val="false"/>
          <w:i/>
          <w:color w:val="000000"/>
          <w:sz w:val="20"/>
        </w:rPr>
      </w:pPr>
      <w:r>
        <w:rPr>
          <w:rFonts w:ascii="Arial" w:hAnsi="Arial"/>
          <w:b w:val="false"/>
          <w:i/>
          <w:color w:val="000000"/>
          <w:sz w:val="20"/>
        </w:rPr>
        <w:t>Intelligent Cloud</w:t>
      </w:r>
    </w:p>
    <w:p>
      <w:pPr>
        <w:pStyle w:val="TextBody"/>
        <w:bidi w:val="0"/>
        <w:spacing w:before="180" w:after="283"/>
        <w:jc w:val="left"/>
        <w:rPr>
          <w:rFonts w:ascii="Arial" w:hAnsi="Arial"/>
          <w:b w:val="false"/>
          <w:color w:val="000000"/>
          <w:sz w:val="20"/>
        </w:rPr>
      </w:pPr>
      <w:r>
        <w:rPr>
          <w:rFonts w:ascii="Arial" w:hAnsi="Arial"/>
          <w:b w:val="false"/>
          <w:color w:val="000000"/>
          <w:sz w:val="20"/>
        </w:rPr>
        <w:t>Revenue increased $3.9 billion or 19%.</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Server products and cloud services revenue increased $3.9 billion or 21% driven by Azure and other cloud services. Azure and other cloud services revenue grew 29% driven by growth in our consumption-based services. Server products revenue increased 2% driven by demand for Windows Server and SQL Server running in multi-cloud environments, offset in part by continued customer shift to cloud offerings.</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Enterprise and partner services revenue increased $15 million or 1% driven by growth in Enterprise Support Services, offset in part by a decline in Industry Solutions.</w:t>
      </w:r>
    </w:p>
    <w:p>
      <w:pPr>
        <w:pStyle w:val="TextBody"/>
        <w:bidi w:val="0"/>
        <w:spacing w:before="240" w:after="283"/>
        <w:jc w:val="center"/>
        <w:rPr>
          <w:rFonts w:ascii="Arial" w:hAnsi="Arial"/>
          <w:b w:val="false"/>
          <w:color w:val="000000"/>
          <w:sz w:val="16"/>
        </w:rPr>
      </w:pPr>
      <w:r>
        <w:rPr>
          <w:rFonts w:ascii="Arial" w:hAnsi="Arial"/>
          <w:b w:val="false"/>
          <w:color w:val="000000"/>
          <w:sz w:val="16"/>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Operating income increased $2.8 billion or 31%.</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Gross margin increased $2.9 billion or 20% driven by growth in Azure and other cloud services. Gross margin percentage increased slightly. Excluding the impact of the change in accounting estimate, gross margin percentage increased 2 points driven by improvement in Azure and other cloud services.</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Operating expenses increased $86 million or 2% driven by investments in Azure and other cloud services.</w:t>
      </w:r>
    </w:p>
    <w:p>
      <w:pPr>
        <w:pStyle w:val="TextBody"/>
        <w:bidi w:val="0"/>
        <w:spacing w:before="270" w:after="283"/>
        <w:jc w:val="both"/>
        <w:rPr>
          <w:rFonts w:ascii="Arial" w:hAnsi="Arial"/>
          <w:b w:val="false"/>
          <w:i/>
          <w:color w:val="000000"/>
          <w:sz w:val="20"/>
        </w:rPr>
      </w:pPr>
      <w:r>
        <w:rPr>
          <w:rFonts w:ascii="Arial" w:hAnsi="Arial"/>
          <w:b w:val="false"/>
          <w:i/>
          <w:color w:val="000000"/>
          <w:sz w:val="20"/>
        </w:rPr>
        <w:t>More Personal Computing</w:t>
      </w:r>
    </w:p>
    <w:p>
      <w:pPr>
        <w:pStyle w:val="TextBody"/>
        <w:bidi w:val="0"/>
        <w:spacing w:before="180" w:after="283"/>
        <w:jc w:val="left"/>
        <w:rPr>
          <w:rFonts w:ascii="Arial" w:hAnsi="Arial"/>
          <w:b w:val="false"/>
          <w:color w:val="000000"/>
          <w:sz w:val="20"/>
        </w:rPr>
      </w:pPr>
      <w:r>
        <w:rPr>
          <w:rFonts w:ascii="Arial" w:hAnsi="Arial"/>
          <w:b w:val="false"/>
          <w:color w:val="000000"/>
          <w:sz w:val="20"/>
        </w:rPr>
        <w:t>Revenue increased $334 million or 3%.</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Windows revenue increased $254 million or 5% driven by growth in Windows Commercial and Windows OEM. Windows Commercial products and cloud services revenue increased 8% driven by demand for Microsoft 365. Windows OEM revenue increased 4%.</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 xml:space="preserve">Gaming revenue increased $309 million or 9% driven by growth in Xbox content and services. Xbox content and services revenue increased 13% driven by growth in first-party content and Xbox Game Pass. Xbox hardware revenue decreased 7% driven by lower volume of consoles sold, offset in part by higher price of consoles sold. </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Search and news advertising revenue increased $140 million or 5%. Search and news advertising revenue excluding traffic acquisition costs increased 10% driven by higher search volume.</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b w:val="false"/>
          <w:color w:val="000000"/>
          <w:sz w:val="20"/>
        </w:rPr>
      </w:pPr>
      <w:r>
        <w:rPr>
          <w:rFonts w:ascii="Arial" w:hAnsi="Arial"/>
          <w:b w:val="false"/>
          <w:color w:val="000000"/>
          <w:sz w:val="20"/>
        </w:rPr>
        <w:t>Devices revenue decreased $323 million or 22%.</w:t>
      </w:r>
    </w:p>
    <w:p>
      <w:pPr>
        <w:pStyle w:val="TextBody"/>
        <w:bidi w:val="0"/>
        <w:spacing w:before="180" w:after="283"/>
        <w:jc w:val="left"/>
        <w:rPr>
          <w:rFonts w:ascii="Arial" w:hAnsi="Arial"/>
          <w:b w:val="false"/>
          <w:color w:val="000000"/>
          <w:sz w:val="20"/>
        </w:rPr>
      </w:pPr>
      <w:r>
        <w:rPr>
          <w:rFonts w:ascii="Arial" w:hAnsi="Arial"/>
          <w:b w:val="false"/>
          <w:color w:val="000000"/>
          <w:sz w:val="20"/>
        </w:rPr>
        <w:t>Operating income increased $957 million or 23%.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Gross margin increased $920 million or 13% driven by growth in Gaming and Windows. Gross margin percentage increased primarily driven by sales mix shift.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Operating expenses decreased $37 million or 1% driven by a decline in Devices, offset in part by investments in Gaming.</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OPERATING EXPENSES</w:t>
      </w:r>
    </w:p>
    <w:p>
      <w:pPr>
        <w:pStyle w:val="TextBody"/>
        <w:bidi w:val="0"/>
        <w:spacing w:before="180" w:after="283"/>
        <w:jc w:val="both"/>
        <w:rPr>
          <w:rFonts w:ascii="Arial" w:hAnsi="Arial"/>
          <w:b/>
          <w:color w:val="000000"/>
          <w:sz w:val="20"/>
        </w:rPr>
      </w:pPr>
      <w:r>
        <w:rPr>
          <w:rFonts w:ascii="Arial" w:hAnsi="Arial"/>
          <w:b/>
          <w:color w:val="000000"/>
          <w:sz w:val="20"/>
        </w:rPr>
        <w:t>Research and Development</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64"/>
        <w:gridCol w:w="682"/>
        <w:gridCol w:w="43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188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September 30,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8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25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Research and development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6,659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6,628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4" w:type="dxa"/>
            <w:tcBorders/>
            <w:shd w:fill="E5E5E5" w:val="clear"/>
            <w:vAlign w:val="center"/>
          </w:tcPr>
          <w:p>
            <w:pPr>
              <w:pStyle w:val="TableContents"/>
              <w:bidi w:val="0"/>
              <w:spacing w:before="0" w:after="283"/>
              <w:jc w:val="left"/>
              <w:rPr>
                <w:sz w:val="4"/>
                <w:szCs w:val="4"/>
              </w:rPr>
            </w:pPr>
            <w:r>
              <w:rPr>
                <w:sz w:val="4"/>
                <w:szCs w:val="4"/>
              </w:rPr>
            </w:r>
          </w:p>
        </w:tc>
        <w:tc>
          <w:tcPr>
            <w:tcW w:w="68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As a percent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(1)ppt</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Research and development expenses include payroll, employee benefits, stock-based compensation expense, and other headcount-related expenses associated with product development. Research and development expenses also include third-party development and programming costs and the amortization of purchased software code and services content.</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2023 Compared with Three Months Ended September 30, 2022</w:t>
      </w:r>
    </w:p>
    <w:p>
      <w:pPr>
        <w:pStyle w:val="TextBody"/>
        <w:bidi w:val="0"/>
        <w:spacing w:before="180" w:after="283"/>
        <w:jc w:val="both"/>
        <w:rPr>
          <w:rFonts w:ascii="Arial" w:hAnsi="Arial"/>
          <w:b w:val="false"/>
          <w:color w:val="000000"/>
          <w:sz w:val="20"/>
        </w:rPr>
      </w:pPr>
      <w:r>
        <w:rPr>
          <w:rFonts w:ascii="Arial" w:hAnsi="Arial"/>
          <w:b w:val="false"/>
          <w:color w:val="000000"/>
          <w:sz w:val="20"/>
        </w:rPr>
        <w:t>Research and development expenses increased slightly driven by cloud engineering, LinkedIn, and Windows, offset in part by a decline in Devices.</w:t>
      </w:r>
    </w:p>
    <w:p>
      <w:pPr>
        <w:pStyle w:val="TextBody"/>
        <w:bidi w:val="0"/>
        <w:spacing w:before="270" w:after="283"/>
        <w:jc w:val="both"/>
        <w:rPr>
          <w:rFonts w:ascii="Arial" w:hAnsi="Arial"/>
          <w:b/>
          <w:color w:val="000000"/>
          <w:sz w:val="20"/>
        </w:rPr>
      </w:pPr>
      <w:r>
        <w:rPr>
          <w:rFonts w:ascii="Arial" w:hAnsi="Arial"/>
          <w:b/>
          <w:color w:val="000000"/>
          <w:sz w:val="20"/>
        </w:rPr>
        <w:t>Sales and Marketing</w:t>
      </w:r>
    </w:p>
    <w:p>
      <w:pPr>
        <w:pStyle w:val="TextBody"/>
        <w:bidi w:val="0"/>
        <w:jc w:val="both"/>
        <w:rPr/>
      </w:pPr>
      <w:r>
        <w:rPr/>
        <w:t> </w:t>
      </w:r>
    </w:p>
    <w:tbl>
      <w:tblPr>
        <w:tblW w:w="6227" w:type="dxa"/>
        <w:jc w:val="left"/>
        <w:tblInd w:w="0" w:type="dxa"/>
        <w:tblLayout w:type="fixed"/>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64"/>
        <w:gridCol w:w="682"/>
        <w:gridCol w:w="43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1886"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September 30,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8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25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Sales and marketing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5,187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4" w:type="dxa"/>
            <w:tcBorders/>
            <w:shd w:fill="E5E5E5" w:val="clear"/>
            <w:vAlign w:val="center"/>
          </w:tcPr>
          <w:p>
            <w:pPr>
              <w:pStyle w:val="TableContents"/>
              <w:bidi w:val="0"/>
              <w:spacing w:before="0" w:after="283"/>
              <w:jc w:val="left"/>
              <w:rPr>
                <w:sz w:val="4"/>
                <w:szCs w:val="4"/>
              </w:rPr>
            </w:pPr>
            <w:r>
              <w:rPr>
                <w:sz w:val="4"/>
                <w:szCs w:val="4"/>
              </w:rPr>
            </w:r>
          </w:p>
        </w:tc>
        <w:tc>
          <w:tcPr>
            <w:tcW w:w="682"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As a percent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(1)ppt</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jc w:val="both"/>
        <w:rPr>
          <w:rFonts w:ascii="Arial" w:hAnsi="Arial"/>
          <w:b w:val="false"/>
          <w:color w:val="000000"/>
          <w:sz w:val="20"/>
        </w:rPr>
      </w:pPr>
      <w:r>
        <w:rPr>
          <w:rFonts w:ascii="Arial" w:hAnsi="Arial"/>
          <w:b w:val="false"/>
          <w:color w:val="000000"/>
          <w:sz w:val="20"/>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2023 Compared with Three Months Ended September 30, 2022</w:t>
      </w:r>
    </w:p>
    <w:p>
      <w:pPr>
        <w:pStyle w:val="TextBody"/>
        <w:bidi w:val="0"/>
        <w:spacing w:before="180" w:after="283"/>
        <w:jc w:val="left"/>
        <w:rPr>
          <w:rFonts w:ascii="Arial" w:hAnsi="Arial"/>
          <w:b w:val="false"/>
          <w:color w:val="000000"/>
          <w:sz w:val="20"/>
        </w:rPr>
      </w:pPr>
      <w:r>
        <w:rPr>
          <w:rFonts w:ascii="Arial" w:hAnsi="Arial"/>
          <w:b w:val="false"/>
          <w:color w:val="000000"/>
          <w:sz w:val="20"/>
        </w:rPr>
        <w:t>Sales and marketing expenses increased $61 million or 1% driven by investments in Gaming.</w:t>
      </w:r>
    </w:p>
    <w:p>
      <w:pPr>
        <w:pStyle w:val="TextBody"/>
        <w:bidi w:val="0"/>
        <w:spacing w:before="270" w:after="283"/>
        <w:jc w:val="both"/>
        <w:rPr>
          <w:rFonts w:ascii="Arial" w:hAnsi="Arial"/>
          <w:b/>
          <w:color w:val="000000"/>
          <w:sz w:val="20"/>
        </w:rPr>
      </w:pPr>
      <w:r>
        <w:rPr>
          <w:rFonts w:ascii="Arial" w:hAnsi="Arial"/>
          <w:b/>
          <w:color w:val="000000"/>
          <w:sz w:val="20"/>
        </w:rPr>
        <w:t>General and Administrative</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20"/>
        <w:gridCol w:w="726"/>
        <w:gridCol w:w="43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1886"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September 30,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8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252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General and administrative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1,474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58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0" w:type="dxa"/>
            <w:tcBorders/>
            <w:shd w:fill="E5E5E5" w:val="clear"/>
            <w:vAlign w:val="center"/>
          </w:tcPr>
          <w:p>
            <w:pPr>
              <w:pStyle w:val="TableContents"/>
              <w:bidi w:val="0"/>
              <w:spacing w:before="0" w:after="283"/>
              <w:jc w:val="left"/>
              <w:rPr>
                <w:sz w:val="4"/>
                <w:szCs w:val="4"/>
              </w:rPr>
            </w:pPr>
            <w:r>
              <w:rPr>
                <w:sz w:val="4"/>
                <w:szCs w:val="4"/>
              </w:rPr>
            </w:r>
          </w:p>
        </w:tc>
        <w:tc>
          <w:tcPr>
            <w:tcW w:w="726"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As a percent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0ppt</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2023 Compared with Three Months Ended September 30, 2022</w:t>
      </w:r>
    </w:p>
    <w:p>
      <w:pPr>
        <w:pStyle w:val="TextBody"/>
        <w:bidi w:val="0"/>
        <w:spacing w:before="180" w:after="283"/>
        <w:jc w:val="left"/>
        <w:rPr>
          <w:rFonts w:ascii="Arial" w:hAnsi="Arial"/>
          <w:b w:val="false"/>
          <w:color w:val="000000"/>
          <w:sz w:val="20"/>
        </w:rPr>
      </w:pPr>
      <w:r>
        <w:rPr>
          <w:rFonts w:ascii="Arial" w:hAnsi="Arial"/>
          <w:b w:val="false"/>
          <w:color w:val="000000"/>
          <w:sz w:val="20"/>
        </w:rPr>
        <w:t>General and administrative expenses increased $76 million or 5% driven by legal expenses.</w:t>
      </w:r>
    </w:p>
    <w:p>
      <w:pPr>
        <w:pStyle w:val="TextBody"/>
        <w:bidi w:val="0"/>
        <w:spacing w:before="270" w:after="283"/>
        <w:jc w:val="center"/>
        <w:rPr>
          <w:rFonts w:ascii="Arial" w:hAnsi="Arial"/>
          <w:b w:val="false"/>
          <w:color w:val="000000"/>
          <w:sz w:val="20"/>
          <w:u w:val="single"/>
        </w:rPr>
      </w:pPr>
      <w:bookmarkStart w:id="12" w:name="fis_unidentified_table_10"/>
      <w:bookmarkEnd w:id="12"/>
      <w:r>
        <w:rPr>
          <w:rFonts w:ascii="Arial" w:hAnsi="Arial"/>
          <w:b w:val="false"/>
          <w:color w:val="000000"/>
          <w:sz w:val="20"/>
          <w:u w:val="single"/>
        </w:rPr>
        <w:t>OTHER INCOME (EXPENSE), NET</w:t>
      </w:r>
    </w:p>
    <w:p>
      <w:pPr>
        <w:pStyle w:val="TextBody"/>
        <w:bidi w:val="0"/>
        <w:spacing w:before="180" w:after="283"/>
        <w:jc w:val="both"/>
        <w:rPr>
          <w:rFonts w:ascii="Arial" w:hAnsi="Arial"/>
          <w:b w:val="false"/>
          <w:color w:val="000000"/>
          <w:sz w:val="20"/>
        </w:rPr>
      </w:pPr>
      <w:r>
        <w:rPr>
          <w:rFonts w:ascii="Arial" w:hAnsi="Arial"/>
          <w:b w:val="false"/>
          <w:color w:val="000000"/>
          <w:sz w:val="20"/>
        </w:rPr>
        <w:t>The components of other income (expense), net were as follows:</w:t>
      </w:r>
    </w:p>
    <w:p>
      <w:pPr>
        <w:pStyle w:val="TextBody"/>
        <w:bidi w:val="0"/>
        <w:jc w:val="both"/>
        <w:rPr/>
      </w:pPr>
      <w:r>
        <w:rPr/>
        <w:t> </w:t>
      </w:r>
    </w:p>
    <w:tbl>
      <w:tblPr>
        <w:tblW w:w="6919" w:type="dxa"/>
        <w:jc w:val="left"/>
        <w:tblInd w:w="0" w:type="dxa"/>
        <w:tblLayout w:type="fixed"/>
        <w:tblCellMar>
          <w:top w:w="28" w:type="dxa"/>
          <w:left w:w="28" w:type="dxa"/>
          <w:bottom w:w="28" w:type="dxa"/>
          <w:right w:w="28" w:type="dxa"/>
        </w:tblCellMar>
      </w:tblPr>
      <w:tblGrid>
        <w:gridCol w:w="4291"/>
        <w:gridCol w:w="146"/>
        <w:gridCol w:w="211"/>
        <w:gridCol w:w="586"/>
        <w:gridCol w:w="166"/>
        <w:gridCol w:w="146"/>
        <w:gridCol w:w="211"/>
        <w:gridCol w:w="481"/>
        <w:gridCol w:w="68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4291"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801"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Ended September 30,</w:t>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sz w:val="4"/>
                <w:szCs w:val="4"/>
              </w:rPr>
            </w:pPr>
            <w:r>
              <w:rPr>
                <w:sz w:val="4"/>
                <w:szCs w:val="4"/>
              </w:rPr>
            </w:r>
          </w:p>
        </w:tc>
        <w:tc>
          <w:tcPr>
            <w:tcW w:w="1109" w:type="dxa"/>
            <w:gridSpan w:val="4"/>
            <w:tcBorders/>
            <w:vAlign w:val="center"/>
          </w:tcPr>
          <w:p>
            <w:pPr>
              <w:pStyle w:val="TableContents"/>
              <w:bidi w:val="0"/>
              <w:spacing w:before="0" w:after="283"/>
              <w:jc w:val="left"/>
              <w:rPr/>
            </w:pPr>
            <w:r>
              <w:rPr/>
              <w:t> </w:t>
            </w:r>
          </w:p>
        </w:tc>
        <w:tc>
          <w:tcPr>
            <w:tcW w:w="1519" w:type="dxa"/>
            <w:gridSpan w:val="4"/>
            <w:tcBorders/>
            <w:vAlign w:val="center"/>
          </w:tcPr>
          <w:p>
            <w:pPr>
              <w:pStyle w:val="TableContents"/>
              <w:bidi w:val="0"/>
              <w:spacing w:before="0" w:after="283"/>
              <w:ind w:left="0" w:right="0" w:firstLine="245"/>
              <w:jc w:val="left"/>
              <w:rPr/>
            </w:pPr>
            <w:r>
              <w:rPr/>
              <w:t> </w:t>
            </w:r>
          </w:p>
        </w:tc>
      </w:tr>
      <w:tr>
        <w:trPr/>
        <w:tc>
          <w:tcPr>
            <w:tcW w:w="42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and dividends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1,166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641</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42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expense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(525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(500</w:t>
            </w:r>
          </w:p>
        </w:tc>
        <w:tc>
          <w:tcPr>
            <w:tcW w:w="681" w:type="dxa"/>
            <w:tcBorders/>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2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recognized gains (losses) on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2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gains on 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c>
          <w:tcPr>
            <w:tcW w:w="681" w:type="dxa"/>
            <w:tcBorders/>
            <w:vAlign w:val="center"/>
          </w:tcPr>
          <w:p>
            <w:pPr>
              <w:pStyle w:val="TableContents"/>
              <w:bidi w:val="0"/>
              <w:spacing w:before="0" w:after="283"/>
              <w:ind w:left="0" w:right="0" w:firstLine="245"/>
              <w:jc w:val="left"/>
              <w:rPr/>
            </w:pPr>
            <w:r>
              <w:rPr/>
              <w:t> </w:t>
            </w:r>
          </w:p>
        </w:tc>
      </w:tr>
      <w:tr>
        <w:trPr/>
        <w:tc>
          <w:tcPr>
            <w:tcW w:w="429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Net losses on foreign currency remeasurements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(78</w:t>
            </w:r>
          </w:p>
        </w:tc>
        <w:tc>
          <w:tcPr>
            <w:tcW w:w="681" w:type="dxa"/>
            <w:tcBorders/>
            <w:shd w:fill="E5E5E5" w:val="clear"/>
            <w:vAlign w:val="center"/>
          </w:tcPr>
          <w:p>
            <w:pPr>
              <w:pStyle w:val="TableContents"/>
              <w:bidi w:val="0"/>
              <w:spacing w:before="0" w:after="283"/>
              <w:ind w:left="0" w:right="0" w:firstLine="245"/>
              <w:jc w:val="left"/>
              <w:rPr>
                <w:rFonts w:ascii="Arial" w:hAnsi="Arial"/>
                <w:b w:val="false"/>
                <w:color w:val="000000"/>
                <w:sz w:val="20"/>
              </w:rPr>
            </w:pPr>
            <w:r>
              <w:rPr>
                <w:rFonts w:ascii="Arial" w:hAnsi="Arial"/>
                <w:b w:val="false"/>
                <w:color w:val="000000"/>
                <w:sz w:val="20"/>
              </w:rPr>
              <w:t>)</w:t>
            </w:r>
          </w:p>
        </w:tc>
      </w:tr>
      <w:tr>
        <w:trPr/>
        <w:tc>
          <w:tcPr>
            <w:tcW w:w="4291"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w:t>
            </w:r>
          </w:p>
        </w:tc>
        <w:tc>
          <w:tcPr>
            <w:tcW w:w="68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291" w:type="dxa"/>
            <w:tcBorders/>
            <w:shd w:fill="E5E5E5" w:val="clear"/>
            <w:vAlign w:val="center"/>
          </w:tcPr>
          <w:p>
            <w:pPr>
              <w:pStyle w:val="TableContents"/>
              <w:pBdr/>
              <w:bidi w:val="0"/>
              <w:spacing w:before="0" w:after="283"/>
              <w:ind w:left="245" w:right="0" w:hanging="245"/>
              <w:jc w:val="left"/>
              <w:rPr>
                <w:rFonts w:ascii="Arial" w:hAnsi="Arial"/>
                <w:b w:val="false"/>
                <w:color w:val="000000"/>
                <w:sz w:val="20"/>
              </w:rPr>
            </w:pPr>
            <w:r>
              <w:rPr>
                <w:rFonts w:ascii="Arial" w:hAnsi="Arial"/>
                <w:b w:val="false"/>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81" w:type="dxa"/>
            <w:tcBorders/>
            <w:shd w:fill="E5E5E5"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w:t>
            </w:r>
          </w:p>
        </w:tc>
        <w:tc>
          <w:tcPr>
            <w:tcW w:w="681" w:type="dxa"/>
            <w:tcBorders/>
            <w:shd w:fill="E5E5E5" w:val="clear"/>
            <w:vAlign w:val="center"/>
          </w:tcPr>
          <w:p>
            <w:pPr>
              <w:pStyle w:val="TableContents"/>
              <w:bidi w:val="0"/>
              <w:spacing w:before="0" w:after="283"/>
              <w:jc w:val="left"/>
              <w:rPr/>
            </w:pPr>
            <w:r>
              <w:rPr/>
              <w:t> </w:t>
            </w:r>
          </w:p>
        </w:tc>
      </w:tr>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pStyle w:val="TextBody"/>
        <w:bidi w:val="0"/>
        <w:spacing w:before="270" w:after="283"/>
        <w:jc w:val="both"/>
        <w:rPr>
          <w:rFonts w:ascii="Arial" w:hAnsi="Arial"/>
          <w:b/>
          <w:i/>
          <w:color w:val="000000"/>
          <w:sz w:val="20"/>
        </w:rPr>
      </w:pPr>
      <w:r>
        <w:rPr>
          <w:rFonts w:ascii="Arial" w:hAnsi="Arial"/>
          <w:b/>
          <w:i/>
          <w:color w:val="000000"/>
          <w:sz w:val="20"/>
        </w:rPr>
        <w:t>Three Months Ended September 30, 2023 Compared with Three Months Ended September 30, 2022</w:t>
      </w:r>
    </w:p>
    <w:p>
      <w:pPr>
        <w:pStyle w:val="TextBody"/>
        <w:bidi w:val="0"/>
        <w:spacing w:before="180" w:after="283"/>
        <w:jc w:val="both"/>
        <w:rPr>
          <w:rFonts w:ascii="Arial" w:hAnsi="Arial"/>
          <w:b w:val="false"/>
          <w:color w:val="000000"/>
          <w:sz w:val="20"/>
        </w:rPr>
      </w:pPr>
      <w:r>
        <w:rPr>
          <w:rFonts w:ascii="Arial" w:hAnsi="Arial"/>
          <w:b w:val="false"/>
          <w:color w:val="000000"/>
          <w:sz w:val="20"/>
        </w:rPr>
        <w:t>Interest and dividends income increased due to higher yields and higher portfolio balances. Interest expense increased due to the issuance of commercial paper. Net recognized losses on investments increased due to losses on equity securities in the current period as opposed to gains in the prior period. Net gains on derivatives increased due to higher gains on equity derivatives.</w:t>
      </w:r>
    </w:p>
    <w:p>
      <w:pPr>
        <w:pStyle w:val="TextBody"/>
        <w:bidi w:val="0"/>
        <w:spacing w:before="240" w:after="283"/>
        <w:jc w:val="center"/>
        <w:rPr>
          <w:rFonts w:ascii="Arial" w:hAnsi="Arial"/>
          <w:b w:val="false"/>
          <w:color w:val="000000"/>
          <w:sz w:val="16"/>
        </w:rPr>
      </w:pPr>
      <w:r>
        <w:rPr>
          <w:rFonts w:ascii="Arial" w:hAnsi="Arial"/>
          <w:b w:val="false"/>
          <w:color w:val="000000"/>
          <w:sz w:val="16"/>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b w:val="false"/>
          <w:color w:val="000000"/>
          <w:sz w:val="20"/>
        </w:rPr>
      </w:pPr>
      <w:r>
        <w:rPr>
          <w:rFonts w:ascii="Arial" w:hAnsi="Arial"/>
          <w:b w:val="false"/>
          <w:color w:val="000000"/>
          <w:sz w:val="20"/>
        </w:rPr>
        <w:t>Our effective tax rate was 18% and 19% for the three months ended September 30, 2023 and 2022, respectively. The decrease in our effective tax rate for the current quarter compared to the prior year was primarily due to tax benefits from tax law changes in the first quarter of fiscal year 2024, including the impact from the issuance of Notice 2023-55 by the Internal Revenue Service (“IRS”) and U.S. Treasury Department, which delayed the effective date of final foreign tax credit regulations to fiscal year 2024 for Microsoft.</w:t>
      </w:r>
    </w:p>
    <w:p>
      <w:pPr>
        <w:pStyle w:val="TextBody"/>
        <w:bidi w:val="0"/>
        <w:spacing w:before="180" w:after="283"/>
        <w:jc w:val="both"/>
        <w:rPr>
          <w:rFonts w:ascii="Arial" w:hAnsi="Arial"/>
          <w:b w:val="false"/>
          <w:color w:val="000000"/>
          <w:sz w:val="20"/>
        </w:rPr>
      </w:pPr>
      <w:r>
        <w:rPr>
          <w:rFonts w:ascii="Arial" w:hAnsi="Arial"/>
          <w:b w:val="false"/>
          <w:color w:val="000000"/>
          <w:sz w:val="20"/>
        </w:rPr>
        <w:t>Our effective tax rate was lower than the U.S. federal statutory rate for the three months ended September 30, 2023,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Arial" w:hAnsi="Arial"/>
          <w:b w:val="false"/>
          <w:color w:val="000000"/>
          <w:sz w:val="20"/>
        </w:rPr>
      </w:pPr>
      <w:r>
        <w:rPr>
          <w:rFonts w:ascii="Arial" w:hAnsi="Arial"/>
          <w:b w:val="false"/>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September 30, 2023,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pStyle w:val="TextBody"/>
        <w:bidi w:val="0"/>
        <w:spacing w:before="180" w:after="283"/>
        <w:jc w:val="both"/>
        <w:rPr>
          <w:rFonts w:ascii="Arial" w:hAnsi="Arial"/>
          <w:b w:val="false"/>
          <w:color w:val="000000"/>
          <w:sz w:val="20"/>
        </w:rPr>
      </w:pPr>
      <w:r>
        <w:rPr>
          <w:rFonts w:ascii="Arial" w:hAnsi="Arial"/>
          <w:b w:val="false"/>
          <w:color w:val="000000"/>
          <w:sz w:val="20"/>
        </w:rPr>
        <w:t>We are subject to income tax in many jurisdictions outside the U.S. Our operations in certain jurisdictions remain subject to examination for tax years 1996 to 2023, some of which are currently under audit by local tax authorities. The resolution of each of these audits is not expected to be material to our consolidated financial statements.</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LIQUIDITY AND CAPITAL RESOURCES</w:t>
      </w:r>
    </w:p>
    <w:p>
      <w:pPr>
        <w:pStyle w:val="TextBody"/>
        <w:bidi w:val="0"/>
        <w:spacing w:before="180" w:after="283"/>
        <w:jc w:val="both"/>
        <w:rPr>
          <w:rFonts w:ascii="Arial" w:hAnsi="Arial"/>
          <w:b w:val="false"/>
          <w:color w:val="000000"/>
          <w:sz w:val="20"/>
        </w:rPr>
      </w:pPr>
      <w:r>
        <w:rPr>
          <w:rFonts w:ascii="Arial" w:hAnsi="Arial"/>
          <w:b w:val="false"/>
          <w:color w:val="000000"/>
          <w:sz w:val="20"/>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pStyle w:val="TextBody"/>
        <w:bidi w:val="0"/>
        <w:spacing w:before="270" w:after="283"/>
        <w:jc w:val="both"/>
        <w:rPr>
          <w:rFonts w:ascii="Arial" w:hAnsi="Arial"/>
          <w:b/>
          <w:color w:val="000000"/>
          <w:sz w:val="20"/>
        </w:rPr>
      </w:pPr>
      <w:r>
        <w:rPr>
          <w:rFonts w:ascii="Arial" w:hAnsi="Arial"/>
          <w:b/>
          <w:color w:val="000000"/>
          <w:sz w:val="20"/>
        </w:rPr>
        <w:t>Cash, Cash Equivalents, and Investments</w:t>
      </w:r>
    </w:p>
    <w:p>
      <w:pPr>
        <w:pStyle w:val="TextBody"/>
        <w:bidi w:val="0"/>
        <w:spacing w:before="180" w:after="283"/>
        <w:jc w:val="both"/>
        <w:rPr>
          <w:rFonts w:ascii="Arial" w:hAnsi="Arial"/>
          <w:b w:val="false"/>
          <w:color w:val="000000"/>
          <w:sz w:val="20"/>
        </w:rPr>
      </w:pPr>
      <w:r>
        <w:rPr>
          <w:rFonts w:ascii="Arial" w:hAnsi="Arial"/>
          <w:b w:val="false"/>
          <w:color w:val="000000"/>
          <w:sz w:val="20"/>
        </w:rPr>
        <w:t>Cash, cash equivalents, and short-term investments totaled $144.0 billion and $111.3 billion as of September 30, 2023 and June 30, 2023, respectively. Equity investments were $11.4 billion and $9.9 billion as of September 30, 2023 and June 30, 2023,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pStyle w:val="TextBody"/>
        <w:bidi w:val="0"/>
        <w:spacing w:before="240" w:after="283"/>
        <w:jc w:val="center"/>
        <w:rPr>
          <w:rFonts w:ascii="Arial" w:hAnsi="Arial"/>
          <w:b w:val="false"/>
          <w:color w:val="000000"/>
          <w:sz w:val="16"/>
        </w:rPr>
      </w:pPr>
      <w:r>
        <w:rPr>
          <w:rFonts w:ascii="Arial" w:hAnsi="Arial"/>
          <w:b w:val="false"/>
          <w:color w:val="000000"/>
          <w:sz w:val="16"/>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Valuation</w:t>
      </w:r>
    </w:p>
    <w:p>
      <w:pPr>
        <w:pStyle w:val="TextBody"/>
        <w:bidi w:val="0"/>
        <w:spacing w:before="180" w:after="283"/>
        <w:jc w:val="both"/>
        <w:rPr>
          <w:rFonts w:ascii="Arial" w:hAnsi="Arial"/>
          <w:b w:val="false"/>
          <w:color w:val="000000"/>
          <w:sz w:val="20"/>
        </w:rPr>
      </w:pPr>
      <w:r>
        <w:rPr>
          <w:rFonts w:ascii="Arial" w:hAnsi="Arial"/>
          <w:b w:val="false"/>
          <w:color w:val="000000"/>
          <w:sz w:val="20"/>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pStyle w:val="TextBody"/>
        <w:bidi w:val="0"/>
        <w:spacing w:before="180" w:after="283"/>
        <w:jc w:val="both"/>
        <w:rPr>
          <w:rFonts w:ascii="Arial" w:hAnsi="Arial"/>
          <w:b w:val="false"/>
          <w:color w:val="000000"/>
          <w:sz w:val="20"/>
        </w:rPr>
      </w:pPr>
      <w:r>
        <w:rPr>
          <w:rFonts w:ascii="Arial" w:hAnsi="Arial"/>
          <w:b w:val="false"/>
          <w:color w:val="000000"/>
          <w:sz w:val="20"/>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pStyle w:val="TextBody"/>
        <w:bidi w:val="0"/>
        <w:spacing w:before="270" w:after="283"/>
        <w:jc w:val="both"/>
        <w:rPr>
          <w:rFonts w:ascii="Arial" w:hAnsi="Arial"/>
          <w:b/>
          <w:color w:val="000000"/>
          <w:sz w:val="20"/>
        </w:rPr>
      </w:pPr>
      <w:r>
        <w:rPr>
          <w:rFonts w:ascii="Arial" w:hAnsi="Arial"/>
          <w:b/>
          <w:color w:val="000000"/>
          <w:sz w:val="20"/>
        </w:rPr>
        <w:t>Cash Flows</w:t>
      </w:r>
    </w:p>
    <w:p>
      <w:pPr>
        <w:pStyle w:val="TextBody"/>
        <w:bidi w:val="0"/>
        <w:spacing w:before="180" w:after="283"/>
        <w:jc w:val="both"/>
        <w:rPr>
          <w:rFonts w:ascii="Arial" w:hAnsi="Arial"/>
          <w:b w:val="false"/>
          <w:color w:val="000000"/>
          <w:sz w:val="20"/>
        </w:rPr>
      </w:pPr>
      <w:r>
        <w:rPr>
          <w:rFonts w:ascii="Arial" w:hAnsi="Arial"/>
          <w:b w:val="false"/>
          <w:color w:val="000000"/>
          <w:sz w:val="20"/>
        </w:rPr>
        <w:t>Cash from operations increased $7.4 billion to $30.6 billion for the three months ended September 30, 2023, mainly due to an increase in cash received from customers and a decrease in cash paid to suppliers. Cash from financing increased $25.6 billion to $14.8 billion for the three months ended September 30, 2023, mainly due to a $25.3 billion increase in proceeds from issuance of debt, net of repayments. Cash from investing increased $3.6 billion to $503 million for the three months ended September 30, 2023, mainly due to an $8.2 billion increase in cash from net investment purchases, sales, and maturities, offset in part by a $3.6 billion increase in cash used for additions to property and equipment.</w:t>
      </w:r>
    </w:p>
    <w:p>
      <w:pPr>
        <w:pStyle w:val="TextBody"/>
        <w:bidi w:val="0"/>
        <w:spacing w:before="270" w:after="283"/>
        <w:jc w:val="both"/>
        <w:rPr>
          <w:rFonts w:ascii="Arial" w:hAnsi="Arial"/>
          <w:b/>
          <w:color w:val="000000"/>
          <w:sz w:val="20"/>
        </w:rPr>
      </w:pPr>
      <w:r>
        <w:rPr>
          <w:rFonts w:ascii="Arial" w:hAnsi="Arial"/>
          <w:b/>
          <w:color w:val="000000"/>
          <w:sz w:val="20"/>
        </w:rPr>
        <w:t>Debt Proceeds</w:t>
      </w:r>
    </w:p>
    <w:p>
      <w:pPr>
        <w:pStyle w:val="TextBody"/>
        <w:bidi w:val="0"/>
        <w:spacing w:before="180" w:after="283"/>
        <w:jc w:val="both"/>
        <w:rPr>
          <w:rFonts w:ascii="Arial" w:hAnsi="Arial"/>
          <w:b w:val="false"/>
          <w:color w:val="000000"/>
          <w:sz w:val="20"/>
        </w:rPr>
      </w:pPr>
      <w:r>
        <w:rPr>
          <w:rFonts w:ascii="Arial" w:hAnsi="Arial"/>
          <w:b w:val="false"/>
          <w:color w:val="000000"/>
          <w:sz w:val="20"/>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9 – Debt of the Notes to Financial Statements (Part I, Item 1 of this Form 10-Q) for further discussion.</w:t>
      </w:r>
    </w:p>
    <w:p>
      <w:pPr>
        <w:pStyle w:val="TextBody"/>
        <w:bidi w:val="0"/>
        <w:spacing w:before="270" w:after="283"/>
        <w:jc w:val="both"/>
        <w:rPr>
          <w:rFonts w:ascii="Arial" w:hAnsi="Arial"/>
          <w:b/>
          <w:color w:val="000000"/>
          <w:sz w:val="20"/>
        </w:rPr>
      </w:pPr>
      <w:r>
        <w:rPr>
          <w:rFonts w:ascii="Arial" w:hAnsi="Arial"/>
          <w:b/>
          <w:color w:val="000000"/>
          <w:sz w:val="20"/>
        </w:rPr>
        <w:t>Unearned Revenue</w:t>
      </w:r>
    </w:p>
    <w:p>
      <w:pPr>
        <w:pStyle w:val="TextBody"/>
        <w:bidi w:val="0"/>
        <w:spacing w:before="180" w:after="283"/>
        <w:jc w:val="both"/>
        <w:rPr>
          <w:rFonts w:ascii="Arial" w:hAnsi="Arial"/>
          <w:b w:val="false"/>
          <w:color w:val="000000"/>
          <w:sz w:val="20"/>
        </w:rPr>
      </w:pPr>
      <w:r>
        <w:rPr>
          <w:rFonts w:ascii="Arial" w:hAnsi="Arial"/>
          <w:b w:val="false"/>
          <w:color w:val="000000"/>
          <w:sz w:val="20"/>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pStyle w:val="TextBody"/>
        <w:bidi w:val="0"/>
        <w:spacing w:before="240" w:after="283"/>
        <w:jc w:val="center"/>
        <w:rPr>
          <w:rFonts w:ascii="Arial" w:hAnsi="Arial"/>
          <w:b w:val="false"/>
          <w:color w:val="000000"/>
          <w:sz w:val="16"/>
        </w:rPr>
      </w:pPr>
      <w:r>
        <w:rPr>
          <w:rFonts w:ascii="Arial" w:hAnsi="Arial"/>
          <w:b w:val="false"/>
          <w:color w:val="000000"/>
          <w:sz w:val="16"/>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outlines the expected future recognition of unearned revenue as of September 30, 2023:</w:t>
      </w:r>
    </w:p>
    <w:p>
      <w:pPr>
        <w:pStyle w:val="TextBody"/>
        <w:bidi w:val="0"/>
        <w:jc w:val="both"/>
        <w:rPr/>
      </w:pPr>
      <w:r>
        <w:rPr/>
        <w:t> </w:t>
      </w:r>
    </w:p>
    <w:tbl>
      <w:tblPr>
        <w:tblW w:w="3605" w:type="dxa"/>
        <w:jc w:val="left"/>
        <w:tblInd w:w="0" w:type="dxa"/>
        <w:tblLayout w:type="fixed"/>
        <w:tblCellMar>
          <w:top w:w="28" w:type="dxa"/>
          <w:left w:w="28" w:type="dxa"/>
          <w:bottom w:w="28" w:type="dxa"/>
          <w:right w:w="28" w:type="dxa"/>
        </w:tblCellMar>
      </w:tblPr>
      <w:tblGrid>
        <w:gridCol w:w="1876"/>
        <w:gridCol w:w="146"/>
        <w:gridCol w:w="211"/>
        <w:gridCol w:w="691"/>
        <w:gridCol w:w="68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876" w:type="dxa"/>
            <w:tcBorders/>
            <w:tcMar>
              <w:top w:w="0" w:type="dxa"/>
              <w:left w:w="0" w:type="dxa"/>
              <w:bottom w:w="0" w:type="dxa"/>
              <w:right w:w="0" w:type="dxa"/>
            </w:tcMar>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Three Months 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876"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both"/>
              <w:rPr>
                <w:rFonts w:ascii="Arial" w:hAnsi="Arial"/>
                <w:b w:val="false"/>
                <w:color w:val="000000"/>
                <w:sz w:val="20"/>
              </w:rPr>
            </w:pPr>
            <w:r>
              <w:rPr>
                <w:rFonts w:ascii="Arial" w:hAnsi="Arial"/>
                <w:b w:val="false"/>
                <w:color w:val="000000"/>
                <w:sz w:val="20"/>
              </w:rPr>
              <w:t>December 31, 2023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21,006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March 31,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14,860</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June 30,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8,551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pBdr/>
              <w:bidi w:val="0"/>
              <w:spacing w:before="0" w:after="283"/>
              <w:ind w:left="0" w:right="0" w:hanging="240"/>
              <w:jc w:val="both"/>
              <w:rPr>
                <w:rFonts w:ascii="Arial" w:hAnsi="Arial"/>
                <w:b w:val="false"/>
                <w:color w:val="000000"/>
                <w:sz w:val="20"/>
              </w:rPr>
            </w:pPr>
            <w:r>
              <w:rPr>
                <w:rFonts w:ascii="Arial" w:hAnsi="Arial"/>
                <w:b w:val="false"/>
                <w:color w:val="000000"/>
                <w:sz w:val="20"/>
              </w:rPr>
              <w:t>September 30,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2,012</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876"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both"/>
              <w:rPr>
                <w:rFonts w:ascii="Arial" w:hAnsi="Arial"/>
                <w:b w:val="false"/>
                <w:color w:val="000000"/>
                <w:sz w:val="20"/>
              </w:rPr>
            </w:pPr>
            <w:r>
              <w:rPr>
                <w:rFonts w:ascii="Arial" w:hAnsi="Arial"/>
                <w:b w:val="false"/>
                <w:color w:val="000000"/>
                <w:sz w:val="20"/>
              </w:rPr>
              <w:t>Thereafter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2,759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2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876" w:type="dxa"/>
            <w:tcBorders/>
            <w:tcMar>
              <w:top w:w="0" w:type="dxa"/>
              <w:left w:w="0" w:type="dxa"/>
              <w:bottom w:w="0" w:type="dxa"/>
              <w:right w:w="0" w:type="dxa"/>
            </w:tcMar>
            <w:vAlign w:val="center"/>
          </w:tcPr>
          <w:p>
            <w:pPr>
              <w:pStyle w:val="TableContents"/>
              <w:pBdr/>
              <w:bidi w:val="0"/>
              <w:spacing w:before="0" w:after="283"/>
              <w:ind w:left="245" w:right="0" w:hanging="245"/>
              <w:jc w:val="both"/>
              <w:rPr>
                <w:rFonts w:ascii="Arial" w:hAnsi="Arial"/>
                <w:b w:val="false"/>
                <w:color w:val="000000"/>
                <w:sz w:val="20"/>
              </w:rPr>
            </w:pPr>
            <w:r>
              <w:rPr>
                <w:rFonts w:ascii="Arial" w:hAnsi="Arial"/>
                <w:b w:val="false"/>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49,188</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11 – Unearned Revenue of the Notes to Financial Statements (Part I, Item 1 of this Form 10-Q) for further discussion.</w:t>
      </w:r>
    </w:p>
    <w:p>
      <w:pPr>
        <w:pStyle w:val="TextBody"/>
        <w:bidi w:val="0"/>
        <w:spacing w:before="270" w:after="283"/>
        <w:jc w:val="both"/>
        <w:rPr>
          <w:rFonts w:ascii="Arial" w:hAnsi="Arial"/>
          <w:b/>
          <w:color w:val="000000"/>
          <w:sz w:val="20"/>
        </w:rPr>
      </w:pPr>
      <w:r>
        <w:rPr>
          <w:rFonts w:ascii="Arial" w:hAnsi="Arial"/>
          <w:b/>
          <w:color w:val="000000"/>
          <w:sz w:val="20"/>
        </w:rPr>
        <w:t>Material Cash Requirements and Other Obligations</w:t>
      </w:r>
    </w:p>
    <w:p>
      <w:pPr>
        <w:pStyle w:val="TextBody"/>
        <w:bidi w:val="0"/>
        <w:spacing w:before="180" w:after="283"/>
        <w:jc w:val="both"/>
        <w:rPr>
          <w:rFonts w:ascii="Arial" w:hAnsi="Arial"/>
          <w:b/>
          <w:i/>
          <w:color w:val="000000"/>
          <w:sz w:val="20"/>
        </w:rPr>
      </w:pPr>
      <w:r>
        <w:rPr>
          <w:rFonts w:ascii="Arial" w:hAnsi="Arial"/>
          <w:b/>
          <w:i/>
          <w:color w:val="000000"/>
          <w:sz w:val="20"/>
        </w:rPr>
        <w:t>Income Taxes</w:t>
      </w:r>
    </w:p>
    <w:p>
      <w:pPr>
        <w:pStyle w:val="TextBody"/>
        <w:bidi w:val="0"/>
        <w:spacing w:before="180" w:after="283"/>
        <w:jc w:val="both"/>
        <w:rPr>
          <w:rFonts w:ascii="Arial" w:hAnsi="Arial"/>
          <w:b w:val="false"/>
          <w:color w:val="000000"/>
          <w:sz w:val="20"/>
        </w:rPr>
      </w:pPr>
      <w:r>
        <w:rPr>
          <w:rFonts w:ascii="Arial" w:hAnsi="Arial"/>
          <w:b w:val="false"/>
          <w:color w:val="000000"/>
          <w:sz w:val="20"/>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As of September 30, 2023, we had a remaining transition tax liability of $7.7 billion, of which $3.7 billion is short-term and payable in the first quarter of fiscal year 2025.</w:t>
      </w:r>
    </w:p>
    <w:p>
      <w:pPr>
        <w:pStyle w:val="TextBody"/>
        <w:bidi w:val="0"/>
        <w:spacing w:before="270" w:after="283"/>
        <w:jc w:val="both"/>
        <w:rPr>
          <w:rFonts w:ascii="Arial" w:hAnsi="Arial"/>
          <w:b/>
          <w:i/>
          <w:color w:val="000000"/>
          <w:sz w:val="20"/>
        </w:rPr>
      </w:pPr>
      <w:r>
        <w:rPr>
          <w:rFonts w:ascii="Arial" w:hAnsi="Arial"/>
          <w:b/>
          <w:i/>
          <w:color w:val="000000"/>
          <w:sz w:val="20"/>
        </w:rPr>
        <w:t>Share Repurchases</w:t>
      </w:r>
    </w:p>
    <w:p>
      <w:pPr>
        <w:pStyle w:val="TextBody"/>
        <w:bidi w:val="0"/>
        <w:spacing w:before="180" w:after="283"/>
        <w:jc w:val="both"/>
        <w:rPr>
          <w:rFonts w:ascii="Arial" w:hAnsi="Arial"/>
          <w:b w:val="false"/>
          <w:color w:val="000000"/>
          <w:sz w:val="20"/>
        </w:rPr>
      </w:pPr>
      <w:r>
        <w:rPr>
          <w:rFonts w:ascii="Arial" w:hAnsi="Arial"/>
          <w:b w:val="false"/>
          <w:color w:val="000000"/>
          <w:sz w:val="20"/>
        </w:rPr>
        <w:t>For the three months ended September 30, 2023 and 2022, we repurchased 11 million shares and 17 million shares of our common stock for $3.6 billion and $4.6 billion, respectively, through our share repurchase program. All repurchases were made using cash resources. As of September 30, 2023, $18.7 billion remained of our $60 billion share repurchase program. Refer to Note 14 – Stockholders’ Equity of the Notes to Financial Statements (Part I, Item 1 of this Form 10-Q) for further discussion.</w:t>
      </w:r>
    </w:p>
    <w:p>
      <w:pPr>
        <w:pStyle w:val="TextBody"/>
        <w:bidi w:val="0"/>
        <w:spacing w:before="270" w:after="283"/>
        <w:jc w:val="both"/>
        <w:rPr>
          <w:rFonts w:ascii="Arial" w:hAnsi="Arial"/>
          <w:b/>
          <w:i/>
          <w:color w:val="000000"/>
          <w:sz w:val="20"/>
        </w:rPr>
      </w:pPr>
      <w:r>
        <w:rPr>
          <w:rFonts w:ascii="Arial" w:hAnsi="Arial"/>
          <w:b/>
          <w:i/>
          <w:color w:val="000000"/>
          <w:sz w:val="20"/>
        </w:rPr>
        <w:t>Dividends</w:t>
      </w:r>
    </w:p>
    <w:p>
      <w:pPr>
        <w:pStyle w:val="TextBody"/>
        <w:bidi w:val="0"/>
        <w:spacing w:before="180" w:after="283"/>
        <w:jc w:val="both"/>
        <w:rPr>
          <w:rFonts w:ascii="Arial" w:hAnsi="Arial"/>
          <w:b w:val="false"/>
          <w:color w:val="000000"/>
          <w:sz w:val="20"/>
        </w:rPr>
      </w:pPr>
      <w:r>
        <w:rPr>
          <w:rFonts w:ascii="Arial" w:hAnsi="Arial"/>
          <w:b w:val="false"/>
          <w:color w:val="000000"/>
          <w:sz w:val="20"/>
        </w:rPr>
        <w:t>For the three months ended September 30, 2023 and 2022, our Board of Directors declared quarterly dividends of $0.75 per share and $0.68 per share, totaling $5.6 billion and $5.1 billion, respectively. We intend to continue returning capital to shareholders in the form of dividends, subject to declaration by our Board of Directors. Refer to Note 14 – Stockholders’ Equity of the Notes to Financial Statements (Part I, Item 1 of this Form 10-Q) for further discussion.</w:t>
      </w:r>
    </w:p>
    <w:p>
      <w:pPr>
        <w:pStyle w:val="TextBody"/>
        <w:bidi w:val="0"/>
        <w:spacing w:before="270" w:after="283"/>
        <w:jc w:val="both"/>
        <w:rPr>
          <w:rFonts w:ascii="Arial" w:hAnsi="Arial"/>
          <w:b/>
          <w:i/>
          <w:color w:val="000000"/>
          <w:sz w:val="20"/>
        </w:rPr>
      </w:pPr>
      <w:r>
        <w:rPr>
          <w:rFonts w:ascii="Arial" w:hAnsi="Arial"/>
          <w:b/>
          <w:i/>
          <w:color w:val="000000"/>
          <w:sz w:val="20"/>
        </w:rPr>
        <w:t>Other Planned Uses of Capital</w:t>
      </w:r>
    </w:p>
    <w:p>
      <w:pPr>
        <w:pStyle w:val="TextBody"/>
        <w:bidi w:val="0"/>
        <w:spacing w:before="180" w:after="283"/>
        <w:jc w:val="both"/>
        <w:rPr>
          <w:rFonts w:ascii="Times New Roman" w:hAnsi="Times New Roman"/>
          <w:sz w:val="20"/>
        </w:rPr>
      </w:pPr>
      <w:r>
        <w:rPr>
          <w:rFonts w:ascii="Arial" w:hAnsi="Arial"/>
          <w:b w:val="false"/>
          <w:color w:val="000000"/>
          <w:sz w:val="20"/>
        </w:rPr>
        <w:t>On October 13, 2023, we completed our acquisition of Activision Blizzard, Inc. for a cash payment of $61.8 billion, net of cash acquired.</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AI infrastructure.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pStyle w:val="TextBody"/>
        <w:bidi w:val="0"/>
        <w:spacing w:before="240" w:after="283"/>
        <w:jc w:val="center"/>
        <w:rPr>
          <w:rFonts w:ascii="Arial" w:hAnsi="Arial"/>
          <w:b w:val="false"/>
          <w:color w:val="000000"/>
          <w:sz w:val="16"/>
        </w:rPr>
      </w:pPr>
      <w:r>
        <w:rPr>
          <w:rFonts w:ascii="Arial" w:hAnsi="Arial"/>
          <w:b w:val="false"/>
          <w:color w:val="000000"/>
          <w:sz w:val="16"/>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CRITICAL ACCOUNTING ESTIMATES</w:t>
      </w:r>
    </w:p>
    <w:p>
      <w:pPr>
        <w:pStyle w:val="TextBody"/>
        <w:bidi w:val="0"/>
        <w:spacing w:before="180" w:after="283"/>
        <w:jc w:val="both"/>
        <w:rPr>
          <w:rFonts w:ascii="Arial" w:hAnsi="Arial"/>
          <w:b w:val="false"/>
          <w:color w:val="000000"/>
          <w:sz w:val="20"/>
        </w:rPr>
      </w:pPr>
      <w:r>
        <w:rPr>
          <w:rFonts w:ascii="Arial" w:hAnsi="Arial"/>
          <w:b w:val="false"/>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inventories.</w:t>
      </w:r>
    </w:p>
    <w:p>
      <w:pPr>
        <w:pStyle w:val="TextBody"/>
        <w:bidi w:val="0"/>
        <w:spacing w:before="270" w:after="283"/>
        <w:jc w:val="both"/>
        <w:rPr>
          <w:rFonts w:ascii="Arial" w:hAnsi="Arial"/>
          <w:b/>
          <w:color w:val="000000"/>
          <w:sz w:val="20"/>
        </w:rPr>
      </w:pPr>
      <w:r>
        <w:rPr>
          <w:rFonts w:ascii="Arial" w:hAnsi="Arial"/>
          <w:b/>
          <w:color w:val="000000"/>
          <w:sz w:val="20"/>
        </w:rPr>
        <w:t>Revenue Recognition</w:t>
      </w:r>
    </w:p>
    <w:p>
      <w:pPr>
        <w:pStyle w:val="TextBody"/>
        <w:bidi w:val="0"/>
        <w:spacing w:before="180" w:after="283"/>
        <w:jc w:val="both"/>
        <w:rPr>
          <w:rFonts w:ascii="Arial" w:hAnsi="Arial"/>
          <w:b w:val="false"/>
          <w:color w:val="000000"/>
          <w:sz w:val="20"/>
        </w:rPr>
      </w:pPr>
      <w:r>
        <w:rPr>
          <w:rFonts w:ascii="Arial" w:hAnsi="Arial"/>
          <w:b w:val="false"/>
          <w:color w:val="000000"/>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pStyle w:val="TextBody"/>
        <w:bidi w:val="0"/>
        <w:spacing w:before="180" w:after="283"/>
        <w:jc w:val="both"/>
        <w:rPr>
          <w:rFonts w:ascii="Arial" w:hAnsi="Arial"/>
          <w:b w:val="false"/>
          <w:color w:val="000000"/>
          <w:sz w:val="20"/>
        </w:rPr>
      </w:pPr>
      <w:r>
        <w:rPr>
          <w:rFonts w:ascii="Arial" w:hAnsi="Arial"/>
          <w:b w:val="false"/>
          <w:color w:val="000000"/>
          <w:sz w:val="20"/>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pStyle w:val="TextBody"/>
        <w:bidi w:val="0"/>
        <w:spacing w:before="180" w:after="283"/>
        <w:jc w:val="both"/>
        <w:rPr>
          <w:rFonts w:ascii="Arial" w:hAnsi="Arial"/>
          <w:b w:val="false"/>
          <w:color w:val="000000"/>
          <w:sz w:val="20"/>
        </w:rPr>
      </w:pPr>
      <w:r>
        <w:rPr>
          <w:rFonts w:ascii="Arial" w:hAnsi="Arial"/>
          <w:b w:val="false"/>
          <w:color w:val="000000"/>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pStyle w:val="TextBody"/>
        <w:bidi w:val="0"/>
        <w:spacing w:before="180" w:after="283"/>
        <w:jc w:val="both"/>
        <w:rPr>
          <w:rFonts w:ascii="Arial" w:hAnsi="Arial"/>
          <w:b w:val="false"/>
          <w:color w:val="000000"/>
          <w:sz w:val="20"/>
        </w:rPr>
      </w:pPr>
      <w:r>
        <w:rPr>
          <w:rFonts w:ascii="Arial" w:hAnsi="Arial"/>
          <w:b w:val="false"/>
          <w:color w:val="000000"/>
          <w:sz w:val="20"/>
        </w:rPr>
        <w:t>Due to the various benefits from and the nature of our SA program, judgment is required to assess the pattern of delivery, including the exercise pattern of certain benefits across our portfolio of customers.</w:t>
      </w:r>
    </w:p>
    <w:p>
      <w:pPr>
        <w:pStyle w:val="TextBody"/>
        <w:bidi w:val="0"/>
        <w:spacing w:before="180" w:after="283"/>
        <w:jc w:val="both"/>
        <w:rPr>
          <w:rFonts w:ascii="Arial" w:hAnsi="Arial"/>
          <w:b w:val="false"/>
          <w:color w:val="000000"/>
          <w:sz w:val="20"/>
        </w:rPr>
      </w:pPr>
      <w:r>
        <w:rPr>
          <w:rFonts w:ascii="Arial" w:hAnsi="Arial"/>
          <w:b w:val="false"/>
          <w:color w:val="000000"/>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pStyle w:val="TextBody"/>
        <w:bidi w:val="0"/>
        <w:spacing w:before="270" w:after="283"/>
        <w:jc w:val="both"/>
        <w:rPr>
          <w:rFonts w:ascii="Arial" w:hAnsi="Arial"/>
          <w:b/>
          <w:color w:val="000000"/>
          <w:sz w:val="20"/>
        </w:rPr>
      </w:pPr>
      <w:r>
        <w:rPr>
          <w:rFonts w:ascii="Arial" w:hAnsi="Arial"/>
          <w:b/>
          <w:color w:val="000000"/>
          <w:sz w:val="20"/>
        </w:rPr>
        <w:t>Impairment of Investment Securities</w:t>
      </w:r>
    </w:p>
    <w:p>
      <w:pPr>
        <w:pStyle w:val="TextBody"/>
        <w:bidi w:val="0"/>
        <w:spacing w:before="180" w:after="283"/>
        <w:jc w:val="both"/>
        <w:rPr>
          <w:rFonts w:ascii="Arial" w:hAnsi="Arial"/>
          <w:b w:val="false"/>
          <w:color w:val="000000"/>
          <w:sz w:val="20"/>
        </w:rPr>
      </w:pPr>
      <w:r>
        <w:rPr>
          <w:rFonts w:ascii="Arial" w:hAnsi="Arial"/>
          <w:b w:val="false"/>
          <w:color w:val="000000"/>
          <w:sz w:val="20"/>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180" w:after="283"/>
        <w:jc w:val="both"/>
        <w:rPr>
          <w:rFonts w:ascii="Arial" w:hAnsi="Arial"/>
          <w:b w:val="false"/>
          <w:color w:val="000000"/>
          <w:sz w:val="20"/>
        </w:rPr>
      </w:pPr>
      <w:r>
        <w:rPr>
          <w:rFonts w:ascii="Arial" w:hAnsi="Arial"/>
          <w:b w:val="false"/>
          <w:color w:val="000000"/>
          <w:sz w:val="20"/>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pStyle w:val="TextBody"/>
        <w:bidi w:val="0"/>
        <w:spacing w:before="240" w:after="283"/>
        <w:jc w:val="center"/>
        <w:rPr>
          <w:rFonts w:ascii="Arial" w:hAnsi="Arial"/>
          <w:b w:val="false"/>
          <w:color w:val="000000"/>
          <w:sz w:val="16"/>
        </w:rPr>
      </w:pPr>
      <w:r>
        <w:rPr>
          <w:rFonts w:ascii="Arial" w:hAnsi="Arial"/>
          <w:b w:val="false"/>
          <w:color w:val="000000"/>
          <w:sz w:val="16"/>
        </w:rPr>
        <w:t>40</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Goodwill</w:t>
      </w:r>
    </w:p>
    <w:p>
      <w:pPr>
        <w:pStyle w:val="TextBody"/>
        <w:bidi w:val="0"/>
        <w:spacing w:before="180" w:after="283"/>
        <w:jc w:val="both"/>
        <w:rPr>
          <w:rFonts w:ascii="Arial" w:hAnsi="Arial"/>
          <w:b w:val="false"/>
          <w:color w:val="000000"/>
          <w:sz w:val="20"/>
        </w:rPr>
      </w:pPr>
      <w:r>
        <w:rPr>
          <w:rFonts w:ascii="Arial" w:hAnsi="Arial"/>
          <w:b w:val="false"/>
          <w:color w:val="000000"/>
          <w:sz w:val="20"/>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pStyle w:val="TextBody"/>
        <w:bidi w:val="0"/>
        <w:spacing w:before="180" w:after="283"/>
        <w:jc w:val="both"/>
        <w:rPr>
          <w:rFonts w:ascii="Arial" w:hAnsi="Arial"/>
          <w:b w:val="false"/>
          <w:color w:val="000000"/>
          <w:sz w:val="20"/>
        </w:rPr>
      </w:pPr>
      <w:r>
        <w:rPr>
          <w:rFonts w:ascii="Arial" w:hAnsi="Arial"/>
          <w:b w:val="false"/>
          <w:color w:val="000000"/>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pStyle w:val="TextBody"/>
        <w:bidi w:val="0"/>
        <w:spacing w:before="180" w:after="283"/>
        <w:jc w:val="both"/>
        <w:rPr>
          <w:rFonts w:ascii="Arial" w:hAnsi="Arial"/>
          <w:b w:val="false"/>
          <w:color w:val="000000"/>
          <w:sz w:val="20"/>
        </w:rPr>
      </w:pPr>
      <w:r>
        <w:rPr>
          <w:rFonts w:ascii="Arial" w:hAnsi="Arial"/>
          <w:b w:val="false"/>
          <w:color w:val="000000"/>
          <w:sz w:val="20"/>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pStyle w:val="TextBody"/>
        <w:bidi w:val="0"/>
        <w:spacing w:before="270" w:after="283"/>
        <w:jc w:val="both"/>
        <w:rPr>
          <w:rFonts w:ascii="Arial" w:hAnsi="Arial"/>
          <w:b/>
          <w:color w:val="000000"/>
          <w:sz w:val="20"/>
        </w:rPr>
      </w:pPr>
      <w:r>
        <w:rPr>
          <w:rFonts w:ascii="Arial" w:hAnsi="Arial"/>
          <w:b/>
          <w:color w:val="000000"/>
          <w:sz w:val="20"/>
        </w:rPr>
        <w:t>Research and Development Costs</w:t>
      </w:r>
    </w:p>
    <w:p>
      <w:pPr>
        <w:pStyle w:val="TextBody"/>
        <w:bidi w:val="0"/>
        <w:spacing w:before="180" w:after="283"/>
        <w:jc w:val="both"/>
        <w:rPr>
          <w:rFonts w:ascii="Arial" w:hAnsi="Arial"/>
          <w:b w:val="false"/>
          <w:color w:val="000000"/>
          <w:sz w:val="20"/>
        </w:rPr>
      </w:pPr>
      <w:r>
        <w:rPr>
          <w:rFonts w:ascii="Arial" w:hAnsi="Arial"/>
          <w:b w:val="false"/>
          <w:color w:val="000000"/>
          <w:sz w:val="20"/>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pStyle w:val="TextBody"/>
        <w:bidi w:val="0"/>
        <w:spacing w:before="270" w:after="283"/>
        <w:jc w:val="both"/>
        <w:rPr>
          <w:rFonts w:ascii="Arial" w:hAnsi="Arial"/>
          <w:b/>
          <w:color w:val="000000"/>
          <w:sz w:val="20"/>
        </w:rPr>
      </w:pPr>
      <w:r>
        <w:rPr>
          <w:rFonts w:ascii="Arial" w:hAnsi="Arial"/>
          <w:b/>
          <w:color w:val="000000"/>
          <w:sz w:val="20"/>
        </w:rPr>
        <w:t>Legal and Other Contingencies</w:t>
      </w:r>
    </w:p>
    <w:p>
      <w:pPr>
        <w:pStyle w:val="TextBody"/>
        <w:bidi w:val="0"/>
        <w:spacing w:before="180" w:after="283"/>
        <w:jc w:val="both"/>
        <w:rPr>
          <w:rFonts w:ascii="Arial" w:hAnsi="Arial"/>
          <w:b w:val="false"/>
          <w:color w:val="000000"/>
          <w:sz w:val="20"/>
        </w:rPr>
      </w:pPr>
      <w:r>
        <w:rPr>
          <w:rFonts w:ascii="Arial" w:hAnsi="Arial"/>
          <w:b w:val="false"/>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Income Taxes</w:t>
      </w:r>
    </w:p>
    <w:p>
      <w:pPr>
        <w:pStyle w:val="TextBody"/>
        <w:bidi w:val="0"/>
        <w:spacing w:before="180" w:after="283"/>
        <w:jc w:val="both"/>
        <w:rPr>
          <w:rFonts w:ascii="Arial" w:hAnsi="Arial"/>
          <w:b w:val="false"/>
          <w:color w:val="000000"/>
          <w:sz w:val="20"/>
        </w:rPr>
      </w:pPr>
      <w:r>
        <w:rPr>
          <w:rFonts w:ascii="Arial" w:hAnsi="Arial"/>
          <w:b w:val="false"/>
          <w:color w:val="000000"/>
          <w:sz w:val="20"/>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pStyle w:val="TextBody"/>
        <w:bidi w:val="0"/>
        <w:spacing w:before="240" w:after="283"/>
        <w:jc w:val="center"/>
        <w:rPr>
          <w:rFonts w:ascii="Arial" w:hAnsi="Arial"/>
          <w:b w:val="false"/>
          <w:color w:val="000000"/>
          <w:sz w:val="16"/>
        </w:rPr>
      </w:pPr>
      <w:r>
        <w:rPr>
          <w:rFonts w:ascii="Arial" w:hAnsi="Arial"/>
          <w:b w:val="false"/>
          <w:color w:val="000000"/>
          <w:sz w:val="16"/>
        </w:rPr>
        <w:t>41</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Inventories</w:t>
      </w:r>
    </w:p>
    <w:p>
      <w:pPr>
        <w:pStyle w:val="TextBody"/>
        <w:bidi w:val="0"/>
        <w:spacing w:before="180" w:after="283"/>
        <w:jc w:val="both"/>
        <w:rPr>
          <w:rFonts w:ascii="Arial" w:hAnsi="Arial"/>
          <w:b w:val="false"/>
          <w:color w:val="000000"/>
          <w:sz w:val="20"/>
        </w:rPr>
      </w:pPr>
      <w:r>
        <w:rPr>
          <w:rFonts w:ascii="Arial" w:hAnsi="Arial"/>
          <w:b w:val="false"/>
          <w:color w:val="000000"/>
          <w:sz w:val="20"/>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pStyle w:val="TextBody"/>
        <w:bidi w:val="0"/>
        <w:spacing w:before="240" w:after="283"/>
        <w:jc w:val="center"/>
        <w:rPr>
          <w:rFonts w:ascii="Arial" w:hAnsi="Arial"/>
          <w:b w:val="false"/>
          <w:color w:val="000000"/>
          <w:sz w:val="16"/>
        </w:rPr>
      </w:pPr>
      <w:r>
        <w:rPr>
          <w:rFonts w:ascii="Arial" w:hAnsi="Arial"/>
          <w:b w:val="false"/>
          <w:color w:val="000000"/>
          <w:sz w:val="16"/>
        </w:rPr>
        <w:t>42</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w:t>
      </w:r>
    </w:p>
    <w:p>
      <w:pPr>
        <w:pStyle w:val="TextBody"/>
        <w:bidi w:val="0"/>
        <w:jc w:val="center"/>
        <w:rPr>
          <w:rFonts w:ascii="Arial" w:hAnsi="Arial"/>
          <w:b w:val="false"/>
          <w:color w:val="000000"/>
          <w:sz w:val="15"/>
        </w:rPr>
      </w:pPr>
      <w:r>
        <w:rPr>
          <w:rFonts w:ascii="Arial" w:hAnsi="Arial"/>
          <w:b w:val="false"/>
          <w:color w:val="000000"/>
          <w:sz w:val="15"/>
        </w:rPr>
        <w:t>Item 3, 4</w:t>
      </w:r>
    </w:p>
    <w:p>
      <w:pPr>
        <w:pStyle w:val="TextBody"/>
        <w:bidi w:val="0"/>
        <w:jc w:val="left"/>
        <w:rPr/>
      </w:pPr>
      <w:r>
        <w:rPr/>
        <w:t> </w:t>
      </w:r>
    </w:p>
    <w:p>
      <w:pPr>
        <w:pStyle w:val="TextBody"/>
        <w:bidi w:val="0"/>
        <w:jc w:val="center"/>
        <w:rPr>
          <w:rFonts w:ascii="Arial" w:hAnsi="Arial"/>
          <w:b/>
          <w:color w:val="000000"/>
          <w:sz w:val="24"/>
        </w:rPr>
      </w:pPr>
      <w:bookmarkStart w:id="13" w:name="item_3_quantitative_qualitative_disclosu"/>
      <w:bookmarkEnd w:id="13"/>
      <w:r>
        <w:rPr>
          <w:rFonts w:ascii="Arial" w:hAnsi="Arial"/>
          <w:b/>
          <w:color w:val="000000"/>
          <w:sz w:val="24"/>
        </w:rPr>
        <w:t>ITEM 3. QUANTITATIVE AND QUALITATIVE DISCLOSURES ABOUT MARKET RISK</w:t>
      </w:r>
    </w:p>
    <w:p>
      <w:pPr>
        <w:pStyle w:val="TextBody"/>
        <w:bidi w:val="0"/>
        <w:spacing w:before="180" w:after="283"/>
        <w:jc w:val="center"/>
        <w:rPr>
          <w:rFonts w:ascii="Arial" w:hAnsi="Arial"/>
          <w:b w:val="false"/>
          <w:color w:val="000000"/>
          <w:sz w:val="20"/>
          <w:u w:val="single"/>
        </w:rPr>
      </w:pPr>
      <w:r>
        <w:rPr>
          <w:rFonts w:ascii="Arial" w:hAnsi="Arial"/>
          <w:b w:val="false"/>
          <w:color w:val="000000"/>
          <w:sz w:val="20"/>
          <w:u w:val="single"/>
        </w:rPr>
        <w:t>RISKS</w:t>
      </w:r>
    </w:p>
    <w:p>
      <w:pPr>
        <w:pStyle w:val="TextBody"/>
        <w:bidi w:val="0"/>
        <w:spacing w:before="180" w:after="283"/>
        <w:jc w:val="both"/>
        <w:rPr>
          <w:rFonts w:ascii="Arial" w:hAnsi="Arial"/>
          <w:b w:val="false"/>
          <w:color w:val="000000"/>
          <w:sz w:val="20"/>
        </w:rPr>
      </w:pPr>
      <w:r>
        <w:rPr>
          <w:rFonts w:ascii="Arial" w:hAnsi="Arial"/>
          <w:b w:val="false"/>
          <w:color w:val="000000"/>
          <w:sz w:val="20"/>
        </w:rPr>
        <w:t>We are exposed to economic risk from foreign exchange rates, interest rates, credit risk, and equity prices. We use derivatives instruments to manage these risks, however, they may still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Foreign Currencies</w:t>
      </w:r>
    </w:p>
    <w:p>
      <w:pPr>
        <w:pStyle w:val="TextBody"/>
        <w:bidi w:val="0"/>
        <w:spacing w:before="180" w:after="283"/>
        <w:jc w:val="both"/>
        <w:rPr>
          <w:rFonts w:ascii="Arial" w:hAnsi="Arial"/>
          <w:b w:val="false"/>
          <w:color w:val="000000"/>
          <w:sz w:val="20"/>
        </w:rPr>
      </w:pPr>
      <w:r>
        <w:rPr>
          <w:rFonts w:ascii="Arial" w:hAnsi="Arial"/>
          <w:b w:val="false"/>
          <w:color w:val="000000"/>
          <w:sz w:val="20"/>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pStyle w:val="TextBody"/>
        <w:bidi w:val="0"/>
        <w:spacing w:before="270" w:after="283"/>
        <w:jc w:val="both"/>
        <w:rPr>
          <w:rFonts w:ascii="Arial" w:hAnsi="Arial"/>
          <w:b/>
          <w:color w:val="000000"/>
          <w:sz w:val="20"/>
        </w:rPr>
      </w:pPr>
      <w:r>
        <w:rPr>
          <w:rFonts w:ascii="Arial" w:hAnsi="Arial"/>
          <w:b/>
          <w:color w:val="000000"/>
          <w:sz w:val="20"/>
        </w:rPr>
        <w:t>Interest Rate</w:t>
      </w:r>
    </w:p>
    <w:p>
      <w:pPr>
        <w:pStyle w:val="TextBody"/>
        <w:bidi w:val="0"/>
        <w:spacing w:before="180" w:after="283"/>
        <w:jc w:val="both"/>
        <w:rPr>
          <w:rFonts w:ascii="Arial" w:hAnsi="Arial"/>
          <w:b w:val="false"/>
          <w:color w:val="000000"/>
          <w:sz w:val="20"/>
        </w:rPr>
      </w:pPr>
      <w:r>
        <w:rPr>
          <w:rFonts w:ascii="Arial" w:hAnsi="Arial"/>
          <w:b w:val="false"/>
          <w:color w:val="000000"/>
          <w:sz w:val="20"/>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pStyle w:val="TextBody"/>
        <w:bidi w:val="0"/>
        <w:spacing w:before="270" w:after="283"/>
        <w:jc w:val="both"/>
        <w:rPr>
          <w:rFonts w:ascii="Arial" w:hAnsi="Arial"/>
          <w:b/>
          <w:color w:val="000000"/>
          <w:sz w:val="20"/>
        </w:rPr>
      </w:pPr>
      <w:r>
        <w:rPr>
          <w:rFonts w:ascii="Arial" w:hAnsi="Arial"/>
          <w:b/>
          <w:color w:val="000000"/>
          <w:sz w:val="20"/>
        </w:rPr>
        <w:t>Credit</w:t>
      </w:r>
    </w:p>
    <w:p>
      <w:pPr>
        <w:pStyle w:val="TextBody"/>
        <w:bidi w:val="0"/>
        <w:spacing w:before="180" w:after="283"/>
        <w:jc w:val="both"/>
        <w:rPr>
          <w:rFonts w:ascii="Arial" w:hAnsi="Arial"/>
          <w:b w:val="false"/>
          <w:color w:val="000000"/>
          <w:sz w:val="20"/>
        </w:rPr>
      </w:pPr>
      <w:r>
        <w:rPr>
          <w:rFonts w:ascii="Arial" w:hAnsi="Arial"/>
          <w:b w:val="false"/>
          <w:color w:val="000000"/>
          <w:sz w:val="20"/>
        </w:rPr>
        <w:t>Our fixed-income portfolio is diversified and consists primarily of investment-grade securities. We manage credit exposures relative to broad-based indices to facilitate portfolio diversification.</w:t>
      </w:r>
    </w:p>
    <w:p>
      <w:pPr>
        <w:pStyle w:val="TextBody"/>
        <w:bidi w:val="0"/>
        <w:spacing w:before="270" w:after="283"/>
        <w:jc w:val="both"/>
        <w:rPr>
          <w:rFonts w:ascii="Arial" w:hAnsi="Arial"/>
          <w:b/>
          <w:color w:val="000000"/>
          <w:sz w:val="20"/>
        </w:rPr>
      </w:pPr>
      <w:r>
        <w:rPr>
          <w:rFonts w:ascii="Arial" w:hAnsi="Arial"/>
          <w:b/>
          <w:color w:val="000000"/>
          <w:sz w:val="20"/>
        </w:rPr>
        <w:t>Equity</w:t>
      </w:r>
    </w:p>
    <w:p>
      <w:pPr>
        <w:pStyle w:val="TextBody"/>
        <w:bidi w:val="0"/>
        <w:spacing w:before="180" w:after="283"/>
        <w:jc w:val="both"/>
        <w:rPr>
          <w:rFonts w:ascii="Arial" w:hAnsi="Arial"/>
          <w:b w:val="false"/>
          <w:color w:val="000000"/>
          <w:sz w:val="20"/>
        </w:rPr>
      </w:pPr>
      <w:r>
        <w:rPr>
          <w:rFonts w:ascii="Arial" w:hAnsi="Arial"/>
          <w:b w:val="false"/>
          <w:color w:val="000000"/>
          <w:sz w:val="20"/>
        </w:rPr>
        <w:t>Securities held in our equity investments portfolio are subject to price risk.</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SENSITIVITY ANALYSIS</w:t>
      </w:r>
    </w:p>
    <w:p>
      <w:pPr>
        <w:pStyle w:val="TextBody"/>
        <w:bidi w:val="0"/>
        <w:spacing w:before="180" w:after="283"/>
        <w:jc w:val="both"/>
        <w:rPr>
          <w:rFonts w:ascii="Arial" w:hAnsi="Arial"/>
          <w:b w:val="false"/>
          <w:color w:val="000000"/>
          <w:sz w:val="20"/>
        </w:rPr>
      </w:pPr>
      <w:r>
        <w:rPr>
          <w:rFonts w:ascii="Arial" w:hAnsi="Arial"/>
          <w:b w:val="false"/>
          <w:color w:val="000000"/>
          <w:sz w:val="20"/>
        </w:rPr>
        <w:t>The following table sets forth the potential loss in future earnings or fair values, including associated derivatives, resulting from hypothetical changes in relevant market rates or prices: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25"/>
        <w:gridCol w:w="146"/>
        <w:gridCol w:w="146"/>
        <w:gridCol w:w="4290"/>
        <w:gridCol w:w="146"/>
        <w:gridCol w:w="277"/>
        <w:gridCol w:w="853"/>
        <w:gridCol w:w="166"/>
        <w:gridCol w:w="146"/>
        <w:gridCol w:w="484"/>
        <w:gridCol w:w="488"/>
        <w:gridCol w:w="438"/>
      </w:tblGrid>
      <w:tr>
        <w:trPr/>
        <w:tc>
          <w:tcPr>
            <w:tcW w:w="2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8649" w:type="dxa"/>
            <w:gridSpan w:val="8"/>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630" w:type="dxa"/>
            <w:gridSpan w:val="2"/>
            <w:tcBorders/>
            <w:vAlign w:val="center"/>
          </w:tcPr>
          <w:p>
            <w:pPr>
              <w:pStyle w:val="TableContents"/>
              <w:bidi w:val="0"/>
              <w:spacing w:before="0" w:after="283"/>
              <w:jc w:val="left"/>
              <w:rPr/>
            </w:pPr>
            <w:r>
              <w:rPr/>
              <w:t> </w:t>
            </w:r>
          </w:p>
        </w:tc>
        <w:tc>
          <w:tcPr>
            <w:tcW w:w="926" w:type="dxa"/>
            <w:gridSpan w:val="2"/>
            <w:tcBorders/>
            <w:vAlign w:val="center"/>
          </w:tcPr>
          <w:p>
            <w:pPr>
              <w:pStyle w:val="TableContents"/>
              <w:bidi w:val="0"/>
              <w:spacing w:before="0" w:after="283"/>
              <w:jc w:val="left"/>
              <w:rPr/>
            </w:pPr>
            <w:r>
              <w:rPr/>
              <w:t> </w:t>
            </w:r>
          </w:p>
        </w:tc>
      </w:tr>
      <w:tr>
        <w:trPr/>
        <w:tc>
          <w:tcPr>
            <w:tcW w:w="262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r>
      <w:tr>
        <w:trPr/>
        <w:tc>
          <w:tcPr>
            <w:tcW w:w="2625"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Risk Categories</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290"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Hypothetical Change</w:t>
            </w:r>
          </w:p>
        </w:tc>
        <w:tc>
          <w:tcPr>
            <w:tcW w:w="146" w:type="dxa"/>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September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Impact</w:t>
            </w:r>
          </w:p>
        </w:tc>
        <w:tc>
          <w:tcPr>
            <w:tcW w:w="438" w:type="dxa"/>
            <w:tcBorders/>
            <w:vAlign w:val="center"/>
          </w:tcPr>
          <w:p>
            <w:pPr>
              <w:pStyle w:val="TableContents"/>
              <w:bidi w:val="0"/>
              <w:spacing w:before="0" w:after="283"/>
              <w:jc w:val="left"/>
              <w:rPr>
                <w:sz w:val="4"/>
                <w:szCs w:val="4"/>
              </w:rPr>
            </w:pPr>
            <w:r>
              <w:rPr>
                <w:sz w:val="4"/>
                <w:szCs w:val="4"/>
              </w:rPr>
            </w:r>
          </w:p>
        </w:tc>
      </w:tr>
      <w:tr>
        <w:trPr/>
        <w:tc>
          <w:tcPr>
            <w:tcW w:w="2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ind w:left="0" w:right="0" w:firstLine="245"/>
              <w:jc w:val="left"/>
              <w:rPr/>
            </w:pPr>
            <w:r>
              <w:rPr/>
              <w:t> </w:t>
            </w:r>
          </w:p>
        </w:tc>
      </w:tr>
      <w:tr>
        <w:trPr/>
        <w:tc>
          <w:tcPr>
            <w:tcW w:w="2625"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currency – Revenue</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290"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 decrease in foreign exchange rates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7"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(8,240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972" w:type="dxa"/>
            <w:gridSpan w:val="2"/>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Earnings</w:t>
            </w:r>
          </w:p>
        </w:tc>
        <w:tc>
          <w:tcPr>
            <w:tcW w:w="438"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625" w:type="dxa"/>
            <w:tcBorders/>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Foreign currency –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29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 decrease in foreign exchange rates</w:t>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2" w:type="dxa"/>
            <w:gridSpan w:val="2"/>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w:t>
            </w:r>
          </w:p>
        </w:tc>
        <w:tc>
          <w:tcPr>
            <w:tcW w:w="438"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625"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Interest rate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4290"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100 basis point increase in U.S. treasury interest rates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7" w:type="dxa"/>
            <w:tcBorders/>
            <w:shd w:fill="E5E5E5" w:val="clear"/>
            <w:vAlign w:val="center"/>
          </w:tcPr>
          <w:p>
            <w:pPr>
              <w:pStyle w:val="TableContents"/>
              <w:bidi w:val="0"/>
              <w:spacing w:before="0" w:after="283"/>
              <w:jc w:val="left"/>
              <w:rPr>
                <w:sz w:val="4"/>
                <w:szCs w:val="4"/>
              </w:rPr>
            </w:pPr>
            <w:r>
              <w:rPr>
                <w:sz w:val="4"/>
                <w:szCs w:val="4"/>
              </w:rPr>
            </w:r>
          </w:p>
        </w:tc>
        <w:tc>
          <w:tcPr>
            <w:tcW w:w="8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(1,660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972" w:type="dxa"/>
            <w:gridSpan w:val="2"/>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w:t>
            </w:r>
          </w:p>
        </w:tc>
        <w:tc>
          <w:tcPr>
            <w:tcW w:w="438"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625"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b w:val="false"/>
                <w:color w:val="000000"/>
                <w:sz w:val="20"/>
              </w:rPr>
              <w:t>Credit</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29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100 basis point increase in credit spreads</w:t>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2" w:type="dxa"/>
            <w:gridSpan w:val="2"/>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Fair Value</w:t>
            </w:r>
          </w:p>
        </w:tc>
        <w:tc>
          <w:tcPr>
            <w:tcW w:w="438"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625"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4290" w:type="dxa"/>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 decrease in equity market prices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77" w:type="dxa"/>
            <w:tcBorders/>
            <w:shd w:fill="E5E5E5" w:val="clear"/>
            <w:vAlign w:val="center"/>
          </w:tcPr>
          <w:p>
            <w:pPr>
              <w:pStyle w:val="TableContents"/>
              <w:bidi w:val="0"/>
              <w:spacing w:before="0" w:after="283"/>
              <w:jc w:val="left"/>
              <w:rPr>
                <w:sz w:val="4"/>
                <w:szCs w:val="4"/>
              </w:rPr>
            </w:pPr>
            <w:r>
              <w:rPr>
                <w:sz w:val="4"/>
                <w:szCs w:val="4"/>
              </w:rPr>
            </w:r>
          </w:p>
        </w:tc>
        <w:tc>
          <w:tcPr>
            <w:tcW w:w="85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(862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972" w:type="dxa"/>
            <w:gridSpan w:val="2"/>
            <w:tcBorders/>
            <w:shd w:fill="E5E5E5"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Earnings</w:t>
            </w:r>
          </w:p>
        </w:tc>
        <w:tc>
          <w:tcPr>
            <w:tcW w:w="438" w:type="dxa"/>
            <w:tcBorders/>
            <w:shd w:fill="E5E5E5" w:val="clear"/>
            <w:vAlign w:val="center"/>
          </w:tcPr>
          <w:p>
            <w:pPr>
              <w:pStyle w:val="TableContents"/>
              <w:bidi w:val="0"/>
              <w:spacing w:before="0" w:after="283"/>
              <w:jc w:val="left"/>
              <w:rPr/>
            </w:pPr>
            <w:r>
              <w:rPr/>
              <w:t> </w:t>
            </w:r>
          </w:p>
        </w:tc>
      </w:tr>
      <w:tr>
        <w:trPr/>
        <w:tc>
          <w:tcPr>
            <w:tcW w:w="262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bookmarkStart w:id="14" w:name="item_4_controls_procedures"/>
      <w:bookmarkEnd w:id="14"/>
      <w:r>
        <w:rPr>
          <w:rFonts w:ascii="Arial" w:hAnsi="Arial"/>
          <w:b/>
          <w:color w:val="000000"/>
          <w:sz w:val="24"/>
        </w:rPr>
        <w:t>ITEM 4. CONTROLS</w:t>
      </w:r>
      <w:r>
        <w:rPr>
          <w:rFonts w:ascii="Times New Roman" w:hAnsi="Times New Roman"/>
          <w:color w:val="000000"/>
          <w:sz w:val="20"/>
        </w:rPr>
        <w:t xml:space="preserve"> </w:t>
      </w:r>
      <w:r>
        <w:rPr>
          <w:rFonts w:ascii="Arial" w:hAnsi="Arial"/>
          <w:b/>
          <w:color w:val="000000"/>
          <w:sz w:val="24"/>
        </w:rPr>
        <w:t>AND PROCEDURES</w:t>
      </w:r>
    </w:p>
    <w:p>
      <w:pPr>
        <w:pStyle w:val="TextBody"/>
        <w:bidi w:val="0"/>
        <w:spacing w:before="180" w:after="283"/>
        <w:jc w:val="both"/>
        <w:rPr>
          <w:rFonts w:ascii="Arial" w:hAnsi="Arial"/>
          <w:b w:val="false"/>
          <w:color w:val="000000"/>
          <w:sz w:val="20"/>
        </w:rPr>
      </w:pPr>
      <w:r>
        <w:rPr>
          <w:rFonts w:ascii="Arial" w:hAnsi="Arial"/>
          <w:b w:val="false"/>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September 30, 2023 that have materially affected, or are reasonably likely to materially affect, our internal control over financial reporting.</w:t>
      </w:r>
    </w:p>
    <w:p>
      <w:pPr>
        <w:pStyle w:val="TextBody"/>
        <w:bidi w:val="0"/>
        <w:spacing w:before="240" w:after="283"/>
        <w:jc w:val="center"/>
        <w:rPr>
          <w:rFonts w:ascii="Arial" w:hAnsi="Arial"/>
          <w:b w:val="false"/>
          <w:color w:val="000000"/>
          <w:sz w:val="16"/>
        </w:rPr>
      </w:pPr>
      <w:r>
        <w:rPr>
          <w:rFonts w:ascii="Arial" w:hAnsi="Arial"/>
          <w:b w:val="false"/>
          <w:color w:val="000000"/>
          <w:sz w:val="16"/>
        </w:rPr>
        <w:t>43</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 1A</w:t>
      </w:r>
    </w:p>
    <w:p>
      <w:pPr>
        <w:pStyle w:val="TextBody"/>
        <w:bidi w:val="0"/>
        <w:jc w:val="left"/>
        <w:rPr/>
      </w:pPr>
      <w:r>
        <w:rPr/>
        <w:t> </w:t>
      </w:r>
    </w:p>
    <w:p>
      <w:pPr>
        <w:pStyle w:val="TextBody"/>
        <w:bidi w:val="0"/>
        <w:jc w:val="center"/>
        <w:rPr>
          <w:rFonts w:ascii="Times New Roman" w:hAnsi="Times New Roman"/>
          <w:sz w:val="20"/>
        </w:rPr>
      </w:pPr>
      <w:bookmarkStart w:id="15" w:name="part_ii_or_information"/>
      <w:bookmarkEnd w:id="15"/>
      <w:r>
        <w:rPr>
          <w:rFonts w:ascii="Arial" w:hAnsi="Arial"/>
          <w:b/>
          <w:color w:val="000000"/>
          <w:sz w:val="20"/>
        </w:rPr>
        <w:t>PART II. 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180" w:after="283"/>
        <w:jc w:val="center"/>
        <w:rPr>
          <w:rFonts w:ascii="Arial" w:hAnsi="Arial"/>
          <w:b/>
          <w:color w:val="000000"/>
          <w:sz w:val="24"/>
        </w:rPr>
      </w:pPr>
      <w:bookmarkStart w:id="16" w:name="item_1_legal_proceedings"/>
      <w:bookmarkEnd w:id="16"/>
      <w:r>
        <w:rPr>
          <w:rFonts w:ascii="Arial" w:hAnsi="Arial"/>
          <w:b/>
          <w:color w:val="000000"/>
          <w:sz w:val="24"/>
        </w:rPr>
        <w:t>ITEM 1. LEGAL PROCEEDINGS</w:t>
      </w:r>
    </w:p>
    <w:p>
      <w:pPr>
        <w:pStyle w:val="TextBody"/>
        <w:bidi w:val="0"/>
        <w:spacing w:before="180" w:after="283"/>
        <w:jc w:val="both"/>
        <w:rPr>
          <w:rFonts w:ascii="Arial" w:hAnsi="Arial"/>
          <w:b w:val="false"/>
          <w:color w:val="000000"/>
          <w:sz w:val="20"/>
        </w:rPr>
      </w:pPr>
      <w:r>
        <w:rPr>
          <w:rFonts w:ascii="Arial" w:hAnsi="Arial"/>
          <w:b w:val="false"/>
          <w:color w:val="000000"/>
          <w:sz w:val="20"/>
        </w:rPr>
        <w:t>Refer to Note 13 – Contingencies of the Notes to Financial Statements (Part I, Item 1 of this Form 10-Q) for information regarding legal proceedings in which we are involved.</w:t>
      </w:r>
    </w:p>
    <w:p>
      <w:pPr>
        <w:pStyle w:val="TextBody"/>
        <w:bidi w:val="0"/>
        <w:spacing w:before="270" w:after="283"/>
        <w:jc w:val="center"/>
        <w:rPr>
          <w:rFonts w:ascii="Arial" w:hAnsi="Arial"/>
          <w:b/>
          <w:color w:val="000000"/>
          <w:sz w:val="24"/>
        </w:rPr>
      </w:pPr>
      <w:bookmarkStart w:id="17" w:name="item_1a_risk_factors"/>
      <w:bookmarkEnd w:id="17"/>
      <w:r>
        <w:rPr>
          <w:rFonts w:ascii="Arial" w:hAnsi="Arial"/>
          <w:b/>
          <w:color w:val="000000"/>
          <w:sz w:val="24"/>
        </w:rPr>
        <w:t>ITEM 1A. RISK FACTORS</w:t>
      </w:r>
    </w:p>
    <w:p>
      <w:pPr>
        <w:pStyle w:val="TextBody"/>
        <w:bidi w:val="0"/>
        <w:spacing w:before="180" w:after="283"/>
        <w:jc w:val="both"/>
        <w:rPr>
          <w:rFonts w:ascii="Arial" w:hAnsi="Arial"/>
          <w:b w:val="false"/>
          <w:color w:val="000000"/>
          <w:sz w:val="20"/>
        </w:rPr>
      </w:pPr>
      <w:r>
        <w:rPr>
          <w:rFonts w:ascii="Arial" w:hAnsi="Arial"/>
          <w:b w:val="false"/>
          <w:color w:val="000000"/>
          <w:sz w:val="20"/>
        </w:rPr>
        <w:t>Our operations and financial results are subject to various risks and uncertainties, including those described below, that could adversely affect our business, financial condition, results of operations, cash flows, and the trading price of our common stock.</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STRATEGIC AND COMPETITIVE RISKS</w:t>
      </w:r>
    </w:p>
    <w:p>
      <w:pPr>
        <w:pStyle w:val="TextBody"/>
        <w:bidi w:val="0"/>
        <w:spacing w:before="180" w:after="283"/>
        <w:jc w:val="both"/>
        <w:rPr>
          <w:rFonts w:ascii="Arial" w:hAnsi="Arial"/>
          <w:b/>
          <w:color w:val="000000"/>
          <w:sz w:val="20"/>
        </w:rPr>
      </w:pPr>
      <w:r>
        <w:rPr>
          <w:rFonts w:ascii="Arial" w:hAnsi="Arial"/>
          <w:b/>
          <w:color w:val="000000"/>
          <w:sz w:val="20"/>
        </w:rPr>
        <w:t>We face intense competition across all markets for our products and services, which may lead to lower revenue or operating margins.</w:t>
      </w:r>
    </w:p>
    <w:p>
      <w:pPr>
        <w:pStyle w:val="TextBody"/>
        <w:bidi w:val="0"/>
        <w:spacing w:before="180" w:after="283"/>
        <w:jc w:val="both"/>
        <w:rPr>
          <w:rFonts w:ascii="Arial" w:hAnsi="Arial"/>
          <w:b/>
          <w:i/>
          <w:color w:val="000000"/>
          <w:sz w:val="20"/>
        </w:rPr>
      </w:pPr>
      <w:r>
        <w:rPr>
          <w:rFonts w:ascii="Arial" w:hAnsi="Arial"/>
          <w:b/>
          <w:i/>
          <w:color w:val="000000"/>
          <w:sz w:val="20"/>
        </w:rPr>
        <w:t>Competition in the technology sector</w:t>
      </w:r>
    </w:p>
    <w:p>
      <w:pPr>
        <w:pStyle w:val="TextBody"/>
        <w:bidi w:val="0"/>
        <w:spacing w:before="180" w:after="283"/>
        <w:jc w:val="both"/>
        <w:rPr>
          <w:rFonts w:ascii="Arial" w:hAnsi="Arial"/>
          <w:b w:val="false"/>
          <w:color w:val="000000"/>
          <w:sz w:val="20"/>
        </w:rPr>
      </w:pPr>
      <w:r>
        <w:rPr>
          <w:rFonts w:ascii="Arial" w:hAnsi="Arial"/>
          <w:b w:val="false"/>
          <w:color w:val="000000"/>
          <w:sz w:val="20"/>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pStyle w:val="TextBody"/>
        <w:bidi w:val="0"/>
        <w:spacing w:before="270" w:after="283"/>
        <w:jc w:val="both"/>
        <w:rPr>
          <w:rFonts w:ascii="Arial" w:hAnsi="Arial"/>
          <w:b/>
          <w:i/>
          <w:color w:val="000000"/>
          <w:sz w:val="20"/>
        </w:rPr>
      </w:pPr>
      <w:r>
        <w:rPr>
          <w:rFonts w:ascii="Arial" w:hAnsi="Arial"/>
          <w:b/>
          <w:i/>
          <w:color w:val="000000"/>
          <w:sz w:val="20"/>
        </w:rPr>
        <w:t>Competition among platform-based ecosystems</w:t>
      </w:r>
    </w:p>
    <w:p>
      <w:pPr>
        <w:pStyle w:val="TextBody"/>
        <w:bidi w:val="0"/>
        <w:spacing w:before="180" w:after="283"/>
        <w:jc w:val="both"/>
        <w:rPr>
          <w:rFonts w:ascii="Arial" w:hAnsi="Arial"/>
          <w:b w:val="false"/>
          <w:color w:val="000000"/>
          <w:sz w:val="20"/>
        </w:rPr>
      </w:pPr>
      <w:r>
        <w:rPr>
          <w:rFonts w:ascii="Arial" w:hAnsi="Arial"/>
          <w:b w:val="false"/>
          <w:color w:val="000000"/>
          <w:sz w:val="20"/>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pStyle w:val="TextBody"/>
        <w:bidi w:val="0"/>
        <w:spacing w:before="240" w:after="283"/>
        <w:jc w:val="center"/>
        <w:rPr>
          <w:rFonts w:ascii="Arial" w:hAnsi="Arial"/>
          <w:b w:val="false"/>
          <w:color w:val="000000"/>
          <w:sz w:val="16"/>
        </w:rPr>
      </w:pPr>
      <w:r>
        <w:rPr>
          <w:rFonts w:ascii="Arial" w:hAnsi="Arial"/>
          <w:b w:val="false"/>
          <w:color w:val="000000"/>
          <w:sz w:val="16"/>
        </w:rPr>
        <w:t>44</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pStyle w:val="TextBody"/>
        <w:bidi w:val="0"/>
        <w:spacing w:before="270" w:after="283"/>
        <w:jc w:val="both"/>
        <w:rPr>
          <w:rFonts w:ascii="Arial" w:hAnsi="Arial"/>
          <w:b/>
          <w:i/>
          <w:color w:val="000000"/>
          <w:sz w:val="20"/>
        </w:rPr>
      </w:pPr>
      <w:r>
        <w:rPr>
          <w:rFonts w:ascii="Arial" w:hAnsi="Arial"/>
          <w:b/>
          <w:i/>
          <w:color w:val="000000"/>
          <w:sz w:val="20"/>
        </w:rPr>
        <w:t>Business model competition</w:t>
      </w:r>
    </w:p>
    <w:p>
      <w:pPr>
        <w:pStyle w:val="TextBody"/>
        <w:bidi w:val="0"/>
        <w:spacing w:before="180" w:after="283"/>
        <w:jc w:val="both"/>
        <w:rPr>
          <w:rFonts w:ascii="Arial" w:hAnsi="Arial"/>
          <w:b w:val="false"/>
          <w:color w:val="000000"/>
          <w:sz w:val="20"/>
        </w:rPr>
      </w:pPr>
      <w:r>
        <w:rPr>
          <w:rFonts w:ascii="Arial" w:hAnsi="Arial"/>
          <w:b w:val="false"/>
          <w:color w:val="000000"/>
          <w:sz w:val="20"/>
        </w:rPr>
        <w:t>Companies compete with us based on a growing variety of business models.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We are investing in artificial intelligence (“AI”) across the entire company and infusing generative AI capabilities into our consumer and commercial offerings. We expect AI technology and services to be a highly competitive and rapidly evolving market. We will bear significant development and operational costs to build and support the AI capabilities, products, and services necessary to meet the needs of our customers. To compete effectively we must also be responsive to technological change, potential regulatory developments, and public scrutiny.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Some companies compete with us by modifying and then distributing open source software at little or no cost to end users, using open source AI models, and earning revenue on advertising or integrated products and services. These firms do not bear the full costs of research and development for the open source products. Some open source products mimic the features and functionality of our products.</w:t>
      </w:r>
    </w:p>
    <w:p>
      <w:pPr>
        <w:pStyle w:val="TextBody"/>
        <w:bidi w:val="0"/>
        <w:spacing w:before="180" w:after="283"/>
        <w:jc w:val="both"/>
        <w:rPr>
          <w:rFonts w:ascii="Arial" w:hAnsi="Arial"/>
          <w:b w:val="false"/>
          <w:color w:val="000000"/>
          <w:sz w:val="20"/>
        </w:rPr>
      </w:pPr>
      <w:r>
        <w:rPr>
          <w:rFonts w:ascii="Arial" w:hAnsi="Arial"/>
          <w:b w:val="false"/>
          <w:color w:val="000000"/>
          <w:sz w:val="20"/>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pStyle w:val="TextBody"/>
        <w:bidi w:val="0"/>
        <w:spacing w:before="180" w:after="283"/>
        <w:jc w:val="both"/>
        <w:rPr>
          <w:rFonts w:ascii="Times New Roman" w:hAnsi="Times New Roman"/>
          <w:sz w:val="20"/>
        </w:rPr>
      </w:pPr>
      <w:r>
        <w:rPr>
          <w:rFonts w:ascii="Arial" w:hAnsi="Arial"/>
          <w:b/>
          <w:color w:val="000000"/>
          <w:sz w:val="20"/>
        </w:rPr>
        <w:t>Our increasing focus on cloud-based services presents execution and competitive risks.</w:t>
      </w:r>
      <w:r>
        <w:rPr>
          <w:rFonts w:ascii="Times New Roman" w:hAnsi="Times New Roman"/>
          <w:color w:val="000000"/>
          <w:sz w:val="20"/>
        </w:rPr>
        <w:t xml:space="preserve"> </w:t>
      </w:r>
      <w:r>
        <w:rPr>
          <w:rFonts w:ascii="Arial" w:hAnsi="Arial"/>
          <w:b w:val="false"/>
          <w:color w:val="000000"/>
          <w:sz w:val="20"/>
        </w:rPr>
        <w:t>A growing part of our business involves cloud-based services available across the spectrum of computing devices. Our strategic vision is to compete and grow by building best-in-class platforms and productivity services that utilize ubiquitous computing and ambient intelligence to drive insights and productivity gains.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Certain industries and customers have specific requirements for cloud services and may present enhanced risks.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offerings are connected to the growth of the Internet of Things (“IoT”), a network of distributed and interconnected devices employing sensors, data, and computing capabilities, including AI. Our success in driving ubiquitous computing and ambient intelligence will depend on the level of adoption of our offerings such as Azure, Azure AI, and Azure IoT Edge. We may not establish market share sufficient to achieve scale necessary to meet our business objectives.</w:t>
      </w:r>
    </w:p>
    <w:p>
      <w:pPr>
        <w:pStyle w:val="TextBody"/>
        <w:bidi w:val="0"/>
        <w:spacing w:before="240" w:after="283"/>
        <w:jc w:val="center"/>
        <w:rPr>
          <w:rFonts w:ascii="Arial" w:hAnsi="Arial"/>
          <w:b w:val="false"/>
          <w:color w:val="000000"/>
          <w:sz w:val="16"/>
        </w:rPr>
      </w:pPr>
      <w:r>
        <w:rPr>
          <w:rFonts w:ascii="Arial" w:hAnsi="Arial"/>
          <w:b w:val="false"/>
          <w:color w:val="000000"/>
          <w:sz w:val="16"/>
        </w:rPr>
        <w:t>45</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Continuing to bring to market compelling cloud-based experiences that generate increasing traffic and market share.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Maintaining the utility, compatibility, and performance of our cloud-based services on the growing array of computing devices, including PCs, smartphones, tablets, gaming consoles, and other devices, as well as sensors and other IoT endpoints.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Continuing to enhance the attractiveness of our cloud platforms to third-party developers.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Ensuring our cloud-based services meet the reliability expectations of our customers and maintain the security of their data as well as help them meet their own compliance needs.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Making our suite of cloud-based services platform-agnostic, available on a wide range of devices and ecosystems, including those of our competitors.</w:t>
      </w:r>
    </w:p>
    <w:p>
      <w:pPr>
        <w:pStyle w:val="TextBody"/>
        <w:bidi w:val="0"/>
        <w:spacing w:before="180" w:after="283"/>
        <w:jc w:val="both"/>
        <w:rPr>
          <w:rFonts w:ascii="Arial" w:hAnsi="Arial"/>
          <w:b w:val="false"/>
          <w:color w:val="000000"/>
          <w:sz w:val="20"/>
        </w:rPr>
      </w:pPr>
      <w:r>
        <w:rPr>
          <w:rFonts w:ascii="Arial" w:hAnsi="Arial"/>
          <w:b w:val="false"/>
          <w:color w:val="000000"/>
          <w:sz w:val="20"/>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pStyle w:val="TextBody"/>
        <w:bidi w:val="0"/>
        <w:spacing w:before="180" w:after="283"/>
        <w:jc w:val="both"/>
        <w:rPr>
          <w:rFonts w:ascii="Arial" w:hAnsi="Arial"/>
          <w:b w:val="false"/>
          <w:color w:val="000000"/>
          <w:sz w:val="20"/>
        </w:rPr>
      </w:pPr>
      <w:r>
        <w:rPr>
          <w:rFonts w:ascii="Arial" w:hAnsi="Arial"/>
          <w:b w:val="false"/>
          <w:color w:val="000000"/>
          <w:sz w:val="20"/>
        </w:rPr>
        <w:t>Some users may engage in fraudulent or abusive activities through our cloud-based services. These include unauthorized use of accounts through stolen credentials, use of stolen credit cards or other payment vehicles, failure to pay for services accessed, or other activities that violate our terms of service such as cryptocurrency mining or launching cyberattacks. If our efforts to detect such violations or our actions to control these types of fraud and abuse are not effective, we may experience adverse impacts to our revenue or incur reputational damage.</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RISKS RELATING TO THE EVOLUTION OF OUR BUSINESS</w:t>
      </w:r>
    </w:p>
    <w:p>
      <w:pPr>
        <w:pStyle w:val="TextBody"/>
        <w:bidi w:val="0"/>
        <w:spacing w:before="180" w:after="283"/>
        <w:jc w:val="both"/>
        <w:rPr>
          <w:rFonts w:ascii="Times New Roman" w:hAnsi="Times New Roman"/>
          <w:sz w:val="20"/>
        </w:rPr>
      </w:pPr>
      <w:r>
        <w:rPr>
          <w:rFonts w:ascii="Arial" w:hAnsi="Arial"/>
          <w:b/>
          <w:color w:val="000000"/>
          <w:sz w:val="20"/>
        </w:rPr>
        <w:t>We make significant investments in products and services that may not achieve expected returns.</w:t>
      </w:r>
      <w:r>
        <w:rPr>
          <w:rFonts w:ascii="Times New Roman" w:hAnsi="Times New Roman"/>
          <w:color w:val="000000"/>
          <w:sz w:val="20"/>
        </w:rPr>
        <w:t xml:space="preserve"> </w:t>
      </w:r>
      <w:r>
        <w:rPr>
          <w:rFonts w:ascii="Arial" w:hAnsi="Arial"/>
          <w:b w:val="false"/>
          <w:color w:val="000000"/>
          <w:sz w:val="20"/>
        </w:rPr>
        <w:t>We will continue to make significant investments in research, development, and marketing for existing products, services, and technologies, including the Windows operating system, Microsoft 365, Bing, SQL Server, Windows Server, Azure, Office 365, Xbox, LinkedIn, and other products and services. In addition, we are focused on developing new AI platform services and incorporating AI into existing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Microsoft Edge, Bing, and Bing Chat, that drive post-sale monetization opportunities. Our data handling practices across our products and services will continue to be under scrutiny. Perceptions of mismanagement, driven by regulatory activity or negative public reaction to our practices or product experiences, could negatively impact product and feature adoption, product design, and product quality.</w:t>
      </w:r>
    </w:p>
    <w:p>
      <w:pPr>
        <w:pStyle w:val="TextBody"/>
        <w:bidi w:val="0"/>
        <w:spacing w:before="180" w:after="283"/>
        <w:jc w:val="both"/>
        <w:rPr>
          <w:rFonts w:ascii="Arial" w:hAnsi="Arial"/>
          <w:b w:val="false"/>
          <w:color w:val="000000"/>
          <w:sz w:val="20"/>
        </w:rPr>
      </w:pPr>
      <w:r>
        <w:rPr>
          <w:rFonts w:ascii="Arial" w:hAnsi="Arial"/>
          <w:b w:val="false"/>
          <w:color w:val="000000"/>
          <w:sz w:val="20"/>
        </w:rPr>
        <w:t>Developing new technologies is complex. It can require long development and testing periods. Significant delays in new releases or significant problems in creating new products or services could adversely affect our revenue.</w:t>
      </w:r>
    </w:p>
    <w:p>
      <w:pPr>
        <w:pStyle w:val="TextBody"/>
        <w:bidi w:val="0"/>
        <w:spacing w:before="240" w:after="283"/>
        <w:jc w:val="center"/>
        <w:rPr>
          <w:rFonts w:ascii="Arial" w:hAnsi="Arial"/>
          <w:b w:val="false"/>
          <w:color w:val="000000"/>
          <w:sz w:val="16"/>
        </w:rPr>
      </w:pPr>
      <w:r>
        <w:rPr>
          <w:rFonts w:ascii="Arial" w:hAnsi="Arial"/>
          <w:b w:val="false"/>
          <w:color w:val="000000"/>
          <w:sz w:val="16"/>
        </w:rPr>
        <w:t>46</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Acquisitions, joint ventures, and strategic alliances may have an adverse effect on our business.</w:t>
      </w:r>
      <w:r>
        <w:rPr>
          <w:rFonts w:ascii="Times New Roman" w:hAnsi="Times New Roman"/>
          <w:color w:val="000000"/>
          <w:sz w:val="20"/>
        </w:rPr>
        <w:t xml:space="preserve"> </w:t>
      </w:r>
      <w:r>
        <w:rPr>
          <w:rFonts w:ascii="Arial" w:hAnsi="Arial"/>
          <w:b w:val="false"/>
          <w:color w:val="000000"/>
          <w:sz w:val="20"/>
        </w:rPr>
        <w:t>We expect to continue making acquisitions and entering into joint ventures and strategic alliances as part of our long-term business strategy. For example,</w:t>
      </w:r>
      <w:r>
        <w:rPr>
          <w:rFonts w:ascii="Times New Roman" w:hAnsi="Times New Roman"/>
          <w:color w:val="212529"/>
          <w:sz w:val="20"/>
        </w:rPr>
        <w:t xml:space="preserve"> </w:t>
      </w:r>
      <w:r>
        <w:rPr>
          <w:rFonts w:ascii="Arial" w:hAnsi="Arial"/>
          <w:b w:val="false"/>
          <w:color w:val="212529"/>
          <w:sz w:val="20"/>
        </w:rPr>
        <w:t>in March 2022 we completed our acquisition of Nuance Communications, Inc.,</w:t>
      </w:r>
      <w:r>
        <w:rPr>
          <w:rFonts w:ascii="Times New Roman" w:hAnsi="Times New Roman"/>
          <w:color w:val="000000"/>
          <w:sz w:val="20"/>
        </w:rPr>
        <w:t xml:space="preserve"> </w:t>
      </w:r>
      <w:r>
        <w:rPr>
          <w:rFonts w:ascii="Arial" w:hAnsi="Arial"/>
          <w:b w:val="false"/>
          <w:color w:val="000000"/>
          <w:sz w:val="20"/>
        </w:rPr>
        <w:t>and in October</w:t>
      </w:r>
      <w:r>
        <w:rPr>
          <w:rFonts w:ascii="Times New Roman" w:hAnsi="Times New Roman"/>
          <w:color w:val="212529"/>
          <w:sz w:val="20"/>
        </w:rPr>
        <w:t xml:space="preserve"> </w:t>
      </w:r>
      <w:r>
        <w:rPr>
          <w:rFonts w:ascii="Arial" w:hAnsi="Arial"/>
          <w:b w:val="false"/>
          <w:color w:val="212529"/>
          <w:sz w:val="20"/>
        </w:rPr>
        <w:t xml:space="preserve">2023 we </w:t>
      </w:r>
      <w:r>
        <w:rPr>
          <w:rFonts w:ascii="Arial" w:hAnsi="Arial"/>
          <w:b w:val="false"/>
          <w:color w:val="000000"/>
          <w:sz w:val="20"/>
        </w:rPr>
        <w:t xml:space="preserve">completed our acquisition of </w:t>
      </w:r>
      <w:r>
        <w:rPr>
          <w:rFonts w:ascii="Arial" w:hAnsi="Arial"/>
          <w:b w:val="false"/>
          <w:color w:val="212529"/>
          <w:sz w:val="20"/>
        </w:rPr>
        <w:t>Activision Blizzard, Inc.</w:t>
      </w:r>
      <w:r>
        <w:rPr>
          <w:rFonts w:ascii="Times New Roman" w:hAnsi="Times New Roman"/>
          <w:color w:val="000000"/>
          <w:sz w:val="20"/>
        </w:rPr>
        <w:t xml:space="preserve"> </w:t>
      </w:r>
      <w:r>
        <w:rPr>
          <w:rFonts w:ascii="Arial" w:hAnsi="Arial"/>
          <w:b w:val="false"/>
          <w:color w:val="000000"/>
          <w:sz w:val="20"/>
        </w:rPr>
        <w:t>(“Activision Blizzard”). In January 2023 we announced the third phase of our OpenAI strategic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as well as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In addition, an acquisition may be subject to challenge even after it has been completed. For example, the Federal Trade Commission continues to challenge our Activision Blizzard acquisition and could, if successful, alter or unwind the transaction. These events could adversely affect our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If our goodwill or amortizable intangible assets become impaired, we may be required to record a significant charge to earnings.</w:t>
      </w:r>
      <w:r>
        <w:rPr>
          <w:rFonts w:ascii="Times New Roman" w:hAnsi="Times New Roman"/>
          <w:color w:val="000000"/>
          <w:sz w:val="20"/>
        </w:rPr>
        <w:t xml:space="preserve"> </w:t>
      </w:r>
      <w:r>
        <w:rPr>
          <w:rFonts w:ascii="Arial" w:hAnsi="Arial"/>
          <w:b w:val="false"/>
          <w:color w:val="000000"/>
          <w:sz w:val="20"/>
        </w:rPr>
        <w:t>We 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CYBERSECURITY, DATA PRIVACY, AND PLATFORM ABUSE RISKS</w:t>
      </w:r>
    </w:p>
    <w:p>
      <w:pPr>
        <w:pStyle w:val="TextBody"/>
        <w:bidi w:val="0"/>
        <w:spacing w:before="180" w:after="283"/>
        <w:jc w:val="both"/>
        <w:rPr>
          <w:rFonts w:ascii="Arial" w:hAnsi="Arial"/>
          <w:b/>
          <w:color w:val="000000"/>
          <w:sz w:val="20"/>
        </w:rPr>
      </w:pPr>
      <w:r>
        <w:rPr>
          <w:rFonts w:ascii="Arial" w:hAnsi="Arial"/>
          <w:b/>
          <w:color w:val="000000"/>
          <w:sz w:val="20"/>
        </w:rPr>
        <w:t>Cyberattacks and security vulnerabilities could lead to reduced revenue, increased costs, liability claims, or harm to our reputation or competitive position.</w:t>
      </w:r>
    </w:p>
    <w:p>
      <w:pPr>
        <w:pStyle w:val="TextBody"/>
        <w:bidi w:val="0"/>
        <w:spacing w:before="180" w:after="283"/>
        <w:jc w:val="both"/>
        <w:rPr>
          <w:rFonts w:ascii="Arial" w:hAnsi="Arial"/>
          <w:b/>
          <w:i/>
          <w:color w:val="000000"/>
          <w:sz w:val="20"/>
        </w:rPr>
      </w:pPr>
      <w:r>
        <w:rPr>
          <w:rFonts w:ascii="Arial" w:hAnsi="Arial"/>
          <w:b/>
          <w:i/>
          <w:color w:val="000000"/>
          <w:sz w:val="20"/>
        </w:rPr>
        <w:t>Security of our information technology</w:t>
      </w:r>
    </w:p>
    <w:p>
      <w:pPr>
        <w:pStyle w:val="TextBody"/>
        <w:bidi w:val="0"/>
        <w:spacing w:before="180" w:after="283"/>
        <w:jc w:val="both"/>
        <w:rPr>
          <w:rFonts w:ascii="Arial" w:hAnsi="Arial"/>
          <w:b w:val="false"/>
          <w:color w:val="000000"/>
          <w:sz w:val="20"/>
        </w:rPr>
      </w:pPr>
      <w:r>
        <w:rPr>
          <w:rFonts w:ascii="Arial" w:hAnsi="Arial"/>
          <w:b w:val="false"/>
          <w:color w:val="000000"/>
          <w:sz w:val="20"/>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or intentionally designed processes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Nation-state and state-sponsored actors can deploy significant resources to plan and carry out attacks. Nation-state attacks against us, our customers, or our partners may intensify during periods of intense diplomatic or armed conflict, such as the ongoing conflict in Ukraine. Inadequate account security or organizational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pStyle w:val="TextBody"/>
        <w:bidi w:val="0"/>
        <w:spacing w:before="240" w:after="283"/>
        <w:jc w:val="center"/>
        <w:rPr>
          <w:rFonts w:ascii="Arial" w:hAnsi="Arial"/>
          <w:b w:val="false"/>
          <w:color w:val="000000"/>
          <w:sz w:val="16"/>
        </w:rPr>
      </w:pPr>
      <w:r>
        <w:rPr>
          <w:rFonts w:ascii="Arial" w:hAnsi="Arial"/>
          <w:b w:val="false"/>
          <w:color w:val="000000"/>
          <w:sz w:val="16"/>
        </w:rPr>
        <w:t>47</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Cyberthreats are constantly evolving and becoming increasingly sophisticated and complex, increasing the difficulty of detecting and successfully defending against them. We may have no current capability to detect certain vulnerabilities or new attack methods,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subject us to ransomware attacks, require us to allocate more resources to improve technologies or remediate the impacts of attacks, or otherwise adversely affect our business. We are also subject to supply chain cyberattacks where malware can be introduced to a software provider’s customers, including us, through software updates.</w:t>
      </w:r>
    </w:p>
    <w:p>
      <w:pPr>
        <w:pStyle w:val="TextBody"/>
        <w:bidi w:val="0"/>
        <w:spacing w:before="180" w:after="283"/>
        <w:jc w:val="both"/>
        <w:rPr>
          <w:rFonts w:ascii="Arial" w:hAnsi="Arial"/>
          <w:b w:val="false"/>
          <w:color w:val="000000"/>
          <w:sz w:val="20"/>
        </w:rPr>
      </w:pPr>
      <w:r>
        <w:rPr>
          <w:rFonts w:ascii="Arial" w:hAnsi="Arial"/>
          <w:b w:val="false"/>
          <w:color w:val="000000"/>
          <w:sz w:val="20"/>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methods for adversaries. Our business policies and internal security controls may not keep pace with these changes as new threats emerge, or emerging cybersecurity regulations in jurisdictions worldwide.</w:t>
      </w:r>
    </w:p>
    <w:p>
      <w:pPr>
        <w:pStyle w:val="TextBody"/>
        <w:bidi w:val="0"/>
        <w:spacing w:before="270" w:after="283"/>
        <w:jc w:val="both"/>
        <w:rPr>
          <w:rFonts w:ascii="Arial" w:hAnsi="Arial"/>
          <w:b/>
          <w:i/>
          <w:color w:val="000000"/>
          <w:sz w:val="20"/>
        </w:rPr>
      </w:pPr>
      <w:r>
        <w:rPr>
          <w:rFonts w:ascii="Arial" w:hAnsi="Arial"/>
          <w:b/>
          <w:i/>
          <w:color w:val="000000"/>
          <w:sz w:val="20"/>
        </w:rPr>
        <w:t>Security of our products, services, devices, and customers’ data</w:t>
      </w:r>
    </w:p>
    <w:p>
      <w:pPr>
        <w:pStyle w:val="TextBody"/>
        <w:bidi w:val="0"/>
        <w:spacing w:before="180" w:after="283"/>
        <w:jc w:val="both"/>
        <w:rPr>
          <w:rFonts w:ascii="Arial" w:hAnsi="Arial"/>
          <w:b w:val="false"/>
          <w:color w:val="000000"/>
          <w:sz w:val="20"/>
        </w:rPr>
      </w:pPr>
      <w:r>
        <w:rPr>
          <w:rFonts w:ascii="Arial" w:hAnsi="Arial"/>
          <w:b w:val="false"/>
          <w:color w:val="000000"/>
          <w:sz w:val="20"/>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 Additionally, we are actively adding new generative AI features to our services. Because generative AI is a new field, understanding of security risks and protection methods continues to develop; features that rely on generative AI may be susceptible to unanticipated security threats from sophisticated adversaries.</w:t>
      </w:r>
    </w:p>
    <w:p>
      <w:pPr>
        <w:pStyle w:val="TextBody"/>
        <w:bidi w:val="0"/>
        <w:spacing w:before="180" w:after="283"/>
        <w:jc w:val="both"/>
        <w:rPr>
          <w:rFonts w:ascii="Arial" w:hAnsi="Arial"/>
          <w:b w:val="false"/>
          <w:color w:val="000000"/>
          <w:sz w:val="20"/>
        </w:rPr>
      </w:pPr>
      <w:r>
        <w:rPr>
          <w:rFonts w:ascii="Arial" w:hAnsi="Arial"/>
          <w:b w:val="false"/>
          <w:color w:val="000000"/>
          <w:sz w:val="20"/>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still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pStyle w:val="TextBody"/>
        <w:bidi w:val="0"/>
        <w:spacing w:before="240" w:after="283"/>
        <w:jc w:val="center"/>
        <w:rPr>
          <w:rFonts w:ascii="Arial" w:hAnsi="Arial"/>
          <w:b w:val="false"/>
          <w:color w:val="000000"/>
          <w:sz w:val="16"/>
        </w:rPr>
      </w:pPr>
      <w:r>
        <w:rPr>
          <w:rFonts w:ascii="Arial" w:hAnsi="Arial"/>
          <w:b w:val="false"/>
          <w:color w:val="000000"/>
          <w:sz w:val="16"/>
        </w:rPr>
        <w:t>48</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Cyberattacks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pStyle w:val="TextBody"/>
        <w:bidi w:val="0"/>
        <w:spacing w:before="270" w:after="283"/>
        <w:jc w:val="both"/>
        <w:rPr>
          <w:rFonts w:ascii="Arial" w:hAnsi="Arial"/>
          <w:b/>
          <w:i/>
          <w:color w:val="000000"/>
          <w:sz w:val="20"/>
        </w:rPr>
      </w:pPr>
      <w:r>
        <w:rPr>
          <w:rFonts w:ascii="Arial" w:hAnsi="Arial"/>
          <w:b/>
          <w:i/>
          <w:color w:val="000000"/>
          <w:sz w:val="20"/>
        </w:rPr>
        <w:t>Development and deployment of defensive measures</w:t>
      </w:r>
    </w:p>
    <w:p>
      <w:pPr>
        <w:pStyle w:val="TextBody"/>
        <w:bidi w:val="0"/>
        <w:spacing w:before="180" w:after="283"/>
        <w:jc w:val="both"/>
        <w:rPr>
          <w:rFonts w:ascii="Arial" w:hAnsi="Arial"/>
          <w:b w:val="false"/>
          <w:color w:val="000000"/>
          <w:sz w:val="20"/>
        </w:rPr>
      </w:pPr>
      <w:r>
        <w:rPr>
          <w:rFonts w:ascii="Arial" w:hAnsi="Arial"/>
          <w:b w:val="false"/>
          <w:color w:val="000000"/>
          <w:sz w:val="20"/>
        </w:rPr>
        <w:t>To defend against security threats to our internal IT systems, our cloud-based services, and our customers’ systems, we must continuously engineer more secure products and services, enhance security, threat detection,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products and services.</w:t>
      </w:r>
    </w:p>
    <w:p>
      <w:pPr>
        <w:pStyle w:val="TextBody"/>
        <w:bidi w:val="0"/>
        <w:spacing w:before="180" w:after="283"/>
        <w:jc w:val="both"/>
        <w:rPr>
          <w:rFonts w:ascii="Arial" w:hAnsi="Arial"/>
          <w:b w:val="false"/>
          <w:color w:val="000000"/>
          <w:sz w:val="20"/>
        </w:rPr>
      </w:pPr>
      <w:r>
        <w:rPr>
          <w:rFonts w:ascii="Arial" w:hAnsi="Arial"/>
          <w:b w:val="false"/>
          <w:color w:val="000000"/>
          <w:sz w:val="20"/>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pStyle w:val="TextBody"/>
        <w:bidi w:val="0"/>
        <w:spacing w:before="180" w:after="283"/>
        <w:jc w:val="both"/>
        <w:rPr>
          <w:rFonts w:ascii="Arial" w:hAnsi="Arial"/>
          <w:b w:val="false"/>
          <w:color w:val="000000"/>
          <w:sz w:val="20"/>
        </w:rPr>
      </w:pPr>
      <w:r>
        <w:rPr>
          <w:rFonts w:ascii="Arial" w:hAnsi="Arial"/>
          <w:b w:val="false"/>
          <w:color w:val="000000"/>
          <w:sz w:val="20"/>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pStyle w:val="TextBody"/>
        <w:bidi w:val="0"/>
        <w:spacing w:before="180" w:after="283"/>
        <w:jc w:val="both"/>
        <w:rPr>
          <w:rFonts w:ascii="Times New Roman" w:hAnsi="Times New Roman"/>
          <w:sz w:val="20"/>
        </w:rPr>
      </w:pPr>
      <w:r>
        <w:rPr>
          <w:rFonts w:ascii="Arial" w:hAnsi="Arial"/>
          <w:b/>
          <w:color w:val="000000"/>
          <w:sz w:val="20"/>
        </w:rPr>
        <w:t>Disclosure and misuse of personal data could result in liability and harm our reputation.</w:t>
      </w:r>
      <w:r>
        <w:rPr>
          <w:rFonts w:ascii="Times New Roman" w:hAnsi="Times New Roman"/>
          <w:color w:val="000000"/>
          <w:sz w:val="20"/>
        </w:rPr>
        <w:t xml:space="preserve"> </w:t>
      </w:r>
      <w:r>
        <w:rPr>
          <w:rFonts w:ascii="Arial" w:hAnsi="Arial"/>
          <w:b w:val="false"/>
          <w:color w:val="000000"/>
          <w:sz w:val="20"/>
        </w:rPr>
        <w:t>As we continue to grow the number, breadth, 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pStyle w:val="TextBody"/>
        <w:bidi w:val="0"/>
        <w:spacing w:before="240" w:after="283"/>
        <w:jc w:val="center"/>
        <w:rPr>
          <w:rFonts w:ascii="Arial" w:hAnsi="Arial"/>
          <w:b w:val="false"/>
          <w:color w:val="000000"/>
          <w:sz w:val="16"/>
        </w:rPr>
      </w:pPr>
      <w:r>
        <w:rPr>
          <w:rFonts w:ascii="Arial" w:hAnsi="Arial"/>
          <w:b w:val="false"/>
          <w:color w:val="000000"/>
          <w:sz w:val="16"/>
        </w:rPr>
        <w:t>49</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We may not be able to protect information in our products and services from use by others</w:t>
      </w:r>
      <w:r>
        <w:rPr>
          <w:rFonts w:ascii="Arial" w:hAnsi="Arial"/>
          <w:b w:val="false"/>
          <w:color w:val="000000"/>
          <w:sz w:val="20"/>
        </w:rPr>
        <w:t>. LinkedIn and other Microsoft products 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pStyle w:val="TextBody"/>
        <w:bidi w:val="0"/>
        <w:spacing w:before="270" w:after="283"/>
        <w:jc w:val="both"/>
        <w:rPr>
          <w:rFonts w:ascii="Arial" w:hAnsi="Arial"/>
          <w:b/>
          <w:color w:val="000000"/>
          <w:sz w:val="20"/>
        </w:rPr>
      </w:pPr>
      <w:r>
        <w:rPr>
          <w:rFonts w:ascii="Arial" w:hAnsi="Arial"/>
          <w:b/>
          <w:color w:val="000000"/>
          <w:sz w:val="20"/>
        </w:rPr>
        <w:t>Abuse of our platforms may harm our reputation or user engagement.</w:t>
      </w:r>
    </w:p>
    <w:p>
      <w:pPr>
        <w:pStyle w:val="TextBody"/>
        <w:bidi w:val="0"/>
        <w:spacing w:before="180" w:after="283"/>
        <w:jc w:val="both"/>
        <w:rPr>
          <w:rFonts w:ascii="Arial" w:hAnsi="Arial"/>
          <w:b/>
          <w:i/>
          <w:color w:val="000000"/>
          <w:sz w:val="20"/>
        </w:rPr>
      </w:pPr>
      <w:r>
        <w:rPr>
          <w:rFonts w:ascii="Arial" w:hAnsi="Arial"/>
          <w:b/>
          <w:i/>
          <w:color w:val="000000"/>
          <w:sz w:val="20"/>
        </w:rPr>
        <w:t>Advertising, professional, marketplace, and gaming platform abuses</w:t>
      </w:r>
    </w:p>
    <w:p>
      <w:pPr>
        <w:pStyle w:val="TextBody"/>
        <w:bidi w:val="0"/>
        <w:spacing w:before="180" w:after="283"/>
        <w:jc w:val="both"/>
        <w:rPr>
          <w:rFonts w:ascii="Arial" w:hAnsi="Arial"/>
          <w:b w:val="false"/>
          <w:color w:val="000000"/>
          <w:sz w:val="20"/>
        </w:rPr>
      </w:pPr>
      <w:r>
        <w:rPr>
          <w:rFonts w:ascii="Arial" w:hAnsi="Arial"/>
          <w:b w:val="false"/>
          <w:color w:val="000000"/>
          <w:sz w:val="20"/>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pStyle w:val="TextBody"/>
        <w:bidi w:val="0"/>
        <w:spacing w:before="270" w:after="283"/>
        <w:jc w:val="both"/>
        <w:rPr>
          <w:rFonts w:ascii="Arial" w:hAnsi="Arial"/>
          <w:b/>
          <w:i/>
          <w:color w:val="000000"/>
          <w:sz w:val="20"/>
        </w:rPr>
      </w:pPr>
      <w:r>
        <w:rPr>
          <w:rFonts w:ascii="Arial" w:hAnsi="Arial"/>
          <w:b/>
          <w:i/>
          <w:color w:val="000000"/>
          <w:sz w:val="20"/>
        </w:rPr>
        <w:t>Other digital safety abuses</w:t>
      </w:r>
    </w:p>
    <w:p>
      <w:pPr>
        <w:pStyle w:val="TextBody"/>
        <w:bidi w:val="0"/>
        <w:spacing w:before="180" w:after="283"/>
        <w:jc w:val="both"/>
        <w:rPr>
          <w:rFonts w:ascii="Arial" w:hAnsi="Arial"/>
          <w:b w:val="false"/>
          <w:color w:val="000000"/>
          <w:sz w:val="20"/>
        </w:rPr>
      </w:pPr>
      <w:r>
        <w:rPr>
          <w:rFonts w:ascii="Arial" w:hAnsi="Arial"/>
          <w:b w:val="false"/>
          <w:color w:val="000000"/>
          <w:sz w:val="20"/>
        </w:rPr>
        <w:t>Our hosted consumer services as well as our enterprise services may be used to generate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 xml:space="preserve">The development of the IoT presents security, privacy, and execution risks. </w:t>
      </w:r>
      <w:r>
        <w:rPr>
          <w:rFonts w:ascii="Arial" w:hAnsi="Arial"/>
          <w:b w:val="false"/>
          <w:color w:val="000000"/>
          <w:sz w:val="20"/>
        </w:rPr>
        <w:t>To support the growth of the intelligent cloud and the intelligent edge, we are developing products, services, and technologies to power the IoT.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pStyle w:val="TextBody"/>
        <w:bidi w:val="0"/>
        <w:spacing w:before="240" w:after="283"/>
        <w:jc w:val="center"/>
        <w:rPr>
          <w:rFonts w:ascii="Arial" w:hAnsi="Arial"/>
          <w:b w:val="false"/>
          <w:color w:val="000000"/>
          <w:sz w:val="16"/>
        </w:rPr>
      </w:pPr>
      <w:r>
        <w:rPr>
          <w:rFonts w:ascii="Arial" w:hAnsi="Arial"/>
          <w:b w:val="false"/>
          <w:color w:val="000000"/>
          <w:sz w:val="16"/>
        </w:rPr>
        <w:t>50</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Issues in the development and use of AI may result in reputational or competitive harm or liability</w:t>
      </w:r>
      <w:r>
        <w:rPr>
          <w:rFonts w:ascii="Arial" w:hAnsi="Arial"/>
          <w:b w:val="false"/>
          <w:color w:val="000000"/>
          <w:sz w:val="20"/>
        </w:rPr>
        <w:t>. We are building AI 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our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information. Content generated by AI systems may be offensive, illegal, or otherwise harmful. Ineffective or inadequate AI development or deployment practices by Microsoft or others could result in incidents that impair the acceptance of AI solutions or cause harm to individuals, customers, or society, or result in our products and services not working as intended. Human review of certain outputs may be required. As a result of these and other challenges associated with innovative technologies, our implementation of AI systems could subject us to competitive harm, regulatory action, legal liability, including under new proposed legislation regulating AI in jurisdictions such as the European Union (“EU”), new applications of existing data protection, privacy, intellectual property, and other laws, and brand or reputational harm. Some AI scenarios present ethical issues or may have broad impacts on society. If we enable or offer AI solutions that have unintended consequences, unintended usage or customization by our customers and partners, or are controversial because of their impact on human rights, privacy, employment, or other social, economic, or political issues, we may experience brand or reputational harm, adversely affecting our business and consolidated financial statements.</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OPERATIONAL RISKS</w:t>
      </w:r>
    </w:p>
    <w:p>
      <w:pPr>
        <w:pStyle w:val="TextBody"/>
        <w:bidi w:val="0"/>
        <w:spacing w:before="180" w:after="283"/>
        <w:jc w:val="both"/>
        <w:rPr>
          <w:rFonts w:ascii="Times New Roman" w:hAnsi="Times New Roman"/>
          <w:sz w:val="20"/>
        </w:rPr>
      </w:pPr>
      <w:r>
        <w:rPr>
          <w:rFonts w:ascii="Arial" w:hAnsi="Arial"/>
          <w:b/>
          <w:color w:val="000000"/>
          <w:sz w:val="20"/>
        </w:rPr>
        <w:t>We may have excessive outages, data losses, and disruptions of our online services if we fail to maintain an adequate operations infrastructure.</w:t>
      </w:r>
      <w:r>
        <w:rPr>
          <w:rFonts w:ascii="Times New Roman" w:hAnsi="Times New Roman"/>
          <w:color w:val="000000"/>
          <w:sz w:val="20"/>
        </w:rPr>
        <w:t xml:space="preserve"> </w:t>
      </w:r>
      <w:r>
        <w:rPr>
          <w:rFonts w:ascii="Arial" w:hAnsi="Arial"/>
          <w:b w:val="false"/>
          <w:color w:val="000000"/>
          <w:sz w:val="20"/>
        </w:rPr>
        <w:t>Our increasing user traffic, growth in services, and the complexity of our products and services demand more computing 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(“GPUs”)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such as Bing, Azure, Microsoft Account services, Microsoft 365, Microsoft Teams, Dynamics 365, OneDrive, SharePoint Online, Skype, Xbox, and Outlook.com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insufficient or unavailable power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We may experience quality or supply problems.</w:t>
      </w:r>
      <w:r>
        <w:rPr>
          <w:rFonts w:ascii="Times New Roman" w:hAnsi="Times New Roman"/>
          <w:color w:val="000000"/>
          <w:sz w:val="20"/>
        </w:rPr>
        <w:t xml:space="preserve"> </w:t>
      </w:r>
      <w:r>
        <w:rPr>
          <w:rFonts w:ascii="Arial" w:hAnsi="Arial"/>
          <w:b w:val="false"/>
          <w:color w:val="000000"/>
          <w:sz w:val="20"/>
        </w:rPr>
        <w:t>Our hardware products such as Xbox consoles, Surface devices, and other devices we 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pStyle w:val="TextBody"/>
        <w:bidi w:val="0"/>
        <w:spacing w:before="180" w:after="283"/>
        <w:jc w:val="both"/>
        <w:rPr>
          <w:rFonts w:ascii="Arial" w:hAnsi="Arial"/>
          <w:b w:val="false"/>
          <w:color w:val="000000"/>
          <w:sz w:val="20"/>
        </w:rPr>
      </w:pPr>
      <w:r>
        <w:rPr>
          <w:rFonts w:ascii="Arial" w:hAnsi="Arial"/>
          <w:b w:val="false"/>
          <w:color w:val="000000"/>
          <w:sz w:val="20"/>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pStyle w:val="TextBody"/>
        <w:bidi w:val="0"/>
        <w:spacing w:before="240" w:after="283"/>
        <w:jc w:val="center"/>
        <w:rPr>
          <w:rFonts w:ascii="Arial" w:hAnsi="Arial"/>
          <w:b w:val="false"/>
          <w:color w:val="000000"/>
          <w:sz w:val="16"/>
        </w:rPr>
      </w:pPr>
      <w:r>
        <w:rPr>
          <w:rFonts w:ascii="Arial" w:hAnsi="Arial"/>
          <w:b w:val="false"/>
          <w:color w:val="000000"/>
          <w:sz w:val="16"/>
        </w:rPr>
        <w:t>51</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There are limited suppliers for certain device and datacenter components. Our competitors use some of the same suppliers and their demand for hardware components can affect the capacity available to us.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LEGAL, REGULATORY, AND LITIGATION RISKS</w:t>
      </w:r>
    </w:p>
    <w:p>
      <w:pPr>
        <w:pStyle w:val="TextBody"/>
        <w:bidi w:val="0"/>
        <w:spacing w:before="180" w:after="283"/>
        <w:jc w:val="both"/>
        <w:rPr>
          <w:rFonts w:ascii="Times New Roman" w:hAnsi="Times New Roman"/>
          <w:sz w:val="20"/>
        </w:rPr>
      </w:pPr>
      <w:r>
        <w:rPr>
          <w:rFonts w:ascii="Arial" w:hAnsi="Arial"/>
          <w:b/>
          <w:color w:val="000000"/>
          <w:sz w:val="20"/>
        </w:rPr>
        <w:t xml:space="preserve">Government litigation and regulatory activity relating to competition rules may limit how we design and market our products. </w:t>
      </w:r>
      <w:r>
        <w:rPr>
          <w:rFonts w:ascii="Arial" w:hAnsi="Arial"/>
          <w:b w:val="false"/>
          <w:color w:val="000000"/>
          <w:sz w:val="20"/>
        </w:rPr>
        <w:t>Government agencies closely scrutinize us under U.S. and foreign competition laws. Governments are actively enforcing competition laws and regulations, and this includes scrutiny in potentially large markets such as the EU, the U.S., and China. Some jurisdictions also allow competitors or consumers to assert claims of anti-competitive conduct. U.S. federal and state antitrust authorities have previously brought enforcement actions and continue to scrutinize our business.</w:t>
      </w:r>
    </w:p>
    <w:p>
      <w:pPr>
        <w:pStyle w:val="TextBody"/>
        <w:bidi w:val="0"/>
        <w:spacing w:before="180" w:after="283"/>
        <w:jc w:val="both"/>
        <w:rPr>
          <w:rFonts w:ascii="Times New Roman" w:hAnsi="Times New Roman"/>
          <w:sz w:val="20"/>
        </w:rPr>
      </w:pPr>
      <w:r>
        <w:rPr>
          <w:rFonts w:ascii="Arial" w:hAnsi="Arial"/>
          <w:b w:val="false"/>
          <w:color w:val="000000"/>
          <w:sz w:val="20"/>
        </w:rPr>
        <w:t>For example, 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EU or other competition laws.</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pStyle w:val="TextBody"/>
        <w:bidi w:val="0"/>
        <w:spacing w:before="180" w:after="283"/>
        <w:jc w:val="both"/>
        <w:rPr>
          <w:rFonts w:ascii="Arial" w:hAnsi="Arial"/>
          <w:b w:val="false"/>
          <w:color w:val="000000"/>
          <w:sz w:val="20"/>
        </w:rPr>
      </w:pPr>
      <w:r>
        <w:rPr>
          <w:rFonts w:ascii="Arial" w:hAnsi="Arial"/>
          <w:b w:val="false"/>
          <w:color w:val="000000"/>
          <w:sz w:val="20"/>
        </w:rPr>
        <w:t>Competition law regulatory actions and court decisions may result in fines or hinder our ability to provide the benefits of our software to consumers and businesses, reducing the attractiveness of our products and the revenue that comes from them. New competition law actions could be initiated, potentially using previous actions as precedent. The outcome of such actions, or steps taken to avoid them, could adversely affect us in a variety of ways, including causing us to withdraw products from or modify products for certain markets, decreasing the value of our assets, adversely affecting our ability to monetize our products, or inhibiting our ability to consummate acquisition or impose conditions on acquisitions that may reduce their value.</w:t>
      </w:r>
    </w:p>
    <w:p>
      <w:pPr>
        <w:pStyle w:val="TextBody"/>
        <w:bidi w:val="0"/>
        <w:spacing w:before="180" w:after="283"/>
        <w:jc w:val="both"/>
        <w:rPr>
          <w:rFonts w:ascii="Times New Roman" w:hAnsi="Times New Roman"/>
          <w:sz w:val="20"/>
        </w:rPr>
      </w:pPr>
      <w:r>
        <w:rPr>
          <w:rFonts w:ascii="Arial" w:hAnsi="Arial"/>
          <w:b/>
          <w:color w:val="000000"/>
          <w:sz w:val="20"/>
        </w:rPr>
        <w:t>Laws and regulations relating to anti-corruption and trade could result in increased costs, fines, criminal penalties, or reputational damage.</w:t>
      </w:r>
      <w:r>
        <w:rPr>
          <w:rFonts w:ascii="Times New Roman" w:hAnsi="Times New Roman"/>
          <w:color w:val="000000"/>
          <w:sz w:val="20"/>
        </w:rPr>
        <w:t xml:space="preserve"> </w:t>
      </w:r>
      <w:r>
        <w:rPr>
          <w:rFonts w:ascii="Arial" w:hAnsi="Arial"/>
          <w:b w:val="false"/>
          <w:color w:val="000000"/>
          <w:sz w:val="20"/>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presents compliance challenges as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partners,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pStyle w:val="TextBody"/>
        <w:bidi w:val="0"/>
        <w:spacing w:before="240" w:after="283"/>
        <w:jc w:val="center"/>
        <w:rPr>
          <w:rFonts w:ascii="Arial" w:hAnsi="Arial"/>
          <w:b w:val="false"/>
          <w:color w:val="000000"/>
          <w:sz w:val="16"/>
        </w:rPr>
      </w:pPr>
      <w:r>
        <w:rPr>
          <w:rFonts w:ascii="Arial" w:hAnsi="Arial"/>
          <w:b w:val="false"/>
          <w:color w:val="000000"/>
          <w:sz w:val="16"/>
        </w:rPr>
        <w:t>52</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pStyle w:val="TextBody"/>
        <w:bidi w:val="0"/>
        <w:spacing w:before="180" w:after="283"/>
        <w:jc w:val="both"/>
        <w:rPr>
          <w:rFonts w:ascii="Times New Roman" w:hAnsi="Times New Roman"/>
          <w:sz w:val="20"/>
        </w:rPr>
      </w:pPr>
      <w:r>
        <w:rPr>
          <w:rFonts w:ascii="Arial" w:hAnsi="Arial"/>
          <w:b/>
          <w:color w:val="000000"/>
          <w:sz w:val="20"/>
        </w:rPr>
        <w:t>Laws and regulations relating to the handling of personal data may impede the adoption of our services or result in increased costs, legal claims, fines against us, or reputational damage.</w:t>
      </w:r>
      <w:r>
        <w:rPr>
          <w:rFonts w:ascii="Times New Roman" w:hAnsi="Times New Roman"/>
          <w:color w:val="000000"/>
          <w:sz w:val="20"/>
        </w:rPr>
        <w:t xml:space="preserve"> </w:t>
      </w:r>
      <w:r>
        <w:rPr>
          <w:rFonts w:ascii="Arial" w:hAnsi="Arial"/>
          <w:b w:val="false"/>
          <w:color w:val="000000"/>
          <w:sz w:val="20"/>
        </w:rPr>
        <w:t>The growth of our Internet- and cloud-based services internationally relies increasingly on the movement of data across national boundaries. Legal requirements relating to the collection, storage, handling, and transfer of personal data continue to evolve. For example, while the EU-U.S. Data Privacy Framework (“DPF”) has been recognized as adequate under EU law to allow transfers of personal data from the EU to certified companies in the U.S., the DPF is subject to further legal challenge which could cause the legal requirements for data transfers from the EU to be uncertain. EU data protection authorities have and may again block the use of certain U.S.-based services that involve the transfer of data to the U.S. In the EU and other markets, potential new rules and restrictions on the flow of data across borders could increase the cost and complexity of delivering our products and services.</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In addition,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these and other data regulations, or if our implementation to comply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significant monetary penalties, private lawsuits, reputational damage, blockage of product offerings or of international data transfers, and loss of customers. The highest fines assessed under GDPR have recently been increasing, especially against large technology companies, and European data protection authorities have taken action to block or remove services from their markets. Jurisdictions around the world, such as China, India, and states in the U.S. have adopted, or are considering adopting or expanding, laws and regulations imposing obligations regarding the collection, handling, and transfer of personal data.</w:t>
      </w:r>
    </w:p>
    <w:p>
      <w:pPr>
        <w:pStyle w:val="TextBody"/>
        <w:bidi w:val="0"/>
        <w:spacing w:before="180" w:after="283"/>
        <w:jc w:val="both"/>
        <w:rPr>
          <w:rFonts w:ascii="Arial" w:hAnsi="Arial"/>
          <w:b w:val="false"/>
          <w:color w:val="000000"/>
          <w:sz w:val="20"/>
        </w:rPr>
      </w:pPr>
      <w:r>
        <w:rPr>
          <w:rFonts w:ascii="Arial" w:hAnsi="Arial"/>
          <w:b w:val="false"/>
          <w:color w:val="000000"/>
          <w:sz w:val="20"/>
        </w:rPr>
        <w:t>Our investment in gaining insights from data is becoming central to the value of the services, including AI services, we deliver to customers,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pStyle w:val="TextBody"/>
        <w:bidi w:val="0"/>
        <w:spacing w:before="240" w:after="283"/>
        <w:jc w:val="center"/>
        <w:rPr>
          <w:rFonts w:ascii="Arial" w:hAnsi="Arial"/>
          <w:b w:val="false"/>
          <w:color w:val="000000"/>
          <w:sz w:val="16"/>
        </w:rPr>
      </w:pPr>
      <w:r>
        <w:rPr>
          <w:rFonts w:ascii="Arial" w:hAnsi="Arial"/>
          <w:b w:val="false"/>
          <w:color w:val="000000"/>
          <w:sz w:val="16"/>
        </w:rPr>
        <w:t>53</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Existing and increasing legal and regulatory requirements could adversely affect our results of operations. </w:t>
      </w:r>
      <w:r>
        <w:rPr>
          <w:rFonts w:ascii="Arial" w:hAnsi="Arial"/>
          <w:b w:val="false"/>
          <w:color w:val="000000"/>
          <w:sz w:val="20"/>
        </w:rPr>
        <w:t>We are subject to a wide range of laws, regulations, and legal requirements in the U.S. and globally, including those that may apply to our products and online services offerings, and those that impose requirements related to user privacy, telecommunications, data storage and protection, advertising, and online content. Laws in several jurisdictions, including EU Member State laws under the European Electronic Communications Code, increasingly define certain of our services as regulated telecommunications services. This trend may continue and will result in these offerings being subjected to additional data protection, security,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New environmental, social, and governance laws and regulations are expanding mandatory disclosure, reporting, and diligence requirements. Legislative or regulatory action relating to cybersecurity requirements may increase the costs to develop, implement, or secure our products and services. Compliance with evolving digital accessibility laws and standards will require engineering and is important to our efforts to empower all people and organizations to achieve more. Legislative and regulatory action is emerging in the areas of AI and content moderation, which could increase costs or restrict opportunity. For example, in the EU, an AI Act is being considered, and may entail increased costs or decreased opportunities for the operation of our AI services in the European market.</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How these laws and regulations apply to our business is often unclear, subject to change over time, and sometimes may be inconsistent from jurisdiction to jurisdiction. In addition, governments’ approach to enforcement, and our products and services, are continuing to evolve. Compliance with existing, expanding, or new laws and regulations may involve significant costs or require changes in products or business practices that could adversely affect our results of operations. Noncompliance could result in the imposition of penalties or orders we cease the alleged noncompliant activity. In addition, there is increasing pressure from advocacy groups, regulators, competitors, customers, and other stakeholders across many of these areas. If our products do not meet customer expectations or legal requirements, we could lose sales opportunities or face regulatory or legal actions.</w:t>
      </w:r>
    </w:p>
    <w:p>
      <w:pPr>
        <w:pStyle w:val="TextBody"/>
        <w:bidi w:val="0"/>
        <w:spacing w:before="180" w:after="283"/>
        <w:jc w:val="both"/>
        <w:rPr>
          <w:rFonts w:ascii="Times New Roman" w:hAnsi="Times New Roman"/>
          <w:sz w:val="20"/>
        </w:rPr>
      </w:pPr>
      <w:r>
        <w:rPr>
          <w:rFonts w:ascii="Arial" w:hAnsi="Arial"/>
          <w:b/>
          <w:color w:val="000000"/>
          <w:sz w:val="20"/>
        </w:rPr>
        <w:t>We have claims and lawsuits against us that may result in adverse outcomes.</w:t>
      </w:r>
      <w:r>
        <w:rPr>
          <w:rFonts w:ascii="Times New Roman" w:hAnsi="Times New Roman"/>
          <w:color w:val="000000"/>
          <w:sz w:val="20"/>
        </w:rPr>
        <w:t xml:space="preserve"> </w:t>
      </w:r>
      <w:r>
        <w:rPr>
          <w:rFonts w:ascii="Arial" w:hAnsi="Arial"/>
          <w:b w:val="false"/>
          <w:color w:val="000000"/>
          <w:sz w:val="20"/>
        </w:rPr>
        <w:t>We are subject to a variety of claims and lawsuits. These claims may arise from a wide variety of business practices and initiatives, including major new product releases such as Windows, AI services, significant business transactions, warranty or product claims, employment practices, and regulation.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180" w:after="283"/>
        <w:jc w:val="both"/>
        <w:rPr>
          <w:rFonts w:ascii="Times New Roman" w:hAnsi="Times New Roman"/>
          <w:sz w:val="20"/>
        </w:rPr>
      </w:pPr>
      <w:r>
        <w:rPr>
          <w:rFonts w:ascii="Arial" w:hAnsi="Arial"/>
          <w:b/>
          <w:color w:val="000000"/>
          <w:sz w:val="20"/>
        </w:rPr>
        <w:t xml:space="preserve">Our business with government customers may present additional uncertainties. </w:t>
      </w:r>
      <w:r>
        <w:rPr>
          <w:rFonts w:ascii="Arial" w:hAnsi="Arial"/>
          <w:b w:val="false"/>
          <w:color w:val="000000"/>
          <w:sz w:val="20"/>
        </w:rPr>
        <w:t>We derive substantial revenue from government 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results of operations, financial condition, and reputation.</w:t>
      </w:r>
    </w:p>
    <w:p>
      <w:pPr>
        <w:pStyle w:val="TextBody"/>
        <w:bidi w:val="0"/>
        <w:spacing w:before="180" w:after="283"/>
        <w:jc w:val="both"/>
        <w:rPr>
          <w:rFonts w:ascii="Times New Roman" w:hAnsi="Times New Roman"/>
          <w:sz w:val="20"/>
        </w:rPr>
      </w:pPr>
      <w:r>
        <w:rPr>
          <w:rFonts w:ascii="Arial" w:hAnsi="Arial"/>
          <w:b/>
          <w:color w:val="000000"/>
          <w:sz w:val="20"/>
        </w:rPr>
        <w:t>We may have additional tax liabilities.</w:t>
      </w:r>
      <w:r>
        <w:rPr>
          <w:rFonts w:ascii="Times New Roman" w:hAnsi="Times New Roman"/>
          <w:color w:val="000000"/>
          <w:sz w:val="20"/>
        </w:rPr>
        <w:t xml:space="preserve"> </w:t>
      </w:r>
      <w:r>
        <w:rPr>
          <w:rFonts w:ascii="Arial" w:hAnsi="Arial"/>
          <w:b w:val="false"/>
          <w:color w:val="000000"/>
          <w:sz w:val="20"/>
        </w:rPr>
        <w:t>We are subject to income taxes in the U.S. and many foreign jurisdictions. Significant judgment is 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pStyle w:val="TextBody"/>
        <w:bidi w:val="0"/>
        <w:spacing w:before="240" w:after="283"/>
        <w:jc w:val="center"/>
        <w:rPr>
          <w:rFonts w:ascii="Arial" w:hAnsi="Arial"/>
          <w:b w:val="false"/>
          <w:color w:val="000000"/>
          <w:sz w:val="16"/>
        </w:rPr>
      </w:pPr>
      <w:r>
        <w:rPr>
          <w:rFonts w:ascii="Arial" w:hAnsi="Arial"/>
          <w:b w:val="false"/>
          <w:color w:val="000000"/>
          <w:sz w:val="16"/>
        </w:rPr>
        <w:t>54</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may materially affect our consolidated financial statements in the period or periods in which that determination is made.</w:t>
      </w:r>
    </w:p>
    <w:p>
      <w:pPr>
        <w:pStyle w:val="TextBody"/>
        <w:bidi w:val="0"/>
        <w:spacing w:before="180" w:after="283"/>
        <w:jc w:val="both"/>
        <w:rPr>
          <w:rFonts w:ascii="Arial" w:hAnsi="Arial"/>
          <w:b w:val="false"/>
          <w:color w:val="000000"/>
          <w:sz w:val="20"/>
        </w:rPr>
      </w:pPr>
      <w:r>
        <w:rPr>
          <w:rFonts w:ascii="Arial" w:hAnsi="Arial"/>
          <w:b w:val="false"/>
          <w:color w:val="000000"/>
          <w:sz w:val="20"/>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INTELLECTUAL PROPERTY RISKS</w:t>
      </w:r>
    </w:p>
    <w:p>
      <w:pPr>
        <w:pStyle w:val="TextBody"/>
        <w:bidi w:val="0"/>
        <w:spacing w:before="180" w:after="283"/>
        <w:jc w:val="both"/>
        <w:rPr>
          <w:rFonts w:ascii="Times New Roman" w:hAnsi="Times New Roman"/>
          <w:sz w:val="20"/>
        </w:rPr>
      </w:pPr>
      <w:r>
        <w:rPr>
          <w:rFonts w:ascii="Arial" w:hAnsi="Arial"/>
          <w:b/>
          <w:color w:val="000000"/>
          <w:sz w:val="20"/>
        </w:rPr>
        <w:t xml:space="preserve">We face risks related to the protection and utilization of our intellectual property that may result in our business and operating results may be harmed. </w:t>
      </w:r>
      <w:r>
        <w:rPr>
          <w:rFonts w:ascii="Arial" w:hAnsi="Arial"/>
          <w:b w:val="false"/>
          <w:color w:val="000000"/>
          <w:sz w:val="20"/>
        </w:rPr>
        <w:t>Protecting our intellectual property rights and combating unlicensed copying and use of our software and other intellectual property on a global basis is difficult. Similarly, the absence of harmonized patent laws makes it more difficult to ensure consistent respect for patent rights.</w:t>
      </w:r>
      <w:r>
        <w:rPr>
          <w:rFonts w:ascii="Times New Roman" w:hAnsi="Times New Roman"/>
          <w:color w:val="000000"/>
          <w:sz w:val="20"/>
        </w:rPr>
        <w:t xml:space="preserve"> </w:t>
      </w:r>
    </w:p>
    <w:p>
      <w:pPr>
        <w:pStyle w:val="TextBody"/>
        <w:bidi w:val="0"/>
        <w:spacing w:before="180" w:after="283"/>
        <w:jc w:val="both"/>
        <w:rPr>
          <w:rFonts w:ascii="Arial" w:hAnsi="Arial"/>
          <w:b w:val="false"/>
          <w:color w:val="000000"/>
          <w:sz w:val="20"/>
        </w:rPr>
      </w:pPr>
      <w:r>
        <w:rPr>
          <w:rFonts w:ascii="Arial" w:hAnsi="Arial"/>
          <w:b w:val="false"/>
          <w:color w:val="000000"/>
          <w:sz w:val="20"/>
        </w:rPr>
        <w:t>Changes in the law may continue to weaken our ability to prevent the use of patented technology or collect revenue for licensing our patents. Additionally, licensees of our patents may fail to satisfy their obligations to pay us royalties or may contest the scope and extent of their obligations. Finally, our increasing engagement with open source software will also cause us to license our intellectual property rights broadly in certain situations. If we are unable to protect our intellectual property, our revenue may be adversely affected.</w:t>
      </w:r>
    </w:p>
    <w:p>
      <w:pPr>
        <w:pStyle w:val="TextBody"/>
        <w:bidi w:val="0"/>
        <w:spacing w:before="180" w:after="283"/>
        <w:jc w:val="both"/>
        <w:rPr>
          <w:rFonts w:ascii="Arial" w:hAnsi="Arial"/>
          <w:b w:val="false"/>
          <w:color w:val="000000"/>
          <w:sz w:val="20"/>
        </w:rPr>
      </w:pPr>
      <w:r>
        <w:rPr>
          <w:rFonts w:ascii="Arial" w:hAnsi="Arial"/>
          <w:b w:val="false"/>
          <w:color w:val="000000"/>
          <w:sz w:val="20"/>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revenue and operating results. Unauthorized disclosure of source code also could increase the security risks described elsewhere in these risk factors.</w:t>
      </w:r>
    </w:p>
    <w:p>
      <w:pPr>
        <w:pStyle w:val="TextBody"/>
        <w:bidi w:val="0"/>
        <w:spacing w:before="180" w:after="283"/>
        <w:jc w:val="both"/>
        <w:rPr>
          <w:rFonts w:ascii="Times New Roman" w:hAnsi="Times New Roman"/>
          <w:sz w:val="20"/>
        </w:rPr>
      </w:pPr>
      <w:r>
        <w:rPr>
          <w:rFonts w:ascii="Arial" w:hAnsi="Arial"/>
          <w:b/>
          <w:color w:val="000000"/>
          <w:sz w:val="20"/>
        </w:rPr>
        <w:t>Third parties may claim that we infringe their intellectual property.</w:t>
      </w:r>
      <w:r>
        <w:rPr>
          <w:rFonts w:ascii="Times New Roman" w:hAnsi="Times New Roman"/>
          <w:color w:val="000000"/>
          <w:sz w:val="20"/>
        </w:rPr>
        <w:t xml:space="preserve"> </w:t>
      </w:r>
      <w:r>
        <w:rPr>
          <w:rFonts w:ascii="Arial" w:hAnsi="Arial"/>
          <w:b w:val="false"/>
          <w:color w:val="000000"/>
          <w:sz w:val="20"/>
        </w:rPr>
        <w:t>From time to time, others claim we infringe their intellectual property rights. To resolve these claims, we may enter into royalty and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w:t>
      </w:r>
    </w:p>
    <w:p>
      <w:pPr>
        <w:pStyle w:val="TextBody"/>
        <w:bidi w:val="0"/>
        <w:spacing w:before="240" w:after="283"/>
        <w:jc w:val="center"/>
        <w:rPr>
          <w:rFonts w:ascii="Arial" w:hAnsi="Arial"/>
          <w:b w:val="false"/>
          <w:color w:val="000000"/>
          <w:sz w:val="16"/>
        </w:rPr>
      </w:pPr>
      <w:r>
        <w:rPr>
          <w:rFonts w:ascii="Arial" w:hAnsi="Arial"/>
          <w:b w:val="false"/>
          <w:color w:val="000000"/>
          <w:sz w:val="16"/>
        </w:rPr>
        <w:t>55</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270" w:after="283"/>
        <w:jc w:val="center"/>
        <w:rPr>
          <w:rFonts w:ascii="Arial" w:hAnsi="Arial"/>
          <w:b w:val="false"/>
          <w:color w:val="000000"/>
          <w:sz w:val="20"/>
          <w:u w:val="single"/>
        </w:rPr>
      </w:pPr>
      <w:r>
        <w:rPr>
          <w:rFonts w:ascii="Arial" w:hAnsi="Arial"/>
          <w:b w:val="false"/>
          <w:color w:val="000000"/>
          <w:sz w:val="20"/>
          <w:u w:val="single"/>
        </w:rPr>
        <w:t>GENERAL RISKS</w:t>
      </w:r>
    </w:p>
    <w:p>
      <w:pPr>
        <w:pStyle w:val="TextBody"/>
        <w:bidi w:val="0"/>
        <w:spacing w:before="180" w:after="283"/>
        <w:jc w:val="both"/>
        <w:rPr>
          <w:rFonts w:ascii="Times New Roman" w:hAnsi="Times New Roman"/>
          <w:sz w:val="20"/>
        </w:rPr>
      </w:pPr>
      <w:r>
        <w:rPr>
          <w:rFonts w:ascii="Arial" w:hAnsi="Arial"/>
          <w:b/>
          <w:color w:val="000000"/>
          <w:sz w:val="20"/>
        </w:rPr>
        <w:t>If our reputation or our brands are damaged, our business and operating results may be harmed</w:t>
      </w:r>
      <w:r>
        <w:rPr>
          <w:rFonts w:ascii="Arial" w:hAnsi="Arial"/>
          <w:b w:val="false"/>
          <w:color w:val="000000"/>
          <w:sz w:val="20"/>
        </w:rPr>
        <w:t>. Our reputation and brands are 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The introduction of new features, products, services, or terms of service that customers, users, or partners do not like.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Public scrutiny of our decisions regarding user privacy, data practices, or content.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b w:val="false"/>
          <w:color w:val="000000"/>
          <w:sz w:val="20"/>
        </w:rPr>
      </w:pPr>
      <w:r>
        <w:rPr>
          <w:rFonts w:ascii="Arial" w:hAnsi="Arial"/>
          <w:b w:val="false"/>
          <w:color w:val="000000"/>
          <w:sz w:val="20"/>
        </w:rPr>
        <w:t>Data security breaches, compliance failures, or actions of partners or individual employees.</w:t>
      </w:r>
    </w:p>
    <w:p>
      <w:pPr>
        <w:pStyle w:val="TextBody"/>
        <w:bidi w:val="0"/>
        <w:spacing w:before="180" w:after="283"/>
        <w:jc w:val="both"/>
        <w:rPr>
          <w:rFonts w:ascii="Arial" w:hAnsi="Arial"/>
          <w:b w:val="false"/>
          <w:color w:val="000000"/>
          <w:sz w:val="20"/>
        </w:rPr>
      </w:pPr>
      <w:r>
        <w:rPr>
          <w:rFonts w:ascii="Arial" w:hAnsi="Arial"/>
          <w:b w:val="false"/>
          <w:color w:val="000000"/>
          <w:sz w:val="20"/>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pStyle w:val="TextBody"/>
        <w:bidi w:val="0"/>
        <w:spacing w:before="180" w:after="283"/>
        <w:jc w:val="both"/>
        <w:rPr>
          <w:rFonts w:ascii="Times New Roman" w:hAnsi="Times New Roman"/>
          <w:sz w:val="20"/>
        </w:rPr>
      </w:pPr>
      <w:r>
        <w:rPr>
          <w:rFonts w:ascii="Arial" w:hAnsi="Arial"/>
          <w:b/>
          <w:color w:val="000000"/>
          <w:sz w:val="20"/>
        </w:rPr>
        <w:t>Adverse economic or market conditions may harm our business.</w:t>
      </w:r>
      <w:r>
        <w:rPr>
          <w:rFonts w:ascii="Times New Roman" w:hAnsi="Times New Roman"/>
          <w:color w:val="000000"/>
          <w:sz w:val="20"/>
        </w:rPr>
        <w:t xml:space="preserve"> </w:t>
      </w:r>
      <w:r>
        <w:rPr>
          <w:rFonts w:ascii="Arial" w:hAnsi="Arial"/>
          <w:b w:val="false"/>
          <w:color w:val="000000"/>
          <w:sz w:val="20"/>
        </w:rPr>
        <w:t>Worsening economic conditions, including inflation, recession, 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pStyle w:val="TextBody"/>
        <w:bidi w:val="0"/>
        <w:spacing w:before="180" w:after="283"/>
        <w:jc w:val="both"/>
        <w:rPr>
          <w:rFonts w:ascii="Arial" w:hAnsi="Arial"/>
          <w:b w:val="false"/>
          <w:color w:val="000000"/>
          <w:sz w:val="20"/>
        </w:rPr>
      </w:pPr>
      <w:r>
        <w:rPr>
          <w:rFonts w:ascii="Arial" w:hAnsi="Arial"/>
          <w:b w:val="false"/>
          <w:color w:val="000000"/>
          <w:sz w:val="20"/>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pStyle w:val="TextBody"/>
        <w:bidi w:val="0"/>
        <w:spacing w:before="180" w:after="283"/>
        <w:jc w:val="both"/>
        <w:rPr>
          <w:rFonts w:ascii="Arial" w:hAnsi="Arial"/>
          <w:b w:val="false"/>
          <w:color w:val="000000"/>
          <w:sz w:val="20"/>
        </w:rPr>
      </w:pPr>
      <w:r>
        <w:rPr>
          <w:rFonts w:ascii="Arial" w:hAnsi="Arial"/>
          <w:b w:val="false"/>
          <w:color w:val="000000"/>
          <w:sz w:val="20"/>
        </w:rPr>
        <w:t>Challenging economic conditions also may impair the ability of our customers to pay for products and services they have purchased. As a result, allowances for doubtful accounts and write-offs of accounts receivable may increase.</w:t>
      </w:r>
    </w:p>
    <w:p>
      <w:pPr>
        <w:pStyle w:val="TextBody"/>
        <w:bidi w:val="0"/>
        <w:spacing w:before="180" w:after="283"/>
        <w:jc w:val="both"/>
        <w:rPr>
          <w:rFonts w:ascii="Arial" w:hAnsi="Arial"/>
          <w:b w:val="false"/>
          <w:color w:val="000000"/>
          <w:sz w:val="20"/>
        </w:rPr>
      </w:pPr>
      <w:r>
        <w:rPr>
          <w:rFonts w:ascii="Arial" w:hAnsi="Arial"/>
          <w:b w:val="false"/>
          <w:color w:val="000000"/>
          <w:sz w:val="20"/>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Catastrophic events or geopolitical conditions may disrupt our business.</w:t>
      </w:r>
      <w:r>
        <w:rPr>
          <w:rFonts w:ascii="Times New Roman" w:hAnsi="Times New Roman"/>
          <w:color w:val="000000"/>
          <w:sz w:val="20"/>
        </w:rPr>
        <w:t xml:space="preserve"> </w:t>
      </w:r>
      <w:r>
        <w:rPr>
          <w:rFonts w:ascii="Arial" w:hAnsi="Arial"/>
          <w:b w:val="false"/>
          <w:color w:val="000000"/>
          <w:sz w:val="20"/>
        </w:rPr>
        <w:t>A disruption or failure of our systems or operations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pStyle w:val="TextBody"/>
        <w:bidi w:val="0"/>
        <w:spacing w:before="240" w:after="283"/>
        <w:jc w:val="center"/>
        <w:rPr>
          <w:rFonts w:ascii="Arial" w:hAnsi="Arial"/>
          <w:b w:val="false"/>
          <w:color w:val="000000"/>
          <w:sz w:val="16"/>
        </w:rPr>
      </w:pPr>
      <w:r>
        <w:rPr>
          <w:rFonts w:ascii="Arial" w:hAnsi="Arial"/>
          <w:b w:val="false"/>
          <w:color w:val="000000"/>
          <w:sz w:val="16"/>
        </w:rPr>
        <w:t>56</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1A</w:t>
      </w:r>
    </w:p>
    <w:p>
      <w:pPr>
        <w:pStyle w:val="TextBody"/>
        <w:bidi w:val="0"/>
        <w:jc w:val="left"/>
        <w:rPr/>
      </w:pPr>
      <w:r>
        <w:rPr/>
        <w:t> </w:t>
      </w:r>
    </w:p>
    <w:p>
      <w:pPr>
        <w:pStyle w:val="TextBody"/>
        <w:bidi w:val="0"/>
        <w:spacing w:before="180" w:after="283"/>
        <w:jc w:val="both"/>
        <w:rPr>
          <w:rFonts w:ascii="Arial" w:hAnsi="Arial"/>
          <w:b w:val="false"/>
          <w:color w:val="000000"/>
          <w:sz w:val="20"/>
        </w:rPr>
      </w:pPr>
      <w:r>
        <w:rPr>
          <w:rFonts w:ascii="Arial" w:hAnsi="Arial"/>
          <w:b w:val="false"/>
          <w:color w:val="000000"/>
          <w:sz w:val="20"/>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pStyle w:val="TextBody"/>
        <w:bidi w:val="0"/>
        <w:spacing w:before="180" w:after="283"/>
        <w:jc w:val="both"/>
        <w:rPr>
          <w:rFonts w:ascii="Arial" w:hAnsi="Arial"/>
          <w:b w:val="false"/>
          <w:color w:val="000000"/>
          <w:sz w:val="20"/>
        </w:rPr>
      </w:pPr>
      <w:r>
        <w:rPr>
          <w:rFonts w:ascii="Arial" w:hAnsi="Arial"/>
          <w:b w:val="false"/>
          <w:color w:val="000000"/>
          <w:sz w:val="20"/>
        </w:rPr>
        <w:t>The occurrence of regional epidemics or a global pandemic, such as COVID-19, may adversely affect our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pStyle w:val="TextBody"/>
        <w:bidi w:val="0"/>
        <w:spacing w:before="180" w:after="283"/>
        <w:jc w:val="both"/>
        <w:rPr>
          <w:rFonts w:ascii="Arial" w:hAnsi="Arial"/>
          <w:b w:val="false"/>
          <w:color w:val="000000"/>
          <w:sz w:val="20"/>
        </w:rPr>
      </w:pPr>
      <w:r>
        <w:rPr>
          <w:rFonts w:ascii="Arial" w:hAnsi="Arial"/>
          <w:b w:val="false"/>
          <w:color w:val="000000"/>
          <w:sz w:val="20"/>
        </w:rPr>
        <w:t>We may incur increased costs to effectively manage these aspects of our business. If we are unsuccessful, it may adversely impact our revenues, cash flows, market share growth, and reputation.</w:t>
      </w:r>
    </w:p>
    <w:p>
      <w:pPr>
        <w:pStyle w:val="TextBody"/>
        <w:bidi w:val="0"/>
        <w:spacing w:before="180" w:after="283"/>
        <w:jc w:val="both"/>
        <w:rPr>
          <w:rFonts w:ascii="Arial" w:hAnsi="Arial"/>
          <w:b w:val="false"/>
          <w:color w:val="000000"/>
          <w:sz w:val="20"/>
        </w:rPr>
      </w:pPr>
      <w:r>
        <w:rPr>
          <w:rFonts w:ascii="Arial" w:hAnsi="Arial"/>
          <w:b w:val="false"/>
          <w:color w:val="000000"/>
          <w:sz w:val="20"/>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pStyle w:val="TextBody"/>
        <w:bidi w:val="0"/>
        <w:spacing w:before="180" w:after="283"/>
        <w:jc w:val="both"/>
        <w:rPr>
          <w:rFonts w:ascii="Times New Roman" w:hAnsi="Times New Roman"/>
          <w:sz w:val="20"/>
        </w:rPr>
      </w:pPr>
      <w:r>
        <w:rPr>
          <w:rFonts w:ascii="Arial" w:hAnsi="Arial"/>
          <w:b/>
          <w:color w:val="000000"/>
          <w:sz w:val="20"/>
        </w:rPr>
        <w:t>Our global business exposes us to operational and economic risks.</w:t>
      </w:r>
      <w:r>
        <w:rPr>
          <w:rFonts w:ascii="Times New Roman" w:hAnsi="Times New Roman"/>
          <w:color w:val="000000"/>
          <w:sz w:val="20"/>
        </w:rPr>
        <w:t xml:space="preserve"> </w:t>
      </w:r>
      <w:r>
        <w:rPr>
          <w:rFonts w:ascii="Arial" w:hAnsi="Arial"/>
          <w:b w:val="false"/>
          <w:color w:val="000000"/>
          <w:sz w:val="20"/>
        </w:rPr>
        <w:t>Our customers are located throughout the world and a significant 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pStyle w:val="TextBody"/>
        <w:bidi w:val="0"/>
        <w:spacing w:before="180" w:after="283"/>
        <w:jc w:val="both"/>
        <w:rPr>
          <w:rFonts w:ascii="Times New Roman" w:hAnsi="Times New Roman"/>
          <w:sz w:val="20"/>
        </w:rPr>
      </w:pPr>
      <w:r>
        <w:rPr>
          <w:rFonts w:ascii="Arial" w:hAnsi="Arial"/>
          <w:b/>
          <w:color w:val="000000"/>
          <w:sz w:val="20"/>
        </w:rPr>
        <w:t>Our business depends on our ability to attract and retain talented employees.</w:t>
      </w:r>
      <w:r>
        <w:rPr>
          <w:rFonts w:ascii="Times New Roman" w:hAnsi="Times New Roman"/>
          <w:color w:val="000000"/>
          <w:sz w:val="20"/>
        </w:rPr>
        <w:t xml:space="preserve"> </w:t>
      </w:r>
      <w:r>
        <w:rPr>
          <w:rFonts w:ascii="Arial" w:hAnsi="Arial"/>
          <w:b w:val="false"/>
          <w:color w:val="000000"/>
          <w:sz w:val="20"/>
        </w:rPr>
        <w:t>Our business is based on successfully attracting and 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pStyle w:val="TextBody"/>
        <w:bidi w:val="0"/>
        <w:spacing w:before="240" w:after="283"/>
        <w:jc w:val="center"/>
        <w:rPr>
          <w:rFonts w:ascii="Arial" w:hAnsi="Arial"/>
          <w:b w:val="false"/>
          <w:color w:val="000000"/>
          <w:sz w:val="16"/>
        </w:rPr>
      </w:pPr>
      <w:r>
        <w:rPr>
          <w:rFonts w:ascii="Arial" w:hAnsi="Arial"/>
          <w:b w:val="false"/>
          <w:color w:val="000000"/>
          <w:sz w:val="16"/>
        </w:rPr>
        <w:t>57</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2</w:t>
      </w:r>
    </w:p>
    <w:p>
      <w:pPr>
        <w:pStyle w:val="TextBody"/>
        <w:bidi w:val="0"/>
        <w:jc w:val="left"/>
        <w:rPr/>
      </w:pPr>
      <w:r>
        <w:rPr/>
        <w:t> </w:t>
      </w:r>
    </w:p>
    <w:p>
      <w:pPr>
        <w:pStyle w:val="TextBody"/>
        <w:bidi w:val="0"/>
        <w:jc w:val="center"/>
        <w:rPr>
          <w:rFonts w:ascii="Arial" w:hAnsi="Arial"/>
          <w:b/>
          <w:color w:val="000000"/>
          <w:sz w:val="24"/>
        </w:rPr>
      </w:pPr>
      <w:bookmarkStart w:id="18" w:name="item_2_unregistered_sales_equity_securit"/>
      <w:bookmarkEnd w:id="18"/>
      <w:r>
        <w:rPr>
          <w:rFonts w:ascii="Arial" w:hAnsi="Arial"/>
          <w:b/>
          <w:color w:val="000000"/>
          <w:sz w:val="24"/>
        </w:rPr>
        <w:t>ITEM 2. UNREGISTERED SALES OF EQUITY SECURITIES AND USE OF PROCEEDS</w:t>
      </w:r>
    </w:p>
    <w:p>
      <w:pPr>
        <w:pStyle w:val="TextBody"/>
        <w:bidi w:val="0"/>
        <w:spacing w:before="180" w:after="283"/>
        <w:jc w:val="center"/>
        <w:rPr>
          <w:rFonts w:ascii="Arial" w:hAnsi="Arial"/>
          <w:b w:val="false"/>
          <w:color w:val="000000"/>
          <w:sz w:val="20"/>
          <w:u w:val="single"/>
        </w:rPr>
      </w:pPr>
      <w:r>
        <w:rPr>
          <w:rFonts w:ascii="Arial" w:hAnsi="Arial"/>
          <w:b w:val="false"/>
          <w:color w:val="000000"/>
          <w:sz w:val="20"/>
          <w:u w:val="single"/>
        </w:rPr>
        <w:t>SHARE REPURCHASES AND DIVIDENDS</w:t>
      </w:r>
    </w:p>
    <w:p>
      <w:pPr>
        <w:pStyle w:val="TextBody"/>
        <w:bidi w:val="0"/>
        <w:spacing w:before="180" w:after="283"/>
        <w:jc w:val="both"/>
        <w:rPr>
          <w:rFonts w:ascii="Arial" w:hAnsi="Arial"/>
          <w:b w:val="false"/>
          <w:color w:val="000000"/>
          <w:sz w:val="20"/>
        </w:rPr>
      </w:pPr>
      <w:r>
        <w:rPr>
          <w:rFonts w:ascii="Arial" w:hAnsi="Arial"/>
          <w:b w:val="false"/>
          <w:color w:val="000000"/>
          <w:sz w:val="20"/>
        </w:rPr>
        <w:t>Following are our monthly share repurchases for the first quarter of fiscal year 2024:</w:t>
      </w:r>
    </w:p>
    <w:p>
      <w:pPr>
        <w:pStyle w:val="TextBody"/>
        <w:bidi w:val="0"/>
        <w:jc w:val="both"/>
        <w:rPr/>
      </w:pPr>
      <w:r>
        <w:rPr/>
        <w:t> </w:t>
      </w:r>
    </w:p>
    <w:tbl>
      <w:tblPr>
        <w:tblW w:w="10143"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211"/>
        <w:gridCol w:w="691"/>
        <w:gridCol w:w="146"/>
        <w:gridCol w:w="146"/>
        <w:gridCol w:w="168"/>
        <w:gridCol w:w="1227"/>
        <w:gridCol w:w="146"/>
        <w:gridCol w:w="146"/>
        <w:gridCol w:w="347"/>
        <w:gridCol w:w="1138"/>
        <w:gridCol w:w="37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rFonts w:ascii="Arial" w:hAnsi="Arial"/>
                <w:b/>
                <w:color w:val="000000"/>
                <w:sz w:val="15"/>
              </w:rPr>
            </w:pPr>
            <w:r>
              <w:rPr>
                <w:rFonts w:ascii="Arial" w:hAnsi="Arial"/>
                <w:b/>
                <w:color w:val="000000"/>
                <w:sz w:val="15"/>
              </w:rPr>
              <w:t>Period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rFonts w:ascii="Arial" w:hAnsi="Arial"/>
                <w:b/>
                <w:color w:val="000000"/>
                <w:sz w:val="15"/>
              </w:rPr>
            </w:pPr>
            <w:r>
              <w:rPr>
                <w:rFonts w:ascii="Arial" w:hAnsi="Arial"/>
                <w:b/>
                <w:color w:val="000000"/>
                <w:sz w:val="15"/>
              </w:rPr>
              <w:t>of Shares</w:t>
            </w:r>
          </w:p>
          <w:p>
            <w:pPr>
              <w:pStyle w:val="TableContents"/>
              <w:bidi w:val="0"/>
              <w:spacing w:before="0" w:after="283"/>
              <w:jc w:val="right"/>
              <w:rPr>
                <w:rFonts w:ascii="Arial" w:hAnsi="Arial"/>
                <w:b/>
                <w:color w:val="000000"/>
                <w:sz w:val="15"/>
              </w:rPr>
            </w:pPr>
            <w:r>
              <w:rPr>
                <w:rFonts w:ascii="Arial" w:hAnsi="Arial"/>
                <w:b/>
                <w:color w:val="000000"/>
                <w:sz w:val="15"/>
              </w:rPr>
              <w:t>Purchased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vAlign w:val="center"/>
          </w:tcPr>
          <w:p>
            <w:pPr>
              <w:pStyle w:val="TableContents"/>
              <w:bidi w:val="0"/>
              <w:jc w:val="right"/>
              <w:rPr>
                <w:rFonts w:ascii="Arial" w:hAnsi="Arial"/>
                <w:b/>
                <w:color w:val="000000"/>
                <w:sz w:val="15"/>
              </w:rPr>
            </w:pPr>
            <w:r>
              <w:rPr>
                <w:rFonts w:ascii="Arial" w:hAnsi="Arial"/>
                <w:b/>
                <w:color w:val="000000"/>
                <w:sz w:val="15"/>
              </w:rPr>
              <w:t>Average</w:t>
            </w:r>
          </w:p>
          <w:p>
            <w:pPr>
              <w:pStyle w:val="TableContents"/>
              <w:bidi w:val="0"/>
              <w:jc w:val="right"/>
              <w:rPr>
                <w:rFonts w:ascii="Arial" w:hAnsi="Arial"/>
                <w:b/>
                <w:color w:val="000000"/>
                <w:sz w:val="15"/>
              </w:rPr>
            </w:pPr>
            <w:r>
              <w:rPr>
                <w:rFonts w:ascii="Arial" w:hAnsi="Arial"/>
                <w:b/>
                <w:color w:val="000000"/>
                <w:sz w:val="15"/>
              </w:rPr>
              <w:t>Price Paid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color w:val="000000"/>
              </w:rPr>
            </w:pPr>
            <w:r>
              <w:rPr>
                <w:color w:val="000000"/>
              </w:rPr>
              <w:t> </w:t>
            </w:r>
            <w:r>
              <w:rPr>
                <w:rFonts w:ascii="Arial" w:hAnsi="Arial"/>
                <w:b/>
                <w:color w:val="000000"/>
                <w:sz w:val="15"/>
              </w:rPr>
              <w:t>of Shares</w:t>
            </w:r>
          </w:p>
          <w:p>
            <w:pPr>
              <w:pStyle w:val="TableContents"/>
              <w:bidi w:val="0"/>
              <w:jc w:val="right"/>
              <w:rPr>
                <w:color w:val="000000"/>
              </w:rPr>
            </w:pPr>
            <w:r>
              <w:rPr>
                <w:color w:val="000000"/>
              </w:rPr>
              <w:t> </w:t>
            </w:r>
            <w:r>
              <w:rPr>
                <w:rFonts w:ascii="Arial" w:hAnsi="Arial"/>
                <w:b/>
                <w:color w:val="000000"/>
                <w:sz w:val="15"/>
              </w:rPr>
              <w:t>Purchased as</w:t>
            </w:r>
          </w:p>
          <w:p>
            <w:pPr>
              <w:pStyle w:val="TableContents"/>
              <w:bidi w:val="0"/>
              <w:jc w:val="right"/>
              <w:rPr>
                <w:rFonts w:ascii="Arial" w:hAnsi="Arial"/>
                <w:b/>
                <w:color w:val="000000"/>
                <w:sz w:val="15"/>
              </w:rPr>
            </w:pPr>
            <w:r>
              <w:rPr>
                <w:rFonts w:ascii="Arial" w:hAnsi="Arial"/>
                <w:b/>
                <w:color w:val="000000"/>
                <w:sz w:val="15"/>
              </w:rPr>
              <w:t>Part of Publicly</w:t>
            </w:r>
          </w:p>
          <w:p>
            <w:pPr>
              <w:pStyle w:val="TableContents"/>
              <w:bidi w:val="0"/>
              <w:jc w:val="right"/>
              <w:rPr>
                <w:rFonts w:ascii="Arial" w:hAnsi="Arial"/>
                <w:b/>
                <w:color w:val="000000"/>
                <w:sz w:val="15"/>
              </w:rPr>
            </w:pPr>
            <w:r>
              <w:rPr>
                <w:rFonts w:ascii="Arial" w:hAnsi="Arial"/>
                <w:b/>
                <w:color w:val="000000"/>
                <w:sz w:val="15"/>
              </w:rPr>
              <w:t>Announced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vAlign w:val="center"/>
          </w:tcPr>
          <w:p>
            <w:pPr>
              <w:pStyle w:val="TableContents"/>
              <w:bidi w:val="0"/>
              <w:jc w:val="right"/>
              <w:rPr>
                <w:rFonts w:ascii="Arial" w:hAnsi="Arial"/>
                <w:b/>
                <w:color w:val="000000"/>
                <w:sz w:val="15"/>
              </w:rPr>
            </w:pPr>
            <w:r>
              <w:rPr>
                <w:rFonts w:ascii="Arial" w:hAnsi="Arial"/>
                <w:b/>
                <w:color w:val="000000"/>
                <w:sz w:val="15"/>
              </w:rPr>
              <w:t>Approximate</w:t>
            </w:r>
          </w:p>
          <w:p>
            <w:pPr>
              <w:pStyle w:val="TableContents"/>
              <w:bidi w:val="0"/>
              <w:jc w:val="right"/>
              <w:rPr>
                <w:color w:val="000000"/>
              </w:rPr>
            </w:pPr>
            <w:r>
              <w:rPr>
                <w:color w:val="000000"/>
              </w:rPr>
              <w:t> </w:t>
            </w:r>
            <w:r>
              <w:rPr>
                <w:rFonts w:ascii="Arial" w:hAnsi="Arial"/>
                <w:b/>
                <w:color w:val="000000"/>
                <w:sz w:val="15"/>
              </w:rPr>
              <w:t>Dollar Value of</w:t>
            </w:r>
          </w:p>
          <w:p>
            <w:pPr>
              <w:pStyle w:val="TableContents"/>
              <w:bidi w:val="0"/>
              <w:jc w:val="right"/>
              <w:rPr>
                <w:rFonts w:ascii="Arial" w:hAnsi="Arial"/>
                <w:b/>
                <w:color w:val="000000"/>
                <w:sz w:val="15"/>
              </w:rPr>
            </w:pPr>
            <w:r>
              <w:rPr>
                <w:rFonts w:ascii="Arial" w:hAnsi="Arial"/>
                <w:b/>
                <w:color w:val="000000"/>
                <w:sz w:val="15"/>
              </w:rPr>
              <w:t>Shares That May</w:t>
            </w:r>
          </w:p>
          <w:p>
            <w:pPr>
              <w:pStyle w:val="TableContents"/>
              <w:bidi w:val="0"/>
              <w:jc w:val="right"/>
              <w:rPr>
                <w:color w:val="000000"/>
              </w:rPr>
            </w:pPr>
            <w:r>
              <w:rPr>
                <w:color w:val="000000"/>
              </w:rPr>
              <w:t> </w:t>
            </w:r>
            <w:r>
              <w:rPr>
                <w:rFonts w:ascii="Arial" w:hAnsi="Arial"/>
                <w:b/>
                <w:color w:val="000000"/>
                <w:sz w:val="15"/>
              </w:rPr>
              <w:t>Yet Be Purchased</w:t>
            </w:r>
          </w:p>
          <w:p>
            <w:pPr>
              <w:pStyle w:val="TableContents"/>
              <w:bidi w:val="0"/>
              <w:jc w:val="right"/>
              <w:rPr>
                <w:color w:val="000000"/>
              </w:rPr>
            </w:pPr>
            <w:r>
              <w:rPr>
                <w:color w:val="000000"/>
              </w:rPr>
              <w:t> </w:t>
            </w:r>
            <w:r>
              <w:rPr>
                <w:rFonts w:ascii="Arial" w:hAnsi="Arial"/>
                <w:b/>
                <w:color w:val="000000"/>
                <w:sz w:val="15"/>
              </w:rPr>
              <w:t>Under the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5" w:type="dxa"/>
            <w:gridSpan w:val="2"/>
            <w:tcBorders/>
            <w:shd w:fill="FFFFFF" w:val="cle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375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July 1, 2023 – July 31,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4,176,800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341.81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68" w:type="dxa"/>
            <w:tcBorders/>
            <w:shd w:fill="E5E5E5" w:val="clear"/>
            <w:vAlign w:val="center"/>
          </w:tcPr>
          <w:p>
            <w:pPr>
              <w:pStyle w:val="TableContents"/>
              <w:bidi w:val="0"/>
              <w:spacing w:before="0" w:after="283"/>
              <w:jc w:val="left"/>
              <w:rPr>
                <w:sz w:val="4"/>
                <w:szCs w:val="4"/>
              </w:rPr>
            </w:pPr>
            <w:r>
              <w:rPr>
                <w:sz w:val="4"/>
                <w:szCs w:val="4"/>
              </w:rPr>
            </w:r>
          </w:p>
        </w:tc>
        <w:tc>
          <w:tcPr>
            <w:tcW w:w="122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4,176,800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4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13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20,882</w:t>
            </w:r>
          </w:p>
        </w:tc>
        <w:tc>
          <w:tcPr>
            <w:tcW w:w="37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751" w:type="dxa"/>
            <w:tcBorders/>
            <w:shd w:fill="FFFFFF"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August 1, 2023 – August 31,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5,401,235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325.01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5,401,235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19,126</w:t>
            </w:r>
          </w:p>
        </w:tc>
        <w:tc>
          <w:tcPr>
            <w:tcW w:w="37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3751" w:type="dxa"/>
            <w:tcBorders/>
            <w:shd w:fill="E5E5E5" w:val="clear"/>
            <w:vAlign w:val="center"/>
          </w:tcPr>
          <w:p>
            <w:pPr>
              <w:pStyle w:val="TableContents"/>
              <w:pBdr/>
              <w:bidi w:val="0"/>
              <w:spacing w:before="0" w:after="283"/>
              <w:ind w:left="0" w:right="0" w:hanging="245"/>
              <w:jc w:val="left"/>
              <w:rPr>
                <w:rFonts w:ascii="Arial" w:hAnsi="Arial"/>
                <w:b w:val="false"/>
                <w:color w:val="000000"/>
                <w:sz w:val="20"/>
              </w:rPr>
            </w:pPr>
            <w:r>
              <w:rPr>
                <w:rFonts w:ascii="Arial" w:hAnsi="Arial"/>
                <w:b w:val="false"/>
                <w:color w:val="000000"/>
                <w:sz w:val="20"/>
              </w:rPr>
              <w:t>September 1, 2023 – September 30,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06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1,136,549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331.62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68" w:type="dxa"/>
            <w:tcBorders/>
            <w:shd w:fill="E5E5E5" w:val="clear"/>
            <w:vAlign w:val="center"/>
          </w:tcPr>
          <w:p>
            <w:pPr>
              <w:pStyle w:val="TableContents"/>
              <w:bidi w:val="0"/>
              <w:spacing w:before="0" w:after="283"/>
              <w:jc w:val="left"/>
              <w:rPr>
                <w:sz w:val="4"/>
                <w:szCs w:val="4"/>
              </w:rPr>
            </w:pPr>
            <w:r>
              <w:rPr>
                <w:sz w:val="4"/>
                <w:szCs w:val="4"/>
              </w:rPr>
            </w:r>
          </w:p>
        </w:tc>
        <w:tc>
          <w:tcPr>
            <w:tcW w:w="122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1,136,549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47" w:type="dxa"/>
            <w:tcBorders/>
            <w:shd w:fill="E5E5E5" w:val="clear"/>
            <w:vAlign w:val="center"/>
          </w:tcPr>
          <w:p>
            <w:pPr>
              <w:pStyle w:val="TableContents"/>
              <w:bidi w:val="0"/>
              <w:spacing w:before="0" w:after="283"/>
              <w:jc w:val="left"/>
              <w:rPr>
                <w:sz w:val="4"/>
                <w:szCs w:val="4"/>
              </w:rPr>
            </w:pPr>
            <w:r>
              <w:rPr>
                <w:sz w:val="4"/>
                <w:szCs w:val="4"/>
              </w:rPr>
            </w:r>
          </w:p>
        </w:tc>
        <w:tc>
          <w:tcPr>
            <w:tcW w:w="113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18,749</w:t>
            </w:r>
          </w:p>
        </w:tc>
        <w:tc>
          <w:tcPr>
            <w:tcW w:w="376" w:type="dxa"/>
            <w:tcBorders/>
            <w:shd w:fill="E5E5E5" w:val="clear"/>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10,714,584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10,714,584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7"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pStyle w:val="TextBody"/>
        <w:bidi w:val="0"/>
        <w:spacing w:before="180" w:after="283"/>
        <w:jc w:val="both"/>
        <w:rPr>
          <w:rFonts w:ascii="Arial" w:hAnsi="Arial"/>
          <w:b w:val="false"/>
          <w:color w:val="000000"/>
          <w:sz w:val="20"/>
        </w:rPr>
      </w:pPr>
      <w:r>
        <w:rPr>
          <w:rFonts w:ascii="Arial" w:hAnsi="Arial"/>
          <w:b w:val="false"/>
          <w:color w:val="000000"/>
          <w:sz w:val="20"/>
        </w:rPr>
        <w:t>Our Board of Directors declared the following dividends during the first quarter of fiscal year 2024:</w:t>
      </w:r>
    </w:p>
    <w:p>
      <w:pPr>
        <w:pStyle w:val="TextBody"/>
        <w:bidi w:val="0"/>
        <w:jc w:val="both"/>
        <w:rPr/>
      </w:pPr>
      <w:r>
        <w:rPr/>
        <w:t> </w:t>
      </w:r>
    </w:p>
    <w:tbl>
      <w:tblPr>
        <w:tblW w:w="9617" w:type="dxa"/>
        <w:jc w:val="left"/>
        <w:tblInd w:w="0" w:type="dxa"/>
        <w:tblLayout w:type="fixed"/>
        <w:tblCellMar>
          <w:top w:w="28" w:type="dxa"/>
          <w:left w:w="28" w:type="dxa"/>
          <w:bottom w:w="28" w:type="dxa"/>
          <w:right w:w="28" w:type="dxa"/>
        </w:tblCellMar>
      </w:tblPr>
      <w:tblGrid>
        <w:gridCol w:w="1936"/>
        <w:gridCol w:w="146"/>
        <w:gridCol w:w="146"/>
        <w:gridCol w:w="1861"/>
        <w:gridCol w:w="146"/>
        <w:gridCol w:w="146"/>
        <w:gridCol w:w="146"/>
        <w:gridCol w:w="1846"/>
        <w:gridCol w:w="146"/>
        <w:gridCol w:w="146"/>
        <w:gridCol w:w="211"/>
        <w:gridCol w:w="841"/>
        <w:gridCol w:w="146"/>
        <w:gridCol w:w="146"/>
        <w:gridCol w:w="211"/>
        <w:gridCol w:w="961"/>
        <w:gridCol w:w="43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436" w:type="dxa"/>
            <w:tcBorders/>
            <w:vAlign w:val="center"/>
          </w:tcPr>
          <w:p>
            <w:pPr>
              <w:pStyle w:val="TableContents"/>
              <w:bidi w:val="0"/>
              <w:spacing w:before="0" w:after="283"/>
              <w:jc w:val="left"/>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436" w:type="dxa"/>
            <w:tcBorders/>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1936"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September 19,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86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November 16,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84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December 14,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4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0.75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61" w:type="dxa"/>
            <w:tcBorders/>
            <w:shd w:fill="E5E5E5" w:val="clear"/>
            <w:vAlign w:val="center"/>
          </w:tcPr>
          <w:p>
            <w:pPr>
              <w:pStyle w:val="TableContents"/>
              <w:bidi w:val="0"/>
              <w:spacing w:before="0" w:after="283"/>
              <w:jc w:val="right"/>
              <w:rPr>
                <w:rFonts w:ascii="Times New Roman" w:hAnsi="Times New Roman"/>
                <w:sz w:val="20"/>
              </w:rPr>
            </w:pPr>
            <w:r>
              <w:rPr>
                <w:rFonts w:ascii="Arial" w:hAnsi="Arial"/>
                <w:b/>
                <w:color w:val="000000"/>
                <w:sz w:val="20"/>
              </w:rPr>
              <w:t>5,573</w:t>
            </w:r>
            <w:r>
              <w:rPr>
                <w:rFonts w:ascii="Times New Roman" w:hAnsi="Times New Roman"/>
                <w:color w:val="000000"/>
                <w:sz w:val="20"/>
              </w:rPr>
              <w:t xml:space="preserve"> </w:t>
            </w:r>
          </w:p>
        </w:tc>
        <w:tc>
          <w:tcPr>
            <w:tcW w:w="436" w:type="dxa"/>
            <w:tcBorders/>
            <w:shd w:fill="E5E5E5" w:val="clear"/>
            <w:vAlign w:val="center"/>
          </w:tcPr>
          <w:p>
            <w:pPr>
              <w:pStyle w:val="TableContents"/>
              <w:bidi w:val="0"/>
              <w:spacing w:before="0" w:after="283"/>
              <w:jc w:val="left"/>
              <w:rPr/>
            </w:pPr>
            <w:r>
              <w:rPr/>
              <w:t> </w:t>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We returned $9.1 billion to shareholders in the form of share repurchases and dividends in the first quarter of fiscal year 2024. Refer to Note 14 – Stockholders’ Equity of the Notes to Financial Statements (Part I, Item 1 of this Form 10-Q) for further discussion regarding share repurchases and dividends.</w:t>
      </w:r>
    </w:p>
    <w:p>
      <w:pPr>
        <w:pStyle w:val="TextBody"/>
        <w:bidi w:val="0"/>
        <w:spacing w:before="240" w:after="283"/>
        <w:jc w:val="center"/>
        <w:rPr>
          <w:rFonts w:ascii="Arial" w:hAnsi="Arial"/>
          <w:b w:val="false"/>
          <w:color w:val="000000"/>
          <w:sz w:val="16"/>
        </w:rPr>
      </w:pPr>
      <w:r>
        <w:rPr>
          <w:rFonts w:ascii="Arial" w:hAnsi="Arial"/>
          <w:b w:val="false"/>
          <w:color w:val="000000"/>
          <w:sz w:val="16"/>
        </w:rPr>
        <w:t>58</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5</w:t>
      </w:r>
    </w:p>
    <w:p>
      <w:pPr>
        <w:pStyle w:val="TextBody"/>
        <w:bidi w:val="0"/>
        <w:jc w:val="left"/>
        <w:rPr/>
      </w:pPr>
      <w:r>
        <w:rPr/>
        <w:t> </w:t>
      </w:r>
    </w:p>
    <w:p>
      <w:pPr>
        <w:pStyle w:val="TextBody"/>
        <w:bidi w:val="0"/>
        <w:jc w:val="center"/>
        <w:rPr>
          <w:rFonts w:ascii="Arial" w:hAnsi="Arial"/>
          <w:b/>
          <w:color w:val="000000"/>
          <w:sz w:val="24"/>
        </w:rPr>
      </w:pPr>
      <w:bookmarkStart w:id="19" w:name="item_5"/>
      <w:bookmarkEnd w:id="19"/>
      <w:r>
        <w:rPr>
          <w:rFonts w:ascii="Arial" w:hAnsi="Arial"/>
          <w:b/>
          <w:color w:val="000000"/>
          <w:sz w:val="24"/>
        </w:rPr>
        <w:t>ITEM 5. OTHER INFORMATION</w:t>
      </w:r>
    </w:p>
    <w:p>
      <w:pPr>
        <w:pStyle w:val="TextBody"/>
        <w:bidi w:val="0"/>
        <w:spacing w:before="180" w:after="283"/>
        <w:jc w:val="both"/>
        <w:rPr>
          <w:rFonts w:ascii="Arial" w:hAnsi="Arial"/>
          <w:b/>
          <w:color w:val="000000"/>
          <w:sz w:val="20"/>
        </w:rPr>
      </w:pPr>
      <w:r>
        <w:rPr>
          <w:rFonts w:ascii="Arial" w:hAnsi="Arial"/>
          <w:b/>
          <w:color w:val="000000"/>
          <w:sz w:val="20"/>
        </w:rPr>
        <w:t>Insider Trading Arrangements</w:t>
      </w:r>
    </w:p>
    <w:p>
      <w:pPr>
        <w:pStyle w:val="TextBody"/>
        <w:bidi w:val="0"/>
        <w:spacing w:before="180" w:after="283"/>
        <w:jc w:val="both"/>
        <w:rPr>
          <w:rFonts w:ascii="Arial" w:hAnsi="Arial"/>
          <w:b w:val="false"/>
          <w:color w:val="000000"/>
          <w:sz w:val="20"/>
        </w:rPr>
      </w:pPr>
      <w:r>
        <w:rPr>
          <w:rFonts w:ascii="Arial" w:hAnsi="Arial"/>
          <w:b w:val="false"/>
          <w:color w:val="000000"/>
          <w:sz w:val="20"/>
        </w:rPr>
        <w:t>Our Section 16 officers and directors, as defined in Rule 16a-1(f) of the Securities Exchange Act of 1934 (the “Exchange Act”), may from time to time enter into plans for the purchase or sale of our common stock that are intended to satisfy the affirmative defense conditions of Rule 10b5-1(c) of the Exchange Act. During the quarter ended September 30, 2023, the following Section 16 officers and directors adopted, modified, or terminated “Rule 10b5-1 trading arrangements” (as defined in Item 408 of Regulation S-K of the Exchange Act):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b w:val="false"/>
          <w:color w:val="000000"/>
          <w:sz w:val="20"/>
        </w:rPr>
        <w:t>Satya Nadella, our Chief Executive Officer and Chairman of the Board of Directors, adopted</w:t>
      </w:r>
      <w:r>
        <w:rPr>
          <w:rFonts w:ascii="Arial" w:hAnsi="Arial"/>
          <w:color w:val="000000"/>
          <w:sz w:val="20"/>
        </w:rPr>
        <w:t xml:space="preserve"> </w:t>
      </w:r>
      <w:r>
        <w:rPr>
          <w:rFonts w:ascii="Arial" w:hAnsi="Arial"/>
          <w:b w:val="false"/>
          <w:color w:val="000000"/>
          <w:sz w:val="20"/>
        </w:rPr>
        <w:t>a new written trading plan on September 7, 2023. The plan’s maximum duration is until September 6, 2024. The first trade will not occur until February 28, 2024, at the earliest. The trading plan is intended to permit Mr. Nadella to sell (i) 49% of net vested shares of our common stock pursuant to a Restricted Stock Award that will vest on February 28, 2024, and (ii) 49% of net vested shares of our common stock pursuant to Restricted Stock</w:t>
      </w:r>
      <w:r>
        <w:rPr>
          <w:rFonts w:ascii="Arial" w:hAnsi="Arial"/>
          <w:color w:val="000000"/>
          <w:sz w:val="20"/>
          <w:u w:val="single"/>
        </w:rPr>
        <w:t xml:space="preserve"> </w:t>
      </w:r>
      <w:r>
        <w:rPr>
          <w:rFonts w:ascii="Arial" w:hAnsi="Arial"/>
          <w:b w:val="false"/>
          <w:color w:val="000000"/>
          <w:sz w:val="20"/>
        </w:rPr>
        <w:t>Awards that will vest on August 31, 2024.</w:t>
      </w:r>
    </w:p>
    <w:p>
      <w:pPr>
        <w:pStyle w:val="TextBody"/>
        <w:bidi w:val="0"/>
        <w:spacing w:before="180" w:after="283"/>
        <w:jc w:val="both"/>
        <w:rPr>
          <w:rFonts w:ascii="Times New Roman" w:hAnsi="Times New Roman"/>
          <w:sz w:val="20"/>
        </w:rPr>
      </w:pPr>
      <w:r>
        <w:rPr>
          <w:rFonts w:ascii="Arial" w:hAnsi="Arial"/>
          <w:b w:val="false"/>
          <w:color w:val="000000"/>
          <w:sz w:val="20"/>
        </w:rPr>
        <w:t>No other officers or directors, as defined in Rule 16a-1(f), adopted, modified, or terminated</w:t>
      </w:r>
      <w:r>
        <w:rPr>
          <w:rFonts w:ascii="Times New Roman" w:hAnsi="Times New Roman"/>
          <w:color w:val="000000"/>
          <w:sz w:val="20"/>
        </w:rPr>
        <w:t xml:space="preserve"> </w:t>
      </w:r>
      <w:r>
        <w:rPr>
          <w:rFonts w:ascii="Arial" w:hAnsi="Arial"/>
          <w:b w:val="false"/>
          <w:color w:val="000000"/>
          <w:sz w:val="20"/>
        </w:rPr>
        <w:t>a “Rule 10b5-1</w:t>
      </w:r>
      <w:r>
        <w:rPr>
          <w:rFonts w:ascii="Times New Roman" w:hAnsi="Times New Roman"/>
          <w:color w:val="000000"/>
          <w:sz w:val="20"/>
        </w:rPr>
        <w:t xml:space="preserve"> </w:t>
      </w:r>
      <w:r>
        <w:rPr>
          <w:rFonts w:ascii="Arial" w:hAnsi="Arial"/>
          <w:b w:val="false"/>
          <w:color w:val="000000"/>
          <w:sz w:val="20"/>
        </w:rPr>
        <w:t>trading arrangement” or a “non-Rule 10b5-1</w:t>
      </w:r>
      <w:r>
        <w:rPr>
          <w:rFonts w:ascii="Times New Roman" w:hAnsi="Times New Roman"/>
          <w:color w:val="000000"/>
          <w:sz w:val="20"/>
        </w:rPr>
        <w:t xml:space="preserve"> </w:t>
      </w:r>
      <w:r>
        <w:rPr>
          <w:rFonts w:ascii="Arial" w:hAnsi="Arial"/>
          <w:b w:val="false"/>
          <w:color w:val="000000"/>
          <w:sz w:val="20"/>
        </w:rPr>
        <w:t>trading arrangement,” as defined in Item 408 of Regulation S-K, during the three months ended September 30, 2023.</w:t>
      </w:r>
    </w:p>
    <w:p>
      <w:pPr>
        <w:pStyle w:val="TextBody"/>
        <w:bidi w:val="0"/>
        <w:spacing w:before="240" w:after="283"/>
        <w:jc w:val="center"/>
        <w:rPr>
          <w:rFonts w:ascii="Arial" w:hAnsi="Arial"/>
          <w:b w:val="false"/>
          <w:color w:val="000000"/>
          <w:sz w:val="16"/>
        </w:rPr>
      </w:pPr>
      <w:r>
        <w:rPr>
          <w:rFonts w:ascii="Arial" w:hAnsi="Arial"/>
          <w:b w:val="false"/>
          <w:color w:val="000000"/>
          <w:sz w:val="16"/>
        </w:rPr>
        <w:t>59</w:t>
      </w:r>
    </w:p>
    <w:p>
      <w:pPr>
        <w:pStyle w:val="HorizontalLine"/>
        <w:pBdr>
          <w:bottom w:val="double" w:sz="2" w:space="0" w:color="808080"/>
        </w:pBdr>
        <w:bidi w:val="0"/>
        <w:spacing w:before="0" w:after="283"/>
        <w:jc w:val="left"/>
        <w:rPr/>
      </w:pPr>
      <w:r>
        <w:rPr/>
      </w:r>
    </w:p>
    <w:p>
      <w:pPr>
        <w:pStyle w:val="TextBody"/>
        <w:bidi w:val="0"/>
        <w:jc w:val="center"/>
        <w:rPr>
          <w:rFonts w:ascii="Arial" w:hAnsi="Arial"/>
          <w:b w:val="false"/>
          <w:color w:val="000000"/>
          <w:sz w:val="15"/>
          <w:u w:val="single"/>
        </w:rPr>
      </w:pPr>
      <w:r>
        <w:rPr>
          <w:rFonts w:ascii="Arial" w:hAnsi="Arial"/>
          <w:b w:val="false"/>
          <w:color w:val="000000"/>
          <w:sz w:val="15"/>
          <w:u w:val="single"/>
        </w:rPr>
        <w:t>PART II</w:t>
      </w:r>
    </w:p>
    <w:p>
      <w:pPr>
        <w:pStyle w:val="TextBody"/>
        <w:bidi w:val="0"/>
        <w:jc w:val="center"/>
        <w:rPr>
          <w:rFonts w:ascii="Arial" w:hAnsi="Arial"/>
          <w:b w:val="false"/>
          <w:color w:val="000000"/>
          <w:sz w:val="15"/>
        </w:rPr>
      </w:pPr>
      <w:r>
        <w:rPr>
          <w:rFonts w:ascii="Arial" w:hAnsi="Arial"/>
          <w:b w:val="false"/>
          <w:color w:val="000000"/>
          <w:sz w:val="15"/>
        </w:rPr>
        <w:t>Item 6</w:t>
      </w:r>
    </w:p>
    <w:p>
      <w:pPr>
        <w:pStyle w:val="TextBody"/>
        <w:bidi w:val="0"/>
        <w:jc w:val="left"/>
        <w:rPr/>
      </w:pPr>
      <w:r>
        <w:rPr/>
        <w:t> </w:t>
      </w:r>
    </w:p>
    <w:p>
      <w:pPr>
        <w:pStyle w:val="TextBody"/>
        <w:bidi w:val="0"/>
        <w:jc w:val="center"/>
        <w:rPr>
          <w:rFonts w:ascii="Arial" w:hAnsi="Arial"/>
          <w:b/>
          <w:color w:val="000000"/>
          <w:sz w:val="24"/>
        </w:rPr>
      </w:pPr>
      <w:bookmarkStart w:id="20" w:name="item_6_exhibits"/>
      <w:bookmarkEnd w:id="20"/>
      <w:r>
        <w:rPr>
          <w:rFonts w:ascii="Arial" w:hAnsi="Arial"/>
          <w:b/>
          <w:color w:val="000000"/>
          <w:sz w:val="24"/>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146"/>
        <w:gridCol w:w="9310"/>
      </w:tblGrid>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15.1</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left"/>
              <w:rPr/>
            </w:pPr>
            <w:hyperlink w:anchor="msft-ex15_1.htm">
              <w:r>
                <w:rPr>
                  <w:rStyle w:val="InternetLink"/>
                  <w:rFonts w:ascii="Arial" w:hAnsi="Arial"/>
                  <w:b w:val="false"/>
                  <w:color w:val="000000"/>
                  <w:sz w:val="20"/>
                </w:rPr>
                <w:t>Letter regarding unaudited interim financial information</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pPr>
            <w:hyperlink w:anchor="msft-ex31_1.htm">
              <w:r>
                <w:rPr>
                  <w:rStyle w:val="InternetLink"/>
                  <w:rFonts w:ascii="Arial" w:hAnsi="Arial"/>
                  <w:b w:val="false"/>
                  <w:color w:val="000000"/>
                  <w:sz w:val="20"/>
                </w:rPr>
                <w:t>Certification of Chief Executive Officer Pursuant to Section 302 of the Sarbanes-Oxley Act of 2002</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pPr>
            <w:hyperlink w:anchor="msft-ex31_2.htm">
              <w:r>
                <w:rPr>
                  <w:rStyle w:val="InternetLink"/>
                  <w:rFonts w:ascii="Arial" w:hAnsi="Arial"/>
                  <w:b w:val="false"/>
                  <w:color w:val="000000"/>
                  <w:sz w:val="20"/>
                </w:rPr>
                <w:t>Certification of Chief Financial Officer Pursuant to Section 302 of the Sarbanes-Oxley Act of 2002</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pPr>
            <w:hyperlink w:anchor="msft-ex32_1.htm">
              <w:r>
                <w:rPr>
                  <w:rStyle w:val="InternetLink"/>
                  <w:rFonts w:ascii="Arial" w:hAnsi="Arial"/>
                  <w:b w:val="false"/>
                  <w:color w:val="000000"/>
                  <w:sz w:val="20"/>
                </w:rPr>
                <w:t>Certification of Chief Executive Officer Pursuant to Section 906 of the Sarbanes-Oxley Act of 2002</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pPr>
            <w:hyperlink w:anchor="msft-ex32_2.htm">
              <w:r>
                <w:rPr>
                  <w:rStyle w:val="InternetLink"/>
                  <w:rFonts w:ascii="Arial" w:hAnsi="Arial"/>
                  <w:b w:val="false"/>
                  <w:color w:val="000000"/>
                  <w:sz w:val="20"/>
                </w:rPr>
                <w:t>Certification of Chief Financial Officer Pursuant to Section 906 of the Sarbanes-Oxley Act of 2002</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Instance Document–the instance document does not appear in the Interactive Data File as its XBRL tags are embedded within the Inline XBRL document</w:t>
            </w:r>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Schema</w:t>
            </w:r>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Calculation Linkbase</w:t>
            </w:r>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Definition Linkbase</w:t>
            </w:r>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Label Linkbase</w:t>
            </w:r>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Inline XBRL Taxonomy Extension Presentation Linkbase</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310" w:type="dxa"/>
            <w:tcBorders/>
            <w:vAlign w:val="center"/>
          </w:tcPr>
          <w:p>
            <w:pPr>
              <w:pStyle w:val="TableContents"/>
              <w:bidi w:val="0"/>
              <w:spacing w:before="0" w:after="283"/>
              <w:jc w:val="both"/>
              <w:rPr/>
            </w:pPr>
            <w:r>
              <w:rPr/>
              <w:t> </w:t>
            </w:r>
          </w:p>
        </w:tc>
      </w:tr>
      <w:tr>
        <w:trPr/>
        <w:tc>
          <w:tcPr>
            <w:tcW w:w="749"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Cover page formatted as Inline XBRL and contained in Exhibit 101</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val="false"/>
          <w:i/>
          <w:color w:val="000000"/>
          <w:sz w:val="20"/>
        </w:rPr>
        <w:t>*</w:t>
      </w:r>
      <w:r>
        <w:rPr>
          <w:rFonts w:ascii="Times New Roman" w:hAnsi="Times New Roman"/>
          <w:color w:val="000000"/>
          <w:sz w:val="20"/>
        </w:rPr>
        <w:t xml:space="preserve"> </w:t>
      </w:r>
      <w:r>
        <w:rPr>
          <w:rFonts w:ascii="Arial" w:hAnsi="Arial"/>
          <w:b w:val="false"/>
          <w:i/>
          <w:color w:val="000000"/>
          <w:sz w:val="20"/>
        </w:rPr>
        <w:t>Furnished, not filed.</w:t>
      </w:r>
    </w:p>
    <w:p>
      <w:pPr>
        <w:pStyle w:val="TextBody"/>
        <w:bidi w:val="0"/>
        <w:jc w:val="left"/>
        <w:rPr/>
      </w:pPr>
      <w:r>
        <w:rPr/>
        <w:t> </w:t>
      </w:r>
    </w:p>
    <w:p>
      <w:pPr>
        <w:pStyle w:val="TextBody"/>
        <w:bidi w:val="0"/>
        <w:spacing w:before="70" w:after="283"/>
        <w:jc w:val="both"/>
        <w:rPr>
          <w:rFonts w:ascii="Arial" w:hAnsi="Arial"/>
          <w:b/>
          <w:color w:val="000000"/>
          <w:sz w:val="20"/>
        </w:rPr>
      </w:pPr>
      <w:r>
        <w:rPr>
          <w:rFonts w:ascii="Arial" w:hAnsi="Arial"/>
          <w:b/>
          <w:color w:val="000000"/>
          <w:sz w:val="20"/>
        </w:rPr>
        <w:t>Items 3 and 4 are not applicable and have been omitted.</w:t>
      </w:r>
    </w:p>
    <w:p>
      <w:pPr>
        <w:pStyle w:val="TextBody"/>
        <w:bidi w:val="0"/>
        <w:spacing w:before="240" w:after="283"/>
        <w:jc w:val="center"/>
        <w:rPr>
          <w:rFonts w:ascii="Arial" w:hAnsi="Arial"/>
          <w:b w:val="false"/>
          <w:color w:val="000000"/>
          <w:sz w:val="16"/>
        </w:rPr>
      </w:pPr>
      <w:r>
        <w:rPr>
          <w:rFonts w:ascii="Arial" w:hAnsi="Arial"/>
          <w:b w:val="false"/>
          <w:color w:val="000000"/>
          <w:sz w:val="16"/>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w:t>
      </w:r>
    </w:p>
    <w:p>
      <w:pPr>
        <w:pStyle w:val="TextBody"/>
        <w:bidi w:val="0"/>
        <w:spacing w:before="180" w:after="283"/>
        <w:jc w:val="both"/>
        <w:rPr>
          <w:rFonts w:ascii="Arial" w:hAnsi="Arial"/>
          <w:b w:val="false"/>
          <w:color w:val="000000"/>
          <w:sz w:val="20"/>
        </w:rPr>
      </w:pPr>
      <w:r>
        <w:rPr>
          <w:rFonts w:ascii="Arial" w:hAnsi="Arial"/>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111" w:type="dxa"/>
        <w:jc w:val="left"/>
        <w:tblInd w:w="0" w:type="dxa"/>
        <w:tblLayout w:type="fixed"/>
        <w:tblCellMar>
          <w:top w:w="28" w:type="dxa"/>
          <w:left w:w="28" w:type="dxa"/>
          <w:bottom w:w="28" w:type="dxa"/>
          <w:right w:w="28" w:type="dxa"/>
        </w:tblCellMar>
      </w:tblPr>
      <w:tblGrid>
        <w:gridCol w:w="7111"/>
      </w:tblGrid>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vAlign w:val="center"/>
          </w:tcPr>
          <w:p>
            <w:pPr>
              <w:pStyle w:val="TableContents"/>
              <w:bidi w:val="0"/>
              <w:spacing w:before="0" w:after="283"/>
              <w:jc w:val="both"/>
              <w:rPr>
                <w:rFonts w:ascii="Times New Roman" w:hAnsi="Times New Roman"/>
                <w:sz w:val="20"/>
              </w:rPr>
            </w:pPr>
            <w:r>
              <w:rPr>
                <w:rFonts w:ascii="Arial" w:hAnsi="Arial"/>
                <w:b w:val="false"/>
                <w:color w:val="000000"/>
                <w:sz w:val="20"/>
              </w:rPr>
              <w:t>M</w:t>
            </w:r>
            <w:r>
              <w:rPr>
                <w:rFonts w:ascii="Arial" w:hAnsi="Arial"/>
                <w:b w:val="false"/>
                <w:color w:val="000000"/>
                <w:sz w:val="15"/>
              </w:rPr>
              <w:t>ICROSOFT</w:t>
            </w:r>
            <w:r>
              <w:rPr>
                <w:rFonts w:ascii="Times New Roman" w:hAnsi="Times New Roman"/>
                <w:color w:val="000000"/>
                <w:sz w:val="20"/>
              </w:rPr>
              <w:t> </w:t>
            </w:r>
            <w:r>
              <w:rPr>
                <w:rFonts w:ascii="Arial" w:hAnsi="Arial"/>
                <w:b w:val="false"/>
                <w:color w:val="000000"/>
                <w:sz w:val="20"/>
              </w:rPr>
              <w:t>C</w:t>
            </w:r>
            <w:r>
              <w:rPr>
                <w:rFonts w:ascii="Arial" w:hAnsi="Arial"/>
                <w:b w:val="false"/>
                <w:color w:val="000000"/>
                <w:sz w:val="15"/>
              </w:rPr>
              <w:t>ORPORATION</w:t>
            </w:r>
          </w:p>
        </w:tc>
      </w:tr>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b w:val="false"/>
                <w:color w:val="000000"/>
                <w:sz w:val="20"/>
              </w:rPr>
              <w:t>/s/ A</w:t>
            </w:r>
            <w:r>
              <w:rPr>
                <w:rFonts w:ascii="Arial" w:hAnsi="Arial"/>
                <w:b w:val="false"/>
                <w:color w:val="000000"/>
                <w:sz w:val="15"/>
              </w:rPr>
              <w:t>LICE</w:t>
            </w:r>
            <w:r>
              <w:rPr>
                <w:rFonts w:ascii="Times New Roman" w:hAnsi="Times New Roman"/>
                <w:color w:val="000000"/>
                <w:sz w:val="20"/>
              </w:rPr>
              <w:t> </w:t>
            </w:r>
            <w:r>
              <w:rPr>
                <w:rFonts w:ascii="Arial" w:hAnsi="Arial"/>
                <w:b w:val="false"/>
                <w:color w:val="000000"/>
                <w:sz w:val="20"/>
              </w:rPr>
              <w:t>L. J</w:t>
            </w:r>
            <w:r>
              <w:rPr>
                <w:rFonts w:ascii="Arial" w:hAnsi="Arial"/>
                <w:b w:val="false"/>
                <w:color w:val="000000"/>
                <w:sz w:val="15"/>
              </w:rPr>
              <w:t>OLLA</w:t>
            </w:r>
          </w:p>
        </w:tc>
      </w:tr>
      <w:tr>
        <w:trPr/>
        <w:tc>
          <w:tcPr>
            <w:tcW w:w="7111"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Alice L. Jolla</w:t>
            </w:r>
          </w:p>
        </w:tc>
      </w:tr>
      <w:tr>
        <w:trPr/>
        <w:tc>
          <w:tcPr>
            <w:tcW w:w="71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Corporate Vice President and Chief Accounting Officer (Duly Authorized Officer)</w:t>
            </w:r>
          </w:p>
        </w:tc>
      </w:tr>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October 24, 2023</w:t>
            </w:r>
          </w:p>
        </w:tc>
      </w:tr>
    </w:tbl>
    <w:p>
      <w:pPr>
        <w:pStyle w:val="TextBody"/>
        <w:bidi w:val="0"/>
        <w:jc w:val="both"/>
        <w:rPr/>
      </w:pPr>
      <w:r>
        <w:rPr/>
        <w:t> </w:t>
      </w:r>
    </w:p>
    <w:p>
      <w:pPr>
        <w:pStyle w:val="TextBody"/>
        <w:bidi w:val="0"/>
        <w:spacing w:before="240" w:after="283"/>
        <w:jc w:val="center"/>
        <w:rPr>
          <w:rFonts w:ascii="Arial" w:hAnsi="Arial"/>
          <w:b w:val="false"/>
          <w:color w:val="000000"/>
          <w:sz w:val="16"/>
        </w:rPr>
      </w:pPr>
      <w:r>
        <w:rPr>
          <w:rFonts w:ascii="Arial" w:hAnsi="Arial"/>
          <w:b w:val="false"/>
          <w:color w:val="000000"/>
          <w:sz w:val="16"/>
        </w:rPr>
        <w:t>61</w:t>
      </w:r>
    </w:p>
    <w:p>
      <w:pPr>
        <w:pStyle w:val="HorizontalLine"/>
        <w:pBdr>
          <w:bottom w:val="double" w:sz="2" w:space="0" w:color="808080"/>
        </w:pBdr>
        <w:bidi w:val="0"/>
        <w:spacing w:before="0" w:after="283"/>
        <w:jc w:val="left"/>
        <w:rPr/>
      </w:pPr>
      <w:r>
        <w:rPr/>
      </w:r>
    </w:p>
    <w:p>
      <w:pPr>
        <w:pStyle w:val="TextBody"/>
        <w:bidi w:val="0"/>
        <w:jc w:val="left"/>
        <w:rPr/>
      </w:pPr>
      <w:bookmarkStart w:id="22" w:name="msft-ex15_1.htm"/>
      <w:bookmarkStart w:id="23" w:name="ksmsftex15_1"/>
      <w:bookmarkEnd w:id="22"/>
      <w:bookmarkEnd w:id="23"/>
      <w:r>
        <w:rPr/>
        <w:t> </w:t>
      </w:r>
      <w:r>
        <w:br w:type="page"/>
      </w:r>
    </w:p>
    <w:p>
      <w:pPr>
        <w:pStyle w:val="TextBody"/>
        <w:bidi w:val="0"/>
        <w:jc w:val="right"/>
        <w:rPr>
          <w:rFonts w:ascii="Times New Roman" w:hAnsi="Times New Roman"/>
          <w:sz w:val="20"/>
        </w:rPr>
      </w:pPr>
      <w:r>
        <w:rPr>
          <w:rFonts w:ascii="Arial" w:hAnsi="Arial"/>
          <w:b w:val="false"/>
          <w:color w:val="000000"/>
          <w:sz w:val="20"/>
        </w:rPr>
        <w:t>Exhibit 15.1</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October 24, 2023</w:t>
      </w:r>
    </w:p>
    <w:p>
      <w:pPr>
        <w:pStyle w:val="TextBody"/>
        <w:bidi w:val="0"/>
        <w:spacing w:before="180" w:after="283"/>
        <w:jc w:val="left"/>
        <w:rPr>
          <w:rFonts w:ascii="Times New Roman" w:hAnsi="Times New Roman"/>
          <w:sz w:val="20"/>
        </w:rPr>
      </w:pPr>
      <w:r>
        <w:rPr>
          <w:rFonts w:ascii="Arial" w:hAnsi="Arial"/>
          <w:b w:val="false"/>
          <w:color w:val="000000"/>
          <w:sz w:val="20"/>
        </w:rPr>
        <w:t>The Board of Directors and Stockholders of Microsoft Corporation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val="false"/>
          <w:color w:val="000000"/>
          <w:sz w:val="20"/>
        </w:rPr>
        <w:t>One Microsoft Way</w:t>
      </w:r>
      <w:r>
        <w:rPr>
          <w:rFonts w:ascii="Times New Roman" w:hAnsi="Times New Roman"/>
          <w:color w:val="000000"/>
          <w:sz w:val="20"/>
        </w:rPr>
        <w:t xml:space="preserve"> </w:t>
      </w:r>
    </w:p>
    <w:p>
      <w:pPr>
        <w:pStyle w:val="TextBody"/>
        <w:bidi w:val="0"/>
        <w:jc w:val="left"/>
        <w:rPr>
          <w:rFonts w:ascii="Arial" w:hAnsi="Arial"/>
          <w:b w:val="false"/>
          <w:color w:val="000000"/>
          <w:sz w:val="20"/>
        </w:rPr>
      </w:pPr>
      <w:r>
        <w:rPr>
          <w:rFonts w:ascii="Arial" w:hAnsi="Arial"/>
          <w:b w:val="false"/>
          <w:color w:val="000000"/>
          <w:sz w:val="20"/>
        </w:rPr>
        <w:t>Redmond, WA 98052-6399</w:t>
      </w:r>
    </w:p>
    <w:p>
      <w:pPr>
        <w:pStyle w:val="TextBody"/>
        <w:bidi w:val="0"/>
        <w:spacing w:before="180" w:after="180"/>
        <w:jc w:val="left"/>
        <w:rPr>
          <w:rFonts w:ascii="Times New Roman" w:hAnsi="Times New Roman"/>
          <w:sz w:val="20"/>
        </w:rPr>
      </w:pPr>
      <w:r>
        <w:rPr>
          <w:rFonts w:ascii="Arial" w:hAnsi="Arial"/>
          <w:b w:val="false"/>
          <w:color w:val="000000"/>
          <w:sz w:val="20"/>
        </w:rPr>
        <w:t>We are aware that our report dated October 24, 2023, on our review of the interim financial information of Microsoft Corporation and subsidiaries (“Microsoft”) appearing in Microsoft’s Quarterly Report on Form 10-Q for the quarter ended September 30, 2023, is incorporated by reference in Registration Statement Nos. 333-109185, 333-118764, 333-52852, 333-132100, 333-161516, 333-75243, 333-185757, and 333-221833 on Form S-8 and Registration Statement No. 333-261590 on Form S-3.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/s/ D</w:t>
      </w:r>
      <w:r>
        <w:rPr>
          <w:rFonts w:ascii="Arial" w:hAnsi="Arial"/>
          <w:b w:val="false"/>
          <w:color w:val="000000"/>
          <w:sz w:val="15"/>
        </w:rPr>
        <w:t>ELOITTE</w:t>
      </w:r>
      <w:r>
        <w:rPr>
          <w:rFonts w:ascii="Times New Roman" w:hAnsi="Times New Roman"/>
          <w:color w:val="000000"/>
          <w:sz w:val="20"/>
        </w:rPr>
        <w:t xml:space="preserve"> </w:t>
      </w:r>
      <w:r>
        <w:rPr>
          <w:rFonts w:ascii="Arial" w:hAnsi="Arial"/>
          <w:b w:val="false"/>
          <w:color w:val="000000"/>
          <w:sz w:val="20"/>
        </w:rPr>
        <w:t>&amp; T</w:t>
      </w:r>
      <w:r>
        <w:rPr>
          <w:rFonts w:ascii="Arial" w:hAnsi="Arial"/>
          <w:b w:val="false"/>
          <w:color w:val="000000"/>
          <w:sz w:val="15"/>
        </w:rPr>
        <w:t>OUCHE</w:t>
      </w:r>
      <w:r>
        <w:rPr>
          <w:rFonts w:ascii="Times New Roman" w:hAnsi="Times New Roman"/>
          <w:color w:val="000000"/>
          <w:sz w:val="20"/>
        </w:rPr>
        <w:t xml:space="preserve"> </w:t>
      </w:r>
      <w:r>
        <w:rPr>
          <w:rFonts w:ascii="Arial" w:hAnsi="Arial"/>
          <w:b w:val="false"/>
          <w:color w:val="000000"/>
          <w:sz w:val="20"/>
        </w:rPr>
        <w:t>LLP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Seattle, Washington</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val="false"/>
          <w:color w:val="000000"/>
          <w:sz w:val="20"/>
        </w:rPr>
      </w:pPr>
      <w:bookmarkStart w:id="24" w:name="msft-ex31_1.htm"/>
      <w:bookmarkStart w:id="25" w:name="ksmsftex31_1"/>
      <w:bookmarkEnd w:id="24"/>
      <w:bookmarkEnd w:id="25"/>
      <w:r>
        <w:rPr>
          <w:rFonts w:ascii="Arial" w:hAnsi="Arial"/>
          <w:b w:val="false"/>
          <w:color w:val="000000"/>
          <w:sz w:val="20"/>
        </w:rPr>
        <w:t>Exhibit 31.1</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I, Satya Nadella,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b w:val="false"/>
                <w:color w:val="000000"/>
                <w:sz w:val="20"/>
              </w:rPr>
              <w:t>/s/ S</w:t>
            </w:r>
            <w:r>
              <w:rPr>
                <w:rFonts w:ascii="Arial" w:hAnsi="Arial"/>
                <w:b w:val="false"/>
                <w:color w:val="000000"/>
                <w:sz w:val="15"/>
              </w:rPr>
              <w:t>ATYA</w:t>
            </w:r>
            <w:r>
              <w:rPr>
                <w:rFonts w:ascii="Times New Roman" w:hAnsi="Times New Roman"/>
                <w:color w:val="000000"/>
                <w:sz w:val="20"/>
              </w:rPr>
              <w:t> </w:t>
            </w:r>
            <w:r>
              <w:rPr>
                <w:rFonts w:ascii="Arial" w:hAnsi="Arial"/>
                <w:b w:val="false"/>
                <w:color w:val="000000"/>
                <w:sz w:val="20"/>
              </w:rPr>
              <w:t>N</w:t>
            </w:r>
            <w:r>
              <w:rPr>
                <w:rFonts w:ascii="Arial" w:hAnsi="Arial"/>
                <w:b w:val="false"/>
                <w:color w:val="000000"/>
                <w:sz w:val="15"/>
              </w:rPr>
              <w:t>ADELLA</w:t>
            </w:r>
          </w:p>
        </w:tc>
      </w:tr>
      <w:tr>
        <w:trPr/>
        <w:tc>
          <w:tcPr>
            <w:tcW w:w="2191" w:type="dxa"/>
            <w:tcBorders/>
            <w:vAlign w:val="center"/>
          </w:tcPr>
          <w:p>
            <w:pPr>
              <w:pStyle w:val="TableContents"/>
              <w:bidi w:val="0"/>
              <w:spacing w:before="0" w:after="283"/>
              <w:jc w:val="both"/>
              <w:rPr>
                <w:rFonts w:ascii="Arial" w:hAnsi="Arial"/>
                <w:b w:val="false"/>
                <w:color w:val="000000"/>
                <w:sz w:val="20"/>
              </w:rPr>
            </w:pPr>
            <w:r>
              <w:rPr>
                <w:rFonts w:ascii="Arial" w:hAnsi="Arial"/>
                <w:b w:val="false"/>
                <w:color w:val="000000"/>
                <w:sz w:val="20"/>
              </w:rPr>
              <w:t>Satya Nadella</w:t>
            </w:r>
          </w:p>
        </w:tc>
      </w:tr>
      <w:tr>
        <w:trPr/>
        <w:tc>
          <w:tcPr>
            <w:tcW w:w="21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Executive Officer</w:t>
            </w:r>
          </w:p>
        </w:tc>
      </w:tr>
      <w:tr>
        <w:trPr/>
        <w:tc>
          <w:tcPr>
            <w:tcW w:w="2191" w:type="dxa"/>
            <w:tcBorders/>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October 24, 2023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val="false"/>
          <w:color w:val="000000"/>
          <w:sz w:val="20"/>
        </w:rPr>
      </w:pPr>
      <w:bookmarkStart w:id="26" w:name="msft-ex31_2.htm"/>
      <w:bookmarkStart w:id="27" w:name="ksmsftex31_2"/>
      <w:bookmarkEnd w:id="26"/>
      <w:bookmarkEnd w:id="27"/>
      <w:r>
        <w:rPr>
          <w:rFonts w:ascii="Arial" w:hAnsi="Arial"/>
          <w:b w:val="false"/>
          <w:color w:val="000000"/>
          <w:sz w:val="20"/>
        </w:rPr>
        <w:t>Exhibit 31.2</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I, Amy E. Hood,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A</w:t>
            </w:r>
            <w:r>
              <w:rPr>
                <w:rFonts w:ascii="Arial" w:hAnsi="Arial"/>
                <w:b w:val="false"/>
                <w:color w:val="000000"/>
                <w:sz w:val="15"/>
              </w:rPr>
              <w:t>MY</w:t>
            </w:r>
            <w:r>
              <w:rPr>
                <w:rFonts w:ascii="Times New Roman" w:hAnsi="Times New Roman"/>
                <w:color w:val="000000"/>
                <w:sz w:val="20"/>
              </w:rPr>
              <w:t> </w:t>
            </w:r>
            <w:r>
              <w:rPr>
                <w:rFonts w:ascii="Arial" w:hAnsi="Arial"/>
                <w:b w:val="false"/>
                <w:color w:val="000000"/>
                <w:sz w:val="20"/>
              </w:rPr>
              <w:t>E. H</w:t>
            </w:r>
            <w:r>
              <w:rPr>
                <w:rFonts w:ascii="Arial" w:hAnsi="Arial"/>
                <w:b w:val="false"/>
                <w:color w:val="000000"/>
                <w:sz w:val="15"/>
              </w:rPr>
              <w:t>OOD</w:t>
            </w:r>
          </w:p>
        </w:tc>
      </w:tr>
      <w:tr>
        <w:trPr/>
        <w:tc>
          <w:tcPr>
            <w:tcW w:w="274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Amy E. Hood</w:t>
            </w:r>
          </w:p>
        </w:tc>
      </w:tr>
      <w:tr>
        <w:trPr/>
        <w:tc>
          <w:tcPr>
            <w:tcW w:w="2746" w:type="dxa"/>
            <w:tcBorders/>
            <w:vAlign w:val="center"/>
          </w:tcPr>
          <w:p>
            <w:pPr>
              <w:pStyle w:val="TableContents"/>
              <w:bidi w:val="0"/>
              <w:jc w:val="left"/>
              <w:rPr>
                <w:rFonts w:ascii="Arial" w:hAnsi="Arial"/>
                <w:b w:val="false"/>
                <w:color w:val="000000"/>
                <w:sz w:val="20"/>
              </w:rPr>
            </w:pPr>
            <w:r>
              <w:rPr>
                <w:rFonts w:ascii="Arial" w:hAnsi="Arial"/>
                <w:b w:val="false"/>
                <w:color w:val="000000"/>
                <w:sz w:val="20"/>
              </w:rPr>
              <w:t>Executive Vice President and</w:t>
            </w:r>
          </w:p>
          <w:p>
            <w:pPr>
              <w:pStyle w:val="TableContents"/>
              <w:bidi w:val="0"/>
              <w:spacing w:before="0" w:after="283"/>
              <w:jc w:val="left"/>
              <w:rPr>
                <w:rFonts w:ascii="Arial" w:hAnsi="Arial"/>
                <w:b w:val="false"/>
                <w:color w:val="000000"/>
                <w:sz w:val="20"/>
              </w:rPr>
            </w:pPr>
            <w:r>
              <w:rPr>
                <w:rFonts w:ascii="Arial" w:hAnsi="Arial"/>
                <w:b w:val="false"/>
                <w:color w:val="000000"/>
                <w:sz w:val="20"/>
              </w:rPr>
              <w:t>Chief Financial Officer</w:t>
            </w:r>
          </w:p>
        </w:tc>
      </w:tr>
      <w:tr>
        <w:trPr/>
        <w:tc>
          <w:tcPr>
            <w:tcW w:w="2746" w:type="dxa"/>
            <w:tcBorders/>
            <w:vAlign w:val="center"/>
          </w:tcPr>
          <w:p>
            <w:pPr>
              <w:pStyle w:val="TableContents"/>
              <w:bidi w:val="0"/>
              <w:spacing w:before="0" w:after="283"/>
              <w:jc w:val="left"/>
              <w:rPr/>
            </w:pPr>
            <w:r>
              <w:rPr/>
              <w:t> </w:t>
            </w:r>
          </w:p>
        </w:tc>
      </w:tr>
      <w:tr>
        <w:trPr/>
        <w:tc>
          <w:tcPr>
            <w:tcW w:w="274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October 24, 2023</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sft-ex32_1.htm"/>
      <w:bookmarkStart w:id="29" w:name="ksmsftex32_1"/>
      <w:bookmarkEnd w:id="28"/>
      <w:bookmarkEnd w:id="29"/>
      <w:r>
        <w:rPr/>
        <w:t> </w:t>
      </w:r>
      <w:r>
        <w:br w:type="page"/>
      </w:r>
    </w:p>
    <w:p>
      <w:pPr>
        <w:pStyle w:val="TextBody"/>
        <w:bidi w:val="0"/>
        <w:jc w:val="right"/>
        <w:rPr>
          <w:rFonts w:ascii="Times New Roman" w:hAnsi="Times New Roman"/>
          <w:sz w:val="20"/>
        </w:rPr>
      </w:pPr>
      <w:r>
        <w:rPr>
          <w:rFonts w:ascii="Arial" w:hAnsi="Arial"/>
          <w:b w:val="false"/>
          <w:color w:val="000000"/>
          <w:sz w:val="20"/>
        </w:rPr>
        <w:t>Exhibit 32.1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In connection with the Quarterly Report of Microsoft Corporation, a Washington corporation (the “Company”), on Form 10-Q for the quarter ended September 30, 2023, as filed with the Securities and Exchange Commission (the “Report”), Satya Nadella, Chief Executive Officer of the Company, does hereby certify, pursuant to § 906 of the Sarbanes-Oxley Act of 2002 (18 U.S.C. § 1350), that to his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S</w:t>
            </w:r>
            <w:r>
              <w:rPr>
                <w:rFonts w:ascii="Arial" w:hAnsi="Arial"/>
                <w:b w:val="false"/>
                <w:color w:val="000000"/>
                <w:sz w:val="15"/>
              </w:rPr>
              <w:t>ATYA</w:t>
            </w:r>
            <w:r>
              <w:rPr>
                <w:rFonts w:ascii="Times New Roman" w:hAnsi="Times New Roman"/>
                <w:color w:val="000000"/>
                <w:sz w:val="20"/>
              </w:rPr>
              <w:t> </w:t>
            </w:r>
            <w:r>
              <w:rPr>
                <w:rFonts w:ascii="Arial" w:hAnsi="Arial"/>
                <w:b w:val="false"/>
                <w:color w:val="000000"/>
                <w:sz w:val="20"/>
              </w:rPr>
              <w:t>N</w:t>
            </w:r>
            <w:r>
              <w:rPr>
                <w:rFonts w:ascii="Arial" w:hAnsi="Arial"/>
                <w:b w:val="false"/>
                <w:color w:val="000000"/>
                <w:sz w:val="15"/>
              </w:rPr>
              <w:t>ADELLA</w:t>
            </w:r>
          </w:p>
        </w:tc>
      </w:tr>
      <w:tr>
        <w:trPr/>
        <w:tc>
          <w:tcPr>
            <w:tcW w:w="21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Satya Nadella</w:t>
            </w:r>
          </w:p>
        </w:tc>
      </w:tr>
      <w:tr>
        <w:trPr/>
        <w:tc>
          <w:tcPr>
            <w:tcW w:w="219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Executive Officer</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October 24, 2023</w:t>
      </w:r>
    </w:p>
    <w:p>
      <w:pPr>
        <w:pStyle w:val="TextBody"/>
        <w:bidi w:val="0"/>
        <w:spacing w:before="180" w:after="283"/>
        <w:jc w:val="both"/>
        <w:rPr>
          <w:rFonts w:ascii="Times New Roman" w:hAnsi="Times New Roman"/>
          <w:sz w:val="20"/>
        </w:rPr>
      </w:pPr>
      <w:r>
        <w:rPr>
          <w:rFonts w:ascii="Arial" w:hAnsi="Arial"/>
          <w:b w:val="false"/>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sft-ex32_2.htm"/>
      <w:bookmarkStart w:id="31" w:name="ksmsftex32_2"/>
      <w:bookmarkEnd w:id="30"/>
      <w:bookmarkEnd w:id="31"/>
      <w:r>
        <w:rPr/>
        <w:t> </w:t>
      </w:r>
      <w:r>
        <w:br w:type="page"/>
      </w:r>
    </w:p>
    <w:p>
      <w:pPr>
        <w:pStyle w:val="TextBody"/>
        <w:bidi w:val="0"/>
        <w:jc w:val="right"/>
        <w:rPr>
          <w:rFonts w:ascii="Times New Roman" w:hAnsi="Times New Roman"/>
          <w:sz w:val="20"/>
        </w:rPr>
      </w:pPr>
      <w:r>
        <w:rPr>
          <w:rFonts w:ascii="Arial" w:hAnsi="Arial"/>
          <w:b w:val="false"/>
          <w:color w:val="000000"/>
          <w:sz w:val="20"/>
        </w:rPr>
        <w:t>Exhibit 32.2</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In connection with the Quarterly Report of Microsoft Corporation, a Washington corporation (the “Company”), on Form 10-Q for the quarter ended September 30, 2023, as filed with the Securities and Exchange Commission (the “Report”), Amy E. Hood, Chief Financial Officer of the Company, does hereby certify, pursuant to § 906 of the Sarbanes-Oxley Act of 2002 (18 U.S.C. § 1350), that to her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val="false"/>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A</w:t>
            </w:r>
            <w:r>
              <w:rPr>
                <w:rFonts w:ascii="Arial" w:hAnsi="Arial"/>
                <w:b w:val="false"/>
                <w:color w:val="000000"/>
                <w:sz w:val="15"/>
              </w:rPr>
              <w:t>MY</w:t>
            </w:r>
            <w:r>
              <w:rPr>
                <w:rFonts w:ascii="Times New Roman" w:hAnsi="Times New Roman"/>
                <w:color w:val="000000"/>
                <w:sz w:val="20"/>
              </w:rPr>
              <w:t> </w:t>
            </w:r>
            <w:r>
              <w:rPr>
                <w:rFonts w:ascii="Arial" w:hAnsi="Arial"/>
                <w:b w:val="false"/>
                <w:color w:val="000000"/>
                <w:sz w:val="20"/>
              </w:rPr>
              <w:t>E. H</w:t>
            </w:r>
            <w:r>
              <w:rPr>
                <w:rFonts w:ascii="Arial" w:hAnsi="Arial"/>
                <w:b w:val="false"/>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b w:val="false"/>
                <w:color w:val="000000"/>
                <w:sz w:val="20"/>
              </w:rPr>
            </w:pPr>
            <w:r>
              <w:rPr>
                <w:rFonts w:ascii="Arial" w:hAnsi="Arial"/>
                <w:b w:val="false"/>
                <w:color w:val="000000"/>
                <w:sz w:val="20"/>
              </w:rPr>
              <w:t>Executive Vice President and</w:t>
            </w:r>
          </w:p>
          <w:p>
            <w:pPr>
              <w:pStyle w:val="TableContents"/>
              <w:bidi w:val="0"/>
              <w:spacing w:before="0" w:after="283"/>
              <w:jc w:val="left"/>
              <w:rPr>
                <w:rFonts w:ascii="Arial" w:hAnsi="Arial"/>
                <w:b w:val="false"/>
                <w:color w:val="000000"/>
                <w:sz w:val="20"/>
              </w:rPr>
            </w:pPr>
            <w:r>
              <w:rPr>
                <w:rFonts w:ascii="Arial" w:hAnsi="Arial"/>
                <w:b w:val="false"/>
                <w:color w:val="000000"/>
                <w:sz w:val="20"/>
              </w:rPr>
              <w:t>Chief Financial Officer</w:t>
            </w:r>
          </w:p>
        </w:tc>
      </w:tr>
    </w:tbl>
    <w:p>
      <w:pPr>
        <w:pStyle w:val="TextBody"/>
        <w:bidi w:val="0"/>
        <w:jc w:val="both"/>
        <w:rPr/>
      </w:pPr>
      <w:r>
        <w:rPr/>
        <w:t> </w:t>
      </w:r>
    </w:p>
    <w:p>
      <w:pPr>
        <w:pStyle w:val="TextBody"/>
        <w:bidi w:val="0"/>
        <w:jc w:val="both"/>
        <w:rPr>
          <w:rFonts w:ascii="Arial" w:hAnsi="Arial"/>
          <w:b w:val="false"/>
          <w:color w:val="000000"/>
          <w:sz w:val="20"/>
        </w:rPr>
      </w:pPr>
      <w:r>
        <w:rPr>
          <w:rFonts w:ascii="Arial" w:hAnsi="Arial"/>
          <w:b w:val="false"/>
          <w:color w:val="000000"/>
          <w:sz w:val="20"/>
        </w:rPr>
        <w:t>October 24, 2023</w:t>
      </w:r>
    </w:p>
    <w:p>
      <w:pPr>
        <w:pStyle w:val="TextBody"/>
        <w:bidi w:val="0"/>
        <w:spacing w:before="180" w:after="283"/>
        <w:jc w:val="both"/>
        <w:rPr>
          <w:rFonts w:ascii="Arial" w:hAnsi="Arial"/>
          <w:b w:val="false"/>
          <w:color w:val="000000"/>
          <w:sz w:val="20"/>
        </w:rPr>
      </w:pPr>
      <w:r>
        <w:rPr>
          <w:rFonts w:ascii="Arial" w:hAnsi="Arial"/>
          <w:b w:val="false"/>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28998</Words>
  <Characters>162439</Characters>
  <CharactersWithSpaces>194237</CharactersWithSpaces>
  <Paragraphs>9264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