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3.jpeg" ContentType="image/jpeg"/>
  <Override PartName="/word/media/image60.jpeg" ContentType="image/jpeg"/>
  <Override PartName="/word/media/image37.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71.jpeg" ContentType="image/jpeg"/>
  <Override PartName="/word/media/image44.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67.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1756ddef14a.htm"/>
        <w:bookmarkStart w:id="1" w:name="ksd61756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26"/>
        </w:rPr>
      </w:pPr>
      <w:r>
        <w:rPr>
          <w:rFonts w:ascii="Arial" w:hAnsi="Arial"/>
          <w:b/>
          <w:sz w:val="26"/>
        </w:rPr>
        <w:t xml:space="preserve">UNITED STATES SECURITIES AND EXCHANGE COMMISSION </w:t>
      </w:r>
    </w:p>
    <w:p>
      <w:pPr>
        <w:pStyle w:val="TextBody"/>
        <w:bidi w:val="0"/>
        <w:spacing w:before="0" w:after="0"/>
        <w:jc w:val="center"/>
        <w:rPr>
          <w:rFonts w:ascii="Arial" w:hAnsi="Arial"/>
          <w:b/>
          <w:sz w:val="22"/>
        </w:rPr>
      </w:pPr>
      <w:r>
        <w:rPr>
          <w:rFonts w:ascii="Arial" w:hAnsi="Arial"/>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30"/>
        </w:rPr>
      </w:pPr>
      <w:r>
        <w:rPr>
          <w:rFonts w:ascii="Arial" w:hAnsi="Arial"/>
          <w:b/>
          <w:sz w:val="30"/>
        </w:rPr>
        <w:t>SCHEDULE 14A</w:t>
      </w:r>
    </w:p>
    <w:p>
      <w:pPr>
        <w:pStyle w:val="TextBody"/>
        <w:bidi w:val="0"/>
        <w:spacing w:before="0" w:after="0"/>
        <w:jc w:val="center"/>
        <w:rPr>
          <w:rFonts w:ascii="Arial" w:hAnsi="Arial"/>
          <w:b/>
          <w:sz w:val="22"/>
        </w:rPr>
      </w:pPr>
      <w:r>
        <w:rPr>
          <w:rFonts w:ascii="Arial" w:hAnsi="Arial"/>
          <w:b/>
          <w:sz w:val="22"/>
        </w:rPr>
        <w:t xml:space="preserve">Proxy Statement Pursuant to Section 14(a) of the </w:t>
      </w:r>
    </w:p>
    <w:p>
      <w:pPr>
        <w:pStyle w:val="TextBody"/>
        <w:bidi w:val="0"/>
        <w:spacing w:before="0" w:after="0"/>
        <w:jc w:val="center"/>
        <w:rPr>
          <w:rFonts w:ascii="Arial" w:hAnsi="Arial"/>
          <w:b/>
          <w:sz w:val="22"/>
        </w:rPr>
      </w:pPr>
      <w:r>
        <w:rPr>
          <w:rFonts w:ascii="Arial" w:hAnsi="Arial"/>
          <w:b/>
          <w:sz w:val="22"/>
        </w:rPr>
        <w:t xml:space="preserve">Securities Exchange Act of 1934 (Amendment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20"/>
        </w:rPr>
      </w:pPr>
      <w:r>
        <w:rPr>
          <w:rFonts w:ascii="Arial" w:hAnsi="Arial"/>
          <w:sz w:val="20"/>
        </w:rPr>
        <w:t xml:space="preserve">Filed by the Registrant </w:t>
      </w:r>
    </w:p>
    <w:p>
      <w:pPr>
        <w:pStyle w:val="TextBody"/>
        <w:bidi w:val="0"/>
        <w:spacing w:before="120" w:after="0"/>
        <w:jc w:val="left"/>
        <w:rPr>
          <w:spacing w:val="0"/>
        </w:rPr>
      </w:pPr>
      <w:r>
        <w:rPr>
          <w:spacing w:val="0"/>
        </w:rPr>
        <w:t>☒</w:t>
      </w:r>
    </w:p>
    <w:p>
      <w:pPr>
        <w:pStyle w:val="TextBody"/>
        <w:bidi w:val="0"/>
        <w:spacing w:before="0" w:after="0"/>
        <w:jc w:val="left"/>
        <w:rPr>
          <w:rFonts w:ascii="Arial" w:hAnsi="Arial"/>
          <w:sz w:val="20"/>
        </w:rPr>
      </w:pPr>
      <w:r>
        <w:rPr>
          <w:rFonts w:ascii="Arial" w:hAnsi="Arial"/>
          <w:sz w:val="20"/>
        </w:rPr>
        <w:t xml:space="preserve">Filed by a Party other than the Registrant </w:t>
      </w:r>
    </w:p>
    <w:p>
      <w:pPr>
        <w:pStyle w:val="TextBody"/>
        <w:bidi w:val="0"/>
        <w:spacing w:before="0" w:after="0"/>
        <w:jc w:val="left"/>
        <w:rPr>
          <w:spacing w:val="0"/>
        </w:rPr>
      </w:pPr>
      <w:r>
        <w:rPr>
          <w:spacing w:val="0"/>
        </w:rPr>
        <w:t>☐</w:t>
      </w:r>
    </w:p>
    <w:p>
      <w:pPr>
        <w:pStyle w:val="TextBody"/>
        <w:bidi w:val="0"/>
        <w:spacing w:before="24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245"/>
        <w:gridCol w:w="120"/>
        <w:gridCol w:w="810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b/>
                <w:spacing w:val="0"/>
              </w:rPr>
            </w:pPr>
            <w:r>
              <w:rPr>
                <w:b/>
                <w:spacing w:val="0"/>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Soliciting Material under §240.14a-12</w:t>
            </w:r>
          </w:p>
        </w:tc>
      </w:tr>
    </w:tbl>
    <w:p>
      <w:pPr>
        <w:pStyle w:val="TextBody"/>
        <w:bidi w:val="0"/>
        <w:spacing w:before="360" w:after="0"/>
        <w:jc w:val="center"/>
        <w:rPr>
          <w:rFonts w:ascii="Arial" w:hAnsi="Arial"/>
          <w:b/>
          <w:sz w:val="22"/>
        </w:rPr>
      </w:pPr>
      <w:r>
        <w:rPr>
          <w:rFonts w:ascii="Arial" w:hAnsi="Arial"/>
          <w:b/>
          <w:sz w:val="22"/>
        </w:rPr>
        <w:t xml:space="preserve">Microsoft Corporation </w:t>
      </w:r>
    </w:p>
    <w:p>
      <w:pPr>
        <w:pStyle w:val="TextBody"/>
        <w:bidi w:val="0"/>
        <w:spacing w:before="0" w:after="0"/>
        <w:jc w:val="center"/>
        <w:rPr>
          <w:rFonts w:ascii="Arial" w:hAnsi="Arial"/>
          <w:b/>
          <w:sz w:val="16"/>
        </w:rPr>
      </w:pPr>
      <w:r>
        <w:rPr>
          <w:rFonts w:ascii="Arial" w:hAnsi="Arial"/>
          <w:b/>
          <w:sz w:val="16"/>
        </w:rPr>
        <w:t xml:space="preserve">(Name of Registrant as Specified In Its Charter) </w:t>
      </w:r>
    </w:p>
    <w:p>
      <w:pPr>
        <w:pStyle w:val="TextBody"/>
        <w:bidi w:val="0"/>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245"/>
        <w:gridCol w:w="60"/>
        <w:gridCol w:w="1580"/>
      </w:tblGrid>
      <w:tr>
        <w:trPr/>
        <w:tc>
          <w:tcPr>
            <w:tcW w:w="245" w:type="dxa"/>
            <w:tcBorders/>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xml:space="preserve">No fee required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245"/>
        <w:gridCol w:w="60"/>
        <w:gridCol w:w="4475"/>
      </w:tblGrid>
      <w:tr>
        <w:trPr/>
        <w:tc>
          <w:tcPr>
            <w:tcW w:w="245" w:type="dxa"/>
            <w:tcBorders/>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xml:space="preserve">Fee paid previously with preliminary materials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245"/>
        <w:gridCol w:w="60"/>
        <w:gridCol w:w="9230"/>
      </w:tblGrid>
      <w:tr>
        <w:trPr/>
        <w:tc>
          <w:tcPr>
            <w:tcW w:w="245" w:type="dxa"/>
            <w:tcBorders/>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pPr>
            <w:r>
              <w:rPr/>
              <w:t xml:space="preserve">Fee computed on table in exhibit required by Item 25(b) per Exchange Act Rules 14a-6(i)(1) 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20" w:after="0"/>
        <w:jc w:val="center"/>
        <w:rPr>
          <w:rFonts w:ascii="Arial" w:hAnsi="Arial"/>
          <w:color w:val="545454"/>
          <w:sz w:val="38"/>
        </w:rPr>
      </w:pPr>
      <w:r>
        <w:rPr>
          <w:rFonts w:ascii="Arial" w:hAnsi="Arial"/>
          <w:color w:val="545454"/>
          <w:sz w:val="38"/>
        </w:rPr>
        <w:t xml:space="preserve">Notice of Annual Shareholders Meeting and </w:t>
      </w:r>
    </w:p>
    <w:p>
      <w:pPr>
        <w:pStyle w:val="TextBody"/>
        <w:bidi w:val="0"/>
        <w:spacing w:before="240" w:after="0"/>
        <w:jc w:val="center"/>
        <w:rPr>
          <w:rFonts w:ascii="Arial" w:hAnsi="Arial"/>
          <w:color w:val="595959"/>
          <w:sz w:val="60"/>
        </w:rPr>
      </w:pPr>
      <w:r>
        <w:rPr>
          <w:rFonts w:ascii="Arial" w:hAnsi="Arial"/>
          <w:color w:val="595959"/>
          <w:sz w:val="60"/>
        </w:rPr>
        <w:t xml:space="preserve">Proxy Statement 2026 </w:t>
      </w:r>
    </w:p>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5930"/>
        <w:gridCol w:w="60"/>
        <w:gridCol w:w="3875"/>
      </w:tblGrid>
      <w:tr>
        <w:trPr/>
        <w:tc>
          <w:tcPr>
            <w:tcW w:w="5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5930" w:type="dxa"/>
            <w:tcBorders>
              <w:bottom w:val="single" w:sz="12" w:space="0" w:color="595959"/>
            </w:tcBorders>
            <w:tcMar>
              <w:bottom w:w="28" w:type="dxa"/>
            </w:tcMar>
            <w:vAlign w:val="center"/>
          </w:tcPr>
          <w:p>
            <w:pPr>
              <w:pStyle w:val="TableContents"/>
              <w:bidi w:val="0"/>
              <w:spacing w:before="0" w:after="283"/>
              <w:jc w:val="left"/>
              <w:rPr/>
            </w:pPr>
            <w:r>
              <w:rPr/>
              <w:t> </w:t>
            </w:r>
          </w:p>
        </w:tc>
        <w:tc>
          <w:tcPr>
            <w:tcW w:w="60" w:type="dxa"/>
            <w:tcBorders>
              <w:bottom w:val="single" w:sz="12" w:space="0" w:color="595959"/>
            </w:tcBorders>
            <w:tcMar>
              <w:bottom w:w="28" w:type="dxa"/>
            </w:tcMar>
            <w:vAlign w:val="center"/>
          </w:tcPr>
          <w:p>
            <w:pPr>
              <w:pStyle w:val="TableContents"/>
              <w:bidi w:val="0"/>
              <w:spacing w:before="0" w:after="283"/>
              <w:jc w:val="left"/>
              <w:rPr/>
            </w:pPr>
            <w:r>
              <w:rPr/>
              <w:t> </w:t>
            </w:r>
          </w:p>
        </w:tc>
        <w:tc>
          <w:tcPr>
            <w:tcW w:w="3875" w:type="dxa"/>
            <w:tcBorders>
              <w:bottom w:val="single" w:sz="12" w:space="0" w:color="595959"/>
            </w:tcBorders>
            <w:tcMar>
              <w:bottom w:w="28" w:type="dxa"/>
            </w:tcMar>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5930" w:type="dxa"/>
            <w:tcBorders/>
            <w:vAlign w:val="center"/>
          </w:tcPr>
          <w:p>
            <w:pPr>
              <w:pStyle w:val="TableContents"/>
              <w:bidi w:val="0"/>
              <w:spacing w:before="0" w:after="283"/>
              <w:jc w:val="left"/>
              <w:rPr>
                <w:b/>
                <w:color w:val="4C4C4C"/>
              </w:rPr>
            </w:pPr>
            <w:r>
              <w:rPr>
                <w:b/>
                <w:color w:val="4C4C4C"/>
              </w:rPr>
              <w:t>December 8, 2026</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color w:val="4C4C4C"/>
              </w:rPr>
            </w:pPr>
            <w:r>
              <w:rPr>
                <w:b/>
                <w:color w:val="4C4C4C"/>
              </w:rPr>
              <w:t>Virtual Meeting Site:</w:t>
            </w:r>
          </w:p>
        </w:tc>
      </w:tr>
      <w:tr>
        <w:trPr/>
        <w:tc>
          <w:tcPr>
            <w:tcW w:w="5930" w:type="dxa"/>
            <w:tcBorders/>
            <w:vAlign w:val="center"/>
          </w:tcPr>
          <w:p>
            <w:pPr>
              <w:pStyle w:val="TableContents"/>
              <w:bidi w:val="0"/>
              <w:spacing w:before="0" w:after="283"/>
              <w:jc w:val="left"/>
              <w:rPr>
                <w:b/>
                <w:color w:val="4C4C4C"/>
              </w:rPr>
            </w:pPr>
            <w:r>
              <w:rPr>
                <w:b/>
                <w:color w:val="4C4C4C"/>
              </w:rPr>
              <w:t>8:30 a.m. Pacific Time                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olor w:val="4C4C4C"/>
                <w:u w:val="single"/>
              </w:rPr>
            </w:pPr>
            <w:r>
              <w:rPr>
                <w:color w:val="4C4C4C"/>
                <w:u w:val="single"/>
              </w:rPr>
              <w:t>virtualshareholdermeeting.com/MSFT26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8002270" cy="533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2270" cy="5337175"/>
                    </a:xfrm>
                    <a:prstGeom prst="rect">
                      <a:avLst/>
                    </a:prstGeom>
                  </pic:spPr>
                </pic:pic>
              </a:graphicData>
            </a:graphic>
          </wp:inline>
        </w:drawing>
      </w:r>
      <w:r>
        <w:rPr/>
        <w:t xml:space="preserve"> </w:t>
      </w:r>
    </w:p>
    <w:p>
      <w:pPr>
        <w:pStyle w:val="TextBody"/>
        <w:bidi w:val="0"/>
        <w:spacing w:before="0" w:after="0"/>
        <w:jc w:val="left"/>
        <w:rPr/>
      </w:pPr>
      <w:r>
        <w:rPr/>
        <w:t> </w:t>
      </w:r>
    </w:p>
    <w:tbl>
      <w:tblPr>
        <w:tblW w:w="1670" w:type="dxa"/>
        <w:jc w:val="left"/>
        <w:tblInd w:w="0" w:type="dxa"/>
        <w:tblLayout w:type="fixed"/>
        <w:tblCellMar>
          <w:top w:w="0" w:type="dxa"/>
          <w:left w:w="0" w:type="dxa"/>
          <w:bottom w:w="0" w:type="dxa"/>
          <w:right w:w="0" w:type="dxa"/>
        </w:tblCellMar>
      </w:tblPr>
      <w:tblGrid>
        <w:gridCol w:w="38"/>
        <w:gridCol w:w="60"/>
        <w:gridCol w:w="157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right"/>
              <w:rPr/>
            </w:pPr>
            <w:r>
              <w:rPr/>
              <w:drawing>
                <wp:inline distT="0" distB="0" distL="0" distR="0">
                  <wp:extent cx="950595" cy="20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0595" cy="203200"/>
                          </a:xfrm>
                          <a:prstGeom prst="rect">
                            <a:avLst/>
                          </a:prstGeom>
                        </pic:spPr>
                      </pic:pic>
                    </a:graphicData>
                  </a:graphic>
                </wp:inline>
              </w:drawing>
            </w:r>
            <w:r>
              <w:rPr/>
              <w:t xml:space="preserve"> </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26"/>
        <w:gridCol w:w="60"/>
        <w:gridCol w:w="60"/>
        <w:gridCol w:w="120"/>
        <w:gridCol w:w="7939"/>
      </w:tblGrid>
      <w:tr>
        <w:trPr/>
        <w:tc>
          <w:tcPr>
            <w:tcW w:w="2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3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drawing>
                <wp:inline distT="0" distB="0" distL="0" distR="0">
                  <wp:extent cx="1270000" cy="127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0000" cy="1270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0" w:type="dxa"/>
            <w:tcBorders>
              <w:right w:val="single" w:sz="8" w:space="0" w:color="CCCCCC"/>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39" w:type="dxa"/>
            <w:tcBorders/>
            <w:vAlign w:val="center"/>
          </w:tcPr>
          <w:p>
            <w:pPr>
              <w:pStyle w:val="TableContents"/>
              <w:bidi w:val="0"/>
              <w:spacing w:before="0" w:after="0"/>
              <w:jc w:val="left"/>
              <w:rPr/>
            </w:pPr>
            <w:r>
              <w:rPr/>
              <w:t>“</w:t>
            </w:r>
            <w:r>
              <w:rPr>
                <w:rFonts w:ascii="Arial" w:hAnsi="Arial"/>
                <w:i/>
                <w:sz w:val="18"/>
              </w:rPr>
              <w:t>We will continue to focus on security, quality, and innovation in everything we do. We want every organization to own its own continuous learning loop so it retains its core IP, and to ensure Al empowers every person, amplifying their agency and ambition. That is what we mean by a frontier ecosystem, ensuring value flows and accrues across people, companies, industries, and countries, thereby leading to broad-based economic growth.”</w:t>
            </w:r>
          </w:p>
          <w:p>
            <w:pPr>
              <w:pStyle w:val="TableContents"/>
              <w:bidi w:val="0"/>
              <w:spacing w:before="0" w:after="0"/>
              <w:jc w:val="left"/>
              <w:rPr>
                <w:color w:val="0075C9"/>
                <w:u w:val="single"/>
              </w:rPr>
            </w:pPr>
            <w:r>
              <w:rPr>
                <w:color w:val="0075C9"/>
                <w:u w:val="single"/>
              </w:rPr>
              <w:t>     </w:t>
            </w:r>
          </w:p>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Satya Nadella</w:t>
            </w:r>
          </w:p>
          <w:p>
            <w:pPr>
              <w:pStyle w:val="TableContents"/>
              <w:bidi w:val="0"/>
              <w:spacing w:before="0" w:after="20"/>
              <w:jc w:val="left"/>
              <w:rPr>
                <w:rFonts w:ascii="Arial" w:hAnsi="Arial"/>
                <w:sz w:val="18"/>
              </w:rPr>
            </w:pPr>
            <w:r>
              <w:rPr>
                <w:rFonts w:ascii="Arial" w:hAnsi="Arial"/>
                <w:sz w:val="18"/>
              </w:rPr>
              <w:t>Chairman and Chief Executive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91"/>
        <w:gridCol w:w="60"/>
        <w:gridCol w:w="260"/>
        <w:gridCol w:w="60"/>
        <w:gridCol w:w="2034"/>
      </w:tblGrid>
      <w:tr>
        <w:trPr/>
        <w:tc>
          <w:tcPr>
            <w:tcW w:w="7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r>
      <w:tr>
        <w:trPr/>
        <w:tc>
          <w:tcPr>
            <w:tcW w:w="7791" w:type="dxa"/>
            <w:tcBorders/>
            <w:vAlign w:val="center"/>
          </w:tcPr>
          <w:p>
            <w:pPr>
              <w:pStyle w:val="TableContents"/>
              <w:bidi w:val="0"/>
              <w:spacing w:before="0" w:after="0"/>
              <w:jc w:val="right"/>
              <w:rPr/>
            </w:pPr>
            <w:r>
              <w:rPr/>
              <w:t>“</w:t>
            </w:r>
            <w:r>
              <w:rPr>
                <w:rFonts w:ascii="Arial" w:hAnsi="Arial"/>
                <w:i/>
                <w:sz w:val="18"/>
              </w:rPr>
              <w:t>Microsoft occupies a special place in the world, with an outsized impact on how people live and work. As your Board of Directors, we take seriously our responsibility to guide the Company not just for today, but for continued success and good corporate citizenship into the future.”</w:t>
            </w:r>
          </w:p>
          <w:p>
            <w:pPr>
              <w:pStyle w:val="TableContents"/>
              <w:bidi w:val="0"/>
              <w:spacing w:before="0" w:after="0"/>
              <w:jc w:val="left"/>
              <w:rPr/>
            </w:pPr>
            <w:r>
              <w:rPr/>
              <w:t> </w:t>
            </w:r>
          </w:p>
          <w:p>
            <w:pPr>
              <w:pStyle w:val="TableContents"/>
              <w:bidi w:val="0"/>
              <w:spacing w:before="0" w:after="0"/>
              <w:jc w:val="right"/>
              <w:rPr>
                <w:color w:val="0075C9"/>
                <w:u w:val="single"/>
              </w:rPr>
            </w:pPr>
            <w:r>
              <w:rPr>
                <w:color w:val="0075C9"/>
                <w:u w:val="single"/>
              </w:rPr>
              <w:t>     </w:t>
            </w:r>
          </w:p>
          <w:p>
            <w:pPr>
              <w:pStyle w:val="TableContents"/>
              <w:bidi w:val="0"/>
              <w:spacing w:before="0" w:after="0"/>
              <w:jc w:val="left"/>
              <w:rPr/>
            </w:pPr>
            <w:r>
              <w:rPr/>
              <w:t> </w:t>
            </w:r>
          </w:p>
          <w:p>
            <w:pPr>
              <w:pStyle w:val="TableContents"/>
              <w:bidi w:val="0"/>
              <w:spacing w:before="0" w:after="0"/>
              <w:jc w:val="right"/>
              <w:rPr>
                <w:rFonts w:ascii="Arial" w:hAnsi="Arial"/>
                <w:b/>
                <w:sz w:val="24"/>
              </w:rPr>
            </w:pPr>
            <w:r>
              <w:rPr>
                <w:rFonts w:ascii="Arial" w:hAnsi="Arial"/>
                <w:b/>
                <w:sz w:val="24"/>
              </w:rPr>
              <w:t>Sandra Peterson</w:t>
            </w:r>
          </w:p>
          <w:p>
            <w:pPr>
              <w:pStyle w:val="TableContents"/>
              <w:bidi w:val="0"/>
              <w:spacing w:before="0" w:after="20"/>
              <w:jc w:val="right"/>
              <w:rPr>
                <w:rFonts w:ascii="Arial" w:hAnsi="Arial"/>
                <w:sz w:val="18"/>
              </w:rPr>
            </w:pPr>
            <w:r>
              <w:rPr>
                <w:rFonts w:ascii="Arial" w:hAnsi="Arial"/>
                <w:sz w:val="18"/>
              </w:rPr>
              <w:t>Lead Independent Director</w:t>
            </w:r>
          </w:p>
        </w:tc>
        <w:tc>
          <w:tcPr>
            <w:tcW w:w="60" w:type="dxa"/>
            <w:tcBorders/>
            <w:vAlign w:val="center"/>
          </w:tcPr>
          <w:p>
            <w:pPr>
              <w:pStyle w:val="TableContents"/>
              <w:bidi w:val="0"/>
              <w:spacing w:before="0" w:after="283"/>
              <w:jc w:val="left"/>
              <w:rPr/>
            </w:pPr>
            <w:r>
              <w:rPr/>
              <w:t> </w:t>
            </w:r>
          </w:p>
        </w:tc>
        <w:tc>
          <w:tcPr>
            <w:tcW w:w="260" w:type="dxa"/>
            <w:tcBorders>
              <w:right w:val="single" w:sz="8" w:space="0" w:color="CCCCCC"/>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left"/>
              <w:rPr/>
            </w:pPr>
            <w:r>
              <w:rPr/>
              <w:drawing>
                <wp:inline distT="0" distB="0" distL="0" distR="0">
                  <wp:extent cx="1270000" cy="1270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0000" cy="12700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789930" cy="32683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89930" cy="3268345"/>
                    </a:xfrm>
                    <a:prstGeom prst="rect">
                      <a:avLst/>
                    </a:prstGeom>
                  </pic:spPr>
                </pic:pic>
              </a:graphicData>
            </a:graphic>
          </wp:inline>
        </w:drawing>
      </w:r>
      <w:r>
        <w:rPr/>
        <w:t xml:space="preserve"> </w:t>
      </w:r>
    </w:p>
    <w:p>
      <w:pPr>
        <w:pStyle w:val="TextBody"/>
        <w:bidi w:val="0"/>
        <w:spacing w:before="360" w:after="0"/>
        <w:jc w:val="center"/>
        <w:rPr>
          <w:rFonts w:ascii="Arial" w:hAnsi="Arial"/>
          <w:b/>
          <w:color w:val="0075C9"/>
          <w:sz w:val="28"/>
        </w:rPr>
      </w:pPr>
      <w:r>
        <w:rPr>
          <w:rFonts w:ascii="Arial" w:hAnsi="Arial"/>
          <w:b/>
          <w:color w:val="0075C9"/>
          <w:sz w:val="28"/>
        </w:rPr>
        <w:t xml:space="preserve">Our Responsibility </w:t>
      </w:r>
    </w:p>
    <w:p>
      <w:pPr>
        <w:pStyle w:val="TextBody"/>
        <w:bidi w:val="0"/>
        <w:spacing w:before="240" w:after="0"/>
        <w:jc w:val="left"/>
        <w:rPr>
          <w:rFonts w:ascii="Arial" w:hAnsi="Arial"/>
          <w:sz w:val="18"/>
        </w:rPr>
      </w:pPr>
      <w:r>
        <w:rPr>
          <w:rFonts w:ascii="Arial" w:hAnsi="Arial"/>
          <w:sz w:val="18"/>
        </w:rPr>
        <w:t xml:space="preserve">As Al moves from experimentation to broad adoption, the central question is no longer just what technology can do, but how its benefits are shared and translated into lasting value for people, organizations, and communities. At Microsoft, we believe our responsibility endures. Our long-term success depends on earning trust in the technology we build, expanding human agency and opportunity, and ensuring that growth strengthens the communities and systems on which future progress depends. </w:t>
      </w:r>
    </w:p>
    <w:p>
      <w:pPr>
        <w:pStyle w:val="TextBody"/>
        <w:bidi w:val="0"/>
        <w:spacing w:before="240" w:after="0"/>
        <w:jc w:val="left"/>
        <w:rPr>
          <w:rFonts w:ascii="Arial" w:hAnsi="Arial"/>
          <w:sz w:val="18"/>
        </w:rPr>
      </w:pPr>
      <w:r>
        <w:rPr>
          <w:rFonts w:ascii="Arial" w:hAnsi="Arial"/>
          <w:sz w:val="18"/>
        </w:rPr>
        <w:t xml:space="preserve">In this Al era, we are focused on helping ensure innovation is trusted, opportunity is broadly shared, and technological progress creates lasting value. This work is guided by our commitment to build secure, resilient, and responsible technology, to empower people with the skills and tools to shape what comes next, and to advance growth that benefits communities and the planet.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bdr w:val="single" w:sz="48" w:space="1" w:color="0075C9"/>
        </w:rPr>
      </w:pPr>
      <w:r>
        <w:rPr>
          <w:bdr w:val="single" w:sz="48" w:space="1" w:color="0075C9"/>
        </w:rPr>
        <w:t>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center"/>
        <w:rPr>
          <w:bdr w:val="single" w:sz="48" w:space="1" w:color="0075C9"/>
        </w:rPr>
      </w:pPr>
      <w:r>
        <w:rPr>
          <w:bdr w:val="single" w:sz="48" w:space="1" w:color="0075C9"/>
        </w:rPr>
        <w:drawing>
          <wp:inline distT="0" distB="0" distL="0" distR="0">
            <wp:extent cx="1825625" cy="3771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25625" cy="377190"/>
                    </a:xfrm>
                    <a:prstGeom prst="rect">
                      <a:avLst/>
                    </a:prstGeom>
                  </pic:spPr>
                </pic:pic>
              </a:graphicData>
            </a:graphic>
          </wp:inline>
        </w:drawing>
      </w:r>
      <w:r>
        <w:rPr>
          <w:bdr w:val="single" w:sz="48" w:space="1" w:color="0075C9"/>
        </w:rPr>
        <w:t xml:space="preserve"> </w:t>
      </w:r>
    </w:p>
    <w:p>
      <w:pPr>
        <w:pStyle w:val="TextBody"/>
        <w:bidi w:val="0"/>
        <w:spacing w:before="520" w:after="0"/>
        <w:jc w:val="left"/>
        <w:rPr>
          <w:rFonts w:ascii="Arial" w:hAnsi="Arial"/>
          <w:b/>
          <w:sz w:val="37"/>
          <w:bdr w:val="single" w:sz="48" w:space="1" w:color="0075C9"/>
        </w:rPr>
      </w:pPr>
      <w:r>
        <w:rPr>
          <w:rFonts w:ascii="Arial" w:hAnsi="Arial"/>
          <w:b/>
          <w:sz w:val="37"/>
          <w:bdr w:val="single" w:sz="48" w:space="1" w:color="0075C9"/>
        </w:rPr>
        <w:t xml:space="preserve">Letter from our Chairman and Chief Executive Officer </w:t>
      </w:r>
    </w:p>
    <w:p>
      <w:pPr>
        <w:pStyle w:val="TextBody"/>
        <w:bidi w:val="0"/>
        <w:spacing w:before="480" w:after="0"/>
        <w:jc w:val="left"/>
        <w:rPr>
          <w:rFonts w:ascii="Arial" w:hAnsi="Arial"/>
          <w:sz w:val="18"/>
          <w:bdr w:val="single" w:sz="48" w:space="1" w:color="0075C9"/>
        </w:rPr>
      </w:pPr>
      <w:r>
        <w:rPr>
          <w:rFonts w:ascii="Arial" w:hAnsi="Arial"/>
          <w:sz w:val="18"/>
          <w:bdr w:val="single" w:sz="48" w:space="1" w:color="0075C9"/>
        </w:rPr>
        <w:t xml:space="preserve">October 21, 2026 </w:t>
      </w:r>
    </w:p>
    <w:p>
      <w:pPr>
        <w:pStyle w:val="TextBody"/>
        <w:bidi w:val="0"/>
        <w:spacing w:before="160" w:after="0"/>
        <w:jc w:val="left"/>
        <w:rPr>
          <w:rFonts w:ascii="Arial" w:hAnsi="Arial"/>
          <w:color w:val="0075C9"/>
          <w:sz w:val="24"/>
          <w:bdr w:val="single" w:sz="48" w:space="1" w:color="0075C9"/>
        </w:rPr>
      </w:pPr>
      <w:r>
        <w:rPr>
          <w:rFonts w:ascii="Arial" w:hAnsi="Arial"/>
          <w:color w:val="0075C9"/>
          <w:sz w:val="24"/>
          <w:bdr w:val="single" w:sz="48" w:space="1" w:color="0075C9"/>
        </w:rPr>
        <w:t xml:space="preserve">Dear Shareholder,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On behalf of the Board of Directors, it is our pleasure to invite you to the 2026 Annual Shareholders Meeting of Microsoft Corporation (“Annual Meeting”), on December 8, 2026, beginning at 8:30 a.m. Pacific Time. This year’s virtual Annual Meeting will be conducted and made available via webcast. We will provide the webcast of the Annual Meeting at </w:t>
      </w:r>
      <w:r>
        <w:rPr>
          <w:rFonts w:ascii="Arial" w:hAnsi="Arial"/>
          <w:sz w:val="18"/>
          <w:u w:val="single"/>
          <w:bdr w:val="single" w:sz="48" w:space="1" w:color="0075C9"/>
        </w:rPr>
        <w:t>virtualshareholdermeeting.com/MSFT26</w:t>
      </w:r>
      <w:r>
        <w:rPr>
          <w:rFonts w:ascii="Arial" w:hAnsi="Arial"/>
          <w:sz w:val="18"/>
          <w:bdr w:val="single" w:sz="48" w:space="1" w:color="0075C9"/>
        </w:rPr>
        <w:t xml:space="preserve">. A transcript with video and audio of the entire Annual Meeting will be available on the Microsoft Investor Relations website after the meeting. For more information on how to participate in the meeting, please see Part 5 – Information About the Meeting on page 81 in this Proxy Statement.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The Notice of 2026 Annual Shareholders Meeting and this Proxy Statement contain details of the business to be conducted during the Annual Meeting.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Whether or not you participate in the Annual Meeting, it is important that your shares be represented and voted. We urge you to promptly vote and submit your proxy (1) via the Internet, (2) by phone, or (3) if you received your proxy materials by mail, by signing, dating, and returning the enclosed proxy card or voting instruction form in the envelope provided for your convenience.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This year’s Annual Meeting will be followed by a question and answer session. Questions may be submitted in advance of the meeting at </w:t>
      </w:r>
      <w:r>
        <w:rPr>
          <w:rFonts w:ascii="Arial" w:hAnsi="Arial"/>
          <w:sz w:val="18"/>
          <w:u w:val="single"/>
          <w:bdr w:val="single" w:sz="48" w:space="1" w:color="0075C9"/>
        </w:rPr>
        <w:t>proxyvote.com</w:t>
      </w:r>
      <w:r>
        <w:rPr>
          <w:rFonts w:ascii="Arial" w:hAnsi="Arial"/>
          <w:sz w:val="18"/>
          <w:bdr w:val="single" w:sz="48" w:space="1" w:color="0075C9"/>
        </w:rPr>
        <w:t xml:space="preserve"> after logging in with the control number (“Control Number”) found next to the label for postal mail recipients or within the body of the email sending you the Proxy Statement. Questions may be submitted online beginning shortly before the start of the Annual Meeting through </w:t>
      </w:r>
      <w:r>
        <w:rPr>
          <w:rFonts w:ascii="Arial" w:hAnsi="Arial"/>
          <w:sz w:val="18"/>
          <w:u w:val="single"/>
          <w:bdr w:val="single" w:sz="48" w:space="1" w:color="0075C9"/>
        </w:rPr>
        <w:t>virtualshareholdermeeting.com/MSFT26</w:t>
      </w:r>
      <w:r>
        <w:rPr>
          <w:rFonts w:ascii="Arial" w:hAnsi="Arial"/>
          <w:sz w:val="18"/>
          <w:bdr w:val="single" w:sz="48" w:space="1" w:color="0075C9"/>
        </w:rPr>
        <w:t xml:space="preserve">.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Thank you for your continued investment in Microsoft.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Sincerely,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left"/>
        <w:rPr>
          <w:bdr w:val="single" w:sz="48" w:space="1" w:color="0075C9"/>
        </w:rPr>
      </w:pPr>
      <w:r>
        <w:rPr>
          <w:bdr w:val="single" w:sz="48" w:space="1" w:color="0075C9"/>
        </w:rPr>
        <w:drawing>
          <wp:inline distT="0" distB="0" distL="0" distR="0">
            <wp:extent cx="1144905" cy="5060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4905" cy="506095"/>
                    </a:xfrm>
                    <a:prstGeom prst="rect">
                      <a:avLst/>
                    </a:prstGeom>
                  </pic:spPr>
                </pic:pic>
              </a:graphicData>
            </a:graphic>
          </wp:inline>
        </w:drawing>
      </w:r>
      <w:r>
        <w:rPr>
          <w:bdr w:val="single" w:sz="48" w:space="1" w:color="0075C9"/>
        </w:rPr>
        <w:t xml:space="preserve"> </w:t>
      </w:r>
    </w:p>
    <w:p>
      <w:pPr>
        <w:pStyle w:val="TextBody"/>
        <w:bidi w:val="0"/>
        <w:spacing w:before="160" w:after="0"/>
        <w:jc w:val="left"/>
        <w:rPr>
          <w:rFonts w:ascii="Arial" w:hAnsi="Arial"/>
          <w:b/>
          <w:sz w:val="18"/>
          <w:bdr w:val="single" w:sz="48" w:space="1" w:color="0075C9"/>
        </w:rPr>
      </w:pPr>
      <w:r>
        <w:rPr>
          <w:rFonts w:ascii="Arial" w:hAnsi="Arial"/>
          <w:b/>
          <w:sz w:val="18"/>
          <w:bdr w:val="single" w:sz="48" w:space="1" w:color="0075C9"/>
        </w:rPr>
        <w:t xml:space="preserve">Satya Nadella </w:t>
      </w:r>
    </w:p>
    <w:p>
      <w:pPr>
        <w:pStyle w:val="TextBody"/>
        <w:bidi w:val="0"/>
        <w:spacing w:before="0" w:after="0"/>
        <w:jc w:val="left"/>
        <w:rPr>
          <w:rFonts w:ascii="Arial" w:hAnsi="Arial"/>
          <w:sz w:val="18"/>
          <w:bdr w:val="single" w:sz="48" w:space="1" w:color="0075C9"/>
        </w:rPr>
      </w:pPr>
      <w:r>
        <w:rPr>
          <w:rFonts w:ascii="Arial" w:hAnsi="Arial"/>
          <w:sz w:val="18"/>
          <w:bdr w:val="single" w:sz="48" w:space="1" w:color="0075C9"/>
        </w:rPr>
        <w:t xml:space="preserve">Chairman and Chief Executive Officer </w:t>
      </w:r>
    </w:p>
    <w:p>
      <w:pPr>
        <w:pStyle w:val="TextBody"/>
        <w:bidi w:val="0"/>
        <w:spacing w:before="0" w:after="0"/>
        <w:jc w:val="left"/>
        <w:rPr>
          <w:bdr w:val="single" w:sz="48" w:space="1" w:color="0075C9"/>
        </w:rPr>
      </w:pPr>
      <w:r>
        <w:rPr>
          <w:bdr w:val="single" w:sz="48" w:space="1" w:color="0075C9"/>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bdr w:val="single" w:sz="48" w:space="1" w:color="0075C9"/>
        </w:rPr>
      </w:pPr>
      <w:r>
        <w:rPr>
          <w:bdr w:val="single" w:sz="48" w:space="1" w:color="0075C9"/>
        </w:rPr>
        <w:t>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center"/>
        <w:rPr>
          <w:bdr w:val="single" w:sz="48" w:space="1" w:color="0075C9"/>
        </w:rPr>
      </w:pPr>
      <w:r>
        <w:rPr>
          <w:bdr w:val="single" w:sz="48" w:space="1" w:color="0075C9"/>
        </w:rPr>
        <w:drawing>
          <wp:inline distT="0" distB="0" distL="0" distR="0">
            <wp:extent cx="1825625" cy="3771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25625" cy="377190"/>
                    </a:xfrm>
                    <a:prstGeom prst="rect">
                      <a:avLst/>
                    </a:prstGeom>
                  </pic:spPr>
                </pic:pic>
              </a:graphicData>
            </a:graphic>
          </wp:inline>
        </w:drawing>
      </w:r>
      <w:r>
        <w:rPr>
          <w:bdr w:val="single" w:sz="48" w:space="1" w:color="0075C9"/>
        </w:rPr>
        <w:t xml:space="preserve"> </w:t>
      </w:r>
    </w:p>
    <w:p>
      <w:pPr>
        <w:pStyle w:val="TextBody"/>
        <w:bidi w:val="0"/>
        <w:spacing w:before="480" w:after="0"/>
        <w:jc w:val="left"/>
        <w:rPr>
          <w:rFonts w:ascii="Arial" w:hAnsi="Arial"/>
          <w:b/>
          <w:sz w:val="37"/>
          <w:bdr w:val="single" w:sz="48" w:space="1" w:color="0075C9"/>
        </w:rPr>
      </w:pPr>
      <w:r>
        <w:rPr>
          <w:rFonts w:ascii="Arial" w:hAnsi="Arial"/>
          <w:b/>
          <w:sz w:val="37"/>
          <w:bdr w:val="single" w:sz="48" w:space="1" w:color="0075C9"/>
        </w:rPr>
        <w:t xml:space="preserve">Letter from the Board of Directors </w:t>
      </w:r>
    </w:p>
    <w:p>
      <w:pPr>
        <w:pStyle w:val="TextBody"/>
        <w:bidi w:val="0"/>
        <w:spacing w:before="480" w:after="0"/>
        <w:jc w:val="left"/>
        <w:rPr>
          <w:rFonts w:ascii="Arial" w:hAnsi="Arial"/>
          <w:sz w:val="18"/>
          <w:bdr w:val="single" w:sz="48" w:space="1" w:color="0075C9"/>
        </w:rPr>
      </w:pPr>
      <w:r>
        <w:rPr>
          <w:rFonts w:ascii="Arial" w:hAnsi="Arial"/>
          <w:sz w:val="18"/>
          <w:bdr w:val="single" w:sz="48" w:space="1" w:color="0075C9"/>
        </w:rPr>
        <w:t xml:space="preserve">October 21, 2026 </w:t>
      </w:r>
    </w:p>
    <w:p>
      <w:pPr>
        <w:pStyle w:val="TextBody"/>
        <w:bidi w:val="0"/>
        <w:spacing w:before="160" w:after="0"/>
        <w:jc w:val="left"/>
        <w:rPr>
          <w:rFonts w:ascii="Arial" w:hAnsi="Arial"/>
          <w:color w:val="0075C9"/>
          <w:sz w:val="24"/>
          <w:bdr w:val="single" w:sz="48" w:space="1" w:color="0075C9"/>
        </w:rPr>
      </w:pPr>
      <w:r>
        <w:rPr>
          <w:rFonts w:ascii="Arial" w:hAnsi="Arial"/>
          <w:color w:val="0075C9"/>
          <w:sz w:val="24"/>
          <w:bdr w:val="single" w:sz="48" w:space="1" w:color="0075C9"/>
        </w:rPr>
        <w:t xml:space="preserve">Dear Shareholder,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As directors, we are encouraged by Microsoft’s position at the forefront of the generational technology shift of artificial intelligence (“AI”) and proud of the Company’s progress in providing trusted AI infrastructure, platforms, and innovations that help individuals and organizations unlock new opportunities, improve productivity, and securely leverage their data and insights. Through disciplined governance, accountability, and a steadfast focus on security, quality, and long-term value creation, Microsoft remains well positioned to deliver sustainable growth for shareholders while advancing its mission to empower every person and every organization on the planet to achieve more. Our fiscal year 2026 results demonstrate the strength of that strategy, with Microsoft delivering a record fiscal year and achieving revenue of $331.8 billion and net income of $133.7 billion.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This Proxy Statement outlines Microsoft’s governance policies and practices that enable effective Board oversight of the Company’s strategy and operations. A core strength of our governance is the Board’s commitment to independent perspectives. Of the 12 Board nominees, 11 are independent, including Sandra Peterson as Lead Independent Director. Our nominees bring diverse backgrounds, experiences, and skills, which enhance the Board’s ability to manage risk and guide Microsoft for long-term success in a rapidly changing environment. In addition to subject matter expertise, we seek directors with proven leadership who can contribute meaningfully to oversight of the broad range of business, risk, and regulatory matters facing the Company. Since last year’s meeting, the Board appointed Carmine Di Sibio as a director in May 2026. He is standing for election by shareholders for the first time at the 2026 Annual Meeting. Mr. Di Sibio brings expertise in financial services, risk oversight, and global client leadership to meet the evolving needs of our customers. We are also pleased to announce the nomination of John Collison, Co-founder, President, and Director of Stripe Global Holdings, Inc., for election by shareholders at the 2026 Annual Meeting. Mr. Collison brings extensive entrepreneurial and operational experience, along with deep expertise in technology.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In addition, two members of the Board have decided not to seek re-election and will end their Board service in December: Reid Hoffman and Hugh Johnston. Mr. Hoffman served on the Board for nine years and on the Environmental, Social, and Public Policy Committee. During his nine-year tenure, Mr. Johnston served on and chaired the Audit and Finance Committee. We thank them for their many contributions.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The Proxy Statement also includes information about all of the management and shareholder proposals up for a vote at the Company’s Annual Meeting. We value your input and encourage you to use one of the options laid out in this Proxy Statement to vote your shares whether or not you plan to join us for the Annual Meeting. For information on how Microsoft addresses topics of key importance to our shareholders and stakeholders, including cybersecurity, environmental sustainability, and responsible AI, we encourage you to read the progress reports on these topics that Microsoft published over the course of the past fiscal year which are available at </w:t>
      </w:r>
      <w:r>
        <w:rPr>
          <w:rFonts w:ascii="Arial" w:hAnsi="Arial"/>
          <w:sz w:val="18"/>
          <w:u w:val="single"/>
          <w:bdr w:val="single" w:sz="48" w:space="1" w:color="0075C9"/>
        </w:rPr>
        <w:t>microsoft.com/transparency</w:t>
      </w:r>
      <w:r>
        <w:rPr>
          <w:rFonts w:ascii="Arial" w:hAnsi="Arial"/>
          <w:sz w:val="18"/>
          <w:bdr w:val="single" w:sz="48" w:space="1" w:color="0075C9"/>
        </w:rPr>
        <w:t xml:space="preserve"> and </w:t>
      </w:r>
      <w:r>
        <w:rPr>
          <w:rFonts w:ascii="Arial" w:hAnsi="Arial"/>
          <w:sz w:val="18"/>
          <w:u w:val="single"/>
          <w:bdr w:val="single" w:sz="48" w:space="1" w:color="0075C9"/>
        </w:rPr>
        <w:t>microsoft.com/csr</w:t>
      </w:r>
      <w:r>
        <w:rPr>
          <w:rFonts w:ascii="Arial" w:hAnsi="Arial"/>
          <w:sz w:val="18"/>
          <w:bdr w:val="single" w:sz="48" w:space="1" w:color="0075C9"/>
        </w:rPr>
        <w:t xml:space="preserve">.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As we look ahead, we continue to see tremendous opportunities for the Company’s business and shareholder value creation, with the ability to deliver positive impacts at a global scale. We appreciate your investment in Microsoft and thank you for the trust you place in us and the opportunity to serve you and our Company as directors.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Sincerely,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Your Board of Directors </w:t>
      </w:r>
    </w:p>
    <w:p>
      <w:pPr>
        <w:pStyle w:val="TextBody"/>
        <w:bidi w:val="0"/>
        <w:spacing w:before="0" w:after="0"/>
        <w:jc w:val="left"/>
        <w:rPr>
          <w:bdr w:val="single" w:sz="48" w:space="1" w:color="0075C9"/>
        </w:rPr>
      </w:pPr>
      <w:r>
        <w:rPr>
          <w:bdr w:val="single" w:sz="48" w:space="1" w:color="0075C9"/>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739265" cy="35941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39265" cy="3594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 w:hAnsi="Arial"/>
          <w:b/>
          <w:sz w:val="50"/>
        </w:rPr>
      </w:pPr>
      <w:r>
        <w:rPr>
          <w:rFonts w:ascii="Arial" w:hAnsi="Arial"/>
          <w:b/>
          <w:sz w:val="50"/>
        </w:rPr>
        <w:t xml:space="preserve">Notice of 2026 Annual Shareholders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5"/>
        <w:gridCol w:w="60"/>
        <w:gridCol w:w="23"/>
        <w:gridCol w:w="60"/>
        <w:gridCol w:w="7807"/>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07"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t>December 8, 2026</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Time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t>8:30 a.m. Pacific Time</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Virtual Meeting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color w:val="0075C9"/>
              </w:rPr>
            </w:pPr>
            <w:r>
              <w:rPr>
                <w:color w:val="0075C9"/>
              </w:rPr>
              <w:t xml:space="preserve">This year’s meeting is a virtual shareholders meeting at </w:t>
            </w:r>
            <w:r>
              <w:rPr>
                <w:color w:val="0075C9"/>
                <w:u w:val="single"/>
              </w:rPr>
              <w:t>virtualshareholdermeeting.com/MSFT26</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Record 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t>September 30, 2026. Only shareholders of record at the close of business on the record date are entitled to receive notice of, and to vote at, the Annual Meeting.</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Proxy Voting</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b/>
              </w:rPr>
              <w:t>Make your vote count.</w:t>
            </w:r>
            <w:r>
              <w:rPr/>
              <w:t xml:space="preserve"> Please vote your shares promptly to ensure the presence of a quorum during the Annual Meeting. Voting your shares now via the Internet, by telephone, or by signing, dating, and returning the enclosed proxy card or voting instruction form will save the expense of additional solicitation. If you wish to vote by mail, we have enclosed an addressed envelope with postage prepaid if mailed in the United States. Submitting your proxy now will not prevent you from voting your shares during the Annual Meeting, as your proxy is revocable at your option. We are requesting your vote to:</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jc w:val="left"/>
              <w:rPr>
                <w:b/>
                <w:color w:val="0075C9"/>
              </w:rPr>
            </w:pPr>
            <w:r>
              <w:rPr>
                <w:b/>
                <w:color w:val="0075C9"/>
              </w:rPr>
              <w:t>Items of</w:t>
            </w:r>
          </w:p>
          <w:p>
            <w:pPr>
              <w:pStyle w:val="TableContents"/>
              <w:bidi w:val="0"/>
              <w:spacing w:before="0" w:after="20"/>
              <w:jc w:val="left"/>
              <w:rPr>
                <w:rFonts w:ascii="Arial" w:hAnsi="Arial"/>
                <w:b/>
                <w:color w:val="0075C9"/>
                <w:sz w:val="18"/>
              </w:rPr>
            </w:pPr>
            <w:r>
              <w:rPr>
                <w:rFonts w:ascii="Arial" w:hAnsi="Arial"/>
                <w:b/>
                <w:color w:val="0075C9"/>
                <w:sz w:val="18"/>
              </w:rPr>
              <w:t>Business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Elect the 12 director nominees named in this Proxy Statement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Approve, on a nonbinding advisory basis, the compensation paid to our named executive officers (“say-on-pay vote”)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Ratify the selection of Deloitte &amp; Touche LLP as our independent auditor for fiscal year 2027</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Vote on four shareholder proposals, if properly presented at the Annual Meeting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Transact other business that may properly come before the Annual Meeting</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jc w:val="left"/>
              <w:rPr>
                <w:b/>
                <w:color w:val="0075C9"/>
              </w:rPr>
            </w:pPr>
            <w:r>
              <w:rPr>
                <w:b/>
                <w:color w:val="0075C9"/>
              </w:rPr>
              <w:t>Address of Corporate</w:t>
            </w:r>
          </w:p>
          <w:p>
            <w:pPr>
              <w:pStyle w:val="TableContents"/>
              <w:bidi w:val="0"/>
              <w:spacing w:before="0" w:after="20"/>
              <w:jc w:val="left"/>
              <w:rPr>
                <w:rFonts w:ascii="Arial" w:hAnsi="Arial"/>
                <w:b/>
                <w:color w:val="0075C9"/>
                <w:sz w:val="18"/>
              </w:rPr>
            </w:pPr>
            <w:r>
              <w:rPr>
                <w:rFonts w:ascii="Arial" w:hAnsi="Arial"/>
                <w:b/>
                <w:color w:val="0075C9"/>
                <w:sz w:val="18"/>
              </w:rPr>
              <w:t>Headquarters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t>One Microsoft Way, Redmond, WA 98052</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867"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b/>
                <w:color w:val="0075C9"/>
              </w:rPr>
            </w:pPr>
            <w:r>
              <w:rPr>
                <w:b/>
                <w:color w:val="0075C9"/>
              </w:rPr>
              <w:t>Meeting Details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07" w:type="dxa"/>
            <w:tcBorders/>
            <w:vAlign w:val="center"/>
          </w:tcPr>
          <w:p>
            <w:pPr>
              <w:pStyle w:val="TableContents"/>
              <w:bidi w:val="0"/>
              <w:spacing w:before="0" w:after="283"/>
              <w:jc w:val="left"/>
              <w:rPr/>
            </w:pPr>
            <w:r>
              <w:rPr/>
              <w:t>See Part 5 – Information About the Meeting for details</w:t>
            </w:r>
          </w:p>
        </w:tc>
      </w:tr>
    </w:tbl>
    <w:p>
      <w:pPr>
        <w:pStyle w:val="TextBody"/>
        <w:bidi w:val="0"/>
        <w:spacing w:before="240" w:after="0"/>
        <w:jc w:val="left"/>
        <w:rPr>
          <w:rFonts w:ascii="Arial" w:hAnsi="Arial"/>
          <w:color w:val="0075C9"/>
          <w:sz w:val="18"/>
        </w:rPr>
      </w:pPr>
      <w:r>
        <w:rPr>
          <w:rFonts w:ascii="Arial" w:hAnsi="Arial"/>
          <w:b/>
          <w:color w:val="0075C9"/>
          <w:sz w:val="18"/>
        </w:rPr>
        <w:t>Important notice regarding the availability of proxy materials for the Annual Meeting to be held on December</w:t>
      </w:r>
      <w:r>
        <w:rPr>
          <w:rFonts w:ascii="Arial" w:hAnsi="Arial"/>
          <w:color w:val="0075C9"/>
          <w:sz w:val="18"/>
        </w:rPr>
        <w:t> </w:t>
      </w:r>
      <w:r>
        <w:rPr>
          <w:rFonts w:ascii="Arial" w:hAnsi="Arial"/>
          <w:b/>
          <w:color w:val="0075C9"/>
          <w:sz w:val="18"/>
        </w:rPr>
        <w:t>8, 2026.</w:t>
      </w:r>
      <w:r>
        <w:rPr>
          <w:rFonts w:ascii="Arial" w:hAnsi="Arial"/>
          <w:color w:val="0075C9"/>
          <w:sz w:val="18"/>
        </w:rPr>
        <w:t xml:space="preserve"> Our 2026 Proxy Statement and Annual Report to Shareholders are available at </w:t>
      </w:r>
      <w:r>
        <w:rPr>
          <w:rFonts w:ascii="Arial" w:hAnsi="Arial"/>
          <w:color w:val="0075C9"/>
          <w:sz w:val="18"/>
          <w:u w:val="single"/>
        </w:rPr>
        <w:t>microsoft.com/investor</w:t>
      </w:r>
      <w:r>
        <w:rPr>
          <w:rFonts w:ascii="Arial" w:hAnsi="Arial"/>
          <w:color w:val="0075C9"/>
          <w:sz w:val="18"/>
        </w:rPr>
        <w:t xml:space="preserve">. </w:t>
      </w:r>
    </w:p>
    <w:p>
      <w:pPr>
        <w:pStyle w:val="TextBody"/>
        <w:bidi w:val="0"/>
        <w:spacing w:before="200" w:after="0"/>
        <w:jc w:val="left"/>
        <w:rPr>
          <w:rFonts w:ascii="Arial" w:hAnsi="Arial"/>
          <w:b/>
          <w:sz w:val="18"/>
        </w:rPr>
      </w:pPr>
      <w:r>
        <w:rPr>
          <w:rFonts w:ascii="Arial" w:hAnsi="Arial"/>
          <w:b/>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393190" cy="3860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93190" cy="386080"/>
                    </a:xfrm>
                    <a:prstGeom prst="rect">
                      <a:avLst/>
                    </a:prstGeom>
                  </pic:spPr>
                </pic:pic>
              </a:graphicData>
            </a:graphic>
          </wp:inline>
        </w:drawing>
      </w:r>
      <w:r>
        <w:rPr/>
        <w:t xml:space="preserve"> </w:t>
      </w:r>
    </w:p>
    <w:p>
      <w:pPr>
        <w:pStyle w:val="TextBody"/>
        <w:bidi w:val="0"/>
        <w:spacing w:before="60" w:after="0"/>
        <w:jc w:val="left"/>
        <w:rPr>
          <w:rFonts w:ascii="Arial" w:hAnsi="Arial"/>
          <w:b/>
          <w:color w:val="0075C9"/>
          <w:sz w:val="18"/>
        </w:rPr>
      </w:pPr>
      <w:r>
        <w:rPr>
          <w:rFonts w:ascii="Arial" w:hAnsi="Arial"/>
          <w:b/>
          <w:color w:val="0075C9"/>
          <w:sz w:val="18"/>
        </w:rPr>
        <w:t xml:space="preserve">Brian DeFoe </w:t>
      </w:r>
    </w:p>
    <w:p>
      <w:pPr>
        <w:pStyle w:val="TextBody"/>
        <w:bidi w:val="0"/>
        <w:spacing w:before="0" w:after="0"/>
        <w:jc w:val="left"/>
        <w:rPr>
          <w:rFonts w:ascii="Arial" w:hAnsi="Arial"/>
          <w:sz w:val="18"/>
        </w:rPr>
      </w:pPr>
      <w:r>
        <w:rPr>
          <w:rFonts w:ascii="Arial" w:hAnsi="Arial"/>
          <w:sz w:val="18"/>
        </w:rPr>
        <w:t xml:space="preserve">Secretary </w:t>
      </w:r>
    </w:p>
    <w:p>
      <w:pPr>
        <w:pStyle w:val="TextBody"/>
        <w:bidi w:val="0"/>
        <w:spacing w:before="120" w:after="0"/>
        <w:jc w:val="left"/>
        <w:rPr>
          <w:rFonts w:ascii="Arial" w:hAnsi="Arial"/>
          <w:sz w:val="18"/>
        </w:rPr>
      </w:pPr>
      <w:r>
        <w:rPr>
          <w:rFonts w:ascii="Arial" w:hAnsi="Arial"/>
          <w:sz w:val="18"/>
        </w:rPr>
        <w:t xml:space="preserve">Redmond, Washington </w:t>
      </w:r>
    </w:p>
    <w:p>
      <w:pPr>
        <w:pStyle w:val="TextBody"/>
        <w:bidi w:val="0"/>
        <w:spacing w:before="0" w:after="0"/>
        <w:jc w:val="left"/>
        <w:rPr>
          <w:rFonts w:ascii="Arial" w:hAnsi="Arial"/>
          <w:sz w:val="18"/>
        </w:rPr>
      </w:pPr>
      <w:r>
        <w:rPr>
          <w:rFonts w:ascii="Arial" w:hAnsi="Arial"/>
          <w:sz w:val="18"/>
        </w:rPr>
        <w:t xml:space="preserve">October 21,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16"/>
        </w:rPr>
      </w:pPr>
      <w:r>
        <w:rPr>
          <w:rFonts w:ascii="Arial" w:hAnsi="Arial"/>
          <w:sz w:val="16"/>
        </w:rPr>
        <w:t>2026 PROXY STATEMENT</w:t>
      </w:r>
      <w:r>
        <w:rPr>
          <w:rFonts w:ascii="Arial" w:hAnsi="Arial"/>
          <w:color w:val="0075C9"/>
          <w:sz w:val="16"/>
        </w:rPr>
        <w:t> </w:t>
      </w:r>
      <w:r>
        <w:rPr>
          <w:rFonts w:ascii="Arial" w:hAnsi="Arial"/>
          <w:b/>
          <w:color w:val="0075C9"/>
          <w:sz w:val="16"/>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sz w:val="50"/>
        </w:rPr>
      </w:pPr>
      <w:bookmarkStart w:id="2" w:name="toc"/>
      <w:bookmarkEnd w:id="2"/>
      <w:r>
        <w:rPr>
          <w:rFonts w:ascii="Arial" w:hAnsi="Arial"/>
          <w:b/>
          <w:sz w:val="5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3110230" cy="9972040"/>
                <wp:effectExtent l="0" t="0" r="0" b="0"/>
                <wp:wrapSquare wrapText="right"/>
                <wp:docPr id="1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590" w:type="dxa"/>
                              <w:jc w:val="left"/>
                              <w:tblInd w:w="0" w:type="dxa"/>
                              <w:tblLayout w:type="fixed"/>
                              <w:tblCellMar>
                                <w:top w:w="0" w:type="dxa"/>
                                <w:left w:w="0" w:type="dxa"/>
                                <w:bottom w:w="0" w:type="dxa"/>
                                <w:right w:w="0" w:type="dxa"/>
                              </w:tblCellMar>
                            </w:tblPr>
                            <w:tblGrid>
                              <w:gridCol w:w="5255"/>
                              <w:gridCol w:w="60"/>
                              <w:gridCol w:w="60"/>
                              <w:gridCol w:w="140"/>
                              <w:gridCol w:w="75"/>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top w:val="single" w:sz="8" w:space="0" w:color="0075C9"/>
                                  </w:tcBorders>
                                  <w:tcMar>
                                    <w:top w:w="28" w:type="dxa"/>
                                  </w:tcMar>
                                  <w:vAlign w:val="center"/>
                                </w:tcPr>
                                <w:p>
                                  <w:pPr>
                                    <w:pStyle w:val="TableContents"/>
                                    <w:bidi w:val="0"/>
                                    <w:spacing w:before="0" w:after="283"/>
                                    <w:jc w:val="left"/>
                                    <w:rPr/>
                                  </w:pPr>
                                  <w:r>
                                    <w:rPr/>
                                    <w:t> </w:t>
                                  </w:r>
                                </w:p>
                              </w:tc>
                              <w:tc>
                                <w:tcPr>
                                  <w:tcW w:w="33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hyperlink w:anchor="toc61756_1">
                                    <w:r>
                                      <w:rPr>
                                        <w:rStyle w:val="InternetLink"/>
                                        <w:b/>
                                        <w:color w:val="0075C9"/>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5C9"/>
                                    </w:rPr>
                                  </w:pPr>
                                  <w:r>
                                    <w:rPr>
                                      <w:color w:val="0075C9"/>
                                    </w:rPr>
                                    <w:t> </w:t>
                                  </w:r>
                                </w:p>
                              </w:tc>
                              <w:tc>
                                <w:tcPr>
                                  <w:tcW w:w="140" w:type="dxa"/>
                                  <w:tcBorders/>
                                  <w:vAlign w:val="center"/>
                                </w:tcPr>
                                <w:p>
                                  <w:pPr>
                                    <w:pStyle w:val="TableContents"/>
                                    <w:bidi w:val="0"/>
                                    <w:spacing w:before="0" w:after="283"/>
                                    <w:jc w:val="right"/>
                                    <w:rPr>
                                      <w:b/>
                                      <w:color w:val="0075C9"/>
                                    </w:rPr>
                                  </w:pPr>
                                  <w:r>
                                    <w:rPr>
                                      <w:b/>
                                      <w:color w:val="0075C9"/>
                                    </w:rPr>
                                    <w:t>1</w:t>
                                  </w:r>
                                </w:p>
                              </w:tc>
                              <w:tc>
                                <w:tcPr>
                                  <w:tcW w:w="75" w:type="dxa"/>
                                  <w:tcBorders/>
                                  <w:vAlign w:val="center"/>
                                </w:tcPr>
                                <w:p>
                                  <w:pPr>
                                    <w:pStyle w:val="TableContents"/>
                                    <w:bidi w:val="0"/>
                                    <w:spacing w:before="0" w:after="283"/>
                                    <w:jc w:val="left"/>
                                    <w:rPr>
                                      <w:color w:val="0075C9"/>
                                    </w:rPr>
                                  </w:pPr>
                                  <w:r>
                                    <w:rPr>
                                      <w:color w:val="0075C9"/>
                                    </w:rPr>
                                    <w:t> </w:t>
                                  </w:r>
                                </w:p>
                              </w:tc>
                            </w:tr>
                            <w:tr>
                              <w:trPr/>
                              <w:tc>
                                <w:tcPr>
                                  <w:tcW w:w="5255" w:type="dxa"/>
                                  <w:tcBorders>
                                    <w:top w:val="single" w:sz="8" w:space="0" w:color="0075C9"/>
                                  </w:tcBorders>
                                  <w:tcMar>
                                    <w:top w:w="28" w:type="dxa"/>
                                  </w:tcMar>
                                  <w:vAlign w:val="center"/>
                                </w:tcPr>
                                <w:p>
                                  <w:pPr>
                                    <w:pStyle w:val="TableContents"/>
                                    <w:bidi w:val="0"/>
                                    <w:spacing w:before="0" w:after="283"/>
                                    <w:jc w:val="left"/>
                                    <w:rPr/>
                                  </w:pPr>
                                  <w:r>
                                    <w:rPr/>
                                    <w:t> </w:t>
                                  </w:r>
                                </w:p>
                              </w:tc>
                              <w:tc>
                                <w:tcPr>
                                  <w:tcW w:w="33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hyperlink w:anchor="toc61756_2">
                                    <w:r>
                                      <w:rPr>
                                        <w:rStyle w:val="InternetLink"/>
                                        <w:b/>
                                        <w:color w:val="0075C9"/>
                                      </w:rPr>
                                      <w:t>BOARD OF DIRECTORS AND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hyperlink w:anchor="toc61756_3">
                                    <w:r>
                                      <w:rPr>
                                        <w:rStyle w:val="InternetLink"/>
                                      </w:rPr>
                                      <w:t>Board of Directors Stewardship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bl>
                          <w:tbl>
                            <w:tblPr>
                              <w:tblW w:w="6445" w:type="dxa"/>
                              <w:jc w:val="left"/>
                              <w:tblInd w:w="0" w:type="dxa"/>
                              <w:tblLayout w:type="fixed"/>
                              <w:tblCellMar>
                                <w:top w:w="0" w:type="dxa"/>
                                <w:left w:w="0" w:type="dxa"/>
                                <w:bottom w:w="0" w:type="dxa"/>
                                <w:right w:w="0" w:type="dxa"/>
                              </w:tblCellMar>
                            </w:tblPr>
                            <w:tblGrid>
                              <w:gridCol w:w="5990"/>
                              <w:gridCol w:w="60"/>
                              <w:gridCol w:w="60"/>
                              <w:gridCol w:w="260"/>
                              <w:gridCol w:w="75"/>
                            </w:tblGrid>
                            <w:tr>
                              <w:trPr/>
                              <w:tc>
                                <w:tcPr>
                                  <w:tcW w:w="5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4">
                                    <w:r>
                                      <w:rPr>
                                        <w:rStyle w:val="InternetLink"/>
                                      </w:rPr>
                                      <w:t>Our Governance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5">
                                    <w:r>
                                      <w:rPr>
                                        <w:rStyle w:val="InternetLink"/>
                                      </w:rPr>
                                      <w:t>Director Selection and Qualifications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6">
                                    <w:r>
                                      <w:rPr>
                                        <w:rStyle w:val="InternetLink"/>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7">
                                    <w:r>
                                      <w:rPr>
                                        <w:rStyle w:val="InternetLink"/>
                                      </w:rPr>
                                      <w:t>Our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8">
                                    <w:r>
                                      <w:rPr>
                                        <w:rStyle w:val="InternetLink"/>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599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hyperlink w:anchor="toc61756_9">
                                    <w:r>
                                      <w:rPr>
                                        <w:rStyle w:val="InternetLink"/>
                                        <w:b/>
                                        <w:color w:val="0075C9"/>
                                      </w:rPr>
                                      <w:t>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0">
                                    <w:r>
                                      <w:rPr>
                                        <w:rStyle w:val="InternetLink"/>
                                      </w:rPr>
                                      <w:t>A Letter from the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1">
                                    <w:r>
                                      <w:rPr>
                                        <w:rStyle w:val="InternetLink"/>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2">
                                    <w:r>
                                      <w:rPr>
                                        <w:rStyle w:val="InternetLink"/>
                                        <w:rFonts w:ascii="Arial" w:hAnsi="Arial"/>
                                        <w:b/>
                                        <w:sz w:val="18"/>
                                      </w:rPr>
                                      <w:t>Section</w:t>
                                    </w:r>
                                  </w:hyperlink>
                                  <w:hyperlink w:anchor="toc61756_12">
                                    <w:r>
                                      <w:rPr>
                                        <w:rStyle w:val="InternetLink"/>
                                        <w:rFonts w:ascii="Arial" w:hAnsi="Arial"/>
                                        <w:sz w:val="18"/>
                                      </w:rPr>
                                      <w:t> </w:t>
                                    </w:r>
                                  </w:hyperlink>
                                  <w:hyperlink w:anchor="toc61756_12">
                                    <w:r>
                                      <w:rPr>
                                        <w:rStyle w:val="InternetLink"/>
                                        <w:rFonts w:ascii="Arial" w:hAnsi="Arial"/>
                                        <w:b/>
                                        <w:sz w:val="18"/>
                                      </w:rPr>
                                      <w:t xml:space="preserve">1: </w:t>
                                    </w:r>
                                  </w:hyperlink>
                                  <w:hyperlink w:anchor="toc61756_12">
                                    <w:r>
                                      <w:rPr>
                                        <w:rStyle w:val="InternetLink"/>
                                        <w:rFonts w:ascii="Arial" w:hAnsi="Arial"/>
                                        <w:sz w:val="18"/>
                                      </w:rPr>
                                      <w:t>Performance Update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3">
                                    <w:r>
                                      <w:rPr>
                                        <w:rStyle w:val="InternetLink"/>
                                        <w:rFonts w:ascii="Arial" w:hAnsi="Arial"/>
                                        <w:b/>
                                        <w:sz w:val="18"/>
                                      </w:rPr>
                                      <w:t>Section</w:t>
                                    </w:r>
                                  </w:hyperlink>
                                  <w:hyperlink w:anchor="toc61756_13">
                                    <w:r>
                                      <w:rPr>
                                        <w:rStyle w:val="InternetLink"/>
                                        <w:rFonts w:ascii="Arial" w:hAnsi="Arial"/>
                                        <w:sz w:val="18"/>
                                      </w:rPr>
                                      <w:t> </w:t>
                                    </w:r>
                                  </w:hyperlink>
                                  <w:hyperlink w:anchor="toc61756_13">
                                    <w:r>
                                      <w:rPr>
                                        <w:rStyle w:val="InternetLink"/>
                                        <w:rFonts w:ascii="Arial" w:hAnsi="Arial"/>
                                        <w:b/>
                                        <w:sz w:val="18"/>
                                      </w:rPr>
                                      <w:t xml:space="preserve">2: </w:t>
                                    </w:r>
                                  </w:hyperlink>
                                  <w:hyperlink w:anchor="toc61756_13">
                                    <w:r>
                                      <w:rPr>
                                        <w:rStyle w:val="InternetLink"/>
                                        <w:rFonts w:ascii="Arial" w:hAnsi="Arial"/>
                                        <w:sz w:val="18"/>
                                      </w:rPr>
                                      <w:t>Executive Compensation Program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4">
                                    <w:r>
                                      <w:rPr>
                                        <w:rStyle w:val="InternetLink"/>
                                        <w:rFonts w:ascii="Arial" w:hAnsi="Arial"/>
                                        <w:b/>
                                        <w:sz w:val="18"/>
                                      </w:rPr>
                                      <w:t>Section</w:t>
                                    </w:r>
                                  </w:hyperlink>
                                  <w:hyperlink w:anchor="toc61756_14">
                                    <w:r>
                                      <w:rPr>
                                        <w:rStyle w:val="InternetLink"/>
                                        <w:rFonts w:ascii="Arial" w:hAnsi="Arial"/>
                                        <w:sz w:val="18"/>
                                      </w:rPr>
                                      <w:t> </w:t>
                                    </w:r>
                                  </w:hyperlink>
                                  <w:hyperlink w:anchor="toc61756_14">
                                    <w:r>
                                      <w:rPr>
                                        <w:rStyle w:val="InternetLink"/>
                                        <w:rFonts w:ascii="Arial" w:hAnsi="Arial"/>
                                        <w:b/>
                                        <w:sz w:val="18"/>
                                      </w:rPr>
                                      <w:t xml:space="preserve">3: </w:t>
                                    </w:r>
                                  </w:hyperlink>
                                  <w:hyperlink w:anchor="toc61756_14">
                                    <w:r>
                                      <w:rPr>
                                        <w:rStyle w:val="InternetLink"/>
                                        <w:rFonts w:ascii="Arial" w:hAnsi="Arial"/>
                                        <w:sz w:val="18"/>
                                      </w:rPr>
                                      <w:t>Pay Setting Governance and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5">
                                    <w:r>
                                      <w:rPr>
                                        <w:rStyle w:val="InternetLink"/>
                                        <w:rFonts w:ascii="Arial" w:hAnsi="Arial"/>
                                        <w:b/>
                                        <w:sz w:val="18"/>
                                      </w:rPr>
                                      <w:t>Section</w:t>
                                    </w:r>
                                  </w:hyperlink>
                                  <w:hyperlink w:anchor="toc61756_15">
                                    <w:r>
                                      <w:rPr>
                                        <w:rStyle w:val="InternetLink"/>
                                        <w:rFonts w:ascii="Arial" w:hAnsi="Arial"/>
                                        <w:sz w:val="18"/>
                                      </w:rPr>
                                      <w:t> </w:t>
                                    </w:r>
                                  </w:hyperlink>
                                  <w:hyperlink w:anchor="toc61756_15">
                                    <w:r>
                                      <w:rPr>
                                        <w:rStyle w:val="InternetLink"/>
                                        <w:rFonts w:ascii="Arial" w:hAnsi="Arial"/>
                                        <w:b/>
                                        <w:sz w:val="18"/>
                                      </w:rPr>
                                      <w:t xml:space="preserve">4: </w:t>
                                    </w:r>
                                  </w:hyperlink>
                                  <w:hyperlink w:anchor="toc61756_15">
                                    <w:r>
                                      <w:rPr>
                                        <w:rStyle w:val="InternetLink"/>
                                        <w:rFonts w:ascii="Arial" w:hAnsi="Arial"/>
                                        <w:sz w:val="18"/>
                                      </w:rPr>
                                      <w:t>Fiscal Year 2026 Compensation</w:t>
                                      <w:br/>
                                      <w:t>Program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6">
                                    <w:r>
                                      <w:rPr>
                                        <w:rStyle w:val="InternetLink"/>
                                        <w:rFonts w:ascii="Arial" w:hAnsi="Arial"/>
                                        <w:b/>
                                        <w:sz w:val="18"/>
                                      </w:rPr>
                                      <w:t>Section</w:t>
                                    </w:r>
                                  </w:hyperlink>
                                  <w:hyperlink w:anchor="toc61756_16">
                                    <w:r>
                                      <w:rPr>
                                        <w:rStyle w:val="InternetLink"/>
                                        <w:rFonts w:ascii="Arial" w:hAnsi="Arial"/>
                                        <w:sz w:val="18"/>
                                      </w:rPr>
                                      <w:t> </w:t>
                                    </w:r>
                                  </w:hyperlink>
                                  <w:hyperlink w:anchor="toc61756_16">
                                    <w:r>
                                      <w:rPr>
                                        <w:rStyle w:val="InternetLink"/>
                                        <w:rFonts w:ascii="Arial" w:hAnsi="Arial"/>
                                        <w:b/>
                                        <w:sz w:val="18"/>
                                      </w:rPr>
                                      <w:t xml:space="preserve">5: </w:t>
                                    </w:r>
                                  </w:hyperlink>
                                  <w:hyperlink w:anchor="toc61756_16">
                                    <w:r>
                                      <w:rPr>
                                        <w:rStyle w:val="InternetLink"/>
                                        <w:rFonts w:ascii="Arial" w:hAnsi="Arial"/>
                                        <w:sz w:val="18"/>
                                      </w:rPr>
                                      <w:t>Fiscal Year 2026 Compensation</w:t>
                                      <w:br/>
                                      <w:t>Decisions and Results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6a">
                                    <w:r>
                                      <w:rPr>
                                        <w:rStyle w:val="InternetLink"/>
                                        <w:rFonts w:ascii="Arial" w:hAnsi="Arial"/>
                                        <w:b/>
                                        <w:sz w:val="18"/>
                                      </w:rPr>
                                      <w:t>Section 6:</w:t>
                                    </w:r>
                                  </w:hyperlink>
                                  <w:hyperlink w:anchor="toc61756_16a">
                                    <w:r>
                                      <w:rPr>
                                        <w:rStyle w:val="InternetLink"/>
                                        <w:rFonts w:ascii="Arial" w:hAnsi="Arial"/>
                                        <w:sz w:val="18"/>
                                      </w:rPr>
                                      <w:t xml:space="preserve"> Fiscal Year 2027 Executive Compensation Program Changes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7">
                                    <w:r>
                                      <w:rPr>
                                        <w:rStyle w:val="InternetLink"/>
                                        <w:rFonts w:ascii="Arial" w:hAnsi="Arial"/>
                                        <w:b/>
                                        <w:sz w:val="18"/>
                                      </w:rPr>
                                      <w:t>Section 7:</w:t>
                                    </w:r>
                                  </w:hyperlink>
                                  <w:hyperlink w:anchor="toc61756_17">
                                    <w:r>
                                      <w:rPr>
                                        <w:rStyle w:val="InternetLink"/>
                                        <w:rFonts w:ascii="Arial" w:hAnsi="Arial"/>
                                        <w:sz w:val="18"/>
                                      </w:rPr>
                                      <w:t xml:space="preserve"> Other Compensation Policies and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8">
                                    <w:r>
                                      <w:rPr>
                                        <w:rStyle w:val="InternetLink"/>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9">
                                    <w:r>
                                      <w:rPr>
                                        <w:rStyle w:val="InternetLink"/>
                                      </w:rPr>
                                      <w:t>Fiscal Year 2026 Compensation Tables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0">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1">
                                    <w:r>
                                      <w:rPr>
                                        <w:rStyle w:val="InternetLink"/>
                                        <w:rFonts w:ascii="Arial" w:hAnsi="Arial"/>
                                        <w:sz w:val="18"/>
                                      </w:rPr>
                                      <w:t>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2">
                                    <w:r>
                                      <w:rPr>
                                        <w:rStyle w:val="InternetLink"/>
                                        <w:rFonts w:ascii="Arial" w:hAnsi="Arial"/>
                                        <w:sz w:val="18"/>
                                      </w:rPr>
                                      <w:t>Outstanding Equity Awards at June 30,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3">
                                    <w:r>
                                      <w:rPr>
                                        <w:rStyle w:val="InternetLink"/>
                                        <w:rFonts w:ascii="Arial" w:hAnsi="Arial"/>
                                        <w:sz w:val="18"/>
                                      </w:rPr>
                                      <w:t>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4">
                                    <w:r>
                                      <w:rPr>
                                        <w:rStyle w:val="InternetLink"/>
                                        <w:rFonts w:ascii="Arial" w:hAnsi="Arial"/>
                                        <w:sz w:val="18"/>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5">
                                    <w:r>
                                      <w:rPr>
                                        <w:rStyle w:val="InternetLink"/>
                                        <w:rFonts w:ascii="Arial" w:hAnsi="Arial"/>
                                        <w:sz w:val="18"/>
                                      </w:rPr>
                                      <w:t>Payments at Termination of Employment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6">
                                    <w:r>
                                      <w:rPr>
                                        <w:rStyle w:val="InternetLink"/>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7">
                                    <w:r>
                                      <w:rPr>
                                        <w:rStyle w:val="InternetLink"/>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8">
                                    <w:r>
                                      <w:rPr>
                                        <w:rStyle w:val="InternetLink"/>
                                      </w:rPr>
                                      <w:t>Equity Award Grant Practices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9">
                                    <w:r>
                                      <w:rPr>
                                        <w:rStyle w:val="InternetLink"/>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30">
                                    <w:r>
                                      <w:rPr>
                                        <w:rStyle w:val="InternetLink"/>
                                      </w:rPr>
                                      <w:t>Principal Shareholders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31">
                                    <w:r>
                                      <w:rPr>
                                        <w:rStyle w:val="InternetLink"/>
                                      </w:rPr>
                                      <w:t>Stock Ownership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00">
                                    <w:r>
                                      <w:rPr>
                                        <w:rStyle w:val="InternetLink"/>
                                      </w:rPr>
                                      <w:t xml:space="preserve">Delinquent Section 16(a) Reports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590" w:type="dxa"/>
                        <w:jc w:val="left"/>
                        <w:tblInd w:w="0" w:type="dxa"/>
                        <w:tblLayout w:type="fixed"/>
                        <w:tblCellMar>
                          <w:top w:w="0" w:type="dxa"/>
                          <w:left w:w="0" w:type="dxa"/>
                          <w:bottom w:w="0" w:type="dxa"/>
                          <w:right w:w="0" w:type="dxa"/>
                        </w:tblCellMar>
                      </w:tblPr>
                      <w:tblGrid>
                        <w:gridCol w:w="5255"/>
                        <w:gridCol w:w="60"/>
                        <w:gridCol w:w="60"/>
                        <w:gridCol w:w="140"/>
                        <w:gridCol w:w="75"/>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55" w:type="dxa"/>
                            <w:tcBorders>
                              <w:top w:val="single" w:sz="8" w:space="0" w:color="0075C9"/>
                            </w:tcBorders>
                            <w:tcMar>
                              <w:top w:w="28" w:type="dxa"/>
                            </w:tcMar>
                            <w:vAlign w:val="center"/>
                          </w:tcPr>
                          <w:p>
                            <w:pPr>
                              <w:pStyle w:val="TableContents"/>
                              <w:bidi w:val="0"/>
                              <w:spacing w:before="0" w:after="283"/>
                              <w:jc w:val="left"/>
                              <w:rPr/>
                            </w:pPr>
                            <w:r>
                              <w:rPr/>
                              <w:t> </w:t>
                            </w:r>
                          </w:p>
                        </w:tc>
                        <w:tc>
                          <w:tcPr>
                            <w:tcW w:w="33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hyperlink w:anchor="toc61756_1">
                              <w:r>
                                <w:rPr>
                                  <w:rStyle w:val="InternetLink"/>
                                  <w:b/>
                                  <w:color w:val="0075C9"/>
                                </w:rPr>
                                <w:t>PROXY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0075C9"/>
                              </w:rPr>
                            </w:pPr>
                            <w:r>
                              <w:rPr>
                                <w:color w:val="0075C9"/>
                              </w:rPr>
                              <w:t> </w:t>
                            </w:r>
                          </w:p>
                        </w:tc>
                        <w:tc>
                          <w:tcPr>
                            <w:tcW w:w="140" w:type="dxa"/>
                            <w:tcBorders/>
                            <w:vAlign w:val="center"/>
                          </w:tcPr>
                          <w:p>
                            <w:pPr>
                              <w:pStyle w:val="TableContents"/>
                              <w:bidi w:val="0"/>
                              <w:spacing w:before="0" w:after="283"/>
                              <w:jc w:val="right"/>
                              <w:rPr>
                                <w:b/>
                                <w:color w:val="0075C9"/>
                              </w:rPr>
                            </w:pPr>
                            <w:r>
                              <w:rPr>
                                <w:b/>
                                <w:color w:val="0075C9"/>
                              </w:rPr>
                              <w:t>1</w:t>
                            </w:r>
                          </w:p>
                        </w:tc>
                        <w:tc>
                          <w:tcPr>
                            <w:tcW w:w="75" w:type="dxa"/>
                            <w:tcBorders/>
                            <w:vAlign w:val="center"/>
                          </w:tcPr>
                          <w:p>
                            <w:pPr>
                              <w:pStyle w:val="TableContents"/>
                              <w:bidi w:val="0"/>
                              <w:spacing w:before="0" w:after="283"/>
                              <w:jc w:val="left"/>
                              <w:rPr>
                                <w:color w:val="0075C9"/>
                              </w:rPr>
                            </w:pPr>
                            <w:r>
                              <w:rPr>
                                <w:color w:val="0075C9"/>
                              </w:rPr>
                              <w:t> </w:t>
                            </w:r>
                          </w:p>
                        </w:tc>
                      </w:tr>
                      <w:tr>
                        <w:trPr/>
                        <w:tc>
                          <w:tcPr>
                            <w:tcW w:w="5255" w:type="dxa"/>
                            <w:tcBorders>
                              <w:top w:val="single" w:sz="8" w:space="0" w:color="0075C9"/>
                            </w:tcBorders>
                            <w:tcMar>
                              <w:top w:w="28" w:type="dxa"/>
                            </w:tcMar>
                            <w:vAlign w:val="center"/>
                          </w:tcPr>
                          <w:p>
                            <w:pPr>
                              <w:pStyle w:val="TableContents"/>
                              <w:bidi w:val="0"/>
                              <w:spacing w:before="0" w:after="283"/>
                              <w:jc w:val="left"/>
                              <w:rPr/>
                            </w:pPr>
                            <w:r>
                              <w:rPr/>
                              <w:t> </w:t>
                            </w:r>
                          </w:p>
                        </w:tc>
                        <w:tc>
                          <w:tcPr>
                            <w:tcW w:w="33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hyperlink w:anchor="toc61756_2">
                              <w:r>
                                <w:rPr>
                                  <w:rStyle w:val="InternetLink"/>
                                  <w:b/>
                                  <w:color w:val="0075C9"/>
                                </w:rPr>
                                <w:t>BOARD OF DIRECTORS AND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255" w:type="dxa"/>
                            <w:tcBorders/>
                            <w:vAlign w:val="center"/>
                          </w:tcPr>
                          <w:p>
                            <w:pPr>
                              <w:pStyle w:val="TableContents"/>
                              <w:bidi w:val="0"/>
                              <w:spacing w:before="0" w:after="283"/>
                              <w:jc w:val="left"/>
                              <w:rPr>
                                <w:sz w:val="4"/>
                                <w:szCs w:val="4"/>
                              </w:rPr>
                            </w:pPr>
                            <w:r>
                              <w:rPr>
                                <w:sz w:val="4"/>
                                <w:szCs w:val="4"/>
                              </w:rPr>
                            </w:r>
                          </w:p>
                        </w:tc>
                        <w:tc>
                          <w:tcPr>
                            <w:tcW w:w="335" w:type="dxa"/>
                            <w:gridSpan w:val="4"/>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hyperlink w:anchor="toc61756_3">
                              <w:r>
                                <w:rPr>
                                  <w:rStyle w:val="InternetLink"/>
                                </w:rPr>
                                <w:t>Board of Directors Stewardship</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bl>
                    <w:tbl>
                      <w:tblPr>
                        <w:tblW w:w="6445" w:type="dxa"/>
                        <w:jc w:val="left"/>
                        <w:tblInd w:w="0" w:type="dxa"/>
                        <w:tblLayout w:type="fixed"/>
                        <w:tblCellMar>
                          <w:top w:w="0" w:type="dxa"/>
                          <w:left w:w="0" w:type="dxa"/>
                          <w:bottom w:w="0" w:type="dxa"/>
                          <w:right w:w="0" w:type="dxa"/>
                        </w:tblCellMar>
                      </w:tblPr>
                      <w:tblGrid>
                        <w:gridCol w:w="5990"/>
                        <w:gridCol w:w="60"/>
                        <w:gridCol w:w="60"/>
                        <w:gridCol w:w="260"/>
                        <w:gridCol w:w="75"/>
                      </w:tblGrid>
                      <w:tr>
                        <w:trPr/>
                        <w:tc>
                          <w:tcPr>
                            <w:tcW w:w="5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4">
                              <w:r>
                                <w:rPr>
                                  <w:rStyle w:val="InternetLink"/>
                                </w:rPr>
                                <w:t>Our Governance Structure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5">
                              <w:r>
                                <w:rPr>
                                  <w:rStyle w:val="InternetLink"/>
                                </w:rPr>
                                <w:t>Director Selection and Qualifications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6">
                              <w:r>
                                <w:rPr>
                                  <w:rStyle w:val="InternetLink"/>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7">
                              <w:r>
                                <w:rPr>
                                  <w:rStyle w:val="InternetLink"/>
                                </w:rPr>
                                <w:t>Our Director Nominees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8">
                              <w:r>
                                <w:rPr>
                                  <w:rStyle w:val="InternetLink"/>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599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hyperlink w:anchor="toc61756_9">
                              <w:r>
                                <w:rPr>
                                  <w:rStyle w:val="InternetLink"/>
                                  <w:b/>
                                  <w:color w:val="0075C9"/>
                                </w:rPr>
                                <w:t>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0">
                              <w:r>
                                <w:rPr>
                                  <w:rStyle w:val="InternetLink"/>
                                </w:rPr>
                                <w:t>A Letter from the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1">
                              <w:r>
                                <w:rPr>
                                  <w:rStyle w:val="InternetLink"/>
                                </w:rPr>
                                <w:t>Compensation Discussion and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2">
                              <w:r>
                                <w:rPr>
                                  <w:rStyle w:val="InternetLink"/>
                                  <w:rFonts w:ascii="Arial" w:hAnsi="Arial"/>
                                  <w:b/>
                                  <w:sz w:val="18"/>
                                </w:rPr>
                                <w:t>Section</w:t>
                              </w:r>
                            </w:hyperlink>
                            <w:hyperlink w:anchor="toc61756_12">
                              <w:r>
                                <w:rPr>
                                  <w:rStyle w:val="InternetLink"/>
                                  <w:rFonts w:ascii="Arial" w:hAnsi="Arial"/>
                                  <w:sz w:val="18"/>
                                </w:rPr>
                                <w:t> </w:t>
                              </w:r>
                            </w:hyperlink>
                            <w:hyperlink w:anchor="toc61756_12">
                              <w:r>
                                <w:rPr>
                                  <w:rStyle w:val="InternetLink"/>
                                  <w:rFonts w:ascii="Arial" w:hAnsi="Arial"/>
                                  <w:b/>
                                  <w:sz w:val="18"/>
                                </w:rPr>
                                <w:t xml:space="preserve">1: </w:t>
                              </w:r>
                            </w:hyperlink>
                            <w:hyperlink w:anchor="toc61756_12">
                              <w:r>
                                <w:rPr>
                                  <w:rStyle w:val="InternetLink"/>
                                  <w:rFonts w:ascii="Arial" w:hAnsi="Arial"/>
                                  <w:sz w:val="18"/>
                                </w:rPr>
                                <w:t>Performance Update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3">
                              <w:r>
                                <w:rPr>
                                  <w:rStyle w:val="InternetLink"/>
                                  <w:rFonts w:ascii="Arial" w:hAnsi="Arial"/>
                                  <w:b/>
                                  <w:sz w:val="18"/>
                                </w:rPr>
                                <w:t>Section</w:t>
                              </w:r>
                            </w:hyperlink>
                            <w:hyperlink w:anchor="toc61756_13">
                              <w:r>
                                <w:rPr>
                                  <w:rStyle w:val="InternetLink"/>
                                  <w:rFonts w:ascii="Arial" w:hAnsi="Arial"/>
                                  <w:sz w:val="18"/>
                                </w:rPr>
                                <w:t> </w:t>
                              </w:r>
                            </w:hyperlink>
                            <w:hyperlink w:anchor="toc61756_13">
                              <w:r>
                                <w:rPr>
                                  <w:rStyle w:val="InternetLink"/>
                                  <w:rFonts w:ascii="Arial" w:hAnsi="Arial"/>
                                  <w:b/>
                                  <w:sz w:val="18"/>
                                </w:rPr>
                                <w:t xml:space="preserve">2: </w:t>
                              </w:r>
                            </w:hyperlink>
                            <w:hyperlink w:anchor="toc61756_13">
                              <w:r>
                                <w:rPr>
                                  <w:rStyle w:val="InternetLink"/>
                                  <w:rFonts w:ascii="Arial" w:hAnsi="Arial"/>
                                  <w:sz w:val="18"/>
                                </w:rPr>
                                <w:t>Executive Compensation Program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4">
                              <w:r>
                                <w:rPr>
                                  <w:rStyle w:val="InternetLink"/>
                                  <w:rFonts w:ascii="Arial" w:hAnsi="Arial"/>
                                  <w:b/>
                                  <w:sz w:val="18"/>
                                </w:rPr>
                                <w:t>Section</w:t>
                              </w:r>
                            </w:hyperlink>
                            <w:hyperlink w:anchor="toc61756_14">
                              <w:r>
                                <w:rPr>
                                  <w:rStyle w:val="InternetLink"/>
                                  <w:rFonts w:ascii="Arial" w:hAnsi="Arial"/>
                                  <w:sz w:val="18"/>
                                </w:rPr>
                                <w:t> </w:t>
                              </w:r>
                            </w:hyperlink>
                            <w:hyperlink w:anchor="toc61756_14">
                              <w:r>
                                <w:rPr>
                                  <w:rStyle w:val="InternetLink"/>
                                  <w:rFonts w:ascii="Arial" w:hAnsi="Arial"/>
                                  <w:b/>
                                  <w:sz w:val="18"/>
                                </w:rPr>
                                <w:t xml:space="preserve">3: </w:t>
                              </w:r>
                            </w:hyperlink>
                            <w:hyperlink w:anchor="toc61756_14">
                              <w:r>
                                <w:rPr>
                                  <w:rStyle w:val="InternetLink"/>
                                  <w:rFonts w:ascii="Arial" w:hAnsi="Arial"/>
                                  <w:sz w:val="18"/>
                                </w:rPr>
                                <w:t>Pay Setting Governance and Process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5">
                              <w:r>
                                <w:rPr>
                                  <w:rStyle w:val="InternetLink"/>
                                  <w:rFonts w:ascii="Arial" w:hAnsi="Arial"/>
                                  <w:b/>
                                  <w:sz w:val="18"/>
                                </w:rPr>
                                <w:t>Section</w:t>
                              </w:r>
                            </w:hyperlink>
                            <w:hyperlink w:anchor="toc61756_15">
                              <w:r>
                                <w:rPr>
                                  <w:rStyle w:val="InternetLink"/>
                                  <w:rFonts w:ascii="Arial" w:hAnsi="Arial"/>
                                  <w:sz w:val="18"/>
                                </w:rPr>
                                <w:t> </w:t>
                              </w:r>
                            </w:hyperlink>
                            <w:hyperlink w:anchor="toc61756_15">
                              <w:r>
                                <w:rPr>
                                  <w:rStyle w:val="InternetLink"/>
                                  <w:rFonts w:ascii="Arial" w:hAnsi="Arial"/>
                                  <w:b/>
                                  <w:sz w:val="18"/>
                                </w:rPr>
                                <w:t xml:space="preserve">4: </w:t>
                              </w:r>
                            </w:hyperlink>
                            <w:hyperlink w:anchor="toc61756_15">
                              <w:r>
                                <w:rPr>
                                  <w:rStyle w:val="InternetLink"/>
                                  <w:rFonts w:ascii="Arial" w:hAnsi="Arial"/>
                                  <w:sz w:val="18"/>
                                </w:rPr>
                                <w:t>Fiscal Year 2026 Compensation</w:t>
                                <w:br/>
                                <w:t>Program Design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6">
                              <w:r>
                                <w:rPr>
                                  <w:rStyle w:val="InternetLink"/>
                                  <w:rFonts w:ascii="Arial" w:hAnsi="Arial"/>
                                  <w:b/>
                                  <w:sz w:val="18"/>
                                </w:rPr>
                                <w:t>Section</w:t>
                              </w:r>
                            </w:hyperlink>
                            <w:hyperlink w:anchor="toc61756_16">
                              <w:r>
                                <w:rPr>
                                  <w:rStyle w:val="InternetLink"/>
                                  <w:rFonts w:ascii="Arial" w:hAnsi="Arial"/>
                                  <w:sz w:val="18"/>
                                </w:rPr>
                                <w:t> </w:t>
                              </w:r>
                            </w:hyperlink>
                            <w:hyperlink w:anchor="toc61756_16">
                              <w:r>
                                <w:rPr>
                                  <w:rStyle w:val="InternetLink"/>
                                  <w:rFonts w:ascii="Arial" w:hAnsi="Arial"/>
                                  <w:b/>
                                  <w:sz w:val="18"/>
                                </w:rPr>
                                <w:t xml:space="preserve">5: </w:t>
                              </w:r>
                            </w:hyperlink>
                            <w:hyperlink w:anchor="toc61756_16">
                              <w:r>
                                <w:rPr>
                                  <w:rStyle w:val="InternetLink"/>
                                  <w:rFonts w:ascii="Arial" w:hAnsi="Arial"/>
                                  <w:sz w:val="18"/>
                                </w:rPr>
                                <w:t>Fiscal Year 2026 Compensation</w:t>
                                <w:br/>
                                <w:t>Decisions and Results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6a">
                              <w:r>
                                <w:rPr>
                                  <w:rStyle w:val="InternetLink"/>
                                  <w:rFonts w:ascii="Arial" w:hAnsi="Arial"/>
                                  <w:b/>
                                  <w:sz w:val="18"/>
                                </w:rPr>
                                <w:t>Section 6:</w:t>
                              </w:r>
                            </w:hyperlink>
                            <w:hyperlink w:anchor="toc61756_16a">
                              <w:r>
                                <w:rPr>
                                  <w:rStyle w:val="InternetLink"/>
                                  <w:rFonts w:ascii="Arial" w:hAnsi="Arial"/>
                                  <w:sz w:val="18"/>
                                </w:rPr>
                                <w:t xml:space="preserve"> Fiscal Year 2027 Executive Compensation Program Changes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17">
                              <w:r>
                                <w:rPr>
                                  <w:rStyle w:val="InternetLink"/>
                                  <w:rFonts w:ascii="Arial" w:hAnsi="Arial"/>
                                  <w:b/>
                                  <w:sz w:val="18"/>
                                </w:rPr>
                                <w:t>Section 7:</w:t>
                              </w:r>
                            </w:hyperlink>
                            <w:hyperlink w:anchor="toc61756_17">
                              <w:r>
                                <w:rPr>
                                  <w:rStyle w:val="InternetLink"/>
                                  <w:rFonts w:ascii="Arial" w:hAnsi="Arial"/>
                                  <w:sz w:val="18"/>
                                </w:rPr>
                                <w:t xml:space="preserve"> Other Compensation Policies and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8">
                              <w:r>
                                <w:rPr>
                                  <w:rStyle w:val="InternetLink"/>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9">
                              <w:r>
                                <w:rPr>
                                  <w:rStyle w:val="InternetLink"/>
                                </w:rPr>
                                <w:t>Fiscal Year 2026 Compensation Tables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0">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1">
                              <w:r>
                                <w:rPr>
                                  <w:rStyle w:val="InternetLink"/>
                                  <w:rFonts w:ascii="Arial" w:hAnsi="Arial"/>
                                  <w:sz w:val="18"/>
                                </w:rPr>
                                <w:t>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2">
                              <w:r>
                                <w:rPr>
                                  <w:rStyle w:val="InternetLink"/>
                                  <w:rFonts w:ascii="Arial" w:hAnsi="Arial"/>
                                  <w:sz w:val="18"/>
                                </w:rPr>
                                <w:t>Outstanding Equity Awards at June 30, 2026</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3">
                              <w:r>
                                <w:rPr>
                                  <w:rStyle w:val="InternetLink"/>
                                  <w:rFonts w:ascii="Arial" w:hAnsi="Arial"/>
                                  <w:sz w:val="18"/>
                                </w:rPr>
                                <w:t>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4">
                              <w:r>
                                <w:rPr>
                                  <w:rStyle w:val="InternetLink"/>
                                  <w:rFonts w:ascii="Arial" w:hAnsi="Arial"/>
                                  <w:sz w:val="18"/>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hyperlink w:anchor="toc61756_25">
                              <w:r>
                                <w:rPr>
                                  <w:rStyle w:val="InternetLink"/>
                                  <w:rFonts w:ascii="Arial" w:hAnsi="Arial"/>
                                  <w:sz w:val="18"/>
                                </w:rPr>
                                <w:t>Payments at Termination of Employment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6">
                              <w:r>
                                <w:rPr>
                                  <w:rStyle w:val="InternetLink"/>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7">
                              <w:r>
                                <w:rPr>
                                  <w:rStyle w:val="InternetLink"/>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8">
                              <w:r>
                                <w:rPr>
                                  <w:rStyle w:val="InternetLink"/>
                                </w:rPr>
                                <w:t>Equity Award Grant Practices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29">
                              <w:r>
                                <w:rPr>
                                  <w:rStyle w:val="InternetLink"/>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30">
                              <w:r>
                                <w:rPr>
                                  <w:rStyle w:val="InternetLink"/>
                                </w:rPr>
                                <w:t>Principal Shareholders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31">
                              <w:r>
                                <w:rPr>
                                  <w:rStyle w:val="InternetLink"/>
                                </w:rPr>
                                <w:t>Stock Ownership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pPr>
                            <w:hyperlink w:anchor="toc61756_100">
                              <w:r>
                                <w:rPr>
                                  <w:rStyle w:val="InternetLink"/>
                                </w:rPr>
                                <w:t xml:space="preserve">Delinquent Section 16(a) Reports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175000" cy="9972040"/>
                <wp:effectExtent l="0" t="0" r="0" b="0"/>
                <wp:wrapSquare wrapText="right"/>
                <wp:docPr id="1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32">
                                    <w:r>
                                      <w:rPr>
                                        <w:rStyle w:val="InternetLink"/>
                                        <w:b/>
                                        <w:color w:val="0075C9"/>
                                      </w:rPr>
                                      <w:t>AUDIT AND FINANCE COMMITTEE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3">
                                    <w:r>
                                      <w:rPr>
                                        <w:rStyle w:val="InternetLink"/>
                                      </w:rPr>
                                      <w:t>Audit and Finance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4">
                                    <w:r>
                                      <w:rPr>
                                        <w:rStyle w:val="InternetLink"/>
                                      </w:rPr>
                                      <w:t>Fees Billed by Deloitte &amp; Touche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5">
                                    <w:r>
                                      <w:rPr>
                                        <w:rStyle w:val="InternetLink"/>
                                      </w:rPr>
                                      <w:t>Policy on Audit and Finance Committee Pre-Approval of Audit and Permissible Non-Audit Services of Independent Auditor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36">
                                    <w:r>
                                      <w:rPr>
                                        <w:rStyle w:val="InternetLink"/>
                                        <w:b/>
                                        <w:color w:val="0075C9"/>
                                      </w:rPr>
                                      <w:t>PROPOSALS TO BE VOTED ON DURING THE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7">
                                    <w:r>
                                      <w:rPr>
                                        <w:rStyle w:val="InternetLink"/>
                                        <w:b/>
                                      </w:rPr>
                                      <w:t xml:space="preserve">Proposal 1: </w:t>
                                    </w:r>
                                  </w:hyperlink>
                                  <w:hyperlink w:anchor="toc61756_37">
                                    <w:r>
                                      <w:rPr>
                                        <w:rStyle w:val="InternetLink"/>
                                      </w:rPr>
                                      <w:t>Election of 12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8">
                                    <w:r>
                                      <w:rPr>
                                        <w:rStyle w:val="InternetLink"/>
                                        <w:b/>
                                      </w:rPr>
                                      <w:t xml:space="preserve">Proposal 2: </w:t>
                                    </w:r>
                                  </w:hyperlink>
                                  <w:hyperlink w:anchor="toc61756_38">
                                    <w:r>
                                      <w:rPr>
                                        <w:rStyle w:val="InternetLink"/>
                                      </w:rPr>
                                      <w:t>Advisory Vote to Approve</w:t>
                                      <w:br/>
                                      <w:t>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9">
                                    <w:r>
                                      <w:rPr>
                                        <w:rStyle w:val="InternetLink"/>
                                        <w:b/>
                                      </w:rPr>
                                      <w:t xml:space="preserve">Proposal 3: </w:t>
                                    </w:r>
                                  </w:hyperlink>
                                  <w:hyperlink w:anchor="toc61756_39">
                                    <w:r>
                                      <w:rPr>
                                        <w:rStyle w:val="InternetLink"/>
                                      </w:rPr>
                                      <w:t>Ratification of the Selection</w:t>
                                      <w:br/>
                                      <w:t>of Deloitte &amp; Touche LLP as our Independent</w:t>
                                      <w:br/>
                                      <w:t>Auditor for Fiscal Year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1">
                                    <w:r>
                                      <w:rPr>
                                        <w:rStyle w:val="InternetLink"/>
                                      </w:rPr>
                                      <w:t>Shareholder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42">
                                    <w:r>
                                      <w:rPr>
                                        <w:rStyle w:val="InternetLink"/>
                                        <w:b/>
                                        <w:color w:val="0075C9"/>
                                      </w:rPr>
                                      <w:t>INFORMATION ABOUT THE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3">
                                    <w:r>
                                      <w:rPr>
                                        <w:rStyle w:val="InternetLink"/>
                                      </w:rPr>
                                      <w:t>Date, Time, and Place of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4">
                                    <w:r>
                                      <w:rPr>
                                        <w:rStyle w:val="InternetLink"/>
                                      </w:rPr>
                                      <w:t>Proxy Materials are Available on the Internet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5">
                                    <w:r>
                                      <w:rPr>
                                        <w:rStyle w:val="InternetLink"/>
                                      </w:rPr>
                                      <w:t>Participating in the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6">
                                    <w:r>
                                      <w:rPr>
                                        <w:rStyle w:val="InternetLink"/>
                                      </w:rPr>
                                      <w:t>Soliciting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7">
                                    <w:r>
                                      <w:rPr>
                                        <w:rStyle w:val="InternetLink"/>
                                      </w:rPr>
                                      <w:t>Householding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8">
                                    <w:r>
                                      <w:rPr>
                                        <w:rStyle w:val="InternetLink"/>
                                      </w:rPr>
                                      <w:t>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9">
                                    <w:r>
                                      <w:rPr>
                                        <w:rStyle w:val="InternetLink"/>
                                      </w:rPr>
                                      <w:t>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0">
                                    <w:r>
                                      <w:rPr>
                                        <w:rStyle w:val="InternetLink"/>
                                        <w:rFonts w:ascii="Arial" w:hAnsi="Arial"/>
                                        <w:sz w:val="18"/>
                                      </w:rPr>
                                      <w:t>Shareholders Entitled to Vote; Quorum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1">
                                    <w:r>
                                      <w:rPr>
                                        <w:rStyle w:val="InternetLink"/>
                                        <w:rFonts w:ascii="Arial" w:hAnsi="Arial"/>
                                        <w:sz w:val="18"/>
                                      </w:rPr>
                                      <w:t>Vote Required; Effect of Abstentions</w:t>
                                      <w:br/>
                                      <w:t>and Broker Non-Votes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2">
                                    <w:r>
                                      <w:rPr>
                                        <w:rStyle w:val="InternetLink"/>
                                        <w:rFonts w:ascii="Arial" w:hAnsi="Arial"/>
                                        <w:sz w:val="18"/>
                                      </w:rPr>
                                      <w:t>Vote Confidentiality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3">
                                    <w:r>
                                      <w:rPr>
                                        <w:rStyle w:val="InternetLink"/>
                                        <w:rFonts w:ascii="Arial" w:hAnsi="Arial"/>
                                        <w:sz w:val="18"/>
                                      </w:rPr>
                                      <w:t>Tabulation of Votes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4">
                                    <w:r>
                                      <w:rPr>
                                        <w:rStyle w:val="InternetLink"/>
                                        <w:rFonts w:ascii="Arial" w:hAnsi="Arial"/>
                                        <w:sz w:val="18"/>
                                      </w:rPr>
                                      <w:t>Where to Find More Proxy Voting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5">
                                    <w:r>
                                      <w:rPr>
                                        <w:rStyle w:val="InternetLink"/>
                                        <w:rFonts w:ascii="Arial" w:hAnsi="Arial"/>
                                        <w:sz w:val="18"/>
                                      </w:rPr>
                                      <w:t>Where to Find our Corporate Governance Documents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56">
                                    <w:r>
                                      <w:rPr>
                                        <w:rStyle w:val="InternetLink"/>
                                      </w:rPr>
                                      <w:t>Proposals by Shareholders for 2027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57">
                                    <w:r>
                                      <w:rPr>
                                        <w:rStyle w:val="InternetLink"/>
                                      </w:rPr>
                                      <w:t>Other Business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32">
                              <w:r>
                                <w:rPr>
                                  <w:rStyle w:val="InternetLink"/>
                                  <w:b/>
                                  <w:color w:val="0075C9"/>
                                </w:rPr>
                                <w:t>AUDIT AND FINANCE COMMITTEE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3">
                              <w:r>
                                <w:rPr>
                                  <w:rStyle w:val="InternetLink"/>
                                </w:rPr>
                                <w:t>Audit and Finance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4">
                              <w:r>
                                <w:rPr>
                                  <w:rStyle w:val="InternetLink"/>
                                </w:rPr>
                                <w:t>Fees Billed by Deloitte &amp; Touche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5">
                              <w:r>
                                <w:rPr>
                                  <w:rStyle w:val="InternetLink"/>
                                </w:rPr>
                                <w:t>Policy on Audit and Finance Committee Pre-Approval of Audit and Permissible Non-Audit Services of Independent Auditor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36">
                              <w:r>
                                <w:rPr>
                                  <w:rStyle w:val="InternetLink"/>
                                  <w:b/>
                                  <w:color w:val="0075C9"/>
                                </w:rPr>
                                <w:t>PROPOSALS TO BE VOTED ON DURING THE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7">
                              <w:r>
                                <w:rPr>
                                  <w:rStyle w:val="InternetLink"/>
                                  <w:b/>
                                </w:rPr>
                                <w:t xml:space="preserve">Proposal 1: </w:t>
                              </w:r>
                            </w:hyperlink>
                            <w:hyperlink w:anchor="toc61756_37">
                              <w:r>
                                <w:rPr>
                                  <w:rStyle w:val="InternetLink"/>
                                </w:rPr>
                                <w:t>Election of 12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8">
                              <w:r>
                                <w:rPr>
                                  <w:rStyle w:val="InternetLink"/>
                                  <w:b/>
                                </w:rPr>
                                <w:t xml:space="preserve">Proposal 2: </w:t>
                              </w:r>
                            </w:hyperlink>
                            <w:hyperlink w:anchor="toc61756_38">
                              <w:r>
                                <w:rPr>
                                  <w:rStyle w:val="InternetLink"/>
                                </w:rPr>
                                <w:t>Advisory Vote to Approve</w:t>
                                <w:br/>
                                <w:t>Named Executive Officer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39">
                              <w:r>
                                <w:rPr>
                                  <w:rStyle w:val="InternetLink"/>
                                  <w:b/>
                                </w:rPr>
                                <w:t xml:space="preserve">Proposal 3: </w:t>
                              </w:r>
                            </w:hyperlink>
                            <w:hyperlink w:anchor="toc61756_39">
                              <w:r>
                                <w:rPr>
                                  <w:rStyle w:val="InternetLink"/>
                                </w:rPr>
                                <w:t>Ratification of the Selection</w:t>
                                <w:br/>
                                <w:t>of Deloitte &amp; Touche LLP as our Independent</w:t>
                                <w:br/>
                                <w:t>Auditor for Fiscal Year 2027</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1">
                              <w:r>
                                <w:rPr>
                                  <w:rStyle w:val="InternetLink"/>
                                </w:rPr>
                                <w:t>Shareholder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9750" w:type="dxa"/>
                            <w:tcBorders>
                              <w:top w:val="single" w:sz="8" w:space="0" w:color="0075C9"/>
                            </w:tcBorders>
                            <w:tcMar>
                              <w:top w:w="28" w:type="dxa"/>
                            </w:tcMar>
                            <w:vAlign w:val="center"/>
                          </w:tcPr>
                          <w:p>
                            <w:pPr>
                              <w:pStyle w:val="TableContents"/>
                              <w:bidi w:val="0"/>
                              <w:spacing w:before="0" w:after="283"/>
                              <w:jc w:val="left"/>
                              <w:rPr/>
                            </w:pPr>
                            <w:r>
                              <w:rPr/>
                              <w:t> </w:t>
                            </w:r>
                          </w:p>
                        </w:tc>
                        <w:tc>
                          <w:tcPr>
                            <w:tcW w:w="455" w:type="dxa"/>
                            <w:gridSpan w:val="4"/>
                            <w:tcBorders>
                              <w:top w:val="single" w:sz="8" w:space="0" w:color="0075C9"/>
                            </w:tcBorders>
                            <w:tcMar>
                              <w:top w:w="28" w:type="dxa"/>
                            </w:tcMar>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pPr>
                            <w:hyperlink w:anchor="toc61756_42">
                              <w:r>
                                <w:rPr>
                                  <w:rStyle w:val="InternetLink"/>
                                  <w:b/>
                                  <w:color w:val="0075C9"/>
                                </w:rPr>
                                <w:t>INFORMATION ABOUT THE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3">
                              <w:r>
                                <w:rPr>
                                  <w:rStyle w:val="InternetLink"/>
                                </w:rPr>
                                <w:t>Date, Time, and Place of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4">
                              <w:r>
                                <w:rPr>
                                  <w:rStyle w:val="InternetLink"/>
                                </w:rPr>
                                <w:t>Proxy Materials are Available on the Internet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5">
                              <w:r>
                                <w:rPr>
                                  <w:rStyle w:val="InternetLink"/>
                                </w:rPr>
                                <w:t>Participating in the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6">
                              <w:r>
                                <w:rPr>
                                  <w:rStyle w:val="InternetLink"/>
                                </w:rPr>
                                <w:t>Soliciting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7">
                              <w:r>
                                <w:rPr>
                                  <w:rStyle w:val="InternetLink"/>
                                </w:rPr>
                                <w:t>Householding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8">
                              <w:r>
                                <w:rPr>
                                  <w:rStyle w:val="InternetLink"/>
                                </w:rPr>
                                <w:t>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49">
                              <w:r>
                                <w:rPr>
                                  <w:rStyle w:val="InternetLink"/>
                                </w:rPr>
                                <w:t>Voting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0">
                              <w:r>
                                <w:rPr>
                                  <w:rStyle w:val="InternetLink"/>
                                  <w:rFonts w:ascii="Arial" w:hAnsi="Arial"/>
                                  <w:sz w:val="18"/>
                                </w:rPr>
                                <w:t>Shareholders Entitled to Vote; Quorum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1">
                              <w:r>
                                <w:rPr>
                                  <w:rStyle w:val="InternetLink"/>
                                  <w:rFonts w:ascii="Arial" w:hAnsi="Arial"/>
                                  <w:sz w:val="18"/>
                                </w:rPr>
                                <w:t>Vote Required; Effect of Abstentions</w:t>
                                <w:br/>
                                <w:t>and Broker Non-Votes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2">
                              <w:r>
                                <w:rPr>
                                  <w:rStyle w:val="InternetLink"/>
                                  <w:rFonts w:ascii="Arial" w:hAnsi="Arial"/>
                                  <w:sz w:val="18"/>
                                </w:rPr>
                                <w:t>Vote Confidentiality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3">
                              <w:r>
                                <w:rPr>
                                  <w:rStyle w:val="InternetLink"/>
                                  <w:rFonts w:ascii="Arial" w:hAnsi="Arial"/>
                                  <w:sz w:val="18"/>
                                </w:rPr>
                                <w:t>Tabulation of Votes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4">
                              <w:r>
                                <w:rPr>
                                  <w:rStyle w:val="InternetLink"/>
                                  <w:rFonts w:ascii="Arial" w:hAnsi="Arial"/>
                                  <w:sz w:val="18"/>
                                </w:rPr>
                                <w:t>Where to Find More Proxy Voting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61756_55">
                              <w:r>
                                <w:rPr>
                                  <w:rStyle w:val="InternetLink"/>
                                  <w:rFonts w:ascii="Arial" w:hAnsi="Arial"/>
                                  <w:sz w:val="18"/>
                                </w:rPr>
                                <w:t>Where to Find our Corporate Governance Documents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56">
                              <w:r>
                                <w:rPr>
                                  <w:rStyle w:val="InternetLink"/>
                                </w:rPr>
                                <w:t>Proposals by Shareholders for 2027 Annual Meeting</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61756_57">
                              <w:r>
                                <w:rPr>
                                  <w:rStyle w:val="InternetLink"/>
                                </w:rPr>
                                <w:t>Other Business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394" w:type="dxa"/>
        <w:jc w:val="left"/>
        <w:tblInd w:w="0" w:type="dxa"/>
        <w:tblLayout w:type="fixed"/>
        <w:tblCellMar>
          <w:top w:w="0" w:type="dxa"/>
          <w:left w:w="0" w:type="dxa"/>
          <w:bottom w:w="0" w:type="dxa"/>
          <w:right w:w="0" w:type="dxa"/>
        </w:tblCellMar>
      </w:tblPr>
      <w:tblGrid>
        <w:gridCol w:w="125"/>
        <w:gridCol w:w="120"/>
        <w:gridCol w:w="945"/>
        <w:gridCol w:w="120"/>
        <w:gridCol w:w="23"/>
        <w:gridCol w:w="23"/>
        <w:gridCol w:w="38"/>
      </w:tblGrid>
      <w:tr>
        <w:trPr/>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b/>
                <w:color w:val="0075C9"/>
                <w:sz w:val="16"/>
              </w:rPr>
            </w:pPr>
            <w:r>
              <w:rPr>
                <w:b/>
                <w:color w:val="0075C9"/>
                <w:sz w:val="16"/>
              </w:rPr>
              <w:t>ii</w:t>
            </w:r>
          </w:p>
        </w:tc>
        <w:tc>
          <w:tcPr>
            <w:tcW w:w="12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drawing>
                <wp:inline distT="0" distB="0" distL="0" distR="0">
                  <wp:extent cx="561975" cy="11620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61975" cy="1162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8"/>
          <w:bdr w:val="single" w:sz="48" w:space="1" w:color="0075C9"/>
        </w:rPr>
      </w:pPr>
      <w:bookmarkStart w:id="3" w:name="toc61756_1"/>
      <w:bookmarkEnd w:id="3"/>
      <w:r>
        <w:rPr>
          <w:rFonts w:ascii="Arial" w:hAnsi="Arial"/>
          <w:b/>
          <w:sz w:val="38"/>
          <w:bdr w:val="single" w:sz="48" w:space="1" w:color="0075C9"/>
        </w:rPr>
        <w:t xml:space="preserve">Proxy Summary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This summary highlights information contained elsewhere in this Proxy Statement. This summary does not contain all information you should consider. Please read this entire Proxy Statement carefully before voting. </w:t>
      </w:r>
    </w:p>
    <w:p>
      <w:pPr>
        <w:pStyle w:val="TextBody"/>
        <w:bidi w:val="0"/>
        <w:spacing w:before="0" w:after="0"/>
        <w:jc w:val="left"/>
        <w:rPr>
          <w:bdr w:val="single" w:sz="48" w:space="1" w:color="0075C9"/>
        </w:rPr>
      </w:pPr>
      <w:r>
        <w:rPr>
          <w:bdr w:val="single" w:sz="48" w:space="1" w:color="0075C9"/>
        </w:rPr>
        <w:t> </w:t>
      </w:r>
    </w:p>
    <w:tbl>
      <w:tblPr>
        <w:tblW w:w="4146" w:type="dxa"/>
        <w:jc w:val="left"/>
        <w:tblInd w:w="0" w:type="dxa"/>
        <w:tblLayout w:type="fixed"/>
        <w:tblCellMar>
          <w:top w:w="0" w:type="dxa"/>
          <w:left w:w="0" w:type="dxa"/>
          <w:bottom w:w="0" w:type="dxa"/>
          <w:right w:w="0" w:type="dxa"/>
        </w:tblCellMar>
      </w:tblPr>
      <w:tblGrid>
        <w:gridCol w:w="38"/>
        <w:gridCol w:w="60"/>
        <w:gridCol w:w="395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3950" w:type="dxa"/>
            <w:vMerge w:val="restart"/>
            <w:tcBorders/>
            <w:vAlign w:val="center"/>
          </w:tcPr>
          <w:p>
            <w:pPr>
              <w:pStyle w:val="TableContents"/>
              <w:bidi w:val="0"/>
              <w:spacing w:before="0" w:after="0"/>
              <w:jc w:val="center"/>
              <w:rPr/>
            </w:pPr>
            <w:r>
              <w:rPr/>
              <w:t> </w:t>
            </w:r>
            <w:r>
              <w:rPr>
                <w:rFonts w:ascii="Arial" w:hAnsi="Arial"/>
                <w:b/>
                <w:sz w:val="24"/>
              </w:rPr>
              <w:t>Annual Shareholders Meeting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9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337"/>
        <w:gridCol w:w="60"/>
        <w:gridCol w:w="3388"/>
        <w:gridCol w:w="60"/>
        <w:gridCol w:w="3360"/>
      </w:tblGrid>
      <w:tr>
        <w:trPr/>
        <w:tc>
          <w:tcPr>
            <w:tcW w:w="3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0" w:type="dxa"/>
            <w:tcBorders/>
            <w:vAlign w:val="center"/>
          </w:tcPr>
          <w:p>
            <w:pPr>
              <w:pStyle w:val="TableContents"/>
              <w:bidi w:val="0"/>
              <w:spacing w:before="0" w:after="283"/>
              <w:jc w:val="left"/>
              <w:rPr>
                <w:sz w:val="4"/>
                <w:szCs w:val="4"/>
              </w:rPr>
            </w:pPr>
            <w:r>
              <w:rPr>
                <w:sz w:val="4"/>
                <w:szCs w:val="4"/>
              </w:rPr>
            </w:r>
          </w:p>
        </w:tc>
      </w:tr>
      <w:tr>
        <w:trPr/>
        <w:tc>
          <w:tcPr>
            <w:tcW w:w="3337" w:type="dxa"/>
            <w:vMerge w:val="restart"/>
            <w:tcBorders/>
            <w:vAlign w:val="center"/>
          </w:tcPr>
          <w:p>
            <w:pPr>
              <w:pStyle w:val="TableContents"/>
              <w:bidi w:val="0"/>
              <w:spacing w:before="0" w:after="0"/>
              <w:jc w:val="left"/>
              <w:rPr>
                <w:rFonts w:ascii="Arial" w:hAnsi="Arial"/>
                <w:sz w:val="18"/>
              </w:rPr>
            </w:pPr>
            <w:r>
              <w:rPr>
                <w:rFonts w:ascii="Arial" w:hAnsi="Arial"/>
                <w:b/>
                <w:sz w:val="18"/>
              </w:rPr>
              <w:t>Date:</w:t>
            </w:r>
            <w:r>
              <w:rPr>
                <w:rFonts w:ascii="Arial" w:hAnsi="Arial"/>
                <w:sz w:val="18"/>
              </w:rPr>
              <w:t xml:space="preserve"> December 8, 2026</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Time:</w:t>
            </w:r>
            <w:r>
              <w:rPr>
                <w:rFonts w:ascii="Arial" w:hAnsi="Arial"/>
                <w:sz w:val="18"/>
              </w:rPr>
              <w:t xml:space="preserve"> 8:30 a.m. Pacific Time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Meeting Agenda:</w:t>
            </w:r>
          </w:p>
          <w:p>
            <w:pPr>
              <w:pStyle w:val="TableContents"/>
              <w:bidi w:val="0"/>
              <w:spacing w:before="0" w:after="0"/>
              <w:jc w:val="left"/>
              <w:rPr>
                <w:rFonts w:ascii="Arial" w:hAnsi="Arial"/>
                <w:sz w:val="18"/>
              </w:rPr>
            </w:pPr>
            <w:r>
              <w:rPr>
                <w:rFonts w:ascii="Arial" w:hAnsi="Arial"/>
                <w:sz w:val="18"/>
              </w:rPr>
              <w:t>The meeting will cover the proposals listed under Voting Matters and Vote Recommendations below, and any other business that may properly come before the meeting.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808" w:type="dxa"/>
            <w:gridSpan w:val="3"/>
            <w:tcBorders/>
            <w:vAlign w:val="center"/>
          </w:tcPr>
          <w:p>
            <w:pPr>
              <w:pStyle w:val="TableContents"/>
              <w:bidi w:val="0"/>
              <w:spacing w:before="0" w:after="0"/>
              <w:jc w:val="left"/>
              <w:rPr>
                <w:rFonts w:ascii="Arial" w:hAnsi="Arial"/>
                <w:sz w:val="18"/>
              </w:rPr>
            </w:pPr>
            <w:r>
              <w:rPr>
                <w:rFonts w:ascii="Arial" w:hAnsi="Arial"/>
                <w:b/>
                <w:sz w:val="18"/>
              </w:rPr>
              <w:t>Place:</w:t>
            </w:r>
            <w:r>
              <w:rPr>
                <w:rFonts w:ascii="Arial" w:hAnsi="Arial"/>
                <w:sz w:val="18"/>
              </w:rPr>
              <w:t> </w:t>
            </w:r>
            <w:r>
              <w:rPr>
                <w:rFonts w:ascii="Arial" w:hAnsi="Arial"/>
                <w:sz w:val="18"/>
                <w:u w:val="single"/>
              </w:rPr>
              <w:t>virtualshareholdermeeting.com/MSFT26</w:t>
            </w:r>
          </w:p>
        </w:tc>
      </w:tr>
      <w:tr>
        <w:trPr/>
        <w:tc>
          <w:tcPr>
            <w:tcW w:w="3337"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38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Record Date:</w:t>
            </w:r>
            <w:r>
              <w:rPr>
                <w:rFonts w:ascii="Arial" w:hAnsi="Arial"/>
                <w:sz w:val="18"/>
              </w:rPr>
              <w:t xml:space="preserve"> September 30, 2026</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Mailing Date:</w:t>
            </w:r>
          </w:p>
          <w:p>
            <w:pPr>
              <w:pStyle w:val="TableContents"/>
              <w:bidi w:val="0"/>
              <w:spacing w:before="0" w:after="20"/>
              <w:jc w:val="left"/>
              <w:rPr>
                <w:rFonts w:ascii="Arial" w:hAnsi="Arial"/>
                <w:sz w:val="18"/>
              </w:rPr>
            </w:pPr>
            <w:r>
              <w:rPr>
                <w:rFonts w:ascii="Arial" w:hAnsi="Arial"/>
                <w:sz w:val="18"/>
              </w:rPr>
              <w:t xml:space="preserve">This Proxy Statement was first mailed to shareholders on or about </w:t>
              <w:br/>
              <w:t>October 22, 2026.</w:t>
            </w:r>
          </w:p>
        </w:tc>
        <w:tc>
          <w:tcPr>
            <w:tcW w:w="60" w:type="dxa"/>
            <w:tcBorders/>
            <w:vAlign w:val="center"/>
          </w:tcPr>
          <w:p>
            <w:pPr>
              <w:pStyle w:val="TableContents"/>
              <w:bidi w:val="0"/>
              <w:spacing w:before="0" w:after="283"/>
              <w:jc w:val="left"/>
              <w:rPr/>
            </w:pPr>
            <w:r>
              <w:rPr/>
              <w:t> </w:t>
            </w:r>
          </w:p>
        </w:tc>
        <w:tc>
          <w:tcPr>
            <w:tcW w:w="336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Voting:</w:t>
            </w:r>
          </w:p>
          <w:p>
            <w:pPr>
              <w:pStyle w:val="TableContents"/>
              <w:bidi w:val="0"/>
              <w:spacing w:before="0" w:after="0"/>
              <w:jc w:val="left"/>
              <w:rPr>
                <w:rFonts w:ascii="Arial" w:hAnsi="Arial"/>
                <w:sz w:val="18"/>
              </w:rPr>
            </w:pPr>
            <w:r>
              <w:rPr>
                <w:rFonts w:ascii="Arial" w:hAnsi="Arial"/>
                <w:sz w:val="18"/>
              </w:rPr>
              <w:t>Shareholders as of the record date are entitled to vote. Each share of common stock of Microsoft Corporation (“Company”) is entitled to one vote for each director nominee and one vote for each proposal.</w:t>
            </w:r>
          </w:p>
          <w:p>
            <w:pPr>
              <w:pStyle w:val="TableContents"/>
              <w:bidi w:val="0"/>
              <w:spacing w:before="0" w:after="20"/>
              <w:jc w:val="left"/>
              <w:rPr/>
            </w:pPr>
            <w:r>
              <w:rPr/>
              <w:t> </w:t>
            </w:r>
          </w:p>
        </w:tc>
      </w:tr>
    </w:tbl>
    <w:p>
      <w:pPr>
        <w:pStyle w:val="TextBody"/>
        <w:bidi w:val="0"/>
        <w:spacing w:before="0" w:after="0"/>
        <w:jc w:val="left"/>
        <w:rPr>
          <w:bdr w:val="single" w:sz="48" w:space="1" w:color="0075C9"/>
        </w:rPr>
      </w:pPr>
      <w:r>
        <w:rPr>
          <w:bdr w:val="single" w:sz="48" w:space="1" w:color="0075C9"/>
        </w:rPr>
        <w:t> </w:t>
      </w:r>
    </w:p>
    <w:tbl>
      <w:tblPr>
        <w:tblW w:w="8630" w:type="dxa"/>
        <w:jc w:val="left"/>
        <w:tblInd w:w="0" w:type="dxa"/>
        <w:tblLayout w:type="fixed"/>
        <w:tblCellMar>
          <w:top w:w="0" w:type="dxa"/>
          <w:left w:w="0" w:type="dxa"/>
          <w:bottom w:w="0" w:type="dxa"/>
          <w:right w:w="0" w:type="dxa"/>
        </w:tblCellMar>
      </w:tblPr>
      <w:tblGrid>
        <w:gridCol w:w="360"/>
        <w:gridCol w:w="60"/>
        <w:gridCol w:w="8210"/>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10" w:type="dxa"/>
            <w:tcBorders/>
            <w:vAlign w:val="center"/>
          </w:tcPr>
          <w:p>
            <w:pPr>
              <w:pStyle w:val="TableContents"/>
              <w:bidi w:val="0"/>
              <w:spacing w:before="0" w:after="283"/>
              <w:jc w:val="left"/>
              <w:rPr>
                <w:sz w:val="4"/>
                <w:szCs w:val="4"/>
              </w:rPr>
            </w:pPr>
            <w:r>
              <w:rPr>
                <w:sz w:val="4"/>
                <w:szCs w:val="4"/>
              </w:rPr>
            </w:r>
          </w:p>
        </w:tc>
      </w:tr>
      <w:tr>
        <w:trPr/>
        <w:tc>
          <w:tcPr>
            <w:tcW w:w="8630" w:type="dxa"/>
            <w:gridSpan w:val="3"/>
            <w:tcBorders/>
            <w:vAlign w:val="center"/>
          </w:tcPr>
          <w:p>
            <w:pPr>
              <w:pStyle w:val="TableContents"/>
              <w:bidi w:val="0"/>
              <w:spacing w:before="0" w:after="283"/>
              <w:jc w:val="center"/>
              <w:rPr>
                <w:b/>
              </w:rPr>
            </w:pPr>
            <w:r>
              <w:rPr>
                <w:b/>
              </w:rPr>
              <w:t>Vote in Advance of the Meeting</w:t>
            </w:r>
          </w:p>
        </w:tc>
      </w:tr>
      <w:tr>
        <w:trPr/>
        <w:tc>
          <w:tcPr>
            <w:tcW w:w="360" w:type="dxa"/>
            <w:tcBorders/>
            <w:vAlign w:val="center"/>
          </w:tcPr>
          <w:p>
            <w:pPr>
              <w:pStyle w:val="TableContents"/>
              <w:bidi w:val="0"/>
              <w:spacing w:before="0" w:after="283"/>
              <w:jc w:val="left"/>
              <w:rPr/>
            </w:pPr>
            <w:r>
              <w:rPr/>
              <w:drawing>
                <wp:inline distT="0" distB="0" distL="0" distR="0">
                  <wp:extent cx="133350" cy="2286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3350" cy="228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Arial" w:hAnsi="Arial"/>
                <w:b/>
                <w:sz w:val="18"/>
              </w:rPr>
            </w:pPr>
            <w:r>
              <w:rPr>
                <w:rFonts w:ascii="Arial" w:hAnsi="Arial"/>
                <w:b/>
                <w:sz w:val="18"/>
              </w:rPr>
              <w:t xml:space="preserve">Vote your shares at </w:t>
            </w:r>
            <w:r>
              <w:rPr>
                <w:rFonts w:ascii="Arial" w:hAnsi="Arial"/>
                <w:b/>
                <w:sz w:val="18"/>
                <w:u w:val="single"/>
              </w:rPr>
              <w:t>proxyvote.com</w:t>
            </w:r>
            <w:r>
              <w:rPr>
                <w:rFonts w:ascii="Arial" w:hAnsi="Arial"/>
                <w:b/>
                <w:sz w:val="18"/>
              </w:rPr>
              <w:t>.</w:t>
            </w:r>
          </w:p>
          <w:p>
            <w:pPr>
              <w:pStyle w:val="TableContents"/>
              <w:bidi w:val="0"/>
              <w:spacing w:before="0" w:after="20"/>
              <w:jc w:val="left"/>
              <w:rPr>
                <w:rFonts w:ascii="Arial" w:hAnsi="Arial"/>
                <w:sz w:val="18"/>
              </w:rPr>
            </w:pPr>
            <w:r>
              <w:rPr>
                <w:rFonts w:ascii="Arial" w:hAnsi="Arial"/>
                <w:sz w:val="18"/>
              </w:rPr>
              <w:t>Have your Notice of Internet Availability or proxy card for the 16-digit Control Number needed to vote.</w:t>
            </w:r>
          </w:p>
        </w:tc>
      </w:tr>
      <w:tr>
        <w:trPr/>
        <w:tc>
          <w:tcPr>
            <w:tcW w:w="360" w:type="dxa"/>
            <w:tcBorders/>
            <w:vAlign w:val="center"/>
          </w:tcPr>
          <w:p>
            <w:pPr>
              <w:pStyle w:val="TableContents"/>
              <w:bidi w:val="0"/>
              <w:spacing w:before="0" w:after="283"/>
              <w:jc w:val="left"/>
              <w:rPr>
                <w:sz w:val="4"/>
                <w:szCs w:val="4"/>
              </w:rPr>
            </w:pPr>
            <w:r>
              <w:rPr>
                <w:sz w:val="4"/>
                <w:szCs w:val="4"/>
              </w:rPr>
            </w:r>
          </w:p>
        </w:tc>
        <w:tc>
          <w:tcPr>
            <w:tcW w:w="8270"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71450" cy="1809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71450" cy="1809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b/>
              </w:rPr>
            </w:pPr>
            <w:r>
              <w:rPr>
                <w:b/>
              </w:rPr>
              <w:t>Call toll-free number 1-800-690-6903.</w:t>
            </w:r>
          </w:p>
        </w:tc>
      </w:tr>
      <w:tr>
        <w:trPr/>
        <w:tc>
          <w:tcPr>
            <w:tcW w:w="360" w:type="dxa"/>
            <w:tcBorders/>
            <w:vAlign w:val="center"/>
          </w:tcPr>
          <w:p>
            <w:pPr>
              <w:pStyle w:val="TableContents"/>
              <w:bidi w:val="0"/>
              <w:spacing w:before="0" w:after="283"/>
              <w:jc w:val="left"/>
              <w:rPr>
                <w:sz w:val="4"/>
                <w:szCs w:val="4"/>
              </w:rPr>
            </w:pPr>
            <w:r>
              <w:rPr>
                <w:sz w:val="4"/>
                <w:szCs w:val="4"/>
              </w:rPr>
            </w:r>
          </w:p>
        </w:tc>
        <w:tc>
          <w:tcPr>
            <w:tcW w:w="8270"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80975" cy="13335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80975" cy="1333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283"/>
              <w:jc w:val="left"/>
              <w:rPr>
                <w:b/>
              </w:rPr>
            </w:pPr>
            <w:r>
              <w:rPr>
                <w:b/>
              </w:rPr>
              <w:t>Sign, date, and return the enclosed proxy card or voting instruction form.</w:t>
            </w:r>
          </w:p>
        </w:tc>
      </w:tr>
    </w:tbl>
    <w:p>
      <w:pPr>
        <w:pStyle w:val="TextBody"/>
        <w:bidi w:val="0"/>
        <w:spacing w:before="0" w:after="0"/>
        <w:jc w:val="left"/>
        <w:rPr>
          <w:bdr w:val="single" w:sz="48" w:space="1" w:color="0075C9"/>
        </w:rPr>
      </w:pPr>
      <w:r>
        <w:rPr>
          <w:bdr w:val="single" w:sz="48" w:space="1" w:color="0075C9"/>
        </w:rPr>
        <w:t> </w:t>
      </w:r>
    </w:p>
    <w:tbl>
      <w:tblPr>
        <w:tblW w:w="10205" w:type="dxa"/>
        <w:jc w:val="left"/>
        <w:tblInd w:w="0" w:type="dxa"/>
        <w:tblLayout w:type="fixed"/>
        <w:tblCellMar>
          <w:top w:w="0" w:type="dxa"/>
          <w:left w:w="0" w:type="dxa"/>
          <w:bottom w:w="0" w:type="dxa"/>
          <w:right w:w="0" w:type="dxa"/>
        </w:tblCellMar>
      </w:tblPr>
      <w:tblGrid>
        <w:gridCol w:w="435"/>
        <w:gridCol w:w="60"/>
        <w:gridCol w:w="9710"/>
      </w:tblGrid>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1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24"/>
              </w:rPr>
            </w:pPr>
            <w:r>
              <w:rPr>
                <w:rFonts w:ascii="Arial" w:hAnsi="Arial"/>
                <w:b/>
                <w:sz w:val="24"/>
              </w:rPr>
              <w:t>Vote Online During the Meeting</w:t>
            </w:r>
          </w:p>
          <w:p>
            <w:pPr>
              <w:pStyle w:val="TableContents"/>
              <w:bidi w:val="0"/>
              <w:spacing w:before="0" w:after="20"/>
              <w:jc w:val="left"/>
              <w:rPr/>
            </w:pPr>
            <w:r>
              <w:rPr/>
              <w:t> </w:t>
            </w:r>
          </w:p>
        </w:tc>
      </w:tr>
      <w:tr>
        <w:trPr/>
        <w:tc>
          <w:tcPr>
            <w:tcW w:w="435" w:type="dxa"/>
            <w:tcBorders/>
            <w:vAlign w:val="center"/>
          </w:tcPr>
          <w:p>
            <w:pPr>
              <w:pStyle w:val="TableContents"/>
              <w:bidi w:val="0"/>
              <w:spacing w:before="0" w:after="20"/>
              <w:jc w:val="left"/>
              <w:rPr/>
            </w:pPr>
            <w:r>
              <w:rPr/>
              <w:drawing>
                <wp:inline distT="0" distB="0" distL="0" distR="0">
                  <wp:extent cx="228600" cy="190500"/>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1905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pPr>
            <w:r>
              <w:rPr>
                <w:b/>
              </w:rPr>
              <w:t>See page</w:t>
            </w:r>
            <w:r>
              <w:rPr/>
              <w:t xml:space="preserve"> </w:t>
            </w:r>
            <w:r>
              <w:rPr>
                <w:b/>
              </w:rPr>
              <w:t>81 </w:t>
            </w:r>
            <w:r>
              <w:rPr/>
              <w:t xml:space="preserve">in Part 5 – Information About the Meeting for details on voting your shares during the meeting through </w:t>
            </w:r>
            <w:r>
              <w:rPr>
                <w:u w:val="single"/>
              </w:rPr>
              <w:t>proxyvote.com</w:t>
            </w:r>
            <w:r>
              <w:rPr/>
              <w:t>.</w:t>
            </w:r>
          </w:p>
        </w:tc>
      </w:tr>
    </w:tbl>
    <w:p>
      <w:pPr>
        <w:pStyle w:val="TextBody"/>
        <w:bidi w:val="0"/>
        <w:spacing w:before="480" w:after="0"/>
        <w:jc w:val="left"/>
        <w:rPr>
          <w:rFonts w:ascii="Arial" w:hAnsi="Arial"/>
          <w:b/>
          <w:color w:val="0075C9"/>
          <w:sz w:val="28"/>
          <w:bdr w:val="single" w:sz="48" w:space="1" w:color="0075C9"/>
        </w:rPr>
      </w:pPr>
      <w:r>
        <w:rPr>
          <w:rFonts w:ascii="Arial" w:hAnsi="Arial"/>
          <w:b/>
          <w:color w:val="0075C9"/>
          <w:sz w:val="28"/>
          <w:bdr w:val="single" w:sz="48" w:space="1" w:color="0075C9"/>
        </w:rPr>
        <w:t xml:space="preserve">Voting Matters and Vote Recommendations </w:t>
      </w:r>
    </w:p>
    <w:p>
      <w:pPr>
        <w:pStyle w:val="TextBody"/>
        <w:bidi w:val="0"/>
        <w:spacing w:before="160" w:after="0"/>
        <w:jc w:val="left"/>
        <w:rPr>
          <w:rFonts w:ascii="Arial" w:hAnsi="Arial"/>
          <w:b/>
          <w:sz w:val="18"/>
          <w:bdr w:val="single" w:sz="48" w:space="1" w:color="0075C9"/>
        </w:rPr>
      </w:pPr>
      <w:r>
        <w:rPr>
          <w:rFonts w:ascii="Arial" w:hAnsi="Arial"/>
          <w:b/>
          <w:sz w:val="18"/>
          <w:bdr w:val="single" w:sz="48" w:space="1" w:color="0075C9"/>
        </w:rPr>
        <w:t xml:space="preserve">See Part 4 – Proposals to be Voted on During the Meeting for more information. </w:t>
      </w:r>
    </w:p>
    <w:tbl>
      <w:tblPr>
        <w:tblW w:w="10205" w:type="dxa"/>
        <w:jc w:val="left"/>
        <w:tblInd w:w="0" w:type="dxa"/>
        <w:tblLayout w:type="fixed"/>
        <w:tblCellMar>
          <w:top w:w="0" w:type="dxa"/>
          <w:left w:w="0" w:type="dxa"/>
          <w:bottom w:w="0" w:type="dxa"/>
          <w:right w:w="0" w:type="dxa"/>
        </w:tblCellMar>
      </w:tblPr>
      <w:tblGrid>
        <w:gridCol w:w="8007"/>
        <w:gridCol w:w="120"/>
        <w:gridCol w:w="87"/>
        <w:gridCol w:w="1208"/>
        <w:gridCol w:w="60"/>
        <w:gridCol w:w="120"/>
        <w:gridCol w:w="97"/>
        <w:gridCol w:w="429"/>
        <w:gridCol w:w="77"/>
      </w:tblGrid>
      <w:tr>
        <w:trPr/>
        <w:tc>
          <w:tcPr>
            <w:tcW w:w="80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007"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Board</w:t>
            </w:r>
          </w:p>
          <w:p>
            <w:pPr>
              <w:pStyle w:val="TableContents"/>
              <w:bidi w:val="0"/>
              <w:spacing w:before="0" w:after="20"/>
              <w:jc w:val="center"/>
              <w:rPr>
                <w:rFonts w:ascii="Arial" w:hAnsi="Arial"/>
                <w:b/>
                <w:sz w:val="20"/>
              </w:rPr>
            </w:pPr>
            <w:r>
              <w:rPr>
                <w:rFonts w:ascii="Arial" w:hAnsi="Arial"/>
                <w:b/>
                <w:sz w:val="20"/>
              </w:rPr>
              <w:t>Recommends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See</w:t>
            </w:r>
          </w:p>
          <w:p>
            <w:pPr>
              <w:pStyle w:val="TableContents"/>
              <w:bidi w:val="0"/>
              <w:spacing w:before="0" w:after="20"/>
              <w:jc w:val="center"/>
              <w:rPr>
                <w:rFonts w:ascii="Arial" w:hAnsi="Arial"/>
                <w:b/>
                <w:sz w:val="20"/>
              </w:rPr>
            </w:pPr>
            <w:r>
              <w:rPr>
                <w:rFonts w:ascii="Arial" w:hAnsi="Arial"/>
                <w:b/>
                <w:sz w:val="20"/>
              </w:rPr>
              <w:t>Page </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07" w:type="dxa"/>
            <w:tcBorders>
              <w:bottom w:val="single" w:sz="6" w:space="0" w:color="000000"/>
            </w:tcBorders>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Management Proposals</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7" w:type="dxa"/>
            <w:tcBorders>
              <w:bottom w:val="single" w:sz="6" w:space="0" w:color="000000"/>
            </w:tcBorders>
            <w:tcMar>
              <w:bottom w:w="28" w:type="dxa"/>
            </w:tcMar>
            <w:vAlign w:val="center"/>
          </w:tcPr>
          <w:p>
            <w:pPr>
              <w:pStyle w:val="TableContents"/>
              <w:bidi w:val="0"/>
              <w:spacing w:before="0" w:after="283"/>
              <w:jc w:val="left"/>
              <w:rPr/>
            </w:pPr>
            <w:r>
              <w:rPr/>
              <w:t> </w:t>
            </w:r>
          </w:p>
        </w:tc>
        <w:tc>
          <w:tcPr>
            <w:tcW w:w="1208"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429" w:type="dxa"/>
            <w:tcBorders>
              <w:bottom w:val="single" w:sz="6" w:space="0" w:color="000000"/>
            </w:tcBorders>
            <w:tcMar>
              <w:bottom w:w="28" w:type="dxa"/>
            </w:tcMar>
            <w:vAlign w:val="center"/>
          </w:tcPr>
          <w:p>
            <w:pPr>
              <w:pStyle w:val="TableContents"/>
              <w:bidi w:val="0"/>
              <w:spacing w:before="0" w:after="283"/>
              <w:jc w:val="left"/>
              <w:rPr/>
            </w:pPr>
            <w:r>
              <w:rPr/>
              <w:t> </w:t>
            </w:r>
          </w:p>
        </w:tc>
        <w:tc>
          <w:tcPr>
            <w:tcW w:w="7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Election of 12 Directors</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68</w:t>
            </w:r>
          </w:p>
        </w:tc>
        <w:tc>
          <w:tcPr>
            <w:tcW w:w="77" w:type="dxa"/>
            <w:tcBorders/>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Advisory Vote to Approve Named Executive Officer Compensation (“say-on-pay vote”)</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69</w:t>
            </w:r>
          </w:p>
        </w:tc>
        <w:tc>
          <w:tcPr>
            <w:tcW w:w="77" w:type="dxa"/>
            <w:tcBorders/>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Ratification of the Selection of Deloitte &amp; Touche LLP as our Independent Auditor for Fiscal Year 2027</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69</w:t>
            </w:r>
          </w:p>
        </w:tc>
        <w:tc>
          <w:tcPr>
            <w:tcW w:w="77" w:type="dxa"/>
            <w:tcBorders/>
            <w:vAlign w:val="center"/>
          </w:tcPr>
          <w:p>
            <w:pPr>
              <w:pStyle w:val="TableContents"/>
              <w:bidi w:val="0"/>
              <w:spacing w:before="0" w:after="283"/>
              <w:jc w:val="left"/>
              <w:rPr/>
            </w:pPr>
            <w:r>
              <w:rPr/>
              <w:t> </w:t>
            </w:r>
          </w:p>
        </w:tc>
      </w:tr>
      <w:tr>
        <w:trPr/>
        <w:tc>
          <w:tcPr>
            <w:tcW w:w="8007" w:type="dxa"/>
            <w:tcBorders>
              <w:top w:val="single" w:sz="6" w:space="0" w:color="000000"/>
              <w:bottom w:val="single" w:sz="6" w:space="0" w:color="000000"/>
            </w:tcBorders>
            <w:tcMar>
              <w:top w:w="28" w:type="dxa"/>
              <w:bottom w:w="12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Shareholder Proposals</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8"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429"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Additional Disclosures Meeting Climate Commitments</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70</w:t>
            </w:r>
          </w:p>
        </w:tc>
        <w:tc>
          <w:tcPr>
            <w:tcW w:w="77" w:type="dxa"/>
            <w:tcBorders/>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Report on Human Rights Due Diligence</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72</w:t>
            </w:r>
          </w:p>
        </w:tc>
        <w:tc>
          <w:tcPr>
            <w:tcW w:w="77" w:type="dxa"/>
            <w:tcBorders/>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Report on Data Operations in Human Rights and Conflict Hotspots</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75</w:t>
            </w:r>
          </w:p>
        </w:tc>
        <w:tc>
          <w:tcPr>
            <w:tcW w:w="77" w:type="dxa"/>
            <w:tcBorders/>
            <w:vAlign w:val="center"/>
          </w:tcPr>
          <w:p>
            <w:pPr>
              <w:pStyle w:val="TableContents"/>
              <w:bidi w:val="0"/>
              <w:spacing w:before="0" w:after="283"/>
              <w:jc w:val="left"/>
              <w:rPr/>
            </w:pPr>
            <w:r>
              <w:rPr/>
              <w:t> </w:t>
            </w:r>
          </w:p>
        </w:tc>
      </w:tr>
      <w:tr>
        <w:trPr/>
        <w:tc>
          <w:tcPr>
            <w:tcW w:w="8007"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8007" w:type="dxa"/>
            <w:tcBorders/>
            <w:vAlign w:val="center"/>
          </w:tcPr>
          <w:p>
            <w:pPr>
              <w:pStyle w:val="TableContents"/>
              <w:bidi w:val="0"/>
              <w:spacing w:before="0" w:after="0"/>
              <w:jc w:val="left"/>
              <w:rPr>
                <w:rFonts w:ascii="Arial" w:hAnsi="Arial"/>
                <w:sz w:val="18"/>
              </w:rPr>
            </w:pPr>
            <w:r>
              <w:rPr>
                <w:rFonts w:ascii="Arial" w:hAnsi="Arial"/>
                <w:sz w:val="18"/>
              </w:rPr>
              <w:t>Board Chair and CEO Separation</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center"/>
              <w:rPr>
                <w:sz w:val="18"/>
              </w:rPr>
            </w:pPr>
            <w:r>
              <w:rPr>
                <w:sz w:val="18"/>
              </w:rP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center"/>
              <w:rPr>
                <w:b/>
              </w:rPr>
            </w:pPr>
            <w:r>
              <w:rPr>
                <w:b/>
              </w:rPr>
              <w:t>78</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045"/>
        <w:gridCol w:w="60"/>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color w:val="0075C9"/>
              </w:rPr>
            </w:pPr>
            <w:r>
              <w:rPr>
                <w:b/>
                <w:color w:val="0075C9"/>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color w:val="0075C9"/>
          <w:sz w:val="28"/>
          <w:bdr w:val="single" w:sz="48" w:space="1" w:color="0075C9"/>
        </w:rPr>
      </w:pPr>
      <w:r>
        <w:rPr>
          <w:rFonts w:ascii="Arial" w:hAnsi="Arial"/>
          <w:b/>
          <w:color w:val="0075C9"/>
          <w:sz w:val="28"/>
          <w:bdr w:val="single" w:sz="48" w:space="1" w:color="0075C9"/>
        </w:rPr>
        <w:t xml:space="preserve">Our Director Nominees </w:t>
      </w:r>
    </w:p>
    <w:p>
      <w:pPr>
        <w:pStyle w:val="TextBody"/>
        <w:bidi w:val="0"/>
        <w:spacing w:before="120" w:after="0"/>
        <w:jc w:val="left"/>
        <w:rPr>
          <w:rFonts w:ascii="Arial" w:hAnsi="Arial"/>
          <w:b/>
          <w:sz w:val="18"/>
          <w:bdr w:val="single" w:sz="48" w:space="1" w:color="0075C9"/>
        </w:rPr>
      </w:pPr>
      <w:r>
        <w:rPr>
          <w:rFonts w:ascii="Arial" w:hAnsi="Arial"/>
          <w:b/>
          <w:sz w:val="18"/>
          <w:bdr w:val="single" w:sz="48" w:space="1" w:color="0075C9"/>
        </w:rPr>
        <w:t xml:space="preserve">See Part 1 – Board of Directors and Governance for more information.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The following table provides summary information about each of the 12 director nominees. Each director is elected annually by a majority of votes cast. Reid Hoffman and Hugh Johnston are not seeking re-election and their Board service will end on the date of the Annual Meeting. Mr. Hoffman currently serves as a member of the Environmental, Social, and Public Policy Committee. Mr. Johnston currently serves as Chair of the Audit and Finance Committee. The Board has nominated John Collison for election as director. If elected, his term will begin on December 8, 2026. </w:t>
      </w:r>
    </w:p>
    <w:p>
      <w:pPr>
        <w:pStyle w:val="TextBody"/>
        <w:bidi w:val="0"/>
        <w:spacing w:before="0" w:after="0"/>
        <w:jc w:val="left"/>
        <w:rPr>
          <w:bdr w:val="single" w:sz="48" w:space="1" w:color="0075C9"/>
        </w:rPr>
      </w:pPr>
      <w:r>
        <w:rPr>
          <w:bdr w:val="single" w:sz="48" w:space="1" w:color="0075C9"/>
        </w:rPr>
        <w:t> </w:t>
      </w:r>
    </w:p>
    <w:tbl>
      <w:tblPr>
        <w:tblW w:w="9220" w:type="dxa"/>
        <w:jc w:val="left"/>
        <w:tblInd w:w="0" w:type="dxa"/>
        <w:tblLayout w:type="fixed"/>
        <w:tblCellMar>
          <w:top w:w="0" w:type="dxa"/>
          <w:left w:w="0" w:type="dxa"/>
          <w:bottom w:w="0" w:type="dxa"/>
          <w:right w:w="0" w:type="dxa"/>
        </w:tblCellMar>
      </w:tblPr>
      <w:tblGrid>
        <w:gridCol w:w="5240"/>
        <w:gridCol w:w="60"/>
        <w:gridCol w:w="425"/>
        <w:gridCol w:w="60"/>
        <w:gridCol w:w="890"/>
        <w:gridCol w:w="60"/>
        <w:gridCol w:w="1310"/>
        <w:gridCol w:w="60"/>
        <w:gridCol w:w="1115"/>
      </w:tblGrid>
      <w:tr>
        <w:trPr/>
        <w:tc>
          <w:tcPr>
            <w:tcW w:w="5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8"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Name</w:t>
            </w:r>
          </w:p>
          <w:p>
            <w:pPr>
              <w:pStyle w:val="TableContents"/>
              <w:bidi w:val="0"/>
              <w:spacing w:before="0" w:after="20"/>
              <w:jc w:val="left"/>
              <w:rPr>
                <w:rFonts w:ascii="Arial" w:hAnsi="Arial"/>
                <w:b/>
                <w:sz w:val="18"/>
              </w:rPr>
            </w:pPr>
            <w:r>
              <w:rPr>
                <w:rFonts w:ascii="Arial" w:hAnsi="Arial"/>
                <w:b/>
                <w:sz w:val="18"/>
              </w:rPr>
              <w:t>Occupation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Director</w:t>
            </w:r>
          </w:p>
          <w:p>
            <w:pPr>
              <w:pStyle w:val="TableContents"/>
              <w:bidi w:val="0"/>
              <w:spacing w:before="0" w:after="20"/>
              <w:jc w:val="center"/>
              <w:rPr>
                <w:rFonts w:ascii="Arial" w:hAnsi="Arial"/>
                <w:b/>
                <w:sz w:val="18"/>
              </w:rPr>
            </w:pPr>
            <w:r>
              <w:rPr>
                <w:rFonts w:ascii="Arial" w:hAnsi="Arial"/>
                <w:b/>
                <w:sz w:val="18"/>
              </w:rPr>
              <w:t>Since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Other Public </w:t>
            </w:r>
          </w:p>
          <w:p>
            <w:pPr>
              <w:pStyle w:val="TableContents"/>
              <w:bidi w:val="0"/>
              <w:spacing w:before="0" w:after="20"/>
              <w:jc w:val="center"/>
              <w:rPr>
                <w:rFonts w:ascii="Arial" w:hAnsi="Arial"/>
                <w:b/>
                <w:sz w:val="18"/>
              </w:rPr>
            </w:pPr>
            <w:r>
              <w:rPr>
                <w:rFonts w:ascii="Arial" w:hAnsi="Arial"/>
                <w:b/>
                <w:sz w:val="18"/>
              </w:rPr>
              <w:t>Boards</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Collison</w:t>
            </w:r>
          </w:p>
          <w:p>
            <w:pPr>
              <w:pStyle w:val="TableContents"/>
              <w:bidi w:val="0"/>
              <w:spacing w:before="0" w:after="20"/>
              <w:jc w:val="left"/>
              <w:rPr>
                <w:rFonts w:ascii="Arial" w:hAnsi="Arial"/>
                <w:i/>
                <w:sz w:val="18"/>
              </w:rPr>
            </w:pPr>
            <w:r>
              <w:rPr>
                <w:rFonts w:ascii="Arial" w:hAnsi="Arial"/>
                <w:i/>
                <w:sz w:val="18"/>
              </w:rPr>
              <w:t>Co-founder, President, and Director, Stripe Global Holdings, Inc.</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36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New</w:t>
              <w:br/>
              <w:t>Nominee</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Carmine Di Sibio</w:t>
            </w:r>
          </w:p>
          <w:p>
            <w:pPr>
              <w:pStyle w:val="TableContents"/>
              <w:bidi w:val="0"/>
              <w:spacing w:before="0" w:after="0"/>
              <w:jc w:val="left"/>
              <w:rPr>
                <w:rFonts w:ascii="Arial" w:hAnsi="Arial"/>
                <w:i/>
                <w:sz w:val="18"/>
              </w:rPr>
            </w:pPr>
            <w:r>
              <w:rPr>
                <w:rFonts w:ascii="Arial" w:hAnsi="Arial"/>
                <w:i/>
                <w:sz w:val="18"/>
              </w:rPr>
              <w:t>Former Global Chairman and CEO, EY</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63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2026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2</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Teri L. List</w:t>
            </w:r>
          </w:p>
          <w:p>
            <w:pPr>
              <w:pStyle w:val="TableContents"/>
              <w:bidi w:val="0"/>
              <w:spacing w:before="0" w:after="0"/>
              <w:jc w:val="left"/>
              <w:rPr>
                <w:rFonts w:ascii="Arial" w:hAnsi="Arial"/>
                <w:i/>
                <w:sz w:val="18"/>
              </w:rPr>
            </w:pPr>
            <w:r>
              <w:rPr>
                <w:rFonts w:ascii="Arial" w:hAnsi="Arial"/>
                <w:i/>
                <w:sz w:val="18"/>
              </w:rPr>
              <w:t>Former Executive Vice President and CFO, The Gap, Inc.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63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3</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Catherine MacGregor</w:t>
            </w:r>
          </w:p>
          <w:p>
            <w:pPr>
              <w:pStyle w:val="TableContents"/>
              <w:bidi w:val="0"/>
              <w:spacing w:before="0" w:after="0"/>
              <w:jc w:val="left"/>
              <w:rPr>
                <w:rFonts w:ascii="Arial" w:hAnsi="Arial"/>
                <w:i/>
                <w:sz w:val="18"/>
              </w:rPr>
            </w:pPr>
            <w:r>
              <w:rPr>
                <w:rFonts w:ascii="Arial" w:hAnsi="Arial"/>
                <w:i/>
                <w:sz w:val="18"/>
              </w:rPr>
              <w:t>Group CEO and Director, Engie S.A.</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54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2023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1</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Mark A. L. Mason</w:t>
            </w:r>
          </w:p>
          <w:p>
            <w:pPr>
              <w:pStyle w:val="TableContents"/>
              <w:bidi w:val="0"/>
              <w:spacing w:before="0" w:after="0"/>
              <w:jc w:val="left"/>
              <w:rPr>
                <w:rFonts w:ascii="Arial" w:hAnsi="Arial"/>
                <w:i/>
                <w:sz w:val="18"/>
              </w:rPr>
            </w:pPr>
            <w:r>
              <w:rPr>
                <w:rFonts w:ascii="Arial" w:hAnsi="Arial"/>
                <w:i/>
                <w:sz w:val="18"/>
              </w:rPr>
              <w:t xml:space="preserve">Executive Vice Chair and Senior Executive Advisor to the Chair </w:t>
              <w:br/>
              <w:t>and CEO, Citigroup Inc.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57</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2023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p>
            <w:pPr>
              <w:pStyle w:val="TableContents"/>
              <w:bidi w:val="0"/>
              <w:spacing w:before="0" w:after="0"/>
              <w:jc w:val="left"/>
              <w:rPr>
                <w:rFonts w:ascii="Arial" w:hAnsi="Arial"/>
                <w:i/>
                <w:sz w:val="18"/>
              </w:rPr>
            </w:pPr>
            <w:r>
              <w:rPr>
                <w:rFonts w:ascii="Arial" w:hAnsi="Arial"/>
                <w:i/>
                <w:sz w:val="18"/>
              </w:rPr>
              <w:t>Chairman and CEO, Microsoft Corporation</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59</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No</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Sandra E. Peterson</w:t>
            </w:r>
          </w:p>
          <w:p>
            <w:pPr>
              <w:pStyle w:val="TableContents"/>
              <w:bidi w:val="0"/>
              <w:spacing w:before="0" w:after="0"/>
              <w:jc w:val="left"/>
              <w:rPr>
                <w:rFonts w:ascii="Arial" w:hAnsi="Arial"/>
                <w:i/>
                <w:sz w:val="18"/>
              </w:rPr>
            </w:pPr>
            <w:r>
              <w:rPr>
                <w:rFonts w:ascii="Arial" w:hAnsi="Arial"/>
                <w:i/>
                <w:sz w:val="18"/>
              </w:rPr>
              <w:t>Lead Independent Director, Microsoft Corporation;</w:t>
            </w:r>
          </w:p>
          <w:p>
            <w:pPr>
              <w:pStyle w:val="TableContents"/>
              <w:bidi w:val="0"/>
              <w:spacing w:before="0" w:after="0"/>
              <w:jc w:val="left"/>
              <w:rPr>
                <w:rFonts w:ascii="Arial" w:hAnsi="Arial"/>
                <w:i/>
                <w:sz w:val="18"/>
              </w:rPr>
            </w:pPr>
            <w:r>
              <w:rPr>
                <w:rFonts w:ascii="Arial" w:hAnsi="Arial"/>
                <w:i/>
                <w:sz w:val="18"/>
              </w:rPr>
              <w:t>Operating Partner, Clayton, Dubilier &amp; Rice, LLC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67</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2015</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1</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Penny S. Pritzker</w:t>
            </w:r>
          </w:p>
          <w:p>
            <w:pPr>
              <w:pStyle w:val="TableContents"/>
              <w:bidi w:val="0"/>
              <w:spacing w:before="0" w:after="0"/>
              <w:jc w:val="left"/>
              <w:rPr>
                <w:rFonts w:ascii="Arial" w:hAnsi="Arial"/>
                <w:i/>
                <w:sz w:val="18"/>
              </w:rPr>
            </w:pPr>
            <w:r>
              <w:rPr>
                <w:rFonts w:ascii="Arial" w:hAnsi="Arial"/>
                <w:i/>
                <w:sz w:val="18"/>
              </w:rPr>
              <w:t>Founder and Chairman, PSP Partners, LLC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67</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2017</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David Rainey</w:t>
            </w:r>
          </w:p>
          <w:p>
            <w:pPr>
              <w:pStyle w:val="TableContents"/>
              <w:bidi w:val="0"/>
              <w:spacing w:before="0" w:after="0"/>
              <w:jc w:val="left"/>
              <w:rPr>
                <w:rFonts w:ascii="Arial" w:hAnsi="Arial"/>
                <w:i/>
                <w:sz w:val="18"/>
              </w:rPr>
            </w:pPr>
            <w:r>
              <w:rPr>
                <w:rFonts w:ascii="Arial" w:hAnsi="Arial"/>
                <w:i/>
                <w:sz w:val="18"/>
              </w:rPr>
              <w:t>Executive Vice President and CFO, Walmart Inc.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56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2025</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Charles W. Scharf</w:t>
            </w:r>
          </w:p>
          <w:p>
            <w:pPr>
              <w:pStyle w:val="TableContents"/>
              <w:bidi w:val="0"/>
              <w:spacing w:before="0" w:after="0"/>
              <w:jc w:val="left"/>
              <w:rPr>
                <w:rFonts w:ascii="Arial" w:hAnsi="Arial"/>
                <w:i/>
                <w:sz w:val="18"/>
              </w:rPr>
            </w:pPr>
            <w:r>
              <w:rPr>
                <w:rFonts w:ascii="Arial" w:hAnsi="Arial"/>
                <w:i/>
                <w:sz w:val="18"/>
              </w:rPr>
              <w:t>Chairman and CEO, Wells Fargo &amp; Company</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61</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1</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W. Stanton</w:t>
            </w:r>
          </w:p>
          <w:p>
            <w:pPr>
              <w:pStyle w:val="TableContents"/>
              <w:bidi w:val="0"/>
              <w:spacing w:before="0" w:after="0"/>
              <w:jc w:val="left"/>
              <w:rPr>
                <w:rFonts w:ascii="Arial" w:hAnsi="Arial"/>
                <w:i/>
                <w:sz w:val="18"/>
              </w:rPr>
            </w:pPr>
            <w:r>
              <w:rPr>
                <w:rFonts w:ascii="Arial" w:hAnsi="Arial"/>
                <w:i/>
                <w:sz w:val="18"/>
              </w:rPr>
              <w:t>Founder and Chairman, Trilogy Partnerships</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71</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1</w:t>
            </w:r>
          </w:p>
        </w:tc>
      </w:tr>
      <w:tr>
        <w:trPr/>
        <w:tc>
          <w:tcPr>
            <w:tcW w:w="524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r>
      <w:tr>
        <w:trPr/>
        <w:tc>
          <w:tcPr>
            <w:tcW w:w="5240" w:type="dxa"/>
            <w:tcBorders>
              <w:bottom w:val="single" w:sz="6" w:space="0" w:color="0075C9"/>
            </w:tcBorders>
            <w:tcMar>
              <w:bottom w:w="28"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Emma N. Walmsley</w:t>
            </w:r>
          </w:p>
          <w:p>
            <w:pPr>
              <w:pStyle w:val="TableContents"/>
              <w:bidi w:val="0"/>
              <w:spacing w:before="0" w:after="0"/>
              <w:jc w:val="left"/>
              <w:rPr>
                <w:rFonts w:ascii="Arial" w:hAnsi="Arial"/>
                <w:i/>
                <w:sz w:val="18"/>
              </w:rPr>
            </w:pPr>
            <w:r>
              <w:rPr>
                <w:rFonts w:ascii="Arial" w:hAnsi="Arial"/>
                <w:i/>
                <w:sz w:val="18"/>
              </w:rPr>
              <w:t>Former CEO and Director, GSK plc</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25" w:type="dxa"/>
            <w:tcBorders>
              <w:bottom w:val="single" w:sz="6" w:space="0" w:color="0075C9"/>
            </w:tcBorders>
            <w:tcMar>
              <w:bottom w:w="28" w:type="dxa"/>
            </w:tcMar>
            <w:vAlign w:val="center"/>
          </w:tcPr>
          <w:p>
            <w:pPr>
              <w:pStyle w:val="TableContents"/>
              <w:bidi w:val="0"/>
              <w:spacing w:before="0" w:after="283"/>
              <w:jc w:val="center"/>
              <w:rPr/>
            </w:pPr>
            <w:r>
              <w:rPr/>
              <w:t>57</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90" w:type="dxa"/>
            <w:tcBorders>
              <w:bottom w:val="single" w:sz="6" w:space="0" w:color="0075C9"/>
            </w:tcBorders>
            <w:tcMar>
              <w:bottom w:w="28" w:type="dxa"/>
            </w:tcMar>
            <w:vAlign w:val="center"/>
          </w:tcPr>
          <w:p>
            <w:pPr>
              <w:pStyle w:val="TableContents"/>
              <w:bidi w:val="0"/>
              <w:spacing w:before="0" w:after="283"/>
              <w:jc w:val="center"/>
              <w:rPr/>
            </w:pPr>
            <w:r>
              <w:rPr/>
              <w:t>2019</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10" w:type="dxa"/>
            <w:tcBorders>
              <w:bottom w:val="single" w:sz="6" w:space="0" w:color="0075C9"/>
            </w:tcBorders>
            <w:tcMar>
              <w:bottom w:w="28" w:type="dxa"/>
            </w:tcMar>
            <w:vAlign w:val="center"/>
          </w:tcPr>
          <w:p>
            <w:pPr>
              <w:pStyle w:val="TableContents"/>
              <w:bidi w:val="0"/>
              <w:spacing w:before="0" w:after="283"/>
              <w:jc w:val="center"/>
              <w:rPr/>
            </w:pPr>
            <w:r>
              <w:rPr/>
              <w:t>Yes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5" w:type="dxa"/>
            <w:tcBorders>
              <w:bottom w:val="single" w:sz="6" w:space="0" w:color="0075C9"/>
            </w:tcBorders>
            <w:tcMar>
              <w:bottom w:w="28" w:type="dxa"/>
            </w:tcMar>
            <w:vAlign w:val="center"/>
          </w:tcPr>
          <w:p>
            <w:pPr>
              <w:pStyle w:val="TableContents"/>
              <w:bidi w:val="0"/>
              <w:spacing w:before="0" w:after="283"/>
              <w:jc w:val="center"/>
              <w:rPr/>
            </w:pPr>
            <w:r>
              <w:rPr/>
              <w:t>0</w:t>
            </w:r>
          </w:p>
        </w:tc>
      </w:tr>
    </w:tbl>
    <w:p>
      <w:pPr>
        <w:pStyle w:val="TextBody"/>
        <w:bidi w:val="0"/>
        <w:spacing w:before="0" w:after="0"/>
        <w:jc w:val="left"/>
        <w:rPr/>
      </w:pPr>
      <w:r>
        <w:rPr/>
        <w:t> </w:t>
      </w:r>
    </w:p>
    <w:tbl>
      <w:tblPr>
        <w:tblW w:w="1235" w:type="dxa"/>
        <w:jc w:val="left"/>
        <w:tblInd w:w="0" w:type="dxa"/>
        <w:tblLayout w:type="fixed"/>
        <w:tblCellMar>
          <w:top w:w="0" w:type="dxa"/>
          <w:left w:w="0" w:type="dxa"/>
          <w:bottom w:w="0" w:type="dxa"/>
          <w:right w:w="0" w:type="dxa"/>
        </w:tblCellMar>
      </w:tblPr>
      <w:tblGrid>
        <w:gridCol w:w="155"/>
        <w:gridCol w:w="120"/>
        <w:gridCol w:w="960"/>
      </w:tblGrid>
      <w:tr>
        <w:trPr/>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5C9"/>
              </w:rPr>
            </w:pPr>
            <w:r>
              <w:rPr>
                <w:b/>
                <w:color w:val="0075C9"/>
              </w:rPr>
              <w:t>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color w:val="0075C9"/>
          <w:sz w:val="28"/>
          <w:bdr w:val="single" w:sz="48" w:space="1" w:color="0075C9"/>
        </w:rPr>
      </w:pPr>
      <w:r>
        <w:rPr>
          <w:rFonts w:ascii="Arial" w:hAnsi="Arial"/>
          <w:b/>
          <w:color w:val="0075C9"/>
          <w:sz w:val="28"/>
          <w:bdr w:val="single" w:sz="48" w:space="1" w:color="0075C9"/>
        </w:rPr>
        <w:t xml:space="preserve">Committee Memberships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The following table provides current membership for each Board committee. </w:t>
      </w:r>
    </w:p>
    <w:p>
      <w:pPr>
        <w:pStyle w:val="TextBody"/>
        <w:bidi w:val="0"/>
        <w:spacing w:before="0" w:after="0"/>
        <w:jc w:val="left"/>
        <w:rPr>
          <w:bdr w:val="single" w:sz="48" w:space="1" w:color="0075C9"/>
        </w:rPr>
      </w:pPr>
      <w:r>
        <w:rPr>
          <w:bdr w:val="single" w:sz="48" w:space="1" w:color="0075C9"/>
        </w:rPr>
        <w:t> </w:t>
      </w:r>
    </w:p>
    <w:tbl>
      <w:tblPr>
        <w:tblW w:w="9310" w:type="dxa"/>
        <w:jc w:val="left"/>
        <w:tblInd w:w="0" w:type="dxa"/>
        <w:tblLayout w:type="fixed"/>
        <w:tblCellMar>
          <w:top w:w="0" w:type="dxa"/>
          <w:left w:w="0" w:type="dxa"/>
          <w:bottom w:w="0" w:type="dxa"/>
          <w:right w:w="0" w:type="dxa"/>
        </w:tblCellMar>
      </w:tblPr>
      <w:tblGrid>
        <w:gridCol w:w="1880"/>
        <w:gridCol w:w="60"/>
        <w:gridCol w:w="1925"/>
        <w:gridCol w:w="60"/>
        <w:gridCol w:w="1490"/>
        <w:gridCol w:w="60"/>
        <w:gridCol w:w="2330"/>
        <w:gridCol w:w="60"/>
        <w:gridCol w:w="1445"/>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tcMar>
              <w:bottom w:w="40" w:type="dxa"/>
            </w:tcMar>
            <w:vAlign w:val="center"/>
          </w:tcPr>
          <w:p>
            <w:pPr>
              <w:pStyle w:val="TableContents"/>
              <w:bidi w:val="0"/>
              <w:spacing w:before="0" w:after="283"/>
              <w:jc w:val="center"/>
              <w:rPr>
                <w:b/>
              </w:rPr>
            </w:pPr>
            <w:r>
              <w:rPr>
                <w:b/>
              </w:rPr>
              <w:t>Audit and Finance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tcMar>
              <w:bottom w:w="40" w:type="dxa"/>
            </w:tcMar>
            <w:vAlign w:val="center"/>
          </w:tcPr>
          <w:p>
            <w:pPr>
              <w:pStyle w:val="TableContents"/>
              <w:bidi w:val="0"/>
              <w:spacing w:before="0" w:after="283"/>
              <w:jc w:val="center"/>
              <w:rPr>
                <w:b/>
              </w:rPr>
            </w:pPr>
            <w:r>
              <w:rPr>
                <w:b/>
              </w:rPr>
              <w:t>Compensation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330" w:type="dxa"/>
            <w:tcBorders>
              <w:bottom w:val="single" w:sz="8" w:space="0" w:color="000000"/>
            </w:tcBorders>
            <w:tcMar>
              <w:bottom w:w="40" w:type="dxa"/>
            </w:tcMar>
            <w:vAlign w:val="center"/>
          </w:tcPr>
          <w:p>
            <w:pPr>
              <w:pStyle w:val="TableContents"/>
              <w:bidi w:val="0"/>
              <w:spacing w:before="0" w:after="283"/>
              <w:jc w:val="center"/>
              <w:rPr>
                <w:b/>
              </w:rPr>
            </w:pPr>
            <w:r>
              <w:rPr>
                <w:b/>
              </w:rPr>
              <w:t>Environmental, Social,</w:t>
              <w:br/>
              <w:t>and Public Policy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Governance and</w:t>
            </w:r>
          </w:p>
          <w:p>
            <w:pPr>
              <w:pStyle w:val="TableContents"/>
              <w:bidi w:val="0"/>
              <w:spacing w:before="0" w:after="20"/>
              <w:jc w:val="center"/>
              <w:rPr>
                <w:rFonts w:ascii="Arial" w:hAnsi="Arial"/>
                <w:b/>
                <w:sz w:val="18"/>
              </w:rPr>
            </w:pPr>
            <w:r>
              <w:rPr>
                <w:rFonts w:ascii="Arial" w:hAnsi="Arial"/>
                <w:b/>
                <w:sz w:val="18"/>
              </w:rPr>
              <w:t>Nominating</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Carmine Di Sibio</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jc w:val="center"/>
              <w:rPr/>
            </w:pPr>
            <w:r>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Reid G. Hoffman*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b/>
                <w:color w:val="0075C9"/>
                <w:sz w:val="18"/>
              </w:rPr>
              <w:t>Hugh F. Johnston</w:t>
            </w:r>
            <w:r>
              <w:rPr>
                <w:rFonts w:ascii="Arial" w:hAnsi="Arial"/>
                <w:b/>
                <w:i/>
                <w:color w:val="0075C9"/>
                <w:sz w:val="18"/>
              </w:rPr>
              <w: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jc w:val="center"/>
              <w:rPr/>
            </w:pPr>
            <w:r>
              <w:rPr/>
              <w:t>Chair,</w:t>
            </w:r>
          </w:p>
          <w:p>
            <w:pPr>
              <w:pStyle w:val="TableContents"/>
              <w:bidi w:val="0"/>
              <w:spacing w:before="0" w:after="20"/>
              <w:jc w:val="center"/>
              <w:rPr>
                <w:rFonts w:ascii="Arial" w:hAnsi="Arial"/>
                <w:sz w:val="18"/>
              </w:rPr>
            </w:pPr>
            <w:r>
              <w:rPr>
                <w:rFonts w:ascii="Arial" w:hAnsi="Arial"/>
                <w:sz w:val="18"/>
              </w:rPr>
              <w:t>Financial Expert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Teri L. List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jc w:val="center"/>
              <w:rPr/>
            </w:pPr>
            <w:r>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Catherine MacGregor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Chair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Mark A. L. Mason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jc w:val="center"/>
              <w:rPr/>
            </w:pPr>
            <w:r>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Sandra E. Peterson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Chair</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Penny S. Pritzker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40" w:type="dxa"/>
            </w:tcMar>
            <w:vAlign w:val="center"/>
          </w:tcPr>
          <w:p>
            <w:pPr>
              <w:pStyle w:val="TableContents"/>
              <w:bidi w:val="0"/>
              <w:spacing w:before="0" w:after="283"/>
              <w:jc w:val="center"/>
              <w:rPr/>
            </w:pPr>
            <w:r>
              <w:rPr/>
              <w:t>Chair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David Rainey</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jc w:val="center"/>
              <w:rPr/>
            </w:pPr>
            <w:r>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Charles W. Scharf</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W. Stanton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Emma N. Walmsley</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3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14"/>
              </w:rPr>
            </w:pPr>
            <w:r>
              <w:rPr>
                <w:rFonts w:ascii="Arial" w:hAnsi="Arial"/>
                <w:sz w:val="14"/>
              </w:rPr>
              <w:t xml:space="preserve">Mr. Hoffman and Mr. Johnston are not seeking re-election at the 2026 Annual Meeting. The Board will consider committee appointments for Mr. Collison if he is elected to the Board. </w:t>
            </w:r>
          </w:p>
        </w:tc>
      </w:tr>
    </w:tbl>
    <w:p>
      <w:pPr>
        <w:pStyle w:val="TextBody"/>
        <w:bidi w:val="0"/>
        <w:spacing w:before="240" w:after="0"/>
        <w:jc w:val="left"/>
        <w:rPr>
          <w:rFonts w:ascii="Arial" w:hAnsi="Arial"/>
          <w:b/>
          <w:color w:val="0075C9"/>
          <w:sz w:val="28"/>
          <w:bdr w:val="single" w:sz="48" w:space="1" w:color="0075C9"/>
        </w:rPr>
      </w:pPr>
      <w:r>
        <w:rPr>
          <w:rFonts w:ascii="Arial" w:hAnsi="Arial"/>
          <w:b/>
          <w:color w:val="0075C9"/>
          <w:sz w:val="28"/>
          <w:bdr w:val="single" w:sz="48" w:space="1" w:color="0075C9"/>
        </w:rPr>
        <w:t xml:space="preserve">Executive Compensation Advisory Vote </w:t>
      </w:r>
    </w:p>
    <w:p>
      <w:pPr>
        <w:pStyle w:val="TextBody"/>
        <w:bidi w:val="0"/>
        <w:spacing w:before="160" w:after="0"/>
        <w:jc w:val="left"/>
        <w:rPr>
          <w:rFonts w:ascii="Arial" w:hAnsi="Arial"/>
          <w:sz w:val="18"/>
          <w:bdr w:val="single" w:sz="48" w:space="1" w:color="0075C9"/>
        </w:rPr>
      </w:pPr>
      <w:r>
        <w:rPr>
          <w:rFonts w:ascii="Arial" w:hAnsi="Arial"/>
          <w:sz w:val="18"/>
          <w:bdr w:val="single" w:sz="48" w:space="1" w:color="0075C9"/>
        </w:rPr>
        <w:t xml:space="preserve">Our Board recommends that shareholders vote to approve, on an advisory basis, the compensation paid to the Company’s named executive officers (“Named Executives”) as described in this Proxy Statement (“say-on-pay vote”), for the reasons below. </w:t>
      </w:r>
    </w:p>
    <w:p>
      <w:pPr>
        <w:pStyle w:val="TextBody"/>
        <w:bidi w:val="0"/>
        <w:spacing w:before="240" w:after="0"/>
        <w:jc w:val="center"/>
        <w:rPr>
          <w:rFonts w:ascii="Arial" w:hAnsi="Arial"/>
          <w:b/>
          <w:sz w:val="24"/>
          <w:bdr w:val="single" w:sz="48" w:space="1" w:color="0075C9"/>
        </w:rPr>
      </w:pPr>
      <w:r>
        <w:rPr>
          <w:rFonts w:ascii="Arial" w:hAnsi="Arial"/>
          <w:b/>
          <w:sz w:val="24"/>
          <w:bdr w:val="single" w:sz="48" w:space="1" w:color="0075C9"/>
        </w:rPr>
        <w:t xml:space="preserve">Pay for Performance </w:t>
      </w:r>
    </w:p>
    <w:p>
      <w:pPr>
        <w:pStyle w:val="TextBody"/>
        <w:bidi w:val="0"/>
        <w:spacing w:before="0" w:after="0"/>
        <w:jc w:val="left"/>
        <w:rPr>
          <w:bdr w:val="single" w:sz="48" w:space="1" w:color="0075C9"/>
        </w:rPr>
      </w:pPr>
      <w:r>
        <w:rPr>
          <w:bdr w:val="single" w:sz="48" w:space="1" w:color="0075C9"/>
        </w:rPr>
        <w:t> </w:t>
      </w:r>
    </w:p>
    <w:tbl>
      <w:tblPr>
        <w:tblW w:w="10205" w:type="dxa"/>
        <w:jc w:val="left"/>
        <w:tblInd w:w="0" w:type="dxa"/>
        <w:tblLayout w:type="fixed"/>
        <w:tblCellMar>
          <w:top w:w="0" w:type="dxa"/>
          <w:left w:w="0" w:type="dxa"/>
          <w:bottom w:w="0" w:type="dxa"/>
          <w:right w:w="0" w:type="dxa"/>
        </w:tblCellMar>
      </w:tblPr>
      <w:tblGrid>
        <w:gridCol w:w="5297"/>
        <w:gridCol w:w="120"/>
        <w:gridCol w:w="4689"/>
        <w:gridCol w:w="60"/>
        <w:gridCol w:w="39"/>
      </w:tblGrid>
      <w:tr>
        <w:trPr/>
        <w:tc>
          <w:tcPr>
            <w:tcW w:w="52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vAlign w:val="center"/>
          </w:tcPr>
          <w:p>
            <w:pPr>
              <w:pStyle w:val="TableContents"/>
              <w:bidi w:val="0"/>
              <w:spacing w:before="0" w:after="283"/>
              <w:jc w:val="left"/>
              <w:rPr>
                <w:b/>
              </w:rPr>
            </w:pPr>
            <w:r>
              <w:rPr>
                <w:b/>
              </w:rPr>
              <w:t>We have executed on our pay for performance philosophy.</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5297"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Over 95% of the annual target compensation opportunity for our CEO is performance-based and over 50% for our other Named Executives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 metrics for our performance stock awards are reviewed annually to ensure they reflect key business developments that drive long-term growth</w:t>
            </w:r>
          </w:p>
        </w:tc>
        <w:tc>
          <w:tcPr>
            <w:tcW w:w="12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Our performance stock awards (“PSAs”) include a relative total shareholder return (“TSR”) modifier to reward significant positive outperformance relative to the S&amp;P 500 and reduce rewards for underperformance to align executives’ and shareholders’ long-term interests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At least 80% of target compensation for our Named Executives was equity-based, with average across all Named Executives over 85%, providing incentives to drive long-term business success and direct alignment with returns to shareholders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Arial" w:hAnsi="Arial"/>
          <w:b/>
          <w:sz w:val="24"/>
          <w:bdr w:val="single" w:sz="48" w:space="1" w:color="0075C9"/>
        </w:rPr>
      </w:pPr>
      <w:r>
        <w:rPr>
          <w:rFonts w:ascii="Arial" w:hAnsi="Arial"/>
          <w:b/>
          <w:sz w:val="24"/>
          <w:bdr w:val="single" w:sz="48" w:space="1" w:color="0075C9"/>
        </w:rPr>
        <w:t xml:space="preserve">Sound Program Design </w:t>
      </w:r>
    </w:p>
    <w:p>
      <w:pPr>
        <w:pStyle w:val="TextBody"/>
        <w:bidi w:val="0"/>
        <w:spacing w:before="0" w:after="0"/>
        <w:jc w:val="left"/>
        <w:rPr>
          <w:bdr w:val="single" w:sz="48" w:space="1" w:color="0075C9"/>
        </w:rPr>
      </w:pPr>
      <w:r>
        <w:rPr>
          <w:bdr w:val="single" w:sz="48" w:space="1" w:color="0075C9"/>
        </w:rPr>
        <w:t> </w:t>
      </w:r>
    </w:p>
    <w:tbl>
      <w:tblPr>
        <w:tblW w:w="10205" w:type="dxa"/>
        <w:jc w:val="left"/>
        <w:tblInd w:w="0" w:type="dxa"/>
        <w:tblLayout w:type="fixed"/>
        <w:tblCellMar>
          <w:top w:w="0" w:type="dxa"/>
          <w:left w:w="0" w:type="dxa"/>
          <w:bottom w:w="0" w:type="dxa"/>
          <w:right w:w="0" w:type="dxa"/>
        </w:tblCellMar>
      </w:tblPr>
      <w:tblGrid>
        <w:gridCol w:w="38"/>
        <w:gridCol w:w="60"/>
        <w:gridCol w:w="3404"/>
        <w:gridCol w:w="138"/>
        <w:gridCol w:w="6465"/>
        <w:gridCol w:w="60"/>
        <w:gridCol w:w="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7" w:type="dxa"/>
            <w:gridSpan w:val="3"/>
            <w:tcBorders/>
            <w:vAlign w:val="center"/>
          </w:tcPr>
          <w:p>
            <w:pPr>
              <w:pStyle w:val="TableContents"/>
              <w:bidi w:val="0"/>
              <w:spacing w:before="0" w:after="0"/>
              <w:jc w:val="left"/>
              <w:rPr>
                <w:rFonts w:ascii="Arial" w:hAnsi="Arial"/>
                <w:sz w:val="18"/>
              </w:rPr>
            </w:pPr>
            <w:r>
              <w:rPr>
                <w:rFonts w:ascii="Arial" w:hAnsi="Arial"/>
                <w:sz w:val="18"/>
              </w:rPr>
              <w:t>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compensation that: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04"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Provides a competitive total pay opportunity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Delivers a majority of pay based on performance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Consists primarily of stock-based compensation</w:t>
            </w:r>
          </w:p>
        </w:tc>
        <w:tc>
          <w:tcPr>
            <w:tcW w:w="138" w:type="dxa"/>
            <w:tcBorders/>
            <w:vAlign w:val="center"/>
          </w:tcPr>
          <w:p>
            <w:pPr>
              <w:pStyle w:val="TableContents"/>
              <w:bidi w:val="0"/>
              <w:spacing w:before="0" w:after="283"/>
              <w:jc w:val="left"/>
              <w:rPr/>
            </w:pPr>
            <w:r>
              <w:rPr/>
              <w:t>  </w:t>
            </w:r>
          </w:p>
        </w:tc>
        <w:tc>
          <w:tcPr>
            <w:tcW w:w="646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Enhances long-term focus through multi-year performance requirements or vesting of stock-based compensation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pPr>
            <w:r>
              <w:rPr/>
              <w:t> </w:t>
            </w:r>
            <w:r>
              <w:rPr>
                <w:rFonts w:ascii="Arial" w:hAnsi="Arial"/>
              </w:rPr>
              <w:t>Does not encourage unnecessary and excessive risk taking</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sz w:val="18"/>
          <w:bdr w:val="single" w:sz="48" w:space="1" w:color="0075C9"/>
        </w:rPr>
      </w:pPr>
      <w:r>
        <w:rPr>
          <w:rFonts w:ascii="Arial" w:hAnsi="Arial"/>
          <w:b/>
          <w:sz w:val="18"/>
          <w:bdr w:val="single" w:sz="48" w:space="1" w:color="0075C9"/>
        </w:rPr>
        <w:t xml:space="preserve">See Part 2 – Named Executive Officer Compensation for more information.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045"/>
        <w:gridCol w:w="60"/>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color w:val="0075C9"/>
              </w:rPr>
            </w:pPr>
            <w:r>
              <w:rPr>
                <w:b/>
                <w:color w:val="0075C9"/>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50"/>
          <w:bdr w:val="single" w:sz="48" w:space="1" w:color="0075C9"/>
        </w:rPr>
      </w:pPr>
      <w:r>
        <w:rPr>
          <w:rFonts w:ascii="Arial" w:hAnsi="Arial"/>
          <w:b/>
          <w:sz w:val="50"/>
          <w:bdr w:val="single" w:sz="48" w:space="1" w:color="0075C9"/>
        </w:rPr>
        <w:t xml:space="preserve">Business Overview </w:t>
      </w:r>
    </w:p>
    <w:p>
      <w:pPr>
        <w:pStyle w:val="TextBody"/>
        <w:bidi w:val="0"/>
        <w:spacing w:before="480" w:after="0"/>
        <w:jc w:val="left"/>
        <w:rPr>
          <w:rFonts w:ascii="Arial" w:hAnsi="Arial"/>
          <w:b/>
          <w:color w:val="0075C9"/>
          <w:sz w:val="28"/>
          <w:bdr w:val="single" w:sz="48" w:space="1" w:color="0075C9"/>
        </w:rPr>
      </w:pPr>
      <w:r>
        <w:rPr>
          <w:rFonts w:ascii="Arial" w:hAnsi="Arial"/>
          <w:b/>
          <w:color w:val="0075C9"/>
          <w:sz w:val="28"/>
          <w:bdr w:val="single" w:sz="48" w:space="1" w:color="0075C9"/>
        </w:rPr>
        <w:t xml:space="preserve">Our Business Performance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In fiscal year 2026, we continued to achieve strong business results, focusing on enabling the success and earning the trust of our customers. We create platforms and tools, powered by AI, that deliver innovative solutions that meet the evolving needs of our customers. From infrastructure and data, to business applications and collaboration, we provide unique, differentiated value to customers. </w:t>
      </w:r>
    </w:p>
    <w:p>
      <w:pPr>
        <w:pStyle w:val="TextBody"/>
        <w:bidi w:val="0"/>
        <w:spacing w:before="240" w:after="0"/>
        <w:jc w:val="center"/>
        <w:rPr>
          <w:rFonts w:ascii="Arial" w:hAnsi="Arial"/>
          <w:b/>
          <w:sz w:val="24"/>
          <w:bdr w:val="single" w:sz="48" w:space="1" w:color="0075C9"/>
        </w:rPr>
      </w:pPr>
      <w:r>
        <w:rPr>
          <w:rFonts w:ascii="Arial" w:hAnsi="Arial"/>
          <w:b/>
          <w:sz w:val="24"/>
          <w:bdr w:val="single" w:sz="48" w:space="1" w:color="0075C9"/>
        </w:rPr>
        <w:t xml:space="preserve">Fiscal Year 2026 Business Performance Highlights </w:t>
      </w:r>
    </w:p>
    <w:p>
      <w:pPr>
        <w:pStyle w:val="TextBody"/>
        <w:bidi w:val="0"/>
        <w:spacing w:before="0" w:after="0"/>
        <w:jc w:val="left"/>
        <w:rPr>
          <w:bdr w:val="single" w:sz="48" w:space="1" w:color="0075C9"/>
        </w:rPr>
      </w:pPr>
      <w:r>
        <w:rPr>
          <w:bdr w:val="single" w:sz="48" w:space="1" w:color="0075C9"/>
        </w:rPr>
        <w:t> </w:t>
      </w:r>
    </w:p>
    <w:tbl>
      <w:tblPr>
        <w:tblW w:w="8330" w:type="dxa"/>
        <w:jc w:val="left"/>
        <w:tblInd w:w="0" w:type="dxa"/>
        <w:tblLayout w:type="fixed"/>
        <w:tblCellMar>
          <w:top w:w="0" w:type="dxa"/>
          <w:left w:w="0" w:type="dxa"/>
          <w:bottom w:w="0" w:type="dxa"/>
          <w:right w:w="0" w:type="dxa"/>
        </w:tblCellMar>
      </w:tblPr>
      <w:tblGrid>
        <w:gridCol w:w="1280"/>
        <w:gridCol w:w="60"/>
        <w:gridCol w:w="230"/>
        <w:gridCol w:w="60"/>
        <w:gridCol w:w="230"/>
        <w:gridCol w:w="60"/>
        <w:gridCol w:w="1535"/>
        <w:gridCol w:w="60"/>
        <w:gridCol w:w="230"/>
        <w:gridCol w:w="60"/>
        <w:gridCol w:w="230"/>
        <w:gridCol w:w="60"/>
        <w:gridCol w:w="1265"/>
        <w:gridCol w:w="60"/>
        <w:gridCol w:w="230"/>
        <w:gridCol w:w="60"/>
        <w:gridCol w:w="230"/>
        <w:gridCol w:w="60"/>
        <w:gridCol w:w="233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1280" w:type="dxa"/>
            <w:vMerge w:val="restart"/>
            <w:tcBorders/>
            <w:vAlign w:val="center"/>
          </w:tcPr>
          <w:p>
            <w:pPr>
              <w:pStyle w:val="TableContents"/>
              <w:bidi w:val="0"/>
              <w:spacing w:before="0" w:after="0"/>
              <w:jc w:val="center"/>
              <w:rPr>
                <w:rFonts w:ascii="Arial" w:hAnsi="Arial"/>
                <w:b/>
                <w:sz w:val="18"/>
              </w:rPr>
            </w:pPr>
            <w:r>
              <w:rPr>
                <w:rFonts w:ascii="Arial" w:hAnsi="Arial"/>
                <w:b/>
                <w:sz w:val="18"/>
              </w:rPr>
              <w:t>Revenue</w:t>
            </w:r>
          </w:p>
          <w:p>
            <w:pPr>
              <w:pStyle w:val="TableContents"/>
              <w:bidi w:val="0"/>
              <w:spacing w:before="0" w:after="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18%</w:t>
            </w:r>
            <w:r>
              <w:rPr>
                <w:rFonts w:ascii="Arial" w:hAnsi="Arial"/>
                <w:b/>
                <w:sz w:val="18"/>
              </w:rPr>
              <w:t>)</w:t>
            </w:r>
          </w:p>
          <w:p>
            <w:pPr>
              <w:pStyle w:val="TableContents"/>
              <w:bidi w:val="0"/>
              <w:spacing w:before="0" w:after="0"/>
              <w:jc w:val="left"/>
              <w:rPr/>
            </w:pPr>
            <w:r>
              <w:rPr/>
              <w:t> </w:t>
            </w:r>
          </w:p>
          <w:p>
            <w:pPr>
              <w:pStyle w:val="TableContents"/>
              <w:bidi w:val="0"/>
              <w:spacing w:before="0" w:after="20"/>
              <w:jc w:val="center"/>
              <w:rPr>
                <w:rFonts w:ascii="Arial" w:hAnsi="Arial"/>
                <w:b/>
                <w:color w:val="0075C9"/>
                <w:sz w:val="20"/>
              </w:rPr>
            </w:pPr>
            <w:r>
              <w:rPr>
                <w:rFonts w:ascii="Arial" w:hAnsi="Arial"/>
                <w:b/>
                <w:color w:val="0075C9"/>
                <w:sz w:val="20"/>
              </w:rPr>
              <w:t>$331.8 billion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283"/>
              <w:jc w:val="left"/>
              <w:rPr/>
            </w:pPr>
            <w:r>
              <w:rPr/>
              <w:t> </w:t>
            </w:r>
          </w:p>
        </w:tc>
        <w:tc>
          <w:tcPr>
            <w:tcW w:w="1535" w:type="dxa"/>
            <w:vMerge w:val="restart"/>
            <w:tcBorders/>
            <w:vAlign w:val="center"/>
          </w:tcPr>
          <w:p>
            <w:pPr>
              <w:pStyle w:val="TableContents"/>
              <w:bidi w:val="0"/>
              <w:spacing w:before="0" w:after="0"/>
              <w:jc w:val="center"/>
              <w:rPr>
                <w:rFonts w:ascii="Arial" w:hAnsi="Arial"/>
                <w:b/>
                <w:sz w:val="18"/>
              </w:rPr>
            </w:pPr>
            <w:r>
              <w:rPr>
                <w:rFonts w:ascii="Arial" w:hAnsi="Arial"/>
                <w:b/>
                <w:sz w:val="18"/>
              </w:rPr>
              <w:t>Operating Income</w:t>
            </w:r>
          </w:p>
          <w:p>
            <w:pPr>
              <w:pStyle w:val="TableContents"/>
              <w:bidi w:val="0"/>
              <w:spacing w:before="0" w:after="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21%</w:t>
            </w:r>
            <w:r>
              <w:rPr>
                <w:rFonts w:ascii="Arial" w:hAnsi="Arial"/>
                <w:b/>
                <w:sz w:val="18"/>
              </w:rPr>
              <w:t>)</w:t>
            </w:r>
          </w:p>
          <w:p>
            <w:pPr>
              <w:pStyle w:val="TableContents"/>
              <w:bidi w:val="0"/>
              <w:spacing w:before="0" w:after="0"/>
              <w:jc w:val="left"/>
              <w:rPr/>
            </w:pPr>
            <w:r>
              <w:rPr/>
              <w:t> </w:t>
            </w:r>
          </w:p>
          <w:p>
            <w:pPr>
              <w:pStyle w:val="TableContents"/>
              <w:bidi w:val="0"/>
              <w:spacing w:before="0" w:after="20"/>
              <w:jc w:val="center"/>
              <w:rPr>
                <w:rFonts w:ascii="Arial" w:hAnsi="Arial"/>
                <w:b/>
                <w:color w:val="0075C9"/>
                <w:sz w:val="20"/>
              </w:rPr>
            </w:pPr>
            <w:r>
              <w:rPr>
                <w:rFonts w:ascii="Arial" w:hAnsi="Arial"/>
                <w:b/>
                <w:color w:val="0075C9"/>
                <w:sz w:val="20"/>
              </w:rPr>
              <w:t>$155.2 billion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283"/>
              <w:jc w:val="left"/>
              <w:rPr/>
            </w:pPr>
            <w:r>
              <w:rPr/>
              <w:t> </w:t>
            </w:r>
          </w:p>
        </w:tc>
        <w:tc>
          <w:tcPr>
            <w:tcW w:w="1265" w:type="dxa"/>
            <w:vMerge w:val="restart"/>
            <w:tcBorders/>
            <w:vAlign w:val="center"/>
          </w:tcPr>
          <w:p>
            <w:pPr>
              <w:pStyle w:val="TableContents"/>
              <w:bidi w:val="0"/>
              <w:spacing w:before="0" w:after="0"/>
              <w:jc w:val="center"/>
              <w:rPr>
                <w:rFonts w:ascii="Arial" w:hAnsi="Arial"/>
                <w:b/>
                <w:sz w:val="18"/>
              </w:rPr>
            </w:pPr>
            <w:r>
              <w:rPr>
                <w:rFonts w:ascii="Arial" w:hAnsi="Arial"/>
                <w:b/>
                <w:sz w:val="18"/>
              </w:rPr>
              <w:t>Net Income</w:t>
            </w:r>
          </w:p>
          <w:p>
            <w:pPr>
              <w:pStyle w:val="TableContents"/>
              <w:bidi w:val="0"/>
              <w:spacing w:before="0" w:after="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31%</w:t>
            </w:r>
            <w:r>
              <w:rPr>
                <w:rFonts w:ascii="Arial" w:hAnsi="Arial"/>
                <w:b/>
                <w:sz w:val="18"/>
              </w:rPr>
              <w:t>)</w:t>
            </w:r>
          </w:p>
          <w:p>
            <w:pPr>
              <w:pStyle w:val="TableContents"/>
              <w:bidi w:val="0"/>
              <w:spacing w:before="0" w:after="0"/>
              <w:jc w:val="left"/>
              <w:rPr/>
            </w:pPr>
            <w:r>
              <w:rPr/>
              <w:t> </w:t>
            </w:r>
          </w:p>
          <w:p>
            <w:pPr>
              <w:pStyle w:val="TableContents"/>
              <w:bidi w:val="0"/>
              <w:spacing w:before="0" w:after="20"/>
              <w:jc w:val="center"/>
              <w:rPr>
                <w:rFonts w:ascii="Arial" w:hAnsi="Arial"/>
                <w:b/>
                <w:color w:val="0075C9"/>
                <w:sz w:val="20"/>
              </w:rPr>
            </w:pPr>
            <w:r>
              <w:rPr>
                <w:rFonts w:ascii="Arial" w:hAnsi="Arial"/>
                <w:b/>
                <w:color w:val="0075C9"/>
                <w:sz w:val="20"/>
              </w:rPr>
              <w:t>$133.7 billion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283"/>
              <w:jc w:val="left"/>
              <w:rPr/>
            </w:pPr>
            <w:r>
              <w:rPr/>
              <w:t> </w:t>
            </w:r>
          </w:p>
        </w:tc>
        <w:tc>
          <w:tcPr>
            <w:tcW w:w="2330" w:type="dxa"/>
            <w:vMerge w:val="restart"/>
            <w:tcBorders/>
            <w:vAlign w:val="center"/>
          </w:tcPr>
          <w:p>
            <w:pPr>
              <w:pStyle w:val="TableContents"/>
              <w:bidi w:val="0"/>
              <w:spacing w:before="0" w:after="0"/>
              <w:jc w:val="center"/>
              <w:rPr>
                <w:rFonts w:ascii="Arial" w:hAnsi="Arial"/>
                <w:b/>
                <w:sz w:val="18"/>
              </w:rPr>
            </w:pPr>
            <w:r>
              <w:rPr>
                <w:rFonts w:ascii="Arial" w:hAnsi="Arial"/>
                <w:b/>
                <w:sz w:val="18"/>
              </w:rPr>
              <w:t>Diluted Earnings per Share</w:t>
            </w:r>
          </w:p>
          <w:p>
            <w:pPr>
              <w:pStyle w:val="TableContents"/>
              <w:bidi w:val="0"/>
              <w:spacing w:before="0" w:after="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32%</w:t>
            </w:r>
            <w:r>
              <w:rPr>
                <w:rFonts w:ascii="Arial" w:hAnsi="Arial"/>
                <w:b/>
                <w:sz w:val="18"/>
              </w:rPr>
              <w:t>)</w:t>
            </w:r>
          </w:p>
          <w:p>
            <w:pPr>
              <w:pStyle w:val="TableContents"/>
              <w:bidi w:val="0"/>
              <w:spacing w:before="0" w:after="0"/>
              <w:jc w:val="left"/>
              <w:rPr/>
            </w:pPr>
            <w:r>
              <w:rPr/>
              <w:t> </w:t>
            </w:r>
          </w:p>
          <w:p>
            <w:pPr>
              <w:pStyle w:val="TableContents"/>
              <w:bidi w:val="0"/>
              <w:spacing w:before="0" w:after="20"/>
              <w:jc w:val="center"/>
              <w:rPr>
                <w:rFonts w:ascii="Arial" w:hAnsi="Arial"/>
                <w:b/>
                <w:color w:val="0075C9"/>
                <w:sz w:val="20"/>
              </w:rPr>
            </w:pPr>
            <w:r>
              <w:rPr>
                <w:rFonts w:ascii="Arial" w:hAnsi="Arial"/>
                <w:b/>
                <w:color w:val="0075C9"/>
                <w:sz w:val="20"/>
              </w:rPr>
              <w:t>$17.95</w:t>
            </w:r>
          </w:p>
        </w:tc>
      </w:tr>
      <w:tr>
        <w:trPr/>
        <w:tc>
          <w:tcPr>
            <w:tcW w:w="128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330" w:type="dxa"/>
            <w:vMerge w:val="continue"/>
            <w:tcBorders/>
            <w:vAlign w:val="center"/>
          </w:tcPr>
          <w:p>
            <w:pPr>
              <w:pStyle w:val="Normal"/>
              <w:bidi w:val="0"/>
              <w:jc w:val="left"/>
              <w:rPr/>
            </w:pPr>
            <w:r>
              <w:rPr/>
            </w:r>
          </w:p>
        </w:tc>
      </w:tr>
    </w:tbl>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Highlights from fiscal year 2026 include the following metrics. Percentages are year-over-year. </w:t>
      </w:r>
    </w:p>
    <w:p>
      <w:pPr>
        <w:pStyle w:val="TextBody"/>
        <w:bidi w:val="0"/>
        <w:spacing w:before="0" w:after="0"/>
        <w:jc w:val="left"/>
        <w:rPr>
          <w:bdr w:val="single" w:sz="48" w:space="1" w:color="0075C9"/>
        </w:rPr>
      </w:pPr>
      <w:r>
        <w:rPr>
          <w:bdr w:val="single" w:sz="48" w:space="1" w:color="0075C9"/>
        </w:rPr>
        <w:t> </w:t>
      </w:r>
    </w:p>
    <w:tbl>
      <w:tblPr>
        <w:tblW w:w="4885" w:type="dxa"/>
        <w:jc w:val="left"/>
        <w:tblInd w:w="0" w:type="dxa"/>
        <w:tblLayout w:type="fixed"/>
        <w:tblCellMar>
          <w:top w:w="0" w:type="dxa"/>
          <w:left w:w="0" w:type="dxa"/>
          <w:bottom w:w="0" w:type="dxa"/>
          <w:right w:w="0" w:type="dxa"/>
        </w:tblCellMar>
      </w:tblPr>
      <w:tblGrid>
        <w:gridCol w:w="125"/>
        <w:gridCol w:w="60"/>
        <w:gridCol w:w="4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Microsoft Cloud revenue increased 27% to $214.4 billion </w:t>
            </w:r>
          </w:p>
        </w:tc>
      </w:tr>
    </w:tbl>
    <w:p>
      <w:pPr>
        <w:pStyle w:val="TextBody"/>
        <w:bidi w:val="0"/>
        <w:spacing w:before="0" w:after="0"/>
        <w:jc w:val="left"/>
        <w:rPr>
          <w:bdr w:val="single" w:sz="48" w:space="1" w:color="0075C9"/>
        </w:rPr>
      </w:pPr>
      <w:r>
        <w:rPr>
          <w:bdr w:val="single" w:sz="48" w:space="1" w:color="0075C9"/>
        </w:rPr>
        <w:t> </w:t>
      </w:r>
    </w:p>
    <w:tbl>
      <w:tblPr>
        <w:tblW w:w="6535" w:type="dxa"/>
        <w:jc w:val="left"/>
        <w:tblInd w:w="0" w:type="dxa"/>
        <w:tblLayout w:type="fixed"/>
        <w:tblCellMar>
          <w:top w:w="0" w:type="dxa"/>
          <w:left w:w="0" w:type="dxa"/>
          <w:bottom w:w="0" w:type="dxa"/>
          <w:right w:w="0" w:type="dxa"/>
        </w:tblCellMar>
      </w:tblPr>
      <w:tblGrid>
        <w:gridCol w:w="125"/>
        <w:gridCol w:w="60"/>
        <w:gridCol w:w="63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Arial" w:hAnsi="Arial"/>
                <w:sz w:val="18"/>
              </w:rPr>
            </w:pPr>
            <w:r>
              <w:rPr>
                <w:rFonts w:ascii="Arial" w:hAnsi="Arial"/>
                <w:sz w:val="18"/>
              </w:rPr>
              <w:t xml:space="preserve">Commercial remaining performance obligation increased 84% to $678 billion </w:t>
            </w:r>
          </w:p>
        </w:tc>
      </w:tr>
    </w:tbl>
    <w:p>
      <w:pPr>
        <w:pStyle w:val="TextBody"/>
        <w:bidi w:val="0"/>
        <w:spacing w:before="0" w:after="0"/>
        <w:jc w:val="left"/>
        <w:rPr>
          <w:bdr w:val="single" w:sz="48" w:space="1" w:color="0075C9"/>
        </w:rPr>
      </w:pPr>
      <w:r>
        <w:rPr>
          <w:bdr w:val="single" w:sz="48" w:space="1" w:color="0075C9"/>
        </w:rPr>
        <w:t> </w:t>
      </w:r>
    </w:p>
    <w:tbl>
      <w:tblPr>
        <w:tblW w:w="4885" w:type="dxa"/>
        <w:jc w:val="left"/>
        <w:tblInd w:w="0" w:type="dxa"/>
        <w:tblLayout w:type="fixed"/>
        <w:tblCellMar>
          <w:top w:w="0" w:type="dxa"/>
          <w:left w:w="0" w:type="dxa"/>
          <w:bottom w:w="0" w:type="dxa"/>
          <w:right w:w="0" w:type="dxa"/>
        </w:tblCellMar>
      </w:tblPr>
      <w:tblGrid>
        <w:gridCol w:w="125"/>
        <w:gridCol w:w="60"/>
        <w:gridCol w:w="4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Microsoft 365 Commercial cloud revenue increased 17% </w:t>
            </w:r>
          </w:p>
        </w:tc>
      </w:tr>
    </w:tbl>
    <w:p>
      <w:pPr>
        <w:pStyle w:val="TextBody"/>
        <w:bidi w:val="0"/>
        <w:spacing w:before="0" w:after="0"/>
        <w:jc w:val="left"/>
        <w:rPr>
          <w:bdr w:val="single" w:sz="48" w:space="1" w:color="0075C9"/>
        </w:rPr>
      </w:pPr>
      <w:r>
        <w:rPr>
          <w:bdr w:val="single" w:sz="48" w:space="1" w:color="0075C9"/>
        </w:rPr>
        <w:t> </w:t>
      </w:r>
    </w:p>
    <w:tbl>
      <w:tblPr>
        <w:tblW w:w="4750" w:type="dxa"/>
        <w:jc w:val="left"/>
        <w:tblInd w:w="0" w:type="dxa"/>
        <w:tblLayout w:type="fixed"/>
        <w:tblCellMar>
          <w:top w:w="0" w:type="dxa"/>
          <w:left w:w="0" w:type="dxa"/>
          <w:bottom w:w="0" w:type="dxa"/>
          <w:right w:w="0" w:type="dxa"/>
        </w:tblCellMar>
      </w:tblPr>
      <w:tblGrid>
        <w:gridCol w:w="125"/>
        <w:gridCol w:w="60"/>
        <w:gridCol w:w="45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Arial" w:hAnsi="Arial"/>
                <w:sz w:val="18"/>
              </w:rPr>
            </w:pPr>
            <w:r>
              <w:rPr>
                <w:rFonts w:ascii="Arial" w:hAnsi="Arial"/>
                <w:sz w:val="18"/>
              </w:rPr>
              <w:t xml:space="preserve">Microsoft 365 Consumer cloud revenue increased 28% </w:t>
            </w:r>
          </w:p>
        </w:tc>
      </w:tr>
    </w:tbl>
    <w:p>
      <w:pPr>
        <w:pStyle w:val="TextBody"/>
        <w:bidi w:val="0"/>
        <w:spacing w:before="0" w:after="0"/>
        <w:jc w:val="left"/>
        <w:rPr>
          <w:bdr w:val="single" w:sz="48" w:space="1" w:color="0075C9"/>
        </w:rPr>
      </w:pPr>
      <w:r>
        <w:rPr>
          <w:bdr w:val="single" w:sz="48" w:space="1" w:color="0075C9"/>
        </w:rPr>
        <w:t> </w:t>
      </w:r>
    </w:p>
    <w:tbl>
      <w:tblPr>
        <w:tblW w:w="2965" w:type="dxa"/>
        <w:jc w:val="left"/>
        <w:tblInd w:w="0" w:type="dxa"/>
        <w:tblLayout w:type="fixed"/>
        <w:tblCellMar>
          <w:top w:w="0" w:type="dxa"/>
          <w:left w:w="0" w:type="dxa"/>
          <w:bottom w:w="0" w:type="dxa"/>
          <w:right w:w="0" w:type="dxa"/>
        </w:tblCellMar>
      </w:tblPr>
      <w:tblGrid>
        <w:gridCol w:w="125"/>
        <w:gridCol w:w="60"/>
        <w:gridCol w:w="2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sz w:val="18"/>
              </w:rPr>
            </w:pPr>
            <w:r>
              <w:rPr>
                <w:rFonts w:ascii="Arial" w:hAnsi="Arial"/>
                <w:sz w:val="18"/>
              </w:rPr>
              <w:t xml:space="preserve">Linkedln revenue increased 11% </w:t>
            </w:r>
          </w:p>
        </w:tc>
      </w:tr>
    </w:tbl>
    <w:p>
      <w:pPr>
        <w:pStyle w:val="TextBody"/>
        <w:bidi w:val="0"/>
        <w:spacing w:before="0" w:after="0"/>
        <w:jc w:val="left"/>
        <w:rPr>
          <w:bdr w:val="single" w:sz="48" w:space="1" w:color="0075C9"/>
        </w:rPr>
      </w:pPr>
      <w:r>
        <w:rPr>
          <w:bdr w:val="single" w:sz="48" w:space="1" w:color="0075C9"/>
        </w:rPr>
        <w:t> </w:t>
      </w:r>
    </w:p>
    <w:tbl>
      <w:tblPr>
        <w:tblW w:w="3430" w:type="dxa"/>
        <w:jc w:val="left"/>
        <w:tblInd w:w="0" w:type="dxa"/>
        <w:tblLayout w:type="fixed"/>
        <w:tblCellMar>
          <w:top w:w="0" w:type="dxa"/>
          <w:left w:w="0" w:type="dxa"/>
          <w:bottom w:w="0" w:type="dxa"/>
          <w:right w:w="0" w:type="dxa"/>
        </w:tblCellMar>
      </w:tblPr>
      <w:tblGrid>
        <w:gridCol w:w="125"/>
        <w:gridCol w:w="60"/>
        <w:gridCol w:w="32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Arial" w:hAnsi="Arial"/>
                <w:sz w:val="18"/>
              </w:rPr>
            </w:pPr>
            <w:r>
              <w:rPr>
                <w:rFonts w:ascii="Arial" w:hAnsi="Arial"/>
                <w:sz w:val="18"/>
              </w:rPr>
              <w:t xml:space="preserve">Dynamics 365 revenue increased 18% </w:t>
            </w:r>
          </w:p>
        </w:tc>
      </w:tr>
    </w:tbl>
    <w:p>
      <w:pPr>
        <w:pStyle w:val="TextBody"/>
        <w:bidi w:val="0"/>
        <w:spacing w:before="0" w:after="0"/>
        <w:jc w:val="left"/>
        <w:rPr>
          <w:bdr w:val="single" w:sz="48" w:space="1" w:color="0075C9"/>
        </w:rPr>
      </w:pPr>
      <w:r>
        <w:rPr>
          <w:bdr w:val="single" w:sz="48" w:space="1" w:color="0075C9"/>
        </w:rPr>
        <w:t> </w:t>
      </w:r>
    </w:p>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sz w:val="18"/>
              </w:rPr>
            </w:pPr>
            <w:r>
              <w:rPr>
                <w:rFonts w:ascii="Arial" w:hAnsi="Arial"/>
                <w:sz w:val="18"/>
              </w:rPr>
              <w:t xml:space="preserve">Azure and other cloud services revenue increased 41% </w:t>
            </w:r>
          </w:p>
        </w:tc>
      </w:tr>
    </w:tbl>
    <w:p>
      <w:pPr>
        <w:pStyle w:val="TextBody"/>
        <w:bidi w:val="0"/>
        <w:spacing w:before="0" w:after="0"/>
        <w:jc w:val="left"/>
        <w:rPr>
          <w:bdr w:val="single" w:sz="48" w:space="1" w:color="0075C9"/>
        </w:rPr>
      </w:pPr>
      <w:r>
        <w:rPr>
          <w:bdr w:val="single" w:sz="48" w:space="1" w:color="0075C9"/>
        </w:rPr>
        <w:t> </w:t>
      </w:r>
    </w:p>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sz w:val="18"/>
              </w:rPr>
            </w:pPr>
            <w:r>
              <w:rPr>
                <w:rFonts w:ascii="Arial" w:hAnsi="Arial"/>
                <w:sz w:val="18"/>
              </w:rPr>
              <w:t xml:space="preserve">Windows OEM and Devices revenue decreased slightly </w:t>
            </w:r>
          </w:p>
        </w:tc>
      </w:tr>
    </w:tbl>
    <w:p>
      <w:pPr>
        <w:pStyle w:val="TextBody"/>
        <w:bidi w:val="0"/>
        <w:spacing w:before="0" w:after="0"/>
        <w:jc w:val="left"/>
        <w:rPr>
          <w:bdr w:val="single" w:sz="48" w:space="1" w:color="0075C9"/>
        </w:rPr>
      </w:pPr>
      <w:r>
        <w:rPr>
          <w:bdr w:val="single" w:sz="48" w:space="1" w:color="0075C9"/>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Arial" w:hAnsi="Arial"/>
                <w:sz w:val="18"/>
              </w:rPr>
            </w:pPr>
            <w:r>
              <w:rPr>
                <w:rFonts w:ascii="Arial" w:hAnsi="Arial"/>
                <w:sz w:val="18"/>
              </w:rPr>
              <w:t xml:space="preserve">XBOX content and services revenue decreased 5% </w:t>
            </w:r>
          </w:p>
        </w:tc>
      </w:tr>
    </w:tbl>
    <w:p>
      <w:pPr>
        <w:pStyle w:val="TextBody"/>
        <w:bidi w:val="0"/>
        <w:spacing w:before="0" w:after="0"/>
        <w:jc w:val="left"/>
        <w:rPr>
          <w:bdr w:val="single" w:sz="48" w:space="1" w:color="0075C9"/>
        </w:rPr>
      </w:pPr>
      <w:r>
        <w:rPr>
          <w:bdr w:val="single" w:sz="48" w:space="1" w:color="0075C9"/>
        </w:rPr>
        <w:t> </w:t>
      </w:r>
    </w:p>
    <w:tbl>
      <w:tblPr>
        <w:tblW w:w="9745" w:type="dxa"/>
        <w:jc w:val="left"/>
        <w:tblInd w:w="0" w:type="dxa"/>
        <w:tblLayout w:type="fixed"/>
        <w:tblCellMar>
          <w:top w:w="0" w:type="dxa"/>
          <w:left w:w="0" w:type="dxa"/>
          <w:bottom w:w="0" w:type="dxa"/>
          <w:right w:w="0" w:type="dxa"/>
        </w:tblCellMar>
      </w:tblPr>
      <w:tblGrid>
        <w:gridCol w:w="125"/>
        <w:gridCol w:w="60"/>
        <w:gridCol w:w="95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18"/>
              </w:rPr>
            </w:pPr>
            <w:r>
              <w:rPr>
                <w:rFonts w:ascii="Arial" w:hAnsi="Arial"/>
                <w:sz w:val="18"/>
              </w:rPr>
              <w:t xml:space="preserve">Search advertising (formerly Search and news advertising) revenue excluding traffic acquisition costs increased 12% </w:t>
            </w:r>
          </w:p>
        </w:tc>
      </w:tr>
    </w:tbl>
    <w:p>
      <w:pPr>
        <w:pStyle w:val="TextBody"/>
        <w:bidi w:val="0"/>
        <w:spacing w:before="240" w:after="0"/>
        <w:jc w:val="left"/>
        <w:rPr>
          <w:rFonts w:ascii="Arial" w:hAnsi="Arial"/>
          <w:sz w:val="18"/>
          <w:bdr w:val="single" w:sz="48" w:space="1" w:color="0075C9"/>
        </w:rPr>
      </w:pPr>
      <w:r>
        <w:rPr>
          <w:rFonts w:ascii="Arial" w:hAnsi="Arial"/>
          <w:sz w:val="18"/>
          <w:bdr w:val="single" w:sz="48" w:space="1" w:color="0075C9"/>
        </w:rPr>
        <w:t xml:space="preserve">More information regarding our fiscal year 2026 key performance metrics and their definitions is available in our Form 10-K for the fiscal year ended June 30, 2026. </w:t>
      </w:r>
    </w:p>
    <w:p>
      <w:pPr>
        <w:pStyle w:val="TextBody"/>
        <w:bidi w:val="0"/>
        <w:spacing w:before="0" w:after="0"/>
        <w:jc w:val="left"/>
        <w:rPr/>
      </w:pPr>
      <w:r>
        <w:rPr/>
        <w:t> </w:t>
      </w:r>
    </w:p>
    <w:tbl>
      <w:tblPr>
        <w:tblW w:w="1235" w:type="dxa"/>
        <w:jc w:val="left"/>
        <w:tblInd w:w="0" w:type="dxa"/>
        <w:tblLayout w:type="fixed"/>
        <w:tblCellMar>
          <w:top w:w="0" w:type="dxa"/>
          <w:left w:w="0" w:type="dxa"/>
          <w:bottom w:w="0" w:type="dxa"/>
          <w:right w:w="0" w:type="dxa"/>
        </w:tblCellMar>
      </w:tblPr>
      <w:tblGrid>
        <w:gridCol w:w="155"/>
        <w:gridCol w:w="120"/>
        <w:gridCol w:w="960"/>
      </w:tblGrid>
      <w:tr>
        <w:trPr/>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5C9"/>
              </w:rPr>
            </w:pPr>
            <w:r>
              <w:rPr>
                <w:b/>
                <w:color w:val="0075C9"/>
              </w:rPr>
              <w:t>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color w:val="0075C9"/>
          <w:sz w:val="28"/>
          <w:bdr w:val="single" w:sz="48" w:space="1" w:color="0075C9"/>
        </w:rPr>
      </w:pPr>
      <w:r>
        <w:rPr>
          <w:rFonts w:ascii="Arial" w:hAnsi="Arial"/>
          <w:b/>
          <w:color w:val="0075C9"/>
          <w:sz w:val="28"/>
          <w:bdr w:val="single" w:sz="48" w:space="1" w:color="0075C9"/>
        </w:rPr>
        <w:t xml:space="preserve">Governance and Board Best Practices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Our mission to empower every person and every organization on the planet to achieve more is ambitious, and we cannot fulfill it with a narrow or short-term focus. Our adoption of leading governance practices fosters our sustained business success over the long term. Strong corporate governance, informed by participation from our shareholders, is essential to achieving our mission. The Lead Independent Director and Compensation Committee chair have ongoing consultations on governance and executive compensation topics with a cross-section of Microsoft’s large institutional investors. </w:t>
      </w:r>
    </w:p>
    <w:p>
      <w:pPr>
        <w:pStyle w:val="TextBody"/>
        <w:bidi w:val="0"/>
        <w:spacing w:before="120" w:after="0"/>
        <w:jc w:val="left"/>
        <w:rPr>
          <w:rFonts w:ascii="Arial" w:hAnsi="Arial"/>
          <w:sz w:val="18"/>
          <w:bdr w:val="single" w:sz="48" w:space="1" w:color="0075C9"/>
        </w:rPr>
      </w:pPr>
      <w:r>
        <w:rPr>
          <w:rFonts w:ascii="Arial" w:hAnsi="Arial"/>
          <w:sz w:val="18"/>
          <w:bdr w:val="single" w:sz="48" w:space="1" w:color="0075C9"/>
        </w:rPr>
        <w:t xml:space="preserve">Our Board believes that having a diverse mix of directors with complementary qualifications, expertise, and perspectives is essential to meeting its oversight responsibility. Of our 12 Board nominees, 11 are independent. Having an independent Board is a core element of our governance philosophy. For a comprehensive discussion of our director nominees’ qualifications and expertise, please see Part 1 – Board of Directors and Governance – Board Composition. </w:t>
      </w:r>
    </w:p>
    <w:p>
      <w:pPr>
        <w:pStyle w:val="TextBody"/>
        <w:bidi w:val="0"/>
        <w:spacing w:before="240" w:after="0"/>
        <w:jc w:val="center"/>
        <w:rPr>
          <w:rFonts w:ascii="Arial" w:hAnsi="Arial"/>
          <w:b/>
          <w:sz w:val="24"/>
          <w:bdr w:val="single" w:sz="48" w:space="1" w:color="0075C9"/>
        </w:rPr>
      </w:pPr>
      <w:r>
        <w:rPr>
          <w:rFonts w:ascii="Arial" w:hAnsi="Arial"/>
          <w:b/>
          <w:sz w:val="24"/>
          <w:bdr w:val="single" w:sz="48" w:space="1" w:color="0075C9"/>
        </w:rPr>
        <w:t xml:space="preserve">Board Nominee Demographics </w: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center"/>
        <w:rPr>
          <w:bdr w:val="single" w:sz="48" w:space="1" w:color="0075C9"/>
        </w:rPr>
      </w:pPr>
      <w:r>
        <w:rPr>
          <w:bdr w:val="single" w:sz="48" w:space="1" w:color="0075C9"/>
        </w:rPr>
        <w:drawing>
          <wp:inline distT="0" distB="0" distL="0" distR="0">
            <wp:extent cx="6139815" cy="53403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6139815" cy="534035"/>
                    </a:xfrm>
                    <a:prstGeom prst="rect">
                      <a:avLst/>
                    </a:prstGeom>
                  </pic:spPr>
                </pic:pic>
              </a:graphicData>
            </a:graphic>
          </wp:inline>
        </w:drawing>
      </w:r>
      <w:r>
        <w:rPr>
          <w:bdr w:val="single" w:sz="48" w:space="1" w:color="0075C9"/>
        </w:rPr>
        <w:t xml:space="preserve"> </w:t>
      </w:r>
    </w:p>
    <w:p>
      <w:pPr>
        <w:pStyle w:val="TextBody"/>
        <w:bidi w:val="0"/>
        <w:spacing w:before="240" w:after="0"/>
        <w:jc w:val="center"/>
        <w:rPr>
          <w:rFonts w:ascii="Arial" w:hAnsi="Arial"/>
          <w:b/>
          <w:sz w:val="24"/>
          <w:bdr w:val="single" w:sz="48" w:space="1" w:color="0075C9"/>
        </w:rPr>
      </w:pPr>
      <w:r>
        <w:rPr>
          <w:rFonts w:ascii="Arial" w:hAnsi="Arial"/>
          <w:b/>
          <w:sz w:val="24"/>
          <w:bdr w:val="single" w:sz="48" w:space="1" w:color="0075C9"/>
        </w:rPr>
        <w:t xml:space="preserve">Independent, Effective Board Oversight </w:t>
      </w:r>
    </w:p>
    <w:p>
      <w:pPr>
        <w:pStyle w:val="TextBody"/>
        <w:bidi w:val="0"/>
        <w:spacing w:before="0" w:after="0"/>
        <w:jc w:val="left"/>
        <w:rPr>
          <w:bdr w:val="single" w:sz="48" w:space="1" w:color="0075C9"/>
        </w:rPr>
      </w:pPr>
      <w:r>
        <w:rPr>
          <w:bdr w:val="single" w:sz="48" w:space="1" w:color="0075C9"/>
        </w:rPr>
        <w:t> </w:t>
      </w:r>
    </w:p>
    <w:p>
      <w:pPr>
        <w:pStyle w:val="TextBody"/>
        <w:bidi w:val="0"/>
        <w:jc w:val="left"/>
        <w:rPr>
          <w:bdr w:val="single" w:sz="48" w:space="1" w:color="0075C9"/>
        </w:rPr>
      </w:pPr>
      <w:r>
        <w:rPr>
          <w:bdr w:val="single" w:sz="48" w:space="1" w:color="0075C9"/>
        </w:rPr>
        <w:t>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110230" cy="3176905"/>
                <wp:effectExtent l="0" t="0" r="0" b="0"/>
                <wp:wrapSquare wrapText="right"/>
                <wp:docPr id="25" name="Frame3"/>
                <a:graphic xmlns:a="http://schemas.openxmlformats.org/drawingml/2006/main">
                  <a:graphicData uri="http://schemas.microsoft.com/office/word/2010/wordprocessingShape">
                    <wps:wsp>
                      <wps:cNvSpPr txBox="1"/>
                      <wps:spPr>
                        <a:xfrm>
                          <a:off x="0" y="0"/>
                          <a:ext cx="3110230" cy="3176905"/>
                        </a:xfrm>
                        <a:prstGeom prst="rect"/>
                        <a:solidFill>
                          <a:srgbClr val="FFFFFF"/>
                        </a:solidFill>
                      </wps:spPr>
                      <wps:txbx>
                        <w:txbxContent>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Lead Independent Director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125"/>
                              <w:gridCol w:w="60"/>
                              <w:gridCol w:w="4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11 of 12 director nominees are independent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25"/>
                              <w:gridCol w:w="60"/>
                              <w:gridCol w:w="49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 xml:space="preserve">All committee chairs and members are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Board-adopted refreshment commitment to maintain an average tenure of 10 years or less for its independent directors as a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The Board is committed to actively seeking highly qualified women and individuals from minority groups to include in the pool of potential Board nominees and CEO candidates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0.1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830" w:type="dxa"/>
                        <w:jc w:val="left"/>
                        <w:tblInd w:w="0" w:type="dxa"/>
                        <w:tblLayout w:type="fixed"/>
                        <w:tblCellMar>
                          <w:top w:w="0" w:type="dxa"/>
                          <w:left w:w="0" w:type="dxa"/>
                          <w:bottom w:w="0" w:type="dxa"/>
                          <w:right w:w="0" w:type="dxa"/>
                        </w:tblCellMar>
                      </w:tblPr>
                      <w:tblGrid>
                        <w:gridCol w:w="125"/>
                        <w:gridCol w:w="60"/>
                        <w:gridCol w:w="26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Lead Independent Director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125"/>
                        <w:gridCol w:w="60"/>
                        <w:gridCol w:w="4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11 of 12 director nominees are independent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25"/>
                        <w:gridCol w:w="60"/>
                        <w:gridCol w:w="49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 xml:space="preserve">All committee chairs and members are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Board-adopted refreshment commitment to maintain an average tenure of 10 years or less for its independent directors as a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The Board is committed to actively seeking highly qualified women and individuals from minority groups to include in the pool of potential Board nominees and CEO candidates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3175000" cy="2997200"/>
                <wp:effectExtent l="0" t="0" r="0" b="0"/>
                <wp:wrapSquare wrapText="right"/>
                <wp:docPr id="26" name="Frame4"/>
                <a:graphic xmlns:a="http://schemas.openxmlformats.org/drawingml/2006/main">
                  <a:graphicData uri="http://schemas.microsoft.com/office/word/2010/wordprocessingShape">
                    <wps:wsp>
                      <wps:cNvSpPr txBox="1"/>
                      <wps:spPr>
                        <a:xfrm>
                          <a:off x="0" y="0"/>
                          <a:ext cx="3175000" cy="2997200"/>
                        </a:xfrm>
                        <a:prstGeom prst="rect"/>
                        <a:solidFill>
                          <a:srgbClr val="FFFFFF"/>
                        </a:solidFill>
                      </wps:spPr>
                      <wps:txbx>
                        <w:txbxContent>
                          <w:tbl>
                            <w:tblPr>
                              <w:tblW w:w="7450" w:type="dxa"/>
                              <w:jc w:val="left"/>
                              <w:tblInd w:w="0" w:type="dxa"/>
                              <w:tblLayout w:type="fixed"/>
                              <w:tblCellMar>
                                <w:top w:w="0" w:type="dxa"/>
                                <w:left w:w="0" w:type="dxa"/>
                                <w:bottom w:w="0" w:type="dxa"/>
                                <w:right w:w="0" w:type="dxa"/>
                              </w:tblCellMar>
                            </w:tblPr>
                            <w:tblGrid>
                              <w:gridCol w:w="125"/>
                              <w:gridCol w:w="60"/>
                              <w:gridCol w:w="72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xml:space="preserve">Executive sessions provided for all quarterly Board and committee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Annual Board and committee evaluations, periodically using a third-party facilitator to conduct the evaluations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125"/>
                              <w:gridCol w:w="60"/>
                              <w:gridCol w:w="7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 xml:space="preserve">Director orientation and continuing education and strategy programs for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All current Audit and Finance Committee members meet the Nasdaq Stock Market LLC listing standard of financial sophistication, and five members are “audit committee financial experts” under the Securities and Exchange Commission rules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450" w:type="dxa"/>
                        <w:jc w:val="left"/>
                        <w:tblInd w:w="0" w:type="dxa"/>
                        <w:tblLayout w:type="fixed"/>
                        <w:tblCellMar>
                          <w:top w:w="0" w:type="dxa"/>
                          <w:left w:w="0" w:type="dxa"/>
                          <w:bottom w:w="0" w:type="dxa"/>
                          <w:right w:w="0" w:type="dxa"/>
                        </w:tblCellMar>
                      </w:tblPr>
                      <w:tblGrid>
                        <w:gridCol w:w="125"/>
                        <w:gridCol w:w="60"/>
                        <w:gridCol w:w="72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left"/>
                              <w:rPr/>
                            </w:pPr>
                            <w:r>
                              <w:rPr/>
                              <w:t xml:space="preserve">Executive sessions provided for all quarterly Board and committee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Annual Board and committee evaluations, periodically using a third-party facilitator to conduct the evaluations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125"/>
                        <w:gridCol w:w="60"/>
                        <w:gridCol w:w="7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 xml:space="preserve">Director orientation and continuing education and strategy programs for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xml:space="preserve">All current Audit and Finance Committee members meet the Nasdaq Stock Market LLC listing standard of financial sophistication, and five members are “audit committee financial experts” under the Securities and Exchange Commission rules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center"/>
        <w:rPr>
          <w:rFonts w:ascii="Arial" w:hAnsi="Arial"/>
          <w:b/>
          <w:sz w:val="24"/>
          <w:bdr w:val="single" w:sz="48" w:space="1" w:color="0075C9"/>
        </w:rPr>
      </w:pPr>
      <w:r>
        <w:rPr>
          <w:rFonts w:ascii="Arial" w:hAnsi="Arial"/>
          <w:b/>
          <w:sz w:val="24"/>
          <w:bdr w:val="single" w:sz="48" w:space="1" w:color="0075C9"/>
        </w:rPr>
        <w:t xml:space="preserve">Shareholder Rights </w:t>
      </w:r>
    </w:p>
    <w:p>
      <w:pPr>
        <w:pStyle w:val="TextBody"/>
        <w:bidi w:val="0"/>
        <w:spacing w:before="0" w:after="0"/>
        <w:jc w:val="left"/>
        <w:rPr>
          <w:bdr w:val="single" w:sz="48" w:space="1" w:color="0075C9"/>
        </w:rPr>
      </w:pPr>
      <w:r>
        <w:rPr>
          <w:bdr w:val="single" w:sz="48" w:space="1" w:color="0075C9"/>
        </w:rPr>
        <w:t> </w:t>
      </w:r>
    </w:p>
    <w:p>
      <w:pPr>
        <w:pStyle w:val="TextBody"/>
        <w:bidi w:val="0"/>
        <w:jc w:val="left"/>
        <w:rPr>
          <w:bdr w:val="single" w:sz="48" w:space="1" w:color="0075C9"/>
        </w:rPr>
      </w:pPr>
      <w:r>
        <w:rPr>
          <w:bdr w:val="single" w:sz="48" w:space="1" w:color="0075C9"/>
        </w:rPr>
        <w:t>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10230" cy="1941195"/>
                <wp:effectExtent l="0" t="0" r="0" b="0"/>
                <wp:wrapSquare wrapText="right"/>
                <wp:docPr id="27" name="Frame5"/>
                <a:graphic xmlns:a="http://schemas.openxmlformats.org/drawingml/2006/main">
                  <a:graphicData uri="http://schemas.microsoft.com/office/word/2010/wordprocessingShape">
                    <wps:wsp>
                      <wps:cNvSpPr txBox="1"/>
                      <wps:spPr>
                        <a:xfrm>
                          <a:off x="0" y="0"/>
                          <a:ext cx="3110230" cy="1941195"/>
                        </a:xfrm>
                        <a:prstGeom prst="rect"/>
                        <a:solidFill>
                          <a:srgbClr val="FFFFFF"/>
                        </a:solidFill>
                      </wps:spPr>
                      <wps:txbx>
                        <w:txbxContent>
                          <w:tbl>
                            <w:tblPr>
                              <w:tblW w:w="4495" w:type="dxa"/>
                              <w:jc w:val="left"/>
                              <w:tblInd w:w="0" w:type="dxa"/>
                              <w:tblLayout w:type="fixed"/>
                              <w:tblCellMar>
                                <w:top w:w="0" w:type="dxa"/>
                                <w:left w:w="0" w:type="dxa"/>
                                <w:bottom w:w="0" w:type="dxa"/>
                                <w:right w:w="0" w:type="dxa"/>
                              </w:tblCellMar>
                            </w:tblPr>
                            <w:tblGrid>
                              <w:gridCol w:w="125"/>
                              <w:gridCol w:w="60"/>
                              <w:gridCol w:w="4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xml:space="preserve">Single class of stock with equal voting rights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25"/>
                              <w:gridCol w:w="60"/>
                              <w:gridCol w:w="3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xml:space="preserve">All directors are elected annually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25"/>
                              <w:gridCol w:w="60"/>
                              <w:gridCol w:w="5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xml:space="preserve">Directors are elected by majority vote in uncontested elections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495" w:type="dxa"/>
                        <w:jc w:val="left"/>
                        <w:tblInd w:w="0" w:type="dxa"/>
                        <w:tblLayout w:type="fixed"/>
                        <w:tblCellMar>
                          <w:top w:w="0" w:type="dxa"/>
                          <w:left w:w="0" w:type="dxa"/>
                          <w:bottom w:w="0" w:type="dxa"/>
                          <w:right w:w="0" w:type="dxa"/>
                        </w:tblCellMar>
                      </w:tblPr>
                      <w:tblGrid>
                        <w:gridCol w:w="125"/>
                        <w:gridCol w:w="60"/>
                        <w:gridCol w:w="43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xml:space="preserve">Single class of stock with equal voting rights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25"/>
                        <w:gridCol w:w="60"/>
                        <w:gridCol w:w="3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xml:space="preserve">All directors are elected annually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25"/>
                        <w:gridCol w:w="60"/>
                        <w:gridCol w:w="5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xml:space="preserve">Directors are elected by majority vote in uncontested elections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175000" cy="1765935"/>
                <wp:effectExtent l="0" t="0" r="0" b="0"/>
                <wp:wrapSquare wrapText="right"/>
                <wp:docPr id="28" name="Frame6"/>
                <a:graphic xmlns:a="http://schemas.openxmlformats.org/drawingml/2006/main">
                  <a:graphicData uri="http://schemas.microsoft.com/office/word/2010/wordprocessingShape">
                    <wps:wsp>
                      <wps:cNvSpPr txBox="1"/>
                      <wps:spPr>
                        <a:xfrm>
                          <a:off x="0" y="0"/>
                          <a:ext cx="3175000" cy="1765935"/>
                        </a:xfrm>
                        <a:prstGeom prst="rect"/>
                        <a:solidFill>
                          <a:srgbClr val="FFFFFF"/>
                        </a:solidFill>
                      </wps:spPr>
                      <wps:txbx>
                        <w:txbxContent>
                          <w:tbl>
                            <w:tblPr>
                              <w:tblW w:w="2755" w:type="dxa"/>
                              <w:jc w:val="left"/>
                              <w:tblInd w:w="0" w:type="dxa"/>
                              <w:tblLayout w:type="fixed"/>
                              <w:tblCellMar>
                                <w:top w:w="0" w:type="dxa"/>
                                <w:left w:w="0" w:type="dxa"/>
                                <w:bottom w:w="0" w:type="dxa"/>
                                <w:right w:w="0" w:type="dxa"/>
                              </w:tblCellMar>
                            </w:tblPr>
                            <w:tblGrid>
                              <w:gridCol w:w="125"/>
                              <w:gridCol w:w="60"/>
                              <w:gridCol w:w="25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xml:space="preserve">Confidential voting policy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5"/>
                              <w:gridCol w:w="60"/>
                              <w:gridCol w:w="5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xml:space="preserve">15% of outstanding shares can call a special meeting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125"/>
                              <w:gridCol w:w="60"/>
                              <w:gridCol w:w="53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xml:space="preserve">Our Bylaws provide for “proxy access” by shareholders </w:t>
                                  </w:r>
                                </w:p>
                              </w:tc>
                            </w:tr>
                          </w:tbl>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9.0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2755" w:type="dxa"/>
                        <w:jc w:val="left"/>
                        <w:tblInd w:w="0" w:type="dxa"/>
                        <w:tblLayout w:type="fixed"/>
                        <w:tblCellMar>
                          <w:top w:w="0" w:type="dxa"/>
                          <w:left w:w="0" w:type="dxa"/>
                          <w:bottom w:w="0" w:type="dxa"/>
                          <w:right w:w="0" w:type="dxa"/>
                        </w:tblCellMar>
                      </w:tblPr>
                      <w:tblGrid>
                        <w:gridCol w:w="125"/>
                        <w:gridCol w:w="60"/>
                        <w:gridCol w:w="25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 xml:space="preserve">Confidential voting policy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5"/>
                        <w:gridCol w:w="60"/>
                        <w:gridCol w:w="50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xml:space="preserve">15% of outstanding shares can call a special meeting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125"/>
                        <w:gridCol w:w="60"/>
                        <w:gridCol w:w="53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left"/>
                              <w:rPr/>
                            </w:pPr>
                            <w:r>
                              <w:rPr/>
                              <w:t xml:space="preserve">Our Bylaws provide for “proxy access” by shareholders </w:t>
                            </w:r>
                          </w:p>
                        </w:tc>
                      </w:tr>
                    </w:tbl>
                    <w:p>
                      <w:pPr>
                        <w:pStyle w:val="TextBody"/>
                        <w:bidi w:val="0"/>
                        <w:spacing w:before="0" w:after="0"/>
                        <w:jc w:val="left"/>
                        <w:rPr/>
                      </w:pPr>
                      <w:r>
                        <w:rPr/>
                        <w:t xml:space="preserve">  </w:t>
                      </w:r>
                    </w:p>
                  </w:txbxContent>
                </v:textbox>
                <w10:wrap type="square" side="right"/>
              </v:rect>
            </w:pict>
          </mc:Fallback>
        </mc:AlternateContent>
      </w:r>
    </w:p>
    <w:p>
      <w:pPr>
        <w:pStyle w:val="TextBody"/>
        <w:bidi w:val="0"/>
        <w:spacing w:before="0" w:after="0"/>
        <w:jc w:val="left"/>
        <w:rPr>
          <w:bdr w:val="single" w:sz="48" w:space="1" w:color="0075C9"/>
        </w:rPr>
      </w:pPr>
      <w:r>
        <w:rPr>
          <w:bdr w:val="single" w:sz="48" w:space="1" w:color="0075C9"/>
        </w:rPr>
        <w:t> </w:t>
      </w:r>
    </w:p>
    <w:p>
      <w:pPr>
        <w:pStyle w:val="TextBody"/>
        <w:bidi w:val="0"/>
        <w:spacing w:before="0" w:after="0"/>
        <w:jc w:val="left"/>
        <w:rPr>
          <w:rFonts w:ascii="Arial" w:hAnsi="Arial"/>
          <w:b/>
          <w:sz w:val="18"/>
          <w:bdr w:val="single" w:sz="48" w:space="1" w:color="0075C9"/>
        </w:rPr>
      </w:pPr>
      <w:r>
        <w:rPr>
          <w:rFonts w:ascii="Arial" w:hAnsi="Arial"/>
          <w:b/>
          <w:sz w:val="18"/>
          <w:bdr w:val="single" w:sz="48" w:space="1" w:color="0075C9"/>
        </w:rPr>
        <w:t xml:space="preserve">See Part 1 – Board of Directors and Governance and Part 5 – Information About the Meeting for more information.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045"/>
        <w:gridCol w:w="60"/>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color w:val="0075C9"/>
              </w:rPr>
            </w:pPr>
            <w:r>
              <w:rPr>
                <w:b/>
                <w:color w:val="0075C9"/>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bookmarkStart w:id="4" w:name="toc61756_2"/>
            <w:bookmarkEnd w:id="4"/>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50"/>
        </w:rPr>
      </w:pPr>
      <w:r>
        <w:rPr>
          <w:rFonts w:ascii="Arial" w:hAnsi="Arial"/>
          <w:b/>
          <w:sz w:val="50"/>
        </w:rPr>
        <w:t xml:space="preserve">1. Board of Directors and Governance </w:t>
      </w:r>
    </w:p>
    <w:p>
      <w:pPr>
        <w:pStyle w:val="TextBody"/>
        <w:bidi w:val="0"/>
        <w:spacing w:before="240" w:after="0"/>
        <w:jc w:val="left"/>
        <w:rPr>
          <w:rFonts w:ascii="Arial" w:hAnsi="Arial"/>
          <w:sz w:val="18"/>
        </w:rPr>
      </w:pPr>
      <w:r>
        <w:rPr>
          <w:rFonts w:ascii="Arial" w:hAnsi="Arial"/>
          <w:sz w:val="18"/>
        </w:rPr>
        <w:t xml:space="preserve">Microsoft’s leadership in the artificial intelligence (“AI”) era depends not only on innovation, but also on earning and sustaining trust. As the Company develops and deploys technologies that are central to the way people and organizations work, communicate, and create, the Board believes that strong governance, effective oversight, and accountability are essential to long-term success. The Board remains focused on advancing Microsoft’s mission and strategic priorities in ways that sustain the trust placed in the Company by customers, partners, shareholders, and society. </w:t>
      </w:r>
    </w:p>
    <w:p>
      <w:pPr>
        <w:pStyle w:val="TextBody"/>
        <w:bidi w:val="0"/>
        <w:spacing w:before="120" w:after="0"/>
        <w:jc w:val="left"/>
        <w:rPr>
          <w:rFonts w:ascii="Arial" w:hAnsi="Arial"/>
          <w:sz w:val="18"/>
        </w:rPr>
      </w:pPr>
      <w:r>
        <w:rPr>
          <w:rFonts w:ascii="Arial" w:hAnsi="Arial"/>
          <w:sz w:val="18"/>
        </w:rPr>
        <w:t xml:space="preserve">Microsoft seeks to earn and maintain trust through responsible innovation, principled business practices, and transparency. As Microsoft develops and deploys technologies that increasingly shape how people and organizations work, communicate, and create, the Company remains committed to the responsible use of AI, protecting privacy, and advancing digital safety and cybersecurity. These commitments are supported by Microsoft’s longstanding culture of integrity and accountability, which is reflected in the Microsoft Standards of Business Conduct (our “Trust Code”), available at </w:t>
      </w:r>
      <w:r>
        <w:rPr>
          <w:rFonts w:ascii="Arial" w:hAnsi="Arial"/>
          <w:sz w:val="18"/>
          <w:u w:val="single"/>
        </w:rPr>
        <w:t>aka.ms/policiesandguidelines</w:t>
      </w:r>
      <w:r>
        <w:rPr>
          <w:rFonts w:ascii="Arial" w:hAnsi="Arial"/>
          <w:sz w:val="18"/>
        </w:rPr>
        <w:t xml:space="preserve">, and applies to our employees, executive officers, and members of the Board. We further strengthen accountability through comprehensive public reporting on our policies, practices, and performance, providing stakeholders visibility into how we are meeting our commitments and responsibilities. Our Reports Hub, available at </w:t>
      </w:r>
      <w:r>
        <w:rPr>
          <w:rFonts w:ascii="Arial" w:hAnsi="Arial"/>
          <w:sz w:val="18"/>
          <w:u w:val="single"/>
        </w:rPr>
        <w:t>microsoft.com/transparency</w:t>
      </w:r>
      <w:r>
        <w:rPr>
          <w:rFonts w:ascii="Arial" w:hAnsi="Arial"/>
          <w:sz w:val="18"/>
        </w:rPr>
        <w:t xml:space="preserve">, offers a centralized view of reporting across a wide range of topics, including environmental sustainability, human rights, and political engagement.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5" w:name="toc61756_3"/>
      <w:bookmarkEnd w:id="5"/>
      <w:r>
        <w:rPr>
          <w:rFonts w:ascii="Arial" w:hAnsi="Arial"/>
          <w:b/>
          <w:color w:val="0075C9"/>
          <w:sz w:val="28"/>
        </w:rPr>
        <w:t xml:space="preserve">Board of Directors Stewardship </w:t>
      </w:r>
    </w:p>
    <w:p>
      <w:pPr>
        <w:pStyle w:val="TextBody"/>
        <w:bidi w:val="0"/>
        <w:spacing w:before="120" w:after="0"/>
        <w:jc w:val="left"/>
        <w:rPr>
          <w:rFonts w:ascii="Arial" w:hAnsi="Arial"/>
          <w:sz w:val="18"/>
        </w:rPr>
      </w:pPr>
      <w:r>
        <w:rPr>
          <w:rFonts w:ascii="Arial" w:hAnsi="Arial"/>
          <w:sz w:val="18"/>
        </w:rPr>
        <w:t xml:space="preserve">Shareholders elect our Board to serve their long-term interests and to oversee management. Our Board and its committees work closely with management to provide oversight, review, and counsel related to long-term strategy, risks and opportunities, and feedback from shareholders. </w:t>
      </w:r>
    </w:p>
    <w:p>
      <w:pPr>
        <w:pStyle w:val="TextBody"/>
        <w:bidi w:val="0"/>
        <w:spacing w:before="240" w:after="0"/>
        <w:jc w:val="left"/>
        <w:rPr>
          <w:rFonts w:ascii="Arial" w:hAnsi="Arial"/>
          <w:b/>
          <w:sz w:val="24"/>
        </w:rPr>
      </w:pPr>
      <w:r>
        <w:rPr>
          <w:rFonts w:ascii="Arial" w:hAnsi="Arial"/>
          <w:b/>
          <w:sz w:val="24"/>
        </w:rPr>
        <w:t xml:space="preserve">Strategy </w:t>
      </w:r>
    </w:p>
    <w:p>
      <w:pPr>
        <w:pStyle w:val="TextBody"/>
        <w:bidi w:val="0"/>
        <w:spacing w:before="120" w:after="0"/>
        <w:jc w:val="left"/>
        <w:rPr>
          <w:rFonts w:ascii="Arial" w:hAnsi="Arial"/>
          <w:sz w:val="18"/>
        </w:rPr>
      </w:pPr>
      <w:r>
        <w:rPr>
          <w:rFonts w:ascii="Arial" w:hAnsi="Arial"/>
          <w:sz w:val="18"/>
        </w:rPr>
        <w:t xml:space="preserve">Led by our CEO, senior leadership develops and executes our business strategy. They manage our operations and work to model our desired culture, create innovative products, establish accountability, and control risk. Our CEO and senior leadership also align our structure, operations, people, policies, and compliance efforts to our mission, priorities, and culture. </w:t>
      </w:r>
    </w:p>
    <w:p>
      <w:pPr>
        <w:pStyle w:val="TextBody"/>
        <w:bidi w:val="0"/>
        <w:spacing w:before="120" w:after="0"/>
        <w:jc w:val="left"/>
        <w:rPr>
          <w:rFonts w:ascii="Arial" w:hAnsi="Arial"/>
          <w:sz w:val="18"/>
        </w:rPr>
      </w:pPr>
      <w:r>
        <w:rPr>
          <w:rFonts w:ascii="Arial" w:hAnsi="Arial"/>
          <w:sz w:val="18"/>
        </w:rPr>
        <w:t xml:space="preserve">One of our Board’s primary responsibilities is overseeing management’s development and execution of the Company’s strategy. The Board works closely with senior leadership to respond to a dynamic business environment. Management benefits from the insights and perspectives of a diverse mix of directors with complementary qualifications, expertise, and attributes. Senior leadership and other leaders from across the Company provide business and strategy updates to our Board through regular strategy-focused meetings. At meetings throughout the year, the Board also assesses the strategic alignment of the Company’s budget and capital plan, business initiatives, and its strategic acquisition and integration process. For major initiatives, such as our approaches to security, quality, and reliability, the Board engages with management on strategic vision, investments, partnerships, capital requirements, and risks. </w:t>
      </w:r>
    </w:p>
    <w:p>
      <w:pPr>
        <w:pStyle w:val="TextBody"/>
        <w:bidi w:val="0"/>
        <w:spacing w:before="240" w:after="0"/>
        <w:jc w:val="left"/>
        <w:rPr>
          <w:rFonts w:ascii="Arial" w:hAnsi="Arial"/>
          <w:b/>
          <w:sz w:val="24"/>
        </w:rPr>
      </w:pPr>
      <w:r>
        <w:rPr>
          <w:rFonts w:ascii="Arial" w:hAnsi="Arial"/>
          <w:b/>
          <w:sz w:val="24"/>
        </w:rPr>
        <w:t xml:space="preserve">Risk Oversight </w:t>
      </w:r>
    </w:p>
    <w:p>
      <w:pPr>
        <w:pStyle w:val="TextBody"/>
        <w:bidi w:val="0"/>
        <w:spacing w:before="120" w:after="0"/>
        <w:jc w:val="left"/>
        <w:rPr>
          <w:rFonts w:ascii="Arial" w:hAnsi="Arial"/>
          <w:sz w:val="18"/>
        </w:rPr>
      </w:pPr>
      <w:r>
        <w:rPr>
          <w:rFonts w:ascii="Arial" w:hAnsi="Arial"/>
          <w:sz w:val="18"/>
        </w:rPr>
        <w:t xml:space="preserve">Effective risk management is critical to Microsoft’s ability to achieve its mission. The Board exercises direct oversight of strategic risks to the Company and other risk areas not delegated to one of the Board’s committees. Our Board looks to the expertise of its committees to provide strategic oversight in their areas of focus. The committees are charged with specific areas of risk oversight and regularly report back to the full Board. </w:t>
      </w:r>
    </w:p>
    <w:p>
      <w:pPr>
        <w:pStyle w:val="TextBody"/>
        <w:bidi w:val="0"/>
        <w:spacing w:before="0" w:after="0"/>
        <w:jc w:val="left"/>
        <w:rPr/>
      </w:pPr>
      <w:r>
        <w:rPr/>
        <w:t> </w:t>
      </w:r>
    </w:p>
    <w:p>
      <w:pPr>
        <w:pStyle w:val="TextBody"/>
        <w:bidi w:val="0"/>
        <w:spacing w:before="0" w:after="0"/>
        <w:jc w:val="left"/>
        <w:rPr/>
      </w:pPr>
      <w:r>
        <w:rPr/>
        <w:t> </w:t>
      </w:r>
    </w:p>
    <w:tbl>
      <w:tblPr>
        <w:tblW w:w="1235" w:type="dxa"/>
        <w:jc w:val="left"/>
        <w:tblInd w:w="0" w:type="dxa"/>
        <w:tblLayout w:type="fixed"/>
        <w:tblCellMar>
          <w:top w:w="0" w:type="dxa"/>
          <w:left w:w="0" w:type="dxa"/>
          <w:bottom w:w="0" w:type="dxa"/>
          <w:right w:w="0" w:type="dxa"/>
        </w:tblCellMar>
      </w:tblPr>
      <w:tblGrid>
        <w:gridCol w:w="155"/>
        <w:gridCol w:w="120"/>
        <w:gridCol w:w="960"/>
      </w:tblGrid>
      <w:tr>
        <w:trPr/>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5C9"/>
              </w:rPr>
            </w:pPr>
            <w:r>
              <w:rPr>
                <w:b/>
                <w:color w:val="0075C9"/>
              </w:rPr>
              <w:t>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The Board of Directors </w:t>
      </w:r>
    </w:p>
    <w:p>
      <w:pPr>
        <w:pStyle w:val="TextBody"/>
        <w:bidi w:val="0"/>
        <w:spacing w:before="120" w:after="0"/>
        <w:jc w:val="left"/>
        <w:rPr>
          <w:rFonts w:ascii="Arial" w:hAnsi="Arial"/>
          <w:sz w:val="18"/>
        </w:rPr>
      </w:pPr>
      <w:r>
        <w:rPr>
          <w:rFonts w:ascii="Arial" w:hAnsi="Arial"/>
          <w:sz w:val="18"/>
        </w:rPr>
        <w:t xml:space="preserve">The Board oversees business affairs, integrity, risk management, CEO succession planning, and other matters reserved to the full Board and performs the annual CEO evaluation.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8"/>
        <w:gridCol w:w="60"/>
        <w:gridCol w:w="2096"/>
        <w:gridCol w:w="60"/>
        <w:gridCol w:w="3470"/>
        <w:gridCol w:w="60"/>
        <w:gridCol w:w="1951"/>
      </w:tblGrid>
      <w:tr>
        <w:trPr/>
        <w:tc>
          <w:tcPr>
            <w:tcW w:w="25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508" w:type="dxa"/>
            <w:tcBorders/>
            <w:vAlign w:val="center"/>
          </w:tcPr>
          <w:p>
            <w:pPr>
              <w:pStyle w:val="TableContents"/>
              <w:bidi w:val="0"/>
              <w:spacing w:before="0" w:after="0"/>
              <w:jc w:val="center"/>
              <w:rPr>
                <w:rFonts w:ascii="Arial" w:hAnsi="Arial"/>
                <w:b/>
                <w:sz w:val="20"/>
              </w:rPr>
            </w:pPr>
            <w:r>
              <w:rPr>
                <w:rFonts w:ascii="Arial" w:hAnsi="Arial"/>
                <w:b/>
                <w:sz w:val="20"/>
              </w:rPr>
              <w:t>Audit and Finance</w:t>
            </w:r>
          </w:p>
          <w:p>
            <w:pPr>
              <w:pStyle w:val="TableContents"/>
              <w:bidi w:val="0"/>
              <w:spacing w:before="0" w:after="20"/>
              <w:jc w:val="center"/>
              <w:rPr>
                <w:rFonts w:ascii="Arial" w:hAnsi="Arial"/>
                <w:b/>
                <w:sz w:val="20"/>
              </w:rPr>
            </w:pPr>
            <w:r>
              <w:rPr>
                <w:rFonts w:ascii="Arial" w:hAnsi="Arial"/>
                <w:b/>
                <w:sz w:val="20"/>
              </w:rPr>
              <w:t>Committee</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0"/>
              <w:jc w:val="center"/>
              <w:rPr>
                <w:rFonts w:ascii="Arial" w:hAnsi="Arial"/>
                <w:b/>
                <w:sz w:val="20"/>
              </w:rPr>
            </w:pPr>
            <w:r>
              <w:rPr>
                <w:rFonts w:ascii="Arial" w:hAnsi="Arial"/>
                <w:b/>
                <w:sz w:val="20"/>
              </w:rPr>
              <w:t>Compensation</w:t>
            </w:r>
          </w:p>
          <w:p>
            <w:pPr>
              <w:pStyle w:val="TableContents"/>
              <w:bidi w:val="0"/>
              <w:spacing w:before="0" w:after="20"/>
              <w:jc w:val="center"/>
              <w:rPr>
                <w:rFonts w:ascii="Arial" w:hAnsi="Arial"/>
                <w:b/>
                <w:sz w:val="20"/>
              </w:rPr>
            </w:pPr>
            <w:r>
              <w:rPr>
                <w:rFonts w:ascii="Arial" w:hAnsi="Arial"/>
                <w:b/>
                <w:sz w:val="20"/>
              </w:rPr>
              <w:t>Committee</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center"/>
              <w:rPr>
                <w:rFonts w:ascii="Arial" w:hAnsi="Arial"/>
                <w:b/>
                <w:sz w:val="20"/>
              </w:rPr>
            </w:pPr>
            <w:r>
              <w:rPr>
                <w:rFonts w:ascii="Arial" w:hAnsi="Arial"/>
                <w:b/>
                <w:sz w:val="20"/>
              </w:rPr>
              <w:t>Environmental, Social,</w:t>
            </w:r>
          </w:p>
          <w:p>
            <w:pPr>
              <w:pStyle w:val="TableContents"/>
              <w:bidi w:val="0"/>
              <w:spacing w:before="0" w:after="0"/>
              <w:jc w:val="center"/>
              <w:rPr>
                <w:rFonts w:ascii="Arial" w:hAnsi="Arial"/>
                <w:b/>
                <w:sz w:val="20"/>
              </w:rPr>
            </w:pPr>
            <w:r>
              <w:rPr>
                <w:rFonts w:ascii="Arial" w:hAnsi="Arial"/>
                <w:b/>
                <w:sz w:val="20"/>
              </w:rPr>
              <w:t>and Public Policy</w:t>
            </w:r>
          </w:p>
          <w:p>
            <w:pPr>
              <w:pStyle w:val="TableContents"/>
              <w:bidi w:val="0"/>
              <w:spacing w:before="0" w:after="20"/>
              <w:jc w:val="center"/>
              <w:rPr>
                <w:rFonts w:ascii="Arial" w:hAnsi="Arial"/>
                <w:b/>
                <w:sz w:val="20"/>
              </w:rPr>
            </w:pPr>
            <w:r>
              <w:rPr>
                <w:rFonts w:ascii="Arial" w:hAnsi="Arial"/>
                <w:b/>
                <w:sz w:val="20"/>
              </w:rPr>
              <w:t>Committee</w:t>
            </w:r>
          </w:p>
        </w:tc>
        <w:tc>
          <w:tcPr>
            <w:tcW w:w="60"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0"/>
              <w:jc w:val="center"/>
              <w:rPr>
                <w:rFonts w:ascii="Arial" w:hAnsi="Arial"/>
                <w:b/>
                <w:sz w:val="20"/>
              </w:rPr>
            </w:pPr>
            <w:r>
              <w:rPr>
                <w:rFonts w:ascii="Arial" w:hAnsi="Arial"/>
                <w:b/>
                <w:sz w:val="20"/>
              </w:rPr>
              <w:t>Governance and</w:t>
            </w:r>
          </w:p>
          <w:p>
            <w:pPr>
              <w:pStyle w:val="TableContents"/>
              <w:bidi w:val="0"/>
              <w:spacing w:before="0" w:after="0"/>
              <w:jc w:val="center"/>
              <w:rPr>
                <w:rFonts w:ascii="Arial" w:hAnsi="Arial"/>
                <w:b/>
                <w:sz w:val="20"/>
              </w:rPr>
            </w:pPr>
            <w:r>
              <w:rPr>
                <w:rFonts w:ascii="Arial" w:hAnsi="Arial"/>
                <w:b/>
                <w:sz w:val="20"/>
              </w:rPr>
              <w:t>Nominating</w:t>
            </w:r>
          </w:p>
          <w:p>
            <w:pPr>
              <w:pStyle w:val="TableContents"/>
              <w:bidi w:val="0"/>
              <w:spacing w:before="0" w:after="20"/>
              <w:jc w:val="center"/>
              <w:rPr>
                <w:rFonts w:ascii="Arial" w:hAnsi="Arial"/>
                <w:b/>
                <w:sz w:val="20"/>
              </w:rPr>
            </w:pPr>
            <w:r>
              <w:rPr>
                <w:rFonts w:ascii="Arial" w:hAnsi="Arial"/>
                <w:b/>
                <w:sz w:val="20"/>
              </w:rPr>
              <w:t>Committee</w:t>
            </w:r>
          </w:p>
        </w:tc>
      </w:tr>
      <w:tr>
        <w:trPr/>
        <w:tc>
          <w:tcPr>
            <w:tcW w:w="25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2508" w:type="dxa"/>
            <w:tcBorders>
              <w:right w:val="single" w:sz="6" w:space="0" w:color="999999"/>
            </w:tcBorders>
            <w:tcMar>
              <w:right w:w="28" w:type="dxa"/>
            </w:tcMar>
            <w:vAlign w:val="center"/>
          </w:tcPr>
          <w:p>
            <w:pPr>
              <w:pStyle w:val="TableContents"/>
              <w:bidi w:val="0"/>
              <w:spacing w:before="0" w:after="0"/>
              <w:jc w:val="left"/>
              <w:rPr>
                <w:rFonts w:ascii="Arial" w:hAnsi="Arial"/>
                <w:sz w:val="18"/>
              </w:rPr>
            </w:pPr>
            <w:r>
              <w:rPr>
                <w:rFonts w:ascii="Arial" w:hAnsi="Arial"/>
                <w:sz w:val="18"/>
              </w:rPr>
              <w:t>Oversees the Company’s processes to manage risk; the Company’s financial statements; compliance with legal and regulatory requirements and corporate policies and controls, including controls over financial reporting, computerized information systems and security; the management of the Company’s capital structure, financial resources, and other significant financial issues; and the independent auditor and internal audit function.</w:t>
            </w:r>
          </w:p>
        </w:tc>
        <w:tc>
          <w:tcPr>
            <w:tcW w:w="60" w:type="dxa"/>
            <w:tcBorders/>
            <w:vAlign w:val="center"/>
          </w:tcPr>
          <w:p>
            <w:pPr>
              <w:pStyle w:val="TableContents"/>
              <w:bidi w:val="0"/>
              <w:spacing w:before="0" w:after="283"/>
              <w:jc w:val="left"/>
              <w:rPr/>
            </w:pPr>
            <w:r>
              <w:rPr/>
              <w:t> </w:t>
            </w:r>
          </w:p>
        </w:tc>
        <w:tc>
          <w:tcPr>
            <w:tcW w:w="2096" w:type="dxa"/>
            <w:tcBorders>
              <w:right w:val="single" w:sz="6" w:space="0" w:color="999999"/>
            </w:tcBorders>
            <w:tcMar>
              <w:right w:w="28" w:type="dxa"/>
            </w:tcMar>
            <w:vAlign w:val="center"/>
          </w:tcPr>
          <w:p>
            <w:pPr>
              <w:pStyle w:val="TableContents"/>
              <w:bidi w:val="0"/>
              <w:spacing w:before="0" w:after="0"/>
              <w:jc w:val="left"/>
              <w:rPr>
                <w:rFonts w:ascii="Arial" w:hAnsi="Arial"/>
                <w:sz w:val="18"/>
              </w:rPr>
            </w:pPr>
            <w:r>
              <w:rPr>
                <w:rFonts w:ascii="Arial" w:hAnsi="Arial"/>
                <w:sz w:val="18"/>
              </w:rPr>
              <w:t>Oversees the Company’s compensation and benefits programs; human capital management and culture principles and programs; senior leadership succession planning and compensation; and advises the Board on CEO compensation.</w:t>
            </w:r>
          </w:p>
        </w:tc>
        <w:tc>
          <w:tcPr>
            <w:tcW w:w="60" w:type="dxa"/>
            <w:tcBorders/>
            <w:vAlign w:val="center"/>
          </w:tcPr>
          <w:p>
            <w:pPr>
              <w:pStyle w:val="TableContents"/>
              <w:bidi w:val="0"/>
              <w:spacing w:before="0" w:after="283"/>
              <w:jc w:val="left"/>
              <w:rPr/>
            </w:pPr>
            <w:r>
              <w:rPr/>
              <w:t> </w:t>
            </w:r>
          </w:p>
        </w:tc>
        <w:tc>
          <w:tcPr>
            <w:tcW w:w="3470" w:type="dxa"/>
            <w:tcBorders>
              <w:right w:val="single" w:sz="6" w:space="0" w:color="999999"/>
            </w:tcBorders>
            <w:tcMar>
              <w:right w:w="28" w:type="dxa"/>
            </w:tcMar>
            <w:vAlign w:val="center"/>
          </w:tcPr>
          <w:p>
            <w:pPr>
              <w:pStyle w:val="TableContents"/>
              <w:bidi w:val="0"/>
              <w:spacing w:before="0" w:after="0"/>
              <w:jc w:val="left"/>
              <w:rPr>
                <w:rFonts w:ascii="Arial" w:hAnsi="Arial"/>
                <w:sz w:val="18"/>
              </w:rPr>
            </w:pPr>
            <w:r>
              <w:rPr>
                <w:rFonts w:ascii="Arial" w:hAnsi="Arial"/>
                <w:sz w:val="18"/>
              </w:rPr>
              <w:t>Oversees key non-financial regulatory risks; management policies and programs relating to key environmental and social matters, including climate change and environmental sustainability, competition and antitrust, privacy, national security, trade, digital safety, responsible AI, accessibility, human rights, responsible sourcing, and infrastructure and datacenter localization; and reviews government relations activities and public policy agenda.</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0"/>
              <w:jc w:val="left"/>
              <w:rPr>
                <w:rFonts w:ascii="Arial" w:hAnsi="Arial"/>
                <w:sz w:val="18"/>
              </w:rPr>
            </w:pPr>
            <w:r>
              <w:rPr>
                <w:rFonts w:ascii="Arial" w:hAnsi="Arial"/>
                <w:sz w:val="18"/>
              </w:rPr>
              <w:t>Oversees director selection and succession planning; Board effectiveness and independence, committee functions and charters; adherence to our corporate governance framework; and other corporate governance matters.</w:t>
            </w:r>
          </w:p>
        </w:tc>
      </w:tr>
    </w:tbl>
    <w:p>
      <w:pPr>
        <w:pStyle w:val="TextBody"/>
        <w:bidi w:val="0"/>
        <w:spacing w:before="240" w:after="0"/>
        <w:jc w:val="left"/>
        <w:rPr>
          <w:rFonts w:ascii="Arial" w:hAnsi="Arial"/>
          <w:b/>
          <w:sz w:val="24"/>
        </w:rPr>
      </w:pPr>
      <w:r>
        <w:rPr>
          <w:rFonts w:ascii="Arial" w:hAnsi="Arial"/>
          <w:b/>
          <w:sz w:val="24"/>
        </w:rPr>
        <w:t xml:space="preserve">Company Management </w:t>
      </w:r>
    </w:p>
    <w:p>
      <w:pPr>
        <w:pStyle w:val="TextBody"/>
        <w:bidi w:val="0"/>
        <w:spacing w:before="120" w:after="0"/>
        <w:jc w:val="left"/>
        <w:rPr>
          <w:rFonts w:ascii="Arial" w:hAnsi="Arial"/>
          <w:sz w:val="18"/>
        </w:rPr>
      </w:pPr>
      <w:r>
        <w:rPr>
          <w:rFonts w:ascii="Arial" w:hAnsi="Arial"/>
          <w:sz w:val="18"/>
        </w:rPr>
        <w:t xml:space="preserve">The Board, in consultation with each of its committees, oversees Company management in exercising its responsibility of managing risk. The Board relies upon senior leadership to supervise risk management activities within the Company. Senior leadership is responsible for developing a continuously improving culture of risk-aware practices to identify and manage the appropriate level of risk in pursuit of our business objectives. On a regular basis, the Board and its committees engage with our senior leadership, our chief risk executive and chief compliance officer, and other members of management on risk as part of broad strategic and operational discussions which encompass interrelated risks, as well as on a risk-by-risk basis. In addition, our integrated enterprise risk management approach is supported by operational management within business units, compliance and investigatory teams, enterprise and operational risk teams, internal audit and external audit reviews, and our legal department. Microsoft has also established robust standards of business conduct that apply to all employees globally and provides numerous methods for employees to elevate risk concerns directly to management or through anonymous channels.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51"/>
        <w:gridCol w:w="60"/>
        <w:gridCol w:w="3456"/>
        <w:gridCol w:w="60"/>
        <w:gridCol w:w="3478"/>
      </w:tblGrid>
      <w:tr>
        <w:trPr/>
        <w:tc>
          <w:tcPr>
            <w:tcW w:w="3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0"/>
              <w:jc w:val="center"/>
              <w:rPr>
                <w:rFonts w:ascii="Arial" w:hAnsi="Arial"/>
                <w:b/>
                <w:sz w:val="20"/>
              </w:rPr>
            </w:pPr>
            <w:r>
              <w:rPr>
                <w:rFonts w:ascii="Arial" w:hAnsi="Arial"/>
                <w:b/>
                <w:sz w:val="20"/>
              </w:rPr>
              <w:t>Internal</w:t>
            </w:r>
          </w:p>
          <w:p>
            <w:pPr>
              <w:pStyle w:val="TableContents"/>
              <w:bidi w:val="0"/>
              <w:spacing w:before="0" w:after="20"/>
              <w:jc w:val="center"/>
              <w:rPr>
                <w:rFonts w:ascii="Arial" w:hAnsi="Arial"/>
                <w:b/>
                <w:sz w:val="20"/>
              </w:rPr>
            </w:pPr>
            <w:r>
              <w:rPr>
                <w:rFonts w:ascii="Arial" w:hAnsi="Arial"/>
                <w:b/>
                <w:sz w:val="20"/>
              </w:rPr>
              <w:t>Audit</w:t>
            </w:r>
          </w:p>
        </w:tc>
        <w:tc>
          <w:tcPr>
            <w:tcW w:w="60" w:type="dxa"/>
            <w:tcBorders/>
            <w:vAlign w:val="center"/>
          </w:tcPr>
          <w:p>
            <w:pPr>
              <w:pStyle w:val="TableContents"/>
              <w:bidi w:val="0"/>
              <w:spacing w:before="0" w:after="283"/>
              <w:jc w:val="left"/>
              <w:rPr/>
            </w:pPr>
            <w:r>
              <w:rPr/>
              <w:t> </w:t>
            </w:r>
          </w:p>
        </w:tc>
        <w:tc>
          <w:tcPr>
            <w:tcW w:w="3456" w:type="dxa"/>
            <w:tcBorders/>
            <w:vAlign w:val="center"/>
          </w:tcPr>
          <w:p>
            <w:pPr>
              <w:pStyle w:val="TableContents"/>
              <w:bidi w:val="0"/>
              <w:spacing w:before="0" w:after="0"/>
              <w:jc w:val="center"/>
              <w:rPr>
                <w:rFonts w:ascii="Arial" w:hAnsi="Arial"/>
                <w:b/>
                <w:sz w:val="20"/>
              </w:rPr>
            </w:pPr>
            <w:r>
              <w:rPr>
                <w:rFonts w:ascii="Arial" w:hAnsi="Arial"/>
                <w:b/>
                <w:sz w:val="20"/>
              </w:rPr>
              <w:t>Integrated Enterprise</w:t>
            </w:r>
          </w:p>
          <w:p>
            <w:pPr>
              <w:pStyle w:val="TableContents"/>
              <w:bidi w:val="0"/>
              <w:spacing w:before="0" w:after="20"/>
              <w:jc w:val="center"/>
              <w:rPr>
                <w:rFonts w:ascii="Arial" w:hAnsi="Arial"/>
                <w:b/>
                <w:sz w:val="20"/>
              </w:rPr>
            </w:pPr>
            <w:r>
              <w:rPr>
                <w:rFonts w:ascii="Arial" w:hAnsi="Arial"/>
                <w:b/>
                <w:sz w:val="20"/>
              </w:rPr>
              <w:t>Risk Management</w:t>
            </w:r>
          </w:p>
        </w:tc>
        <w:tc>
          <w:tcPr>
            <w:tcW w:w="6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0"/>
              <w:jc w:val="center"/>
              <w:rPr>
                <w:rFonts w:ascii="Arial" w:hAnsi="Arial"/>
                <w:b/>
                <w:sz w:val="20"/>
              </w:rPr>
            </w:pPr>
            <w:r>
              <w:rPr>
                <w:rFonts w:ascii="Arial" w:hAnsi="Arial"/>
                <w:b/>
                <w:sz w:val="20"/>
              </w:rPr>
              <w:t>Regulatory</w:t>
            </w:r>
          </w:p>
          <w:p>
            <w:pPr>
              <w:pStyle w:val="TableContents"/>
              <w:bidi w:val="0"/>
              <w:spacing w:before="0" w:after="20"/>
              <w:jc w:val="center"/>
              <w:rPr>
                <w:rFonts w:ascii="Arial" w:hAnsi="Arial"/>
                <w:b/>
                <w:sz w:val="20"/>
              </w:rPr>
            </w:pPr>
            <w:r>
              <w:rPr>
                <w:rFonts w:ascii="Arial" w:hAnsi="Arial"/>
                <w:b/>
                <w:sz w:val="20"/>
              </w:rPr>
              <w:t>Governance</w:t>
            </w:r>
          </w:p>
        </w:tc>
      </w:tr>
      <w:tr>
        <w:trPr/>
        <w:tc>
          <w:tcPr>
            <w:tcW w:w="3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283"/>
              <w:jc w:val="left"/>
              <w:rPr/>
            </w:pPr>
            <w:r>
              <w:rPr/>
              <w:t> </w:t>
            </w:r>
          </w:p>
        </w:tc>
      </w:tr>
      <w:tr>
        <w:trPr/>
        <w:tc>
          <w:tcPr>
            <w:tcW w:w="3151" w:type="dxa"/>
            <w:tcBorders>
              <w:right w:val="single" w:sz="6" w:space="0" w:color="999999"/>
            </w:tcBorders>
            <w:tcMar>
              <w:right w:w="28" w:type="dxa"/>
            </w:tcMar>
            <w:vAlign w:val="center"/>
          </w:tcPr>
          <w:p>
            <w:pPr>
              <w:pStyle w:val="TableContents"/>
              <w:bidi w:val="0"/>
              <w:spacing w:before="0" w:after="0"/>
              <w:jc w:val="left"/>
              <w:rPr>
                <w:rFonts w:ascii="Arial" w:hAnsi="Arial"/>
                <w:sz w:val="18"/>
              </w:rPr>
            </w:pPr>
            <w:r>
              <w:rPr>
                <w:rFonts w:ascii="Arial" w:hAnsi="Arial"/>
                <w:sz w:val="18"/>
              </w:rPr>
              <w:t>Provides independent and objective audit, investigative, and advisory services designed to provide assurance that the Company is appropriately addressing its risks; assists senior leadership and the Board in accomplishing their objectives by bringing a systematic, disciplined, technology-enabled approach to evaluate, investigate, and improve the effectiveness of risk management, governance, controls, and operations. AI tools and automation are embedded in the audit process to enhance visibility and accelerate reporting. The Audit and Finance Committee reviews the internal audit assessment quarterly.</w:t>
            </w:r>
          </w:p>
        </w:tc>
        <w:tc>
          <w:tcPr>
            <w:tcW w:w="60" w:type="dxa"/>
            <w:tcBorders/>
            <w:vAlign w:val="center"/>
          </w:tcPr>
          <w:p>
            <w:pPr>
              <w:pStyle w:val="TableContents"/>
              <w:bidi w:val="0"/>
              <w:spacing w:before="0" w:after="283"/>
              <w:jc w:val="left"/>
              <w:rPr/>
            </w:pPr>
            <w:r>
              <w:rPr/>
              <w:t> </w:t>
            </w:r>
          </w:p>
        </w:tc>
        <w:tc>
          <w:tcPr>
            <w:tcW w:w="3456" w:type="dxa"/>
            <w:tcBorders>
              <w:right w:val="single" w:sz="6" w:space="0" w:color="999999"/>
            </w:tcBorders>
            <w:tcMar>
              <w:right w:w="28" w:type="dxa"/>
            </w:tcMar>
            <w:vAlign w:val="center"/>
          </w:tcPr>
          <w:p>
            <w:pPr>
              <w:pStyle w:val="TableContents"/>
              <w:bidi w:val="0"/>
              <w:spacing w:before="0" w:after="0"/>
              <w:jc w:val="left"/>
              <w:rPr>
                <w:rFonts w:ascii="Arial" w:hAnsi="Arial"/>
                <w:sz w:val="18"/>
              </w:rPr>
            </w:pPr>
            <w:r>
              <w:rPr>
                <w:rFonts w:ascii="Arial" w:hAnsi="Arial"/>
                <w:sz w:val="18"/>
              </w:rPr>
              <w:t>Our integrated enterprise risk management approach establishes clear accountability and fosters collaboration across business units and compliance, audit, and legal functions. Senior leadership, with support of assigned risk owners, leads the identification, assessment, prioritization, and mitigation of the Company’s most significant risks with input from operational management, operational risk teams, and subject matter experts. The enterprise risk management team coordinates cross-company risk assessments and partners with internal audit to ensure focus on most significant risks. The Audit and Finance Committee reviews the enterprise risk management assessment semi-annually.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478" w:type="dxa"/>
            <w:tcBorders/>
            <w:vAlign w:val="center"/>
          </w:tcPr>
          <w:p>
            <w:pPr>
              <w:pStyle w:val="TableContents"/>
              <w:bidi w:val="0"/>
              <w:spacing w:before="0" w:after="0"/>
              <w:jc w:val="left"/>
              <w:rPr>
                <w:rFonts w:ascii="Arial" w:hAnsi="Arial"/>
                <w:sz w:val="18"/>
              </w:rPr>
            </w:pPr>
            <w:r>
              <w:rPr>
                <w:rFonts w:ascii="Arial" w:hAnsi="Arial"/>
                <w:sz w:val="18"/>
              </w:rPr>
              <w:t>To comply with the accelerating global regulatory obligations, the Company has implemented comprehensive compliance programs across its operations to adapt to these changes and to maintain customer and regulator confidence. The Company monitors regulatory developments around the world and implements policies, controls, and technical safeguards so that its operations, products, services, and infrastructure meet applicable legal standards. The Company’s business teams, with legal support, manage the compliance programs and prepare external regulatory and commercial reporting, and the Company’s internal audit teams conduct reviews of the programs and processes.</w:t>
            </w:r>
          </w:p>
        </w:tc>
      </w:tr>
    </w:tbl>
    <w:p>
      <w:pPr>
        <w:pStyle w:val="TextBody"/>
        <w:bidi w:val="0"/>
        <w:spacing w:before="0" w:after="0"/>
        <w:jc w:val="left"/>
        <w:rPr/>
      </w:pPr>
      <w:r>
        <w:rPr/>
        <w:t>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045"/>
        <w:gridCol w:w="60"/>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color w:val="0075C9"/>
              </w:rPr>
            </w:pPr>
            <w:r>
              <w:rPr>
                <w:b/>
                <w:color w:val="0075C9"/>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Selected Areas of Oversight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1"/>
        <w:gridCol w:w="60"/>
        <w:gridCol w:w="2322"/>
        <w:gridCol w:w="120"/>
        <w:gridCol w:w="6792"/>
      </w:tblGrid>
      <w:tr>
        <w:trPr/>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92" w:type="dxa"/>
            <w:tcBorders/>
            <w:vAlign w:val="center"/>
          </w:tcPr>
          <w:p>
            <w:pPr>
              <w:pStyle w:val="TableContents"/>
              <w:bidi w:val="0"/>
              <w:spacing w:before="0" w:after="283"/>
              <w:jc w:val="left"/>
              <w:rPr>
                <w:sz w:val="4"/>
                <w:szCs w:val="4"/>
              </w:rPr>
            </w:pPr>
            <w:r>
              <w:rPr>
                <w:sz w:val="4"/>
                <w:szCs w:val="4"/>
              </w:rPr>
            </w:r>
          </w:p>
        </w:tc>
      </w:tr>
      <w:tr>
        <w:trPr/>
        <w:tc>
          <w:tcPr>
            <w:tcW w:w="911" w:type="dxa"/>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6912"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vAlign w:val="center"/>
          </w:tcPr>
          <w:p>
            <w:pPr>
              <w:pStyle w:val="TableContents"/>
              <w:bidi w:val="0"/>
              <w:spacing w:before="0" w:after="0"/>
              <w:jc w:val="left"/>
              <w:rPr/>
            </w:pPr>
            <w:r>
              <w:rPr/>
              <w:t xml:space="preserve">   </w:t>
            </w:r>
            <w:r>
              <w:rPr/>
              <w:drawing>
                <wp:inline distT="0" distB="0" distL="0" distR="0">
                  <wp:extent cx="461010" cy="54737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461010" cy="5473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22" w:type="dxa"/>
            <w:tcBorders/>
            <w:vAlign w:val="center"/>
          </w:tcPr>
          <w:p>
            <w:pPr>
              <w:pStyle w:val="TableContents"/>
              <w:bidi w:val="0"/>
              <w:spacing w:before="0" w:after="283"/>
              <w:jc w:val="left"/>
              <w:rPr>
                <w:b/>
              </w:rPr>
            </w:pPr>
            <w:r>
              <w:rPr>
                <w:b/>
              </w:rPr>
              <w:t>Cybersecurity</w:t>
            </w:r>
          </w:p>
        </w:tc>
        <w:tc>
          <w:tcPr>
            <w:tcW w:w="120" w:type="dxa"/>
            <w:tcBorders/>
            <w:vAlign w:val="center"/>
          </w:tcPr>
          <w:p>
            <w:pPr>
              <w:pStyle w:val="TableContents"/>
              <w:bidi w:val="0"/>
              <w:spacing w:before="0" w:after="283"/>
              <w:jc w:val="left"/>
              <w:rPr/>
            </w:pPr>
            <w:r>
              <w:rPr/>
              <w:t>  </w:t>
            </w:r>
          </w:p>
        </w:tc>
        <w:tc>
          <w:tcPr>
            <w:tcW w:w="6792" w:type="dxa"/>
            <w:tcBorders/>
            <w:vAlign w:val="center"/>
          </w:tcPr>
          <w:p>
            <w:pPr>
              <w:pStyle w:val="TableContents"/>
              <w:bidi w:val="0"/>
              <w:spacing w:before="0" w:after="283"/>
              <w:jc w:val="left"/>
              <w:rPr/>
            </w:pPr>
            <w:r>
              <w:rPr/>
              <w:t>The Board maintains direct oversight over cybersecurity risk. The Board receives and provides feedback on regular updates from management regarding cybersecurity governance processes, the status of projects to strengthen internal cybersecurity, security features of the products and services we provide our customers, and the results of security breach simulations. Cybersecurity reviews by the Board are scheduled to occur at least quarterly, or more frequently as determined to be necessary or advisable. The Board also discusses recent incidents throughout the industry and the emerging threat landscape.</w:t>
            </w:r>
          </w:p>
        </w:tc>
      </w:tr>
      <w:tr>
        <w:trPr/>
        <w:tc>
          <w:tcPr>
            <w:tcW w:w="911" w:type="dxa"/>
            <w:tcBorders>
              <w:top w:val="single" w:sz="6" w:space="0" w:color="0075C9"/>
            </w:tcBorders>
            <w:tcMar>
              <w:top w:w="28" w:type="dxa"/>
            </w:tcMar>
            <w:vAlign w:val="center"/>
          </w:tcPr>
          <w:p>
            <w:pPr>
              <w:pStyle w:val="TableContents"/>
              <w:bidi w:val="0"/>
              <w:spacing w:before="0" w:after="283"/>
              <w:jc w:val="left"/>
              <w:rPr/>
            </w:pPr>
            <w:r>
              <w:rPr/>
              <w:t> </w:t>
            </w:r>
          </w:p>
        </w:tc>
        <w:tc>
          <w:tcPr>
            <w:tcW w:w="238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6912"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911" w:type="dxa"/>
            <w:tcBorders>
              <w:bottom w:val="single" w:sz="6" w:space="0" w:color="0075C9"/>
            </w:tcBorders>
            <w:tcMar>
              <w:bottom w:w="120" w:type="dxa"/>
            </w:tcMar>
            <w:vAlign w:val="center"/>
          </w:tcPr>
          <w:p>
            <w:pPr>
              <w:pStyle w:val="TableContents"/>
              <w:bidi w:val="0"/>
              <w:spacing w:before="0" w:after="0"/>
              <w:jc w:val="left"/>
              <w:rPr/>
            </w:pPr>
            <w:r>
              <w:rPr/>
              <w:t xml:space="preserve">   </w:t>
            </w:r>
            <w:r>
              <w:rPr/>
              <w:drawing>
                <wp:inline distT="0" distB="0" distL="0" distR="0">
                  <wp:extent cx="407670" cy="53403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407670" cy="534035"/>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22" w:type="dxa"/>
            <w:tcBorders>
              <w:bottom w:val="single" w:sz="6" w:space="0" w:color="0075C9"/>
            </w:tcBorders>
            <w:tcMar>
              <w:bottom w:w="120" w:type="dxa"/>
            </w:tcMar>
            <w:vAlign w:val="center"/>
          </w:tcPr>
          <w:p>
            <w:pPr>
              <w:pStyle w:val="TableContents"/>
              <w:bidi w:val="0"/>
              <w:spacing w:before="0" w:after="0"/>
              <w:jc w:val="left"/>
              <w:rPr>
                <w:rFonts w:ascii="Arial" w:hAnsi="Arial"/>
                <w:b/>
                <w:sz w:val="18"/>
              </w:rPr>
            </w:pPr>
            <w:r>
              <w:rPr>
                <w:rFonts w:ascii="Arial" w:hAnsi="Arial"/>
                <w:b/>
                <w:sz w:val="18"/>
              </w:rPr>
              <w:t>AI Strategy, Governance,</w:t>
            </w:r>
          </w:p>
          <w:p>
            <w:pPr>
              <w:pStyle w:val="TableContents"/>
              <w:bidi w:val="0"/>
              <w:spacing w:before="0" w:after="20"/>
              <w:jc w:val="left"/>
              <w:rPr>
                <w:rFonts w:ascii="Arial" w:hAnsi="Arial"/>
                <w:b/>
                <w:sz w:val="18"/>
              </w:rPr>
            </w:pPr>
            <w:r>
              <w:rPr>
                <w:rFonts w:ascii="Arial" w:hAnsi="Arial"/>
                <w:b/>
                <w:sz w:val="18"/>
              </w:rPr>
              <w:t>and Regulation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792" w:type="dxa"/>
            <w:tcBorders>
              <w:bottom w:val="single" w:sz="6" w:space="0" w:color="0075C9"/>
            </w:tcBorders>
            <w:tcMar>
              <w:bottom w:w="120" w:type="dxa"/>
            </w:tcMar>
            <w:vAlign w:val="center"/>
          </w:tcPr>
          <w:p>
            <w:pPr>
              <w:pStyle w:val="TableContents"/>
              <w:bidi w:val="0"/>
              <w:spacing w:before="0" w:after="283"/>
              <w:jc w:val="left"/>
              <w:rPr/>
            </w:pPr>
            <w:r>
              <w:rPr/>
              <w:t>The Board maintains direct oversight over AI strategy risk. Our Environmental, Social, and Public Policy Committee assists the Board in overseeing Microsoft’s AI governance and regulation risk and provides oversight and guidance on Microsoft’s responsible AI policies and programs. The Committee receives and provides feedback on regular updates from management regarding Microsoft’s ability to design, build, use, and access AI in a way that is responsible and meets customer expectations and regulatory requirements.</w:t>
            </w:r>
          </w:p>
        </w:tc>
      </w:tr>
      <w:tr>
        <w:trPr/>
        <w:tc>
          <w:tcPr>
            <w:tcW w:w="911" w:type="dxa"/>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6912"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vAlign w:val="center"/>
          </w:tcPr>
          <w:p>
            <w:pPr>
              <w:pStyle w:val="TableContents"/>
              <w:bidi w:val="0"/>
              <w:spacing w:before="0" w:after="0"/>
              <w:jc w:val="left"/>
              <w:rPr/>
            </w:pPr>
            <w:r>
              <w:rPr/>
              <w:t xml:space="preserve">  </w:t>
            </w:r>
            <w:r>
              <w:rPr/>
              <w:drawing>
                <wp:inline distT="0" distB="0" distL="0" distR="0">
                  <wp:extent cx="527050" cy="50927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527050" cy="5092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22" w:type="dxa"/>
            <w:tcBorders/>
            <w:vAlign w:val="center"/>
          </w:tcPr>
          <w:p>
            <w:pPr>
              <w:pStyle w:val="TableContents"/>
              <w:bidi w:val="0"/>
              <w:spacing w:before="0" w:after="283"/>
              <w:jc w:val="left"/>
              <w:rPr>
                <w:b/>
              </w:rPr>
            </w:pPr>
            <w:r>
              <w:rPr>
                <w:b/>
              </w:rPr>
              <w:t>Capacity and Cloud Supply Chain</w:t>
            </w:r>
          </w:p>
        </w:tc>
        <w:tc>
          <w:tcPr>
            <w:tcW w:w="120" w:type="dxa"/>
            <w:tcBorders/>
            <w:vAlign w:val="center"/>
          </w:tcPr>
          <w:p>
            <w:pPr>
              <w:pStyle w:val="TableContents"/>
              <w:bidi w:val="0"/>
              <w:spacing w:before="0" w:after="283"/>
              <w:jc w:val="left"/>
              <w:rPr/>
            </w:pPr>
            <w:r>
              <w:rPr/>
              <w:t>  </w:t>
            </w:r>
          </w:p>
        </w:tc>
        <w:tc>
          <w:tcPr>
            <w:tcW w:w="6792" w:type="dxa"/>
            <w:tcBorders/>
            <w:vAlign w:val="center"/>
          </w:tcPr>
          <w:p>
            <w:pPr>
              <w:pStyle w:val="TableContents"/>
              <w:bidi w:val="0"/>
              <w:spacing w:before="0" w:after="283"/>
              <w:jc w:val="left"/>
              <w:rPr/>
            </w:pPr>
            <w:r>
              <w:rPr/>
              <w:t>Our Audit and Finance Committee and Environmental, Social, and Public Policy Committee assist the Board in overseeing Microsoft’s ability to meet targets due to rising demand within cloud infrastructure lead times and supply chain constraints. The Committees regularly interact with management on network and capacity delivery, resource availability, supplier diversification, and geopolitical effects.</w:t>
            </w:r>
          </w:p>
        </w:tc>
      </w:tr>
      <w:tr>
        <w:trPr/>
        <w:tc>
          <w:tcPr>
            <w:tcW w:w="911" w:type="dxa"/>
            <w:tcBorders>
              <w:top w:val="single" w:sz="6" w:space="0" w:color="0075C9"/>
            </w:tcBorders>
            <w:tcMar>
              <w:top w:w="28" w:type="dxa"/>
            </w:tcMar>
            <w:vAlign w:val="center"/>
          </w:tcPr>
          <w:p>
            <w:pPr>
              <w:pStyle w:val="TableContents"/>
              <w:bidi w:val="0"/>
              <w:spacing w:before="0" w:after="283"/>
              <w:jc w:val="left"/>
              <w:rPr/>
            </w:pPr>
            <w:r>
              <w:rPr/>
              <w:t> </w:t>
            </w:r>
          </w:p>
        </w:tc>
        <w:tc>
          <w:tcPr>
            <w:tcW w:w="238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6912"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911" w:type="dxa"/>
            <w:tcBorders>
              <w:bottom w:val="single" w:sz="6" w:space="0" w:color="0075C9"/>
            </w:tcBorders>
            <w:tcMar>
              <w:bottom w:w="120" w:type="dxa"/>
            </w:tcMar>
            <w:vAlign w:val="center"/>
          </w:tcPr>
          <w:p>
            <w:pPr>
              <w:pStyle w:val="TableContents"/>
              <w:bidi w:val="0"/>
              <w:spacing w:before="0" w:after="0"/>
              <w:jc w:val="left"/>
              <w:rPr/>
            </w:pPr>
            <w:r>
              <w:rPr/>
              <w:t xml:space="preserve">  </w:t>
            </w:r>
            <w:r>
              <w:rPr/>
              <w:drawing>
                <wp:inline distT="0" distB="0" distL="0" distR="0">
                  <wp:extent cx="527685" cy="32067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527685" cy="320675"/>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22" w:type="dxa"/>
            <w:tcBorders>
              <w:bottom w:val="single" w:sz="6" w:space="0" w:color="0075C9"/>
            </w:tcBorders>
            <w:tcMar>
              <w:bottom w:w="120" w:type="dxa"/>
            </w:tcMar>
            <w:vAlign w:val="center"/>
          </w:tcPr>
          <w:p>
            <w:pPr>
              <w:pStyle w:val="TableContents"/>
              <w:bidi w:val="0"/>
              <w:spacing w:before="0" w:after="283"/>
              <w:jc w:val="left"/>
              <w:rPr>
                <w:b/>
              </w:rPr>
            </w:pPr>
            <w:r>
              <w:rPr>
                <w:b/>
              </w:rPr>
              <w:t>Software and Services Quality and Availability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792" w:type="dxa"/>
            <w:tcBorders>
              <w:bottom w:val="single" w:sz="6" w:space="0" w:color="0075C9"/>
            </w:tcBorders>
            <w:tcMar>
              <w:bottom w:w="120" w:type="dxa"/>
            </w:tcMar>
            <w:vAlign w:val="center"/>
          </w:tcPr>
          <w:p>
            <w:pPr>
              <w:pStyle w:val="TableContents"/>
              <w:bidi w:val="0"/>
              <w:spacing w:before="0" w:after="283"/>
              <w:jc w:val="left"/>
              <w:rPr/>
            </w:pPr>
            <w:r>
              <w:rPr/>
              <w:t>The Board maintains direct oversight over Microsoft’s ability to consistently meet customer expectations on reliability, availability, and quality of products and services. The Board receives and provides feedback on regular updates from management regarding Microsoft’s products and services resiliency, which is part of the design, engineering, and operations for constant availability and customer satisfaction.</w:t>
            </w:r>
          </w:p>
        </w:tc>
      </w:tr>
      <w:tr>
        <w:trPr/>
        <w:tc>
          <w:tcPr>
            <w:tcW w:w="911" w:type="dxa"/>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6912"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vAlign w:val="center"/>
          </w:tcPr>
          <w:p>
            <w:pPr>
              <w:pStyle w:val="TableContents"/>
              <w:bidi w:val="0"/>
              <w:spacing w:before="0" w:after="0"/>
              <w:jc w:val="left"/>
              <w:rPr/>
            </w:pPr>
            <w:r>
              <w:rPr/>
              <w:t xml:space="preserve">   </w:t>
            </w:r>
            <w:r>
              <w:rPr/>
              <w:drawing>
                <wp:inline distT="0" distB="0" distL="0" distR="0">
                  <wp:extent cx="485140" cy="48768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485140" cy="4876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22" w:type="dxa"/>
            <w:tcBorders/>
            <w:vAlign w:val="center"/>
          </w:tcPr>
          <w:p>
            <w:pPr>
              <w:pStyle w:val="TableContents"/>
              <w:bidi w:val="0"/>
              <w:spacing w:before="0" w:after="283"/>
              <w:jc w:val="left"/>
              <w:rPr>
                <w:b/>
              </w:rPr>
            </w:pPr>
            <w:r>
              <w:rPr>
                <w:b/>
              </w:rPr>
              <w:t>Digital Safety and Service Misuse</w:t>
            </w:r>
          </w:p>
        </w:tc>
        <w:tc>
          <w:tcPr>
            <w:tcW w:w="120" w:type="dxa"/>
            <w:tcBorders/>
            <w:vAlign w:val="center"/>
          </w:tcPr>
          <w:p>
            <w:pPr>
              <w:pStyle w:val="TableContents"/>
              <w:bidi w:val="0"/>
              <w:spacing w:before="0" w:after="283"/>
              <w:jc w:val="left"/>
              <w:rPr/>
            </w:pPr>
            <w:r>
              <w:rPr/>
              <w:t>  </w:t>
            </w:r>
          </w:p>
        </w:tc>
        <w:tc>
          <w:tcPr>
            <w:tcW w:w="6792" w:type="dxa"/>
            <w:tcBorders/>
            <w:vAlign w:val="center"/>
          </w:tcPr>
          <w:p>
            <w:pPr>
              <w:pStyle w:val="TableContents"/>
              <w:bidi w:val="0"/>
              <w:spacing w:before="0" w:after="283"/>
              <w:jc w:val="left"/>
              <w:rPr/>
            </w:pPr>
            <w:r>
              <w:rPr/>
              <w:t>Our Environmental, Social, and Public Policy Committee assists the Board in overseeing Microsoft’s digital safety and service misuse risk. The Committee receives and provides feedback on regular updates from management regarding the protection of users from potential mental, physical, or other harms caused by content or conduct on Microsoft services, as well as the evolving regulatory landscape.</w:t>
            </w:r>
          </w:p>
        </w:tc>
      </w:tr>
      <w:tr>
        <w:trPr/>
        <w:tc>
          <w:tcPr>
            <w:tcW w:w="911" w:type="dxa"/>
            <w:tcBorders>
              <w:top w:val="single" w:sz="6" w:space="0" w:color="0075C9"/>
            </w:tcBorders>
            <w:tcMar>
              <w:top w:w="28" w:type="dxa"/>
            </w:tcMar>
            <w:vAlign w:val="center"/>
          </w:tcPr>
          <w:p>
            <w:pPr>
              <w:pStyle w:val="TableContents"/>
              <w:bidi w:val="0"/>
              <w:spacing w:before="0" w:after="283"/>
              <w:jc w:val="left"/>
              <w:rPr/>
            </w:pPr>
            <w:r>
              <w:rPr/>
              <w:t> </w:t>
            </w:r>
          </w:p>
        </w:tc>
        <w:tc>
          <w:tcPr>
            <w:tcW w:w="238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6912"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911" w:type="dxa"/>
            <w:tcBorders>
              <w:bottom w:val="single" w:sz="6" w:space="0" w:color="0075C9"/>
            </w:tcBorders>
            <w:tcMar>
              <w:bottom w:w="120" w:type="dxa"/>
            </w:tcMar>
            <w:vAlign w:val="center"/>
          </w:tcPr>
          <w:p>
            <w:pPr>
              <w:pStyle w:val="TableContents"/>
              <w:bidi w:val="0"/>
              <w:spacing w:before="0" w:after="0"/>
              <w:jc w:val="left"/>
              <w:rPr/>
            </w:pPr>
            <w:r>
              <w:rPr/>
              <w:t xml:space="preserve">  </w:t>
            </w:r>
            <w:r>
              <w:rPr/>
              <w:drawing>
                <wp:inline distT="0" distB="0" distL="0" distR="0">
                  <wp:extent cx="483235" cy="525780"/>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483235" cy="525780"/>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22" w:type="dxa"/>
            <w:tcBorders>
              <w:bottom w:val="single" w:sz="6" w:space="0" w:color="0075C9"/>
            </w:tcBorders>
            <w:tcMar>
              <w:bottom w:w="120" w:type="dxa"/>
            </w:tcMar>
            <w:vAlign w:val="center"/>
          </w:tcPr>
          <w:p>
            <w:pPr>
              <w:pStyle w:val="TableContents"/>
              <w:bidi w:val="0"/>
              <w:spacing w:before="0" w:after="283"/>
              <w:jc w:val="left"/>
              <w:rPr>
                <w:b/>
              </w:rPr>
            </w:pPr>
            <w:r>
              <w:rPr>
                <w:b/>
              </w:rPr>
              <w:t>Culture, Workplace, and Talent Management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792" w:type="dxa"/>
            <w:tcBorders>
              <w:bottom w:val="single" w:sz="6" w:space="0" w:color="0075C9"/>
            </w:tcBorders>
            <w:tcMar>
              <w:bottom w:w="120" w:type="dxa"/>
            </w:tcMar>
            <w:vAlign w:val="center"/>
          </w:tcPr>
          <w:p>
            <w:pPr>
              <w:pStyle w:val="TableContents"/>
              <w:bidi w:val="0"/>
              <w:spacing w:before="0" w:after="283"/>
              <w:jc w:val="left"/>
              <w:rPr/>
            </w:pPr>
            <w:r>
              <w:rPr/>
              <w:t>The Compensation Committee assists the Board in overseeing Microsoft’s human capital management. The Board and the Compensation Committee engage with senior leadership, including Human Resources executives, across a broad range of human capital management topics. Management prepares and reviews with the Board a variety of materials relating to succession planning and development, compensation, benefits, employee recruiting and retention, and culture. The Compensation Committee and Audit and Finance Committee also evaluate management’s annual assessment of risk related to our compensation policies and practices, including reviewing the work of management’s Sales Incentive Compensation Governance Committee.</w:t>
            </w:r>
          </w:p>
        </w:tc>
      </w:tr>
      <w:tr>
        <w:trPr/>
        <w:tc>
          <w:tcPr>
            <w:tcW w:w="911" w:type="dxa"/>
            <w:tcBorders/>
            <w:vAlign w:val="center"/>
          </w:tcPr>
          <w:p>
            <w:pPr>
              <w:pStyle w:val="TableContents"/>
              <w:bidi w:val="0"/>
              <w:spacing w:before="0" w:after="283"/>
              <w:jc w:val="left"/>
              <w:rPr>
                <w:sz w:val="4"/>
                <w:szCs w:val="4"/>
              </w:rPr>
            </w:pPr>
            <w:r>
              <w:rPr>
                <w:sz w:val="4"/>
                <w:szCs w:val="4"/>
              </w:rPr>
            </w:r>
          </w:p>
        </w:tc>
        <w:tc>
          <w:tcPr>
            <w:tcW w:w="2382" w:type="dxa"/>
            <w:gridSpan w:val="2"/>
            <w:tcBorders/>
            <w:vAlign w:val="center"/>
          </w:tcPr>
          <w:p>
            <w:pPr>
              <w:pStyle w:val="TableContents"/>
              <w:bidi w:val="0"/>
              <w:spacing w:before="0" w:after="283"/>
              <w:jc w:val="left"/>
              <w:rPr>
                <w:sz w:val="4"/>
                <w:szCs w:val="4"/>
              </w:rPr>
            </w:pPr>
            <w:r>
              <w:rPr>
                <w:sz w:val="4"/>
                <w:szCs w:val="4"/>
              </w:rPr>
            </w:r>
          </w:p>
        </w:tc>
        <w:tc>
          <w:tcPr>
            <w:tcW w:w="6912" w:type="dxa"/>
            <w:gridSpan w:val="2"/>
            <w:tcBorders/>
            <w:vAlign w:val="center"/>
          </w:tcPr>
          <w:p>
            <w:pPr>
              <w:pStyle w:val="TableContents"/>
              <w:bidi w:val="0"/>
              <w:spacing w:before="0" w:after="283"/>
              <w:jc w:val="left"/>
              <w:rPr>
                <w:sz w:val="4"/>
                <w:szCs w:val="4"/>
              </w:rPr>
            </w:pPr>
            <w:r>
              <w:rPr>
                <w:sz w:val="4"/>
                <w:szCs w:val="4"/>
              </w:rPr>
            </w:r>
          </w:p>
        </w:tc>
      </w:tr>
      <w:tr>
        <w:trPr/>
        <w:tc>
          <w:tcPr>
            <w:tcW w:w="911" w:type="dxa"/>
            <w:tcBorders>
              <w:bottom w:val="single" w:sz="6" w:space="0" w:color="0075C9"/>
            </w:tcBorders>
            <w:tcMar>
              <w:bottom w:w="120" w:type="dxa"/>
            </w:tcMar>
            <w:vAlign w:val="center"/>
          </w:tcPr>
          <w:p>
            <w:pPr>
              <w:pStyle w:val="TableContents"/>
              <w:bidi w:val="0"/>
              <w:spacing w:before="0" w:after="0"/>
              <w:jc w:val="left"/>
              <w:rPr/>
            </w:pPr>
            <w:r>
              <w:rPr/>
              <w:t xml:space="preserve">   </w:t>
            </w:r>
            <w:r>
              <w:rPr/>
              <w:drawing>
                <wp:inline distT="0" distB="0" distL="0" distR="0">
                  <wp:extent cx="499745" cy="365760"/>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499745" cy="365760"/>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322" w:type="dxa"/>
            <w:tcBorders>
              <w:bottom w:val="single" w:sz="6" w:space="0" w:color="0075C9"/>
            </w:tcBorders>
            <w:tcMar>
              <w:bottom w:w="120" w:type="dxa"/>
            </w:tcMar>
            <w:vAlign w:val="center"/>
          </w:tcPr>
          <w:p>
            <w:pPr>
              <w:pStyle w:val="TableContents"/>
              <w:bidi w:val="0"/>
              <w:spacing w:before="0" w:after="283"/>
              <w:jc w:val="left"/>
              <w:rPr>
                <w:b/>
              </w:rPr>
            </w:pPr>
            <w:r>
              <w:rPr>
                <w:b/>
              </w:rPr>
              <w:t>Sustainability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792" w:type="dxa"/>
            <w:tcBorders>
              <w:bottom w:val="single" w:sz="6" w:space="0" w:color="0075C9"/>
            </w:tcBorders>
            <w:tcMar>
              <w:bottom w:w="120" w:type="dxa"/>
            </w:tcMar>
            <w:vAlign w:val="center"/>
          </w:tcPr>
          <w:p>
            <w:pPr>
              <w:pStyle w:val="TableContents"/>
              <w:bidi w:val="0"/>
              <w:spacing w:before="0" w:after="283"/>
              <w:jc w:val="left"/>
              <w:rPr/>
            </w:pPr>
            <w:r>
              <w:rPr/>
              <w:t>Our Environmental, Social, and Public Policy Committee assists the Board in overseeing Microsoft’s environmental sustainability commitments, customer expectations, and applicable regulatory requirements. The Committee receives updates and provides feedback on Microsoft’s progress towards environmental sustainability commitments across climate, water, waste, and biodiversity, as well as emerging regulations and other requirements.</w:t>
            </w:r>
          </w:p>
        </w:tc>
      </w:tr>
    </w:tbl>
    <w:p>
      <w:pPr>
        <w:pStyle w:val="TextBody"/>
        <w:bidi w:val="0"/>
        <w:spacing w:before="0" w:after="0"/>
        <w:jc w:val="left"/>
        <w:rPr/>
      </w:pPr>
      <w:r>
        <w:rPr/>
        <w:t> </w:t>
      </w:r>
    </w:p>
    <w:p>
      <w:pPr>
        <w:pStyle w:val="TextBody"/>
        <w:bidi w:val="0"/>
        <w:spacing w:before="0" w:after="0"/>
        <w:jc w:val="left"/>
        <w:rPr/>
      </w:pPr>
      <w:r>
        <w:rPr/>
        <w:t> </w:t>
      </w:r>
    </w:p>
    <w:tbl>
      <w:tblPr>
        <w:tblW w:w="1235" w:type="dxa"/>
        <w:jc w:val="left"/>
        <w:tblInd w:w="0" w:type="dxa"/>
        <w:tblLayout w:type="fixed"/>
        <w:tblCellMar>
          <w:top w:w="0" w:type="dxa"/>
          <w:left w:w="0" w:type="dxa"/>
          <w:bottom w:w="0" w:type="dxa"/>
          <w:right w:w="0" w:type="dxa"/>
        </w:tblCellMar>
      </w:tblPr>
      <w:tblGrid>
        <w:gridCol w:w="155"/>
        <w:gridCol w:w="120"/>
        <w:gridCol w:w="960"/>
      </w:tblGrid>
      <w:tr>
        <w:trPr/>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color w:val="0075C9"/>
              </w:rPr>
            </w:pPr>
            <w:r>
              <w:rPr>
                <w:b/>
                <w:color w:val="0075C9"/>
              </w:rPr>
              <w:t>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6" w:name="toc61756_4"/>
      <w:bookmarkEnd w:id="6"/>
      <w:r>
        <w:rPr>
          <w:rFonts w:ascii="Arial" w:hAnsi="Arial"/>
          <w:b/>
          <w:color w:val="0075C9"/>
          <w:sz w:val="28"/>
        </w:rPr>
        <w:t xml:space="preserve">Our Governance Structure </w:t>
      </w:r>
    </w:p>
    <w:p>
      <w:pPr>
        <w:pStyle w:val="TextBody"/>
        <w:bidi w:val="0"/>
        <w:spacing w:before="120" w:after="0"/>
        <w:jc w:val="left"/>
        <w:rPr>
          <w:rFonts w:ascii="Arial" w:hAnsi="Arial"/>
          <w:b/>
          <w:sz w:val="24"/>
        </w:rPr>
      </w:pPr>
      <w:r>
        <w:rPr>
          <w:rFonts w:ascii="Arial" w:hAnsi="Arial"/>
          <w:b/>
          <w:sz w:val="24"/>
        </w:rPr>
        <w:t xml:space="preserve">Framework </w:t>
      </w:r>
    </w:p>
    <w:p>
      <w:pPr>
        <w:pStyle w:val="TextBody"/>
        <w:bidi w:val="0"/>
        <w:spacing w:before="120" w:after="0"/>
        <w:jc w:val="left"/>
        <w:rPr>
          <w:rFonts w:ascii="Arial" w:hAnsi="Arial"/>
          <w:sz w:val="18"/>
        </w:rPr>
      </w:pPr>
      <w:r>
        <w:rPr>
          <w:rFonts w:ascii="Arial" w:hAnsi="Arial"/>
          <w:sz w:val="18"/>
        </w:rPr>
        <w:t xml:space="preserve">We have developed a corporate governance framework designed to ensure our Board has the practices in place to review and evaluate our business operations and to make decisions independent of management. Our goal is to align the interests of directors, management, and shareholders, and comply with or exceed the requirements of the Nasdaq Stock Market LLC (“Nasdaq”) and applicable laws and regulations. This framework establishes the practices our Board follows with respect to, among other things, Board composition and member selection, Board meetings and involvement of senior leadership, director compensation, CEO performance evaluation, management succession planning, and Board committees. The Board is committed to seeking opportunities for improvements on an ongoing basis. Each summer, the Board reviews and, if appropriate, updates our corporate governance framework based on shareholder feedback, results from the annual shareholders meeting, the Board and committees’ annual assessments, governance best practices, and regulatory developments. The documents listed below, and available on our website at </w:t>
      </w:r>
      <w:r>
        <w:rPr>
          <w:rFonts w:ascii="Arial" w:hAnsi="Arial"/>
          <w:sz w:val="18"/>
          <w:u w:val="single"/>
        </w:rPr>
        <w:t>aka.ms/policiesandguidelines</w:t>
      </w:r>
      <w:r>
        <w:rPr>
          <w:rFonts w:ascii="Arial" w:hAnsi="Arial"/>
          <w:sz w:val="18"/>
        </w:rPr>
        <w:t xml:space="preserve">, are maintained by the Company as part of our governance framework. </w:t>
      </w:r>
    </w:p>
    <w:p>
      <w:pPr>
        <w:pStyle w:val="TextBody"/>
        <w:bidi w:val="0"/>
        <w:spacing w:before="0" w:after="0"/>
        <w:jc w:val="left"/>
        <w:rPr/>
      </w:pPr>
      <w:r>
        <w:rPr/>
        <w:t> </w:t>
      </w:r>
    </w:p>
    <w:tbl>
      <w:tblPr>
        <w:tblW w:w="13825" w:type="dxa"/>
        <w:jc w:val="left"/>
        <w:tblInd w:w="0" w:type="dxa"/>
        <w:tblLayout w:type="fixed"/>
        <w:tblCellMar>
          <w:top w:w="0" w:type="dxa"/>
          <w:left w:w="0" w:type="dxa"/>
          <w:bottom w:w="0" w:type="dxa"/>
          <w:right w:w="0" w:type="dxa"/>
        </w:tblCellMar>
      </w:tblPr>
      <w:tblGrid>
        <w:gridCol w:w="7340"/>
        <w:gridCol w:w="60"/>
        <w:gridCol w:w="6425"/>
      </w:tblGrid>
      <w:tr>
        <w:trPr/>
        <w:tc>
          <w:tcPr>
            <w:tcW w:w="7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7340"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Articles of Incorporation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Bylaws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Corporate Governance Guidelines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Director Independence Guidelines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Microsoft Finance Code of Professional Conduct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Microsoft Standards of Business Conduct (our “Trust Code”)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Audit and Finance Committee Charter and Responsibilities Calendar</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Committee Charter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Environmental, Social, and Public Policy Committee Charter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Governance and Nominating Committee Charter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Stock Ownership Policy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Executive Compensation Recovery Policy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Compensation Consultant Independence Standards</w:t>
            </w:r>
          </w:p>
        </w:tc>
      </w:tr>
    </w:tbl>
    <w:p>
      <w:pPr>
        <w:pStyle w:val="TextBody"/>
        <w:bidi w:val="0"/>
        <w:spacing w:before="240" w:after="0"/>
        <w:jc w:val="left"/>
        <w:rPr>
          <w:rFonts w:ascii="Arial" w:hAnsi="Arial"/>
          <w:b/>
          <w:sz w:val="24"/>
        </w:rPr>
      </w:pPr>
      <w:r>
        <w:rPr>
          <w:rFonts w:ascii="Arial" w:hAnsi="Arial"/>
          <w:b/>
          <w:sz w:val="24"/>
        </w:rPr>
        <w:t xml:space="preserve">Shareholder Rights </w:t>
      </w:r>
    </w:p>
    <w:p>
      <w:pPr>
        <w:pStyle w:val="TextBody"/>
        <w:bidi w:val="0"/>
        <w:spacing w:before="120" w:after="0"/>
        <w:jc w:val="left"/>
        <w:rPr>
          <w:rFonts w:ascii="Arial" w:hAnsi="Arial"/>
          <w:sz w:val="18"/>
        </w:rPr>
      </w:pPr>
      <w:r>
        <w:rPr>
          <w:rFonts w:ascii="Arial" w:hAnsi="Arial"/>
          <w:sz w:val="18"/>
        </w:rPr>
        <w:t xml:space="preserve">Microsoft strives to implement best practices in shareholder rights and to ensure the Company and Board align with the long-term interests of shareholders. We have enhanced our corporate governance framework over time based on input from our Board, shareholders, and other governance experts. Shareholder rights include: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125"/>
        <w:gridCol w:w="60"/>
        <w:gridCol w:w="47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Arial" w:hAnsi="Arial"/>
                <w:sz w:val="18"/>
              </w:rPr>
            </w:pPr>
            <w:r>
              <w:rPr>
                <w:rFonts w:ascii="Arial" w:hAnsi="Arial"/>
                <w:sz w:val="18"/>
              </w:rPr>
              <w:t xml:space="preserve">Single class of shares with each share entitled to one vote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125"/>
        <w:gridCol w:w="60"/>
        <w:gridCol w:w="42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Arial" w:hAnsi="Arial"/>
                <w:sz w:val="18"/>
              </w:rPr>
            </w:pPr>
            <w:r>
              <w:rPr>
                <w:rFonts w:ascii="Arial" w:hAnsi="Arial"/>
                <w:sz w:val="18"/>
              </w:rPr>
              <w:t xml:space="preserve">Annual election of all directors (unclassified board)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125"/>
        <w:gridCol w:w="60"/>
        <w:gridCol w:w="50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Arial" w:hAnsi="Arial"/>
                <w:sz w:val="18"/>
              </w:rPr>
            </w:pPr>
            <w:r>
              <w:rPr>
                <w:rFonts w:ascii="Arial" w:hAnsi="Arial"/>
                <w:sz w:val="18"/>
              </w:rPr>
              <w:t xml:space="preserve">Majority voting standard for directors in uncontested elections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125"/>
        <w:gridCol w:w="60"/>
        <w:gridCol w:w="21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Arial" w:hAnsi="Arial"/>
                <w:sz w:val="18"/>
              </w:rPr>
            </w:pPr>
            <w:r>
              <w:rPr>
                <w:rFonts w:ascii="Arial" w:hAnsi="Arial"/>
                <w:sz w:val="18"/>
              </w:rPr>
              <w:t xml:space="preserve">Confidential voting policy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125"/>
        <w:gridCol w:w="60"/>
        <w:gridCol w:w="67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Arial" w:hAnsi="Arial"/>
                <w:sz w:val="18"/>
              </w:rPr>
            </w:pPr>
            <w:r>
              <w:rPr>
                <w:rFonts w:ascii="Arial" w:hAnsi="Arial"/>
                <w:sz w:val="18"/>
              </w:rPr>
              <w:t xml:space="preserve">Shareholders of 15% of outstanding shares have the right to call a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Proxy access bylaw allows groups of up to 20 shareholders holding 3% of shares for at least three years to nominate up to two individuals or 20% of the Board (whichever is greater) for inclusion in the proxy statement and ballot for election at an annual shareholders meeting </w:t>
            </w:r>
          </w:p>
        </w:tc>
      </w:tr>
    </w:tbl>
    <w:p>
      <w:pPr>
        <w:pStyle w:val="TextBody"/>
        <w:bidi w:val="0"/>
        <w:spacing w:before="120" w:after="0"/>
        <w:jc w:val="left"/>
        <w:rPr>
          <w:rFonts w:ascii="Arial" w:hAnsi="Arial"/>
          <w:sz w:val="18"/>
        </w:rPr>
      </w:pPr>
      <w:r>
        <w:rPr>
          <w:rFonts w:ascii="Arial" w:hAnsi="Arial"/>
          <w:sz w:val="18"/>
        </w:rPr>
        <w:t xml:space="preserve">Other requirements that align Company and long-term interests of shareholders include: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125"/>
        <w:gridCol w:w="60"/>
        <w:gridCol w:w="80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Arial" w:hAnsi="Arial"/>
                <w:sz w:val="18"/>
              </w:rPr>
            </w:pPr>
            <w:r>
              <w:rPr>
                <w:rFonts w:ascii="Arial" w:hAnsi="Arial"/>
                <w:sz w:val="18"/>
              </w:rPr>
              <w:t xml:space="preserve">Significant stock ownership requirements for directors, executive officers, and other senior leaders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Comprehensive ‘no-fault’ executive compensation recovery (“clawback”) policy that applies to executive officers, other senior leaders, and our chief accounting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Strict hedging and pledging prohibitions against our directors and executive officers hedging their ownership of Microsoft stock, including by trading in options, puts, calls, or other derivative instruments related to Company equity or debt securities. Directors and executive officers are prohibited from purchasing Microsoft stock on margin, borrowing against Microsoft stock held in a margin account, or pledging Microsoft stock as collateral for a loan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Board tenure policy that seeks to maintain an average tenure of 10 years or less for the Board’s independent directors as a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Public company board service guideline that, absent circumstances that enable the director to have sufficient capacity, generally no director should serve on more than three other public company boards. Directors who are current CEOs should not serve on more than one other public company board </w:t>
            </w:r>
          </w:p>
        </w:tc>
      </w:tr>
    </w:tbl>
    <w:p>
      <w:pPr>
        <w:pStyle w:val="TextBody"/>
        <w:bidi w:val="0"/>
        <w:spacing w:before="0" w:after="0"/>
        <w:jc w:val="left"/>
        <w:rPr/>
      </w:pPr>
      <w:r>
        <w:rPr/>
        <w:t>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2045"/>
        <w:gridCol w:w="60"/>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color w:val="0075C9"/>
              </w:rPr>
            </w:pPr>
            <w:r>
              <w:rPr>
                <w:b/>
                <w:color w:val="0075C9"/>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Shareholder Engagement </w:t>
      </w:r>
    </w:p>
    <w:p>
      <w:pPr>
        <w:pStyle w:val="TextBody"/>
        <w:bidi w:val="0"/>
        <w:spacing w:before="120" w:after="0"/>
        <w:jc w:val="left"/>
        <w:rPr>
          <w:rFonts w:ascii="Arial" w:hAnsi="Arial"/>
          <w:sz w:val="18"/>
        </w:rPr>
      </w:pPr>
      <w:r>
        <w:rPr>
          <w:rFonts w:ascii="Arial" w:hAnsi="Arial"/>
          <w:sz w:val="18"/>
        </w:rPr>
        <w:t xml:space="preserve">Effective corporate governance includes regular, constructive conversations with our shareholders to proactively seek shareholder insights and to answer shareholder inquiries. We maintain an active dialogue with shareholders to ensure we thoughtfully consider a diversity of perspectives on issues including strategy, business performance, risk, culture and workplace topics, compensation practices, and a broad range of environmental and social topics. As noted above, the Board updates our corporate governance framework each summer based on a number of inputs, including shareholder feedback. </w:t>
      </w:r>
    </w:p>
    <w:p>
      <w:pPr>
        <w:pStyle w:val="TextBody"/>
        <w:bidi w:val="0"/>
        <w:spacing w:before="120" w:after="0"/>
        <w:jc w:val="left"/>
        <w:rPr>
          <w:rFonts w:ascii="Arial" w:hAnsi="Arial"/>
          <w:sz w:val="18"/>
        </w:rPr>
      </w:pPr>
      <w:r>
        <w:rPr>
          <w:rFonts w:ascii="Arial" w:hAnsi="Arial"/>
          <w:sz w:val="18"/>
        </w:rPr>
        <w:t xml:space="preserve">Our Office of the Corporate Secretary coordinates shareholder engagement with Investor Relations and provides a summary of all relevant environmental, social, and governance (“ESG”) feedback to our Board. In fiscal year 2026, we engaged on ESG topics with a cross-section of shareholders owning approximately 50% of Microsoft shares. The Lead Independent Director and Compensation Committee chair also have ongoing consultations on governance and executive compensation topics with a cross-section of Microsoft’s large institutional investors. In addition, throughout the year our Investor Relations group engages with our shareholders, frequently along with Satya Nadella, our Chairman and CEO, and Amy Hood, our CFO. </w:t>
      </w:r>
    </w:p>
    <w:p>
      <w:pPr>
        <w:pStyle w:val="TextBody"/>
        <w:bidi w:val="0"/>
        <w:spacing w:before="120" w:after="0"/>
        <w:jc w:val="left"/>
        <w:rPr>
          <w:rFonts w:ascii="Arial" w:hAnsi="Arial"/>
          <w:sz w:val="18"/>
        </w:rPr>
      </w:pPr>
      <w:r>
        <w:rPr>
          <w:rFonts w:ascii="Arial" w:hAnsi="Arial"/>
          <w:sz w:val="18"/>
        </w:rPr>
        <w:t xml:space="preserve">We also share relevant information through our Investor Relations website, our Annual Report, this Proxy Statement, our Reports Hub, and in posts on the Microsoft On the Issues blog. </w:t>
      </w:r>
    </w:p>
    <w:p>
      <w:pPr>
        <w:pStyle w:val="TextBody"/>
        <w:bidi w:val="0"/>
        <w:spacing w:before="240" w:after="0"/>
        <w:jc w:val="left"/>
        <w:rPr>
          <w:rFonts w:ascii="Arial" w:hAnsi="Arial"/>
          <w:b/>
          <w:sz w:val="24"/>
        </w:rPr>
      </w:pPr>
      <w:r>
        <w:rPr>
          <w:rFonts w:ascii="Arial" w:hAnsi="Arial"/>
          <w:b/>
          <w:sz w:val="24"/>
        </w:rPr>
        <w:t xml:space="preserve">Board Leadership </w:t>
      </w:r>
    </w:p>
    <w:p>
      <w:pPr>
        <w:pStyle w:val="TextBody"/>
        <w:bidi w:val="0"/>
        <w:spacing w:before="120" w:after="0"/>
        <w:jc w:val="left"/>
        <w:rPr>
          <w:rFonts w:ascii="Arial" w:hAnsi="Arial"/>
          <w:sz w:val="18"/>
        </w:rPr>
      </w:pPr>
      <w:r>
        <w:rPr>
          <w:rFonts w:ascii="Arial" w:hAnsi="Arial"/>
          <w:sz w:val="18"/>
        </w:rPr>
        <w:t xml:space="preserve">The Board’s independent directors elected Satya Nadella to the role of Chairman and CEO, and Sandra Peterson as Lead Independent Director. </w:t>
      </w:r>
    </w:p>
    <w:p>
      <w:pPr>
        <w:pStyle w:val="TextBody"/>
        <w:bidi w:val="0"/>
        <w:spacing w:before="120" w:after="0"/>
        <w:jc w:val="left"/>
        <w:rPr>
          <w:rFonts w:ascii="Arial" w:hAnsi="Arial"/>
          <w:sz w:val="18"/>
        </w:rPr>
      </w:pPr>
      <w:r>
        <w:rPr>
          <w:rFonts w:ascii="Arial" w:hAnsi="Arial"/>
          <w:sz w:val="18"/>
        </w:rPr>
        <w:t xml:space="preserve">In his role, Mr. Nadella leverages his deep understanding of the business to elevate the right strategic opportunities and identify key risks and mitigation approaches for the Board’s review. As Lead Independent Director, Ms. Peterson has a clearly defined set of responsibilities, significant authority, and provides independent Board leadership. Key responsibilities and authority include: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125"/>
        <w:gridCol w:w="60"/>
        <w:gridCol w:w="68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Arial" w:hAnsi="Arial"/>
                <w:sz w:val="18"/>
              </w:rPr>
            </w:pPr>
            <w:r>
              <w:rPr>
                <w:rFonts w:ascii="Arial" w:hAnsi="Arial"/>
                <w:sz w:val="18"/>
              </w:rPr>
              <w:t xml:space="preserve">Chairing executive sessions and coordinates activities of the independent directors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125"/>
        <w:gridCol w:w="60"/>
        <w:gridCol w:w="47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Arial" w:hAnsi="Arial"/>
                <w:sz w:val="18"/>
              </w:rPr>
            </w:pPr>
            <w:r>
              <w:rPr>
                <w:rFonts w:ascii="Arial" w:hAnsi="Arial"/>
                <w:sz w:val="18"/>
              </w:rPr>
              <w:t xml:space="preserve">Leading the Board’s annual CEO performance evaluation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25"/>
        <w:gridCol w:w="60"/>
        <w:gridCol w:w="95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18"/>
              </w:rPr>
            </w:pPr>
            <w:r>
              <w:rPr>
                <w:rFonts w:ascii="Arial" w:hAnsi="Arial"/>
                <w:sz w:val="18"/>
              </w:rPr>
              <w:t xml:space="preserve">Coordinating Board oversight of CEO succession planning, including maintenance of an emergency succession plan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125"/>
        <w:gridCol w:w="60"/>
        <w:gridCol w:w="81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Arial" w:hAnsi="Arial"/>
                <w:sz w:val="18"/>
              </w:rPr>
            </w:pPr>
            <w:r>
              <w:rPr>
                <w:rFonts w:ascii="Arial" w:hAnsi="Arial"/>
                <w:sz w:val="18"/>
              </w:rPr>
              <w:t xml:space="preserve">Shaping, reviewing, and has final authority to approve the agenda and schedule for Board meetings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25"/>
        <w:gridCol w:w="60"/>
        <w:gridCol w:w="35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jc w:val="left"/>
              <w:rPr>
                <w:rFonts w:ascii="Arial" w:hAnsi="Arial"/>
                <w:sz w:val="18"/>
              </w:rPr>
            </w:pPr>
            <w:r>
              <w:rPr>
                <w:rFonts w:ascii="Arial" w:hAnsi="Arial"/>
                <w:sz w:val="18"/>
              </w:rPr>
              <w:t xml:space="preserve">Chairing the annual shareholders meeting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125"/>
        <w:gridCol w:w="60"/>
        <w:gridCol w:w="6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Arial" w:hAnsi="Arial"/>
                <w:sz w:val="18"/>
              </w:rPr>
            </w:pPr>
            <w:r>
              <w:rPr>
                <w:rFonts w:ascii="Arial" w:hAnsi="Arial"/>
                <w:sz w:val="18"/>
              </w:rPr>
              <w:t xml:space="preserve">Acting as liaison between the independent directors and the Chairman and CEO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125"/>
        <w:gridCol w:w="60"/>
        <w:gridCol w:w="83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18"/>
              </w:rPr>
            </w:pPr>
            <w:r>
              <w:rPr>
                <w:rFonts w:ascii="Arial" w:hAnsi="Arial"/>
                <w:sz w:val="18"/>
              </w:rPr>
              <w:t xml:space="preserve">Authorizing retention of outside counsel, advisors, or other consultants who report directly to the Board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25"/>
        <w:gridCol w:w="60"/>
        <w:gridCol w:w="59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sz w:val="18"/>
              </w:rPr>
            </w:pPr>
            <w:r>
              <w:rPr>
                <w:rFonts w:ascii="Arial" w:hAnsi="Arial"/>
                <w:sz w:val="18"/>
              </w:rPr>
              <w:t xml:space="preserve">Leading the Board meetings when the Chairman and CEO is not present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125"/>
        <w:gridCol w:w="60"/>
        <w:gridCol w:w="3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Arial" w:hAnsi="Arial"/>
                <w:sz w:val="18"/>
              </w:rPr>
            </w:pPr>
            <w:r>
              <w:rPr>
                <w:rFonts w:ascii="Arial" w:hAnsi="Arial"/>
                <w:sz w:val="18"/>
              </w:rPr>
              <w:t xml:space="preserve">Calling meetings of the independent directors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125"/>
        <w:gridCol w:w="60"/>
        <w:gridCol w:w="6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18"/>
              </w:rPr>
            </w:pPr>
            <w:r>
              <w:rPr>
                <w:rFonts w:ascii="Arial" w:hAnsi="Arial"/>
                <w:sz w:val="18"/>
              </w:rPr>
              <w:t xml:space="preserve">Representing the Board with internal and external audiences, including shareholders </w:t>
            </w:r>
          </w:p>
        </w:tc>
      </w:tr>
    </w:tbl>
    <w:p>
      <w:pPr>
        <w:pStyle w:val="TextBody"/>
        <w:bidi w:val="0"/>
        <w:spacing w:before="120" w:after="0"/>
        <w:jc w:val="left"/>
        <w:rPr>
          <w:rFonts w:ascii="Arial" w:hAnsi="Arial"/>
          <w:sz w:val="18"/>
        </w:rPr>
      </w:pPr>
      <w:r>
        <w:rPr>
          <w:rFonts w:ascii="Arial" w:hAnsi="Arial"/>
          <w:sz w:val="18"/>
        </w:rPr>
        <w:t xml:space="preserve">The Board does not have a policy as to whether the Chairman should be an independent director, an affiliated director, or a member of management. The independent directors annually appoint a Chairman of the Board. To ensure robust independent leadership on the Board, if the individual appointed as Chairman is not an independent director, or when the independent directors determine that it is in the best interests of the Company, the independent directors will also annually appoint a Lead Independent Director. Our Board believes its current leadership structure is appropriate because it effectively allocates authority, responsibility, and oversight between management and the independent members of our Board. It does this by giving primary responsibility for the operational leadership and strategic direction of the Company to our Chairman and Chief Executive Officer, while enabling the Lead Independent Director to facilitate our Board’s independent oversight of management, promote communication between management and our Board, and support our Board’s consideration of key governance matters. The Board believes its programs for overseeing risk, as described in this Part 1 under “Risk Oversight,” would be effective under a variety of leadership frameworks and therefore do not materially affect its choice of structure.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10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CEO Succession </w:t>
      </w:r>
    </w:p>
    <w:p>
      <w:pPr>
        <w:pStyle w:val="TextBody"/>
        <w:bidi w:val="0"/>
        <w:spacing w:before="120" w:after="0"/>
        <w:jc w:val="left"/>
        <w:rPr>
          <w:rFonts w:ascii="Arial" w:hAnsi="Arial"/>
          <w:sz w:val="18"/>
        </w:rPr>
      </w:pPr>
      <w:r>
        <w:rPr>
          <w:rFonts w:ascii="Arial" w:hAnsi="Arial"/>
          <w:sz w:val="18"/>
        </w:rPr>
        <w:t xml:space="preserve">A primary responsibility of the Board is planning for CEO succession and overseeing identification and development of other senior officers. The Board and the Compensation Committee work with the CEO and our Chief Human Resources Officer to plan for succession. For the CEO, the succession plan covers identification of internal and external candidates, and professional and leadership development plans for internal candidates. The Board annually reviews the CEO succession plan. The criteria used to assess potential CEO candidates are formulated based on the Company’s business strategies, and include strategic vision, leadership, and operational execution. The Board is committed to actively seeking highly qualified women and individuals from minority groups to include in the pool of potential CEO candidates. The Board maintains an emergency succession contingency plan that is reviewed on an annual basis by the Board and Governance and Nominating Committee. The plan identifies roles and responsibilities of individuals who would act if an unforeseen event prevented the CEO from continuing to serve. The Compensation Committee reviews the plan with the CEO and reports to the Board on development and succession plans for the other senior officers. The Board may review development and succession planning more frequently as it deems necessary or desirable. </w:t>
      </w:r>
    </w:p>
    <w:p>
      <w:pPr>
        <w:pStyle w:val="TextBody"/>
        <w:bidi w:val="0"/>
        <w:spacing w:before="240" w:after="0"/>
        <w:jc w:val="left"/>
        <w:rPr>
          <w:rFonts w:ascii="Arial" w:hAnsi="Arial"/>
          <w:b/>
          <w:sz w:val="24"/>
        </w:rPr>
      </w:pPr>
      <w:r>
        <w:rPr>
          <w:rFonts w:ascii="Arial" w:hAnsi="Arial"/>
          <w:b/>
          <w:sz w:val="24"/>
        </w:rPr>
        <w:t xml:space="preserve">Annual Board and Committee Evaluation Process </w:t>
      </w:r>
    </w:p>
    <w:p>
      <w:pPr>
        <w:pStyle w:val="TextBody"/>
        <w:bidi w:val="0"/>
        <w:spacing w:before="120" w:after="0"/>
        <w:jc w:val="left"/>
        <w:rPr>
          <w:rFonts w:ascii="Arial" w:hAnsi="Arial"/>
          <w:sz w:val="18"/>
        </w:rPr>
      </w:pPr>
      <w:r>
        <w:rPr>
          <w:rFonts w:ascii="Arial" w:hAnsi="Arial"/>
          <w:sz w:val="18"/>
        </w:rPr>
        <w:t xml:space="preserve">The Board is committed to a rigorous self-evaluation process. The Governance and Nominating Committee annually evaluates the performance of the Board. In fiscal year 2026, the evaluation included utilizing a third-party facilitator to seek feedback from each director on the performance of the Board and each committee. The results were reported to and discussed with the Board and each relevant committee. </w:t>
      </w:r>
    </w:p>
    <w:p>
      <w:pPr>
        <w:pStyle w:val="TextBody"/>
        <w:bidi w:val="0"/>
        <w:spacing w:before="120" w:after="0"/>
        <w:jc w:val="left"/>
        <w:rPr>
          <w:rFonts w:ascii="Arial" w:hAnsi="Arial"/>
          <w:sz w:val="18"/>
        </w:rPr>
      </w:pPr>
      <w:r>
        <w:rPr>
          <w:rFonts w:ascii="Arial" w:hAnsi="Arial"/>
          <w:sz w:val="18"/>
        </w:rPr>
        <w:t xml:space="preserve">Our evaluation process is designed to elicit feedback on the processes, structure, composition, and effectiveness of the Board and each committee. The evaluation results have facilitated increased Board and committee effectiveness, including driving clarity on key areas for the Board’s focus over the coming year, focus on sustainable growth strategies for the Company, and input on management development and succession planning, as well as Board and committee composition and recruiting. </w:t>
      </w:r>
    </w:p>
    <w:p>
      <w:pPr>
        <w:pStyle w:val="TextBody"/>
        <w:bidi w:val="0"/>
        <w:spacing w:before="240" w:after="0"/>
        <w:jc w:val="left"/>
        <w:rPr>
          <w:rFonts w:ascii="Arial" w:hAnsi="Arial"/>
          <w:b/>
          <w:sz w:val="24"/>
        </w:rPr>
      </w:pPr>
      <w:r>
        <w:rPr>
          <w:rFonts w:ascii="Arial" w:hAnsi="Arial"/>
          <w:b/>
          <w:sz w:val="24"/>
        </w:rPr>
        <w:t xml:space="preserve">Director Attendance </w:t>
      </w:r>
    </w:p>
    <w:p>
      <w:pPr>
        <w:pStyle w:val="TextBody"/>
        <w:bidi w:val="0"/>
        <w:spacing w:before="120" w:after="0"/>
        <w:jc w:val="left"/>
        <w:rPr>
          <w:rFonts w:ascii="Arial" w:hAnsi="Arial"/>
          <w:sz w:val="18"/>
        </w:rPr>
      </w:pPr>
      <w:r>
        <w:rPr>
          <w:rFonts w:ascii="Arial" w:hAnsi="Arial"/>
          <w:sz w:val="18"/>
        </w:rPr>
        <w:t xml:space="preserve">Each quarter, our Board holds two-day meetings comprised of committee and Board meetings. At each quarterly Board meeting, time is set aside for the independent directors to meet without management present. Additional executive sessions are held as needed. </w:t>
      </w:r>
    </w:p>
    <w:p>
      <w:pPr>
        <w:pStyle w:val="TextBody"/>
        <w:bidi w:val="0"/>
        <w:spacing w:before="120" w:after="0"/>
        <w:jc w:val="left"/>
        <w:rPr>
          <w:rFonts w:ascii="Arial" w:hAnsi="Arial"/>
          <w:sz w:val="18"/>
        </w:rPr>
      </w:pPr>
      <w:r>
        <w:rPr>
          <w:rFonts w:ascii="Arial" w:hAnsi="Arial"/>
          <w:sz w:val="18"/>
        </w:rPr>
        <w:t xml:space="preserve">In addition to the quarterly meetings, typically there are other regularly scheduled Board and committee meetings and several special meetings each year. Our Board met nine times during fiscal year 2026. In addition, the Board held periodic strategy sessions, which included presentations and discussions with senior officers and other senior leadership. </w:t>
      </w:r>
    </w:p>
    <w:p>
      <w:pPr>
        <w:pStyle w:val="TextBody"/>
        <w:bidi w:val="0"/>
        <w:spacing w:before="120" w:after="0"/>
        <w:jc w:val="left"/>
        <w:rPr>
          <w:rFonts w:ascii="Arial" w:hAnsi="Arial"/>
          <w:sz w:val="18"/>
        </w:rPr>
      </w:pPr>
      <w:r>
        <w:rPr>
          <w:rFonts w:ascii="Arial" w:hAnsi="Arial"/>
          <w:sz w:val="18"/>
        </w:rPr>
        <w:t xml:space="preserve">Each director nominee attended at least 75% of the aggregate of all fiscal year 2026 meetings of the Board and each committee on which he or she served. In fiscal year 2026, the Board and committees of the Board held a total of 33 meetings. Together, the director nominees attended at least 90% of the combined total meetings of the Board and the committees on which they were members in fiscal year 2026. </w:t>
      </w:r>
    </w:p>
    <w:p>
      <w:pPr>
        <w:pStyle w:val="TextBody"/>
        <w:bidi w:val="0"/>
        <w:spacing w:before="120" w:after="0"/>
        <w:jc w:val="left"/>
        <w:rPr>
          <w:rFonts w:ascii="Arial" w:hAnsi="Arial"/>
          <w:sz w:val="18"/>
        </w:rPr>
      </w:pPr>
      <w:r>
        <w:rPr>
          <w:rFonts w:ascii="Arial" w:hAnsi="Arial"/>
          <w:sz w:val="18"/>
        </w:rPr>
        <w:t xml:space="preserve">Directors are expected to attend the annual shareholders meeting, if practicable. All directors attended the 2025 Annual Meeting. </w:t>
      </w:r>
    </w:p>
    <w:p>
      <w:pPr>
        <w:pStyle w:val="TextBody"/>
        <w:bidi w:val="0"/>
        <w:spacing w:before="240" w:after="0"/>
        <w:jc w:val="left"/>
        <w:rPr>
          <w:rFonts w:ascii="Arial" w:hAnsi="Arial"/>
          <w:b/>
          <w:sz w:val="24"/>
        </w:rPr>
      </w:pPr>
      <w:r>
        <w:rPr>
          <w:rFonts w:ascii="Arial" w:hAnsi="Arial"/>
          <w:b/>
          <w:sz w:val="24"/>
        </w:rPr>
        <w:t xml:space="preserve">Director Orientation and Continuing Education </w:t>
      </w:r>
    </w:p>
    <w:p>
      <w:pPr>
        <w:pStyle w:val="TextBody"/>
        <w:bidi w:val="0"/>
        <w:spacing w:before="120" w:after="0"/>
        <w:jc w:val="left"/>
        <w:rPr>
          <w:rFonts w:ascii="Arial" w:hAnsi="Arial"/>
          <w:sz w:val="18"/>
        </w:rPr>
      </w:pPr>
      <w:r>
        <w:rPr>
          <w:rFonts w:ascii="Arial" w:hAnsi="Arial"/>
          <w:sz w:val="18"/>
        </w:rPr>
        <w:t xml:space="preserve">Our orientation programs are designed to familiarize new directors with our businesses, strategies, and policies and assist new directors in developing Company and industry knowledge to optimize their service on the Board. </w:t>
      </w:r>
    </w:p>
    <w:p>
      <w:pPr>
        <w:pStyle w:val="TextBody"/>
        <w:bidi w:val="0"/>
        <w:spacing w:before="120" w:after="0"/>
        <w:jc w:val="left"/>
        <w:rPr>
          <w:rFonts w:ascii="Arial" w:hAnsi="Arial"/>
          <w:sz w:val="18"/>
        </w:rPr>
      </w:pPr>
      <w:r>
        <w:rPr>
          <w:rFonts w:ascii="Arial" w:hAnsi="Arial"/>
          <w:sz w:val="18"/>
        </w:rPr>
        <w:t xml:space="preserve">We support our directors in their continuing education by providing programs that enhance the skills and knowledge directors use to perform their responsibilities. These programs may include internally developed programs or programs presented by third parties. Past sessions covered topics ranging from Microsoft’s evolving marketing and brand strategy to hands-on experiences with the Gaming and XBOX roadmap and the Company’s vision for Microsoft AI.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color w:val="0075C9"/>
                <w:spacing w:val="0"/>
                <w:sz w:val="42"/>
              </w:rPr>
            </w:pPr>
            <w:r>
              <w:rPr>
                <w:color w:val="0075C9"/>
                <w:spacing w:val="0"/>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pacing w:val="0"/>
                <w:sz w:val="14"/>
              </w:rPr>
            </w:pPr>
            <w:r>
              <w:rPr>
                <w:rFonts w:ascii="Arial" w:hAnsi="Arial"/>
                <w:color w:val="0075C9"/>
                <w:spacing w:val="0"/>
                <w:sz w:val="14"/>
              </w:rPr>
              <w:t>BOARD OF</w:t>
            </w:r>
          </w:p>
          <w:p>
            <w:pPr>
              <w:pStyle w:val="TableContents"/>
              <w:bidi w:val="0"/>
              <w:spacing w:before="0" w:after="0"/>
              <w:jc w:val="left"/>
              <w:rPr>
                <w:rFonts w:ascii="Arial" w:hAnsi="Arial"/>
                <w:color w:val="0075C9"/>
                <w:spacing w:val="0"/>
                <w:sz w:val="14"/>
              </w:rPr>
            </w:pPr>
            <w:r>
              <w:rPr>
                <w:rFonts w:ascii="Arial" w:hAnsi="Arial"/>
                <w:color w:val="0075C9"/>
                <w:spacing w:val="0"/>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left"/>
              <w:rPr>
                <w:spacing w:val="0"/>
              </w:rPr>
            </w:pPr>
            <w:r>
              <w:rPr>
                <w:spacing w:val="0"/>
              </w:rPr>
              <w:t> </w:t>
            </w:r>
            <w:r>
              <w:rPr>
                <w:spacing w:val="0"/>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bidi w:val="0"/>
              <w:spacing w:before="0" w:after="0"/>
              <w:jc w:val="left"/>
              <w:rPr>
                <w:bdr w:val="single" w:sz="48" w:space="1" w:color="0075C9"/>
              </w:rPr>
            </w:pPr>
            <w:r>
              <w:rPr>
                <w:bdr w:val="single" w:sz="48" w:space="1" w:color="0075C9"/>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Director Stock Ownership Policy </w:t>
      </w:r>
    </w:p>
    <w:p>
      <w:pPr>
        <w:pStyle w:val="TextBody"/>
        <w:bidi w:val="0"/>
        <w:spacing w:before="120" w:after="0"/>
        <w:jc w:val="left"/>
        <w:rPr>
          <w:rFonts w:ascii="Arial" w:hAnsi="Arial"/>
          <w:sz w:val="18"/>
        </w:rPr>
      </w:pPr>
      <w:r>
        <w:rPr>
          <w:rFonts w:ascii="Arial" w:hAnsi="Arial"/>
          <w:sz w:val="18"/>
        </w:rPr>
        <w:t xml:space="preserve">To align the interests of our directors and shareholders, our directors are required to own Microsoft shares equal in value to at least three times the base annual retainer (cash and stock) payable to a director. Each director must retain 50% of all net shares </w:t>
      </w:r>
    </w:p>
    <w:p>
      <w:pPr>
        <w:pStyle w:val="TextBody"/>
        <w:bidi w:val="0"/>
        <w:spacing w:before="120" w:after="0"/>
        <w:jc w:val="left"/>
        <w:rPr>
          <w:rFonts w:ascii="Arial" w:hAnsi="Arial"/>
          <w:spacing w:val="0"/>
          <w:sz w:val="18"/>
        </w:rPr>
      </w:pPr>
      <w:r>
        <w:rPr>
          <w:rFonts w:ascii="Arial" w:hAnsi="Arial"/>
          <w:spacing w:val="0"/>
          <w:sz w:val="18"/>
        </w:rPr>
        <w:t>(post-tax)</w:t>
      </w:r>
    </w:p>
    <w:p>
      <w:pPr>
        <w:pStyle w:val="TextBody"/>
        <w:bidi w:val="0"/>
        <w:spacing w:before="120" w:after="0"/>
        <w:jc w:val="left"/>
        <w:rPr>
          <w:rFonts w:ascii="Arial" w:hAnsi="Arial"/>
          <w:sz w:val="18"/>
        </w:rPr>
      </w:pPr>
      <w:r>
        <w:rPr>
          <w:rFonts w:ascii="Arial" w:hAnsi="Arial"/>
          <w:sz w:val="18"/>
        </w:rPr>
        <w:t xml:space="preserve">from the retainer until reaching the minimum share ownership requirement. Stock deferred under the Deferred Compensation Plan for </w:t>
      </w:r>
    </w:p>
    <w:p>
      <w:pPr>
        <w:pStyle w:val="TextBody"/>
        <w:bidi w:val="0"/>
        <w:spacing w:before="120" w:after="0"/>
        <w:jc w:val="left"/>
        <w:rPr>
          <w:rFonts w:ascii="Arial" w:hAnsi="Arial"/>
          <w:spacing w:val="0"/>
          <w:sz w:val="18"/>
        </w:rPr>
      </w:pPr>
      <w:r>
        <w:rPr>
          <w:rFonts w:ascii="Arial" w:hAnsi="Arial"/>
          <w:spacing w:val="0"/>
          <w:sz w:val="18"/>
        </w:rPr>
        <w:t>Non-Employee</w:t>
      </w:r>
    </w:p>
    <w:p>
      <w:pPr>
        <w:pStyle w:val="TextBody"/>
        <w:bidi w:val="0"/>
        <w:spacing w:before="120" w:after="0"/>
        <w:jc w:val="left"/>
        <w:rPr>
          <w:rFonts w:ascii="Arial" w:hAnsi="Arial"/>
          <w:sz w:val="18"/>
        </w:rPr>
      </w:pPr>
      <w:r>
        <w:rPr>
          <w:rFonts w:ascii="Arial" w:hAnsi="Arial"/>
          <w:sz w:val="18"/>
        </w:rPr>
        <w:t xml:space="preserve">Directors counts toward the minimum ownership requirement. Each of our directors complied with our stock ownership policy in fiscal year 2026. </w:t>
      </w:r>
    </w:p>
    <w:p>
      <w:pPr>
        <w:pStyle w:val="TextBody"/>
        <w:bidi w:val="0"/>
        <w:spacing w:before="240" w:after="0"/>
        <w:jc w:val="left"/>
        <w:rPr>
          <w:rFonts w:ascii="Arial" w:hAnsi="Arial"/>
          <w:b/>
          <w:sz w:val="24"/>
        </w:rPr>
      </w:pPr>
      <w:r>
        <w:rPr>
          <w:rFonts w:ascii="Arial" w:hAnsi="Arial"/>
          <w:b/>
          <w:sz w:val="24"/>
        </w:rPr>
        <w:t xml:space="preserve">Derivatives Trading, Hedging, and Pledging </w:t>
      </w:r>
    </w:p>
    <w:p>
      <w:pPr>
        <w:pStyle w:val="TextBody"/>
        <w:bidi w:val="0"/>
        <w:spacing w:before="120" w:after="0"/>
        <w:jc w:val="left"/>
        <w:rPr>
          <w:rFonts w:ascii="Arial" w:hAnsi="Arial"/>
          <w:sz w:val="18"/>
        </w:rPr>
      </w:pPr>
      <w:r>
        <w:rPr>
          <w:rFonts w:ascii="Arial" w:hAnsi="Arial"/>
          <w:sz w:val="18"/>
        </w:rPr>
        <w:t xml:space="preserve">Our directors and executive officers are prohibited from trading in options, puts, calls, or other derivative instruments related to Microsoft equity or debt securities. They also are prohibited from purchasing Microsoft common stock on margin, borrowing against Microsoft common stock held in a margin account, or pledging Microsoft common stock as collateral for a loan. Employees, other than executive officers, are generally permitted to engage in transactions designed to hedge or offset market risk. </w:t>
      </w:r>
    </w:p>
    <w:p>
      <w:pPr>
        <w:pStyle w:val="TextBody"/>
        <w:bidi w:val="0"/>
        <w:spacing w:before="240" w:after="0"/>
        <w:jc w:val="left"/>
        <w:rPr>
          <w:rFonts w:ascii="Arial" w:hAnsi="Arial"/>
          <w:b/>
          <w:sz w:val="24"/>
        </w:rPr>
      </w:pPr>
      <w:r>
        <w:rPr>
          <w:rFonts w:ascii="Arial" w:hAnsi="Arial"/>
          <w:b/>
          <w:sz w:val="24"/>
        </w:rPr>
        <w:t xml:space="preserve">Insider Trading Policies and Procedures </w:t>
      </w:r>
    </w:p>
    <w:p>
      <w:pPr>
        <w:pStyle w:val="TextBody"/>
        <w:bidi w:val="0"/>
        <w:spacing w:before="120" w:after="0"/>
        <w:jc w:val="left"/>
        <w:rPr>
          <w:rFonts w:ascii="Arial" w:hAnsi="Arial"/>
          <w:sz w:val="18"/>
        </w:rPr>
      </w:pPr>
      <w:r>
        <w:rPr>
          <w:rFonts w:ascii="Arial" w:hAnsi="Arial"/>
          <w:sz w:val="18"/>
        </w:rPr>
        <w:t xml:space="preserve">We have adopted insider trading policies and procedures applicable to our directors, officers, and employees, and have implemented processes for the Company that we believe are reasonably designed to promote compliance with insider trading laws, rules, and regulations, and the Nasdaq listing standards. Our General Insider Trading Policy prohibits our employees and related persons and entities from trading in securities of Microsoft and other companies while in possession of material, nonpublic information. Our General Insider Trading Policy also prohibits our employees from disclosing material, nonpublic information of Microsoft, or another publicly traded company, to others who may trade on the basis of that information. Our Restricted Trading Window Policy requires that certain officers of the Company (corporate vice presidents and above) and other designated employees only transact in Microsoft securities during an open window period, subject to limited exceptions. In addition, certain officers of the Company are required to obtain approval in advance of transactions in Microsoft securities. Our executive officers and directors must also comply with additional trading restrictions. The foregoing summary of our insider trading policies and procedures does not purport to be complete and is qualified by reference to our General Insider Trading Policy, Restricted Trading Window Policy, and Insider Trading Compliance and Preclearance Policies for Section 16 Officers and Directors of Microsoft, copies of which can be found as exhibits to our Annual Report on Form </w:t>
      </w:r>
    </w:p>
    <w:p>
      <w:pPr>
        <w:pStyle w:val="TextBody"/>
        <w:bidi w:val="0"/>
        <w:spacing w:before="120" w:after="0"/>
        <w:jc w:val="left"/>
        <w:rPr>
          <w:rFonts w:ascii="Arial" w:hAnsi="Arial"/>
          <w:spacing w:val="0"/>
          <w:sz w:val="18"/>
        </w:rPr>
      </w:pPr>
      <w:r>
        <w:rPr>
          <w:rFonts w:ascii="Arial" w:hAnsi="Arial"/>
          <w:spacing w:val="0"/>
          <w:sz w:val="18"/>
        </w:rPr>
        <w:t>10-K</w:t>
      </w:r>
    </w:p>
    <w:p>
      <w:pPr>
        <w:pStyle w:val="TextBody"/>
        <w:bidi w:val="0"/>
        <w:spacing w:before="120" w:after="0"/>
        <w:jc w:val="left"/>
        <w:rPr>
          <w:rFonts w:ascii="Arial" w:hAnsi="Arial"/>
          <w:sz w:val="18"/>
        </w:rPr>
      </w:pPr>
      <w:r>
        <w:rPr>
          <w:rFonts w:ascii="Arial" w:hAnsi="Arial"/>
          <w:sz w:val="18"/>
        </w:rPr>
        <w:t xml:space="preserve">for the fiscal year ended June 30, 2026.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color w:val="0075C9"/>
                <w:spacing w:val="0"/>
              </w:rPr>
            </w:pPr>
            <w:r>
              <w:rPr>
                <w:b/>
                <w:color w:val="0075C9"/>
                <w:spacing w:val="0"/>
              </w:rPr>
              <w:t>12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561975" cy="114300"/>
                  <wp:effectExtent l="0" t="0" r="0" b="0"/>
                  <wp:wrapSquare wrapText="right"/>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561975" cy="114300"/>
                          </a:xfrm>
                          <a:prstGeom prst="rect">
                            <a:avLst/>
                          </a:prstGeom>
                        </pic:spPr>
                      </pic:pic>
                    </a:graphicData>
                  </a:graphic>
                </wp:anchor>
              </w:drawing>
            </w: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Board Independence </w:t>
      </w:r>
    </w:p>
    <w:p>
      <w:pPr>
        <w:pStyle w:val="TextBody"/>
        <w:bidi w:val="0"/>
        <w:spacing w:before="120" w:after="0"/>
        <w:jc w:val="left"/>
        <w:rPr>
          <w:rFonts w:ascii="Arial" w:hAnsi="Arial"/>
          <w:sz w:val="18"/>
        </w:rPr>
      </w:pPr>
      <w:r>
        <w:rPr>
          <w:rFonts w:ascii="Arial" w:hAnsi="Arial"/>
          <w:sz w:val="18"/>
        </w:rPr>
        <w:t xml:space="preserve">The Board’s independence enables it to be objective and critical in carrying out its oversight responsibilities. The Corporate Governance Guidelines provide that a substantial majority of our directors will be independent. The independent members of the Board annually appoint a Lead Independent Director to facilitate the Board’s oversight of management, promote communication between management and our Board, engage with shareholders, and lead consideration of key governance matters. Key elements of our Board independence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11 of 12 director nominees are independent</w:t>
            </w:r>
            <w:r>
              <w:rPr>
                <w:rFonts w:ascii="Arial" w:hAnsi="Arial"/>
                <w:sz w:val="18"/>
              </w:rPr>
              <w:t xml:space="preserve">. We are committed to maintaining a substantial majority of directors who are independent of the Company and management. Except for our Chairman and CEO, Satya Nadella, all director nominees are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Board tenure</w:t>
            </w:r>
            <w:r>
              <w:rPr>
                <w:rFonts w:ascii="Arial" w:hAnsi="Arial"/>
                <w:sz w:val="18"/>
              </w:rPr>
              <w:t xml:space="preserve">. We are committed to board refreshment. To strike a balance between retaining directors with deep knowledge of the Company and adding directors with a fresh perspective, the Board seeks to maintain an average tenure of 10 years or less for its independent directors as a group. The average tenure for our independent director nominees is 6.7 years. The average tenure is 6.8 years if Mr. Nadella is included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Board diversity</w:t>
            </w:r>
            <w:r>
              <w:rPr>
                <w:rFonts w:ascii="Arial" w:hAnsi="Arial"/>
                <w:sz w:val="18"/>
              </w:rPr>
              <w:t xml:space="preserve">. The Board is committed to actively seeking highly qualified women and individuals from minority groups to include in the pool of potential Board nominees and CEO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Executive sessions of independent directors</w:t>
            </w:r>
            <w:r>
              <w:rPr>
                <w:rFonts w:ascii="Arial" w:hAnsi="Arial"/>
                <w:sz w:val="18"/>
              </w:rPr>
              <w:t xml:space="preserve">. At each quarterly Board meeting, time is set aside for the independent directors to meet in executive session without management present. Additional executive sessions are held as needed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Committee independence</w:t>
            </w:r>
            <w:r>
              <w:rPr>
                <w:rFonts w:ascii="Arial" w:hAnsi="Arial"/>
                <w:sz w:val="18"/>
              </w:rPr>
              <w:t xml:space="preserve">. Only independent directors are members of the Board’s committees. Each committee meets regularly in executive session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Independent compensation consultant</w:t>
            </w:r>
            <w:r>
              <w:rPr>
                <w:rFonts w:ascii="Arial" w:hAnsi="Arial"/>
                <w:sz w:val="18"/>
              </w:rPr>
              <w:t xml:space="preserve">. The compensation consultant retained by the Compensation Committee is independent of the Company and management as required by the Compensation Consultant Independence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Lead Independent Director</w:t>
            </w:r>
            <w:r>
              <w:rPr>
                <w:rFonts w:ascii="Arial" w:hAnsi="Arial"/>
                <w:sz w:val="18"/>
              </w:rPr>
              <w:t xml:space="preserve">. As described in the “Board Leadership” section, the Lead Independent Director has a clearly defined set of responsibilities, significant authority, and provides independent Board leadership </w:t>
            </w:r>
          </w:p>
        </w:tc>
      </w:tr>
    </w:tbl>
    <w:p>
      <w:pPr>
        <w:pStyle w:val="TextBody"/>
        <w:bidi w:val="0"/>
        <w:spacing w:before="240" w:after="0"/>
        <w:jc w:val="left"/>
        <w:rPr>
          <w:rFonts w:ascii="Arial" w:hAnsi="Arial"/>
          <w:b/>
          <w:sz w:val="24"/>
        </w:rPr>
      </w:pPr>
      <w:r>
        <w:rPr>
          <w:rFonts w:ascii="Arial" w:hAnsi="Arial"/>
          <w:b/>
          <w:sz w:val="24"/>
        </w:rPr>
        <w:t xml:space="preserve">Board Committees </w:t>
      </w:r>
    </w:p>
    <w:p>
      <w:pPr>
        <w:pStyle w:val="TextBody"/>
        <w:bidi w:val="0"/>
        <w:spacing w:before="120" w:after="0"/>
        <w:jc w:val="left"/>
        <w:rPr>
          <w:rFonts w:ascii="Arial" w:hAnsi="Arial"/>
          <w:sz w:val="18"/>
        </w:rPr>
      </w:pPr>
      <w:r>
        <w:rPr>
          <w:rFonts w:ascii="Arial" w:hAnsi="Arial"/>
          <w:sz w:val="18"/>
        </w:rPr>
        <w:t xml:space="preserve">To support effective corporate governance, our Board delegates certain responsibilities to its committees, who report on their activities to the Board. These committees have the authority to engage legal counsel or other advisors or consultants as they deem appropriate to carry out their responsibilities. Our Board has four standing committees: an Audit and Finance Committee, a Compensation Committee, an Environmental, Social, and Public Policy Committee, and a Governance and Nominating Committee.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table below provides current membership for each Board committee, followed by a summary of each committee’s responsibilities. Each committee has a charter describing its specific responsibilities which can be found on our website at </w:t>
      </w:r>
      <w:r>
        <w:rPr>
          <w:rFonts w:ascii="Arial" w:hAnsi="Arial"/>
          <w:sz w:val="18"/>
          <w:u w:val="single"/>
        </w:rPr>
        <w:t>aka.ms/boardcommittees</w:t>
      </w:r>
      <w:r>
        <w:rPr>
          <w:rFonts w:ascii="Arial" w:hAnsi="Arial"/>
          <w:sz w:val="18"/>
        </w:rPr>
        <w:t xml:space="preserve">. </w:t>
      </w:r>
    </w:p>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3380"/>
        <w:gridCol w:w="60"/>
        <w:gridCol w:w="1340"/>
        <w:gridCol w:w="60"/>
        <w:gridCol w:w="1490"/>
        <w:gridCol w:w="60"/>
        <w:gridCol w:w="1925"/>
        <w:gridCol w:w="60"/>
        <w:gridCol w:w="1445"/>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Director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0" w:type="dxa"/>
            <w:tcBorders>
              <w:bottom w:val="single" w:sz="8" w:space="0" w:color="000000"/>
            </w:tcBorders>
            <w:tcMar>
              <w:bottom w:w="40" w:type="dxa"/>
            </w:tcMar>
            <w:vAlign w:val="center"/>
          </w:tcPr>
          <w:p>
            <w:pPr>
              <w:pStyle w:val="TableContents"/>
              <w:bidi w:val="0"/>
              <w:spacing w:before="0" w:after="283"/>
              <w:jc w:val="center"/>
              <w:rPr>
                <w:b/>
              </w:rPr>
            </w:pPr>
            <w:r>
              <w:rPr>
                <w:b/>
              </w:rPr>
              <w:t>Audit and</w:t>
              <w:br/>
              <w:t>Finance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tcMar>
              <w:bottom w:w="40" w:type="dxa"/>
            </w:tcMar>
            <w:vAlign w:val="center"/>
          </w:tcPr>
          <w:p>
            <w:pPr>
              <w:pStyle w:val="TableContents"/>
              <w:bidi w:val="0"/>
              <w:spacing w:before="0" w:after="283"/>
              <w:jc w:val="center"/>
              <w:rPr>
                <w:b/>
              </w:rPr>
            </w:pPr>
            <w:r>
              <w:rPr>
                <w:b/>
              </w:rPr>
              <w:t>Compensation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Environmental, Social,</w:t>
            </w:r>
          </w:p>
          <w:p>
            <w:pPr>
              <w:pStyle w:val="TableContents"/>
              <w:bidi w:val="0"/>
              <w:spacing w:before="0" w:after="20"/>
              <w:jc w:val="center"/>
              <w:rPr>
                <w:rFonts w:ascii="Arial" w:hAnsi="Arial"/>
                <w:b/>
                <w:sz w:val="18"/>
              </w:rPr>
            </w:pPr>
            <w:r>
              <w:rPr>
                <w:rFonts w:ascii="Arial" w:hAnsi="Arial"/>
                <w:b/>
                <w:sz w:val="18"/>
              </w:rPr>
              <w:t>and Public Policy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45" w:type="dxa"/>
            <w:tcBorders>
              <w:bottom w:val="single" w:sz="8"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Governance and</w:t>
            </w:r>
          </w:p>
          <w:p>
            <w:pPr>
              <w:pStyle w:val="TableContents"/>
              <w:bidi w:val="0"/>
              <w:spacing w:before="0" w:after="20"/>
              <w:jc w:val="center"/>
              <w:rPr>
                <w:rFonts w:ascii="Arial" w:hAnsi="Arial"/>
                <w:b/>
                <w:sz w:val="18"/>
              </w:rPr>
            </w:pPr>
            <w:r>
              <w:rPr>
                <w:rFonts w:ascii="Arial" w:hAnsi="Arial"/>
                <w:b/>
                <w:sz w:val="18"/>
              </w:rPr>
              <w:t>Nominating</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Carmine Di Sibio</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0"/>
              <w:jc w:val="center"/>
              <w:rPr>
                <w:rFonts w:ascii="Arial" w:hAnsi="Arial"/>
                <w:sz w:val="18"/>
              </w:rPr>
            </w:pPr>
            <w:r>
              <w:rPr>
                <w:rFonts w:ascii="Arial" w:hAnsi="Arial"/>
                <w:sz w:val="18"/>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b/>
                <w:color w:val="0075C9"/>
                <w:sz w:val="18"/>
              </w:rPr>
              <w:t>Reid G. Hoffman</w:t>
            </w:r>
            <w:r>
              <w:rPr>
                <w:rFonts w:ascii="Arial" w:hAnsi="Arial"/>
                <w:b/>
                <w:i/>
                <w:color w:val="0075C9"/>
                <w:sz w:val="18"/>
              </w:rPr>
              <w: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b/>
                <w:color w:val="0075C9"/>
                <w:sz w:val="18"/>
              </w:rPr>
              <w:t>Hugh F. Johnston</w:t>
            </w:r>
            <w:r>
              <w:rPr>
                <w:rFonts w:ascii="Arial" w:hAnsi="Arial"/>
                <w:b/>
                <w:i/>
                <w:color w:val="0075C9"/>
                <w:sz w:val="18"/>
              </w:rPr>
              <w: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0"/>
              <w:jc w:val="center"/>
              <w:rPr>
                <w:rFonts w:ascii="Arial" w:hAnsi="Arial"/>
                <w:sz w:val="18"/>
              </w:rPr>
            </w:pPr>
            <w:r>
              <w:rPr>
                <w:rFonts w:ascii="Arial" w:hAnsi="Arial"/>
                <w:sz w:val="18"/>
              </w:rPr>
              <w:t>Chair,</w:t>
            </w:r>
          </w:p>
          <w:p>
            <w:pPr>
              <w:pStyle w:val="TableContents"/>
              <w:bidi w:val="0"/>
              <w:spacing w:before="0" w:after="20"/>
              <w:jc w:val="center"/>
              <w:rPr>
                <w:rFonts w:ascii="Arial" w:hAnsi="Arial"/>
                <w:sz w:val="18"/>
              </w:rPr>
            </w:pPr>
            <w:r>
              <w:rPr>
                <w:rFonts w:ascii="Arial" w:hAnsi="Arial"/>
                <w:sz w:val="18"/>
              </w:rPr>
              <w:t>Financial Expert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Teri L. List</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0"/>
              <w:jc w:val="center"/>
              <w:rPr>
                <w:rFonts w:ascii="Arial" w:hAnsi="Arial"/>
                <w:sz w:val="18"/>
              </w:rPr>
            </w:pPr>
            <w:r>
              <w:rPr>
                <w:rFonts w:ascii="Arial" w:hAnsi="Arial"/>
                <w:sz w:val="18"/>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Catherine MacGregor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Chair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Mark A. L. Mason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0"/>
              <w:jc w:val="center"/>
              <w:rPr>
                <w:rFonts w:ascii="Arial" w:hAnsi="Arial"/>
                <w:sz w:val="18"/>
              </w:rPr>
            </w:pPr>
            <w:r>
              <w:rPr>
                <w:rFonts w:ascii="Arial" w:hAnsi="Arial"/>
                <w:sz w:val="18"/>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Sandra E. Peterson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Chair</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Penny S. Pritzker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Chair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David Rainey</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0"/>
              <w:jc w:val="center"/>
              <w:rPr>
                <w:rFonts w:ascii="Arial" w:hAnsi="Arial"/>
                <w:sz w:val="18"/>
              </w:rPr>
            </w:pPr>
            <w:r>
              <w:rPr>
                <w:rFonts w:ascii="Arial" w:hAnsi="Arial"/>
                <w:sz w:val="18"/>
              </w:rPr>
              <w:t>Financial Expert</w:t>
            </w:r>
          </w:p>
          <w:p>
            <w:pPr>
              <w:pStyle w:val="TableContents"/>
              <w:bidi w:val="0"/>
              <w:spacing w:before="0" w:after="20"/>
              <w:jc w:val="center"/>
              <w:rPr>
                <w:rFonts w:ascii="Arial" w:hAnsi="Arial"/>
                <w:sz w:val="18"/>
              </w:rPr>
            </w:pPr>
            <w:r>
              <w:rPr>
                <w:rFonts w:ascii="Arial" w:hAnsi="Arial"/>
                <w:sz w:val="18"/>
              </w:rPr>
              <w:t>and 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Charles W. Scharf</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Member</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W. Stanton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Emma N. Walmsley</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Member</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r>
      <w:tr>
        <w:trPr/>
        <w:tc>
          <w:tcPr>
            <w:tcW w:w="33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Number of meetings in fiscal year 2026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40" w:type="dxa"/>
            <w:tcBorders>
              <w:bottom w:val="single" w:sz="6" w:space="0" w:color="0075C9"/>
            </w:tcBorders>
            <w:tcMar>
              <w:bottom w:w="40" w:type="dxa"/>
            </w:tcMar>
            <w:vAlign w:val="center"/>
          </w:tcPr>
          <w:p>
            <w:pPr>
              <w:pStyle w:val="TableContents"/>
              <w:bidi w:val="0"/>
              <w:spacing w:before="0" w:after="283"/>
              <w:jc w:val="center"/>
              <w:rPr/>
            </w:pPr>
            <w:r>
              <w:rPr/>
              <w:t>8</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90" w:type="dxa"/>
            <w:tcBorders>
              <w:bottom w:val="single" w:sz="6" w:space="0" w:color="0075C9"/>
            </w:tcBorders>
            <w:tcMar>
              <w:bottom w:w="40" w:type="dxa"/>
            </w:tcMar>
            <w:vAlign w:val="center"/>
          </w:tcPr>
          <w:p>
            <w:pPr>
              <w:pStyle w:val="TableContents"/>
              <w:bidi w:val="0"/>
              <w:spacing w:before="0" w:after="283"/>
              <w:jc w:val="center"/>
              <w:rPr/>
            </w:pPr>
            <w:r>
              <w:rPr/>
              <w:t>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25" w:type="dxa"/>
            <w:tcBorders>
              <w:bottom w:val="single" w:sz="6" w:space="0" w:color="0075C9"/>
            </w:tcBorders>
            <w:tcMar>
              <w:bottom w:w="40" w:type="dxa"/>
            </w:tcMar>
            <w:vAlign w:val="center"/>
          </w:tcPr>
          <w:p>
            <w:pPr>
              <w:pStyle w:val="TableContents"/>
              <w:bidi w:val="0"/>
              <w:spacing w:before="0" w:after="283"/>
              <w:jc w:val="center"/>
              <w:rPr/>
            </w:pPr>
            <w:r>
              <w:rPr/>
              <w:t>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445" w:type="dxa"/>
            <w:tcBorders>
              <w:bottom w:val="single" w:sz="6" w:space="0" w:color="0075C9"/>
            </w:tcBorders>
            <w:tcMar>
              <w:bottom w:w="40" w:type="dxa"/>
            </w:tcMar>
            <w:vAlign w:val="center"/>
          </w:tcPr>
          <w:p>
            <w:pPr>
              <w:pStyle w:val="TableContents"/>
              <w:bidi w:val="0"/>
              <w:spacing w:before="0" w:after="283"/>
              <w:jc w:val="center"/>
              <w:rPr/>
            </w:pPr>
            <w:r>
              <w:rPr/>
              <w:t>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Arial" w:hAnsi="Arial"/>
                <w:sz w:val="14"/>
              </w:rPr>
            </w:pPr>
            <w:r>
              <w:rPr>
                <w:rFonts w:ascii="Arial" w:hAnsi="Arial"/>
                <w:sz w:val="14"/>
              </w:rPr>
              <w:t xml:space="preserve">Mr. Hoffman and Mr. Johnston are not seeking re-election at the 2026 Annual Meeting. John Collison is nominated for election to the Board at the Annual Meeting. The Board will consider committee appointments for Mr. Collison if he is elected to the Board. </w:t>
            </w:r>
          </w:p>
        </w:tc>
      </w:tr>
    </w:tbl>
    <w:p>
      <w:pPr>
        <w:pStyle w:val="TextBody"/>
        <w:bidi w:val="0"/>
        <w:spacing w:before="240" w:after="0"/>
        <w:jc w:val="left"/>
        <w:rPr>
          <w:rFonts w:ascii="Arial" w:hAnsi="Arial"/>
          <w:b/>
          <w:color w:val="0075C9"/>
          <w:sz w:val="20"/>
        </w:rPr>
      </w:pPr>
      <w:r>
        <w:rPr>
          <w:rFonts w:ascii="Arial" w:hAnsi="Arial"/>
          <w:b/>
          <w:color w:val="0075C9"/>
          <w:sz w:val="20"/>
        </w:rPr>
        <w:t xml:space="preserve">Audit and Finance Committee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125"/>
        <w:gridCol w:w="60"/>
        <w:gridCol w:w="71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Arial" w:hAnsi="Arial"/>
                <w:sz w:val="18"/>
              </w:rPr>
            </w:pPr>
            <w:r>
              <w:rPr>
                <w:rFonts w:ascii="Arial" w:hAnsi="Arial"/>
                <w:sz w:val="18"/>
              </w:rPr>
              <w:t xml:space="preserve">Oversee the work of our accounting function and internal control over financial reporting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25"/>
        <w:gridCol w:w="60"/>
        <w:gridCol w:w="3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Arial" w:hAnsi="Arial"/>
                <w:sz w:val="18"/>
              </w:rPr>
            </w:pPr>
            <w:r>
              <w:rPr>
                <w:rFonts w:ascii="Arial" w:hAnsi="Arial"/>
                <w:sz w:val="18"/>
              </w:rPr>
              <w:t xml:space="preserve">Oversee internal auditing processes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Inquire about significant risks, review our policies for enterprise risk assessment and risk management, and except as to those risks for which oversight has been assigned to other committees of the Board or retained by the Board, assess the steps management has taken to control these risks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125"/>
        <w:gridCol w:w="60"/>
        <w:gridCol w:w="83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18"/>
              </w:rPr>
            </w:pPr>
            <w:r>
              <w:rPr>
                <w:rFonts w:ascii="Arial" w:hAnsi="Arial"/>
                <w:sz w:val="18"/>
              </w:rPr>
              <w:t xml:space="preserve">Review with management policies, practices, compliance, and risks relating to our investment portfolio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125"/>
        <w:gridCol w:w="60"/>
        <w:gridCol w:w="89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Review with management the Company’s business continuity, resiliency, and disaster preparedness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compliance with significant applicable legal, ethical, and regulatory requirements, including those relating to regulatory matters that may have a material impact on our consolidated financial statements or internal control over financial reporting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125"/>
        <w:gridCol w:w="60"/>
        <w:gridCol w:w="93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Arial" w:hAnsi="Arial"/>
                <w:sz w:val="18"/>
              </w:rPr>
            </w:pPr>
            <w:r>
              <w:rPr>
                <w:rFonts w:ascii="Arial" w:hAnsi="Arial"/>
                <w:sz w:val="18"/>
              </w:rPr>
              <w:t xml:space="preserve">Oversee management of the Company’s capital structure, financial resources, and other significant financial issues </w:t>
            </w:r>
          </w:p>
        </w:tc>
      </w:tr>
    </w:tbl>
    <w:p>
      <w:pPr>
        <w:pStyle w:val="TextBody"/>
        <w:bidi w:val="0"/>
        <w:spacing w:before="120" w:after="0"/>
        <w:jc w:val="left"/>
        <w:rPr>
          <w:rFonts w:ascii="Arial" w:hAnsi="Arial"/>
          <w:sz w:val="18"/>
        </w:rPr>
      </w:pPr>
      <w:r>
        <w:rPr>
          <w:rFonts w:ascii="Arial" w:hAnsi="Arial"/>
          <w:sz w:val="18"/>
        </w:rPr>
        <w:t xml:space="preserve">The Audit and Finance Committee is responsible for the compensation, retention, and oversight of the independent auditor engaged to issue audit reports on our consolidated financial statements and internal control over financial reporting. The Audit and Finance Committee relies on the expertise and knowledge of management, the internal auditor, and the independent auditor in carrying out its oversight responsibilities. </w:t>
      </w:r>
    </w:p>
    <w:p>
      <w:pPr>
        <w:pStyle w:val="TextBody"/>
        <w:bidi w:val="0"/>
        <w:spacing w:before="120" w:after="0"/>
        <w:jc w:val="left"/>
        <w:rPr>
          <w:rFonts w:ascii="Arial" w:hAnsi="Arial"/>
          <w:sz w:val="18"/>
        </w:rPr>
      </w:pPr>
      <w:r>
        <w:rPr>
          <w:rFonts w:ascii="Arial" w:hAnsi="Arial"/>
          <w:sz w:val="18"/>
        </w:rPr>
        <w:t xml:space="preserve">The Board has determined that each Audit and Finance Committee member has sufficient knowledge in financial and auditing matters to serve on the Audit and Finance Committee. All current members of the Audit and Finance Committee meet the Nasdaq listing standard of financial sophistication and five are “audit committee financial experts” under Securities and Exchange Commission (“SEC”) rules.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14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As provided in our Corporate Governance Guidelines, members of the Audit and Finance Committee ordinarily may not serve on over three public company audit committees (including Microsoft’s). In calculating service on a public company board or audit committee, service on a board or audit committee of a parent and its substantially-owned subsidiary counts as service on a single board or audit committee. Any Audit and Finance Committee member’s service on over three public company audit committees will be subject to the Board’s determination that the member is able to effectively serve on the Company’s Audit and Finance Committee. The Governance and Nominating Committee and the Board considered Ms. List’s service on four public company audit committees, including her professional qualifications, former experience as a public company chief financial officer, the fact she is retired from active employment, and the nature of and time involved in her service on other boards. Following such review, the Board determined that Ms. List is able to effectively continue to serve on the Company’s Audit and Finance Committee. </w:t>
      </w:r>
    </w:p>
    <w:p>
      <w:pPr>
        <w:pStyle w:val="TextBody"/>
        <w:bidi w:val="0"/>
        <w:spacing w:before="240" w:after="0"/>
        <w:jc w:val="left"/>
        <w:rPr>
          <w:rFonts w:ascii="Arial" w:hAnsi="Arial"/>
          <w:b/>
          <w:color w:val="0075C9"/>
          <w:sz w:val="20"/>
        </w:rPr>
      </w:pPr>
      <w:r>
        <w:rPr>
          <w:rFonts w:ascii="Arial" w:hAnsi="Arial"/>
          <w:b/>
          <w:color w:val="0075C9"/>
          <w:sz w:val="20"/>
        </w:rPr>
        <w:t xml:space="preserve">Compensation Committee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125"/>
        <w:gridCol w:w="60"/>
        <w:gridCol w:w="62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Arial" w:hAnsi="Arial"/>
                <w:sz w:val="18"/>
              </w:rPr>
            </w:pPr>
            <w:r>
              <w:rPr>
                <w:rFonts w:ascii="Arial" w:hAnsi="Arial"/>
                <w:sz w:val="18"/>
              </w:rPr>
              <w:t xml:space="preserve">Assist our Board in establishing the annual goals and objectives of our CEO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60"/>
        <w:gridCol w:w="5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Arial" w:hAnsi="Arial"/>
                <w:sz w:val="18"/>
              </w:rPr>
            </w:pPr>
            <w:r>
              <w:rPr>
                <w:rFonts w:ascii="Arial" w:hAnsi="Arial"/>
                <w:sz w:val="18"/>
              </w:rPr>
              <w:t xml:space="preserve">Establish the process for annually reviewing our CEO’s performance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125"/>
        <w:gridCol w:w="60"/>
        <w:gridCol w:w="76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Arial" w:hAnsi="Arial"/>
                <w:sz w:val="18"/>
              </w:rPr>
            </w:pPr>
            <w:r>
              <w:rPr>
                <w:rFonts w:ascii="Arial" w:hAnsi="Arial"/>
                <w:sz w:val="18"/>
              </w:rPr>
              <w:t xml:space="preserve">Recommend our CEO’s compensation to the independent members of our Board for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Approve annual compensation, annual goals and objectives, and in consultation with the CEO, oversee performance evaluations for the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discuss with the CEO and report to the Board development and corporate succession plans for the non-CEO senior officers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125"/>
        <w:gridCol w:w="60"/>
        <w:gridCol w:w="74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Arial" w:hAnsi="Arial"/>
                <w:sz w:val="18"/>
              </w:rPr>
            </w:pPr>
            <w:r>
              <w:rPr>
                <w:rFonts w:ascii="Arial" w:hAnsi="Arial"/>
                <w:sz w:val="18"/>
              </w:rPr>
              <w:t xml:space="preserve">Oversee administration of the Company’s equity-based compensation and retirement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Monitor and evaluate the compensation and benefits structure of Microsoft as the Committee deems appropriate, including policies regarding senior officer compensation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125"/>
        <w:gridCol w:w="60"/>
        <w:gridCol w:w="97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Arial" w:hAnsi="Arial"/>
                <w:sz w:val="18"/>
              </w:rPr>
            </w:pPr>
            <w:r>
              <w:rPr>
                <w:rFonts w:ascii="Arial" w:hAnsi="Arial"/>
                <w:sz w:val="18"/>
              </w:rPr>
              <w:t xml:space="preserve">Oversee and advise the Board and management about Company programs for culture and human capital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Periodically review the compensation paid to non-employee directors and make recommendations to our Board for any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the process and review the results of investigations of any sexual harassment complaints against senior officers. The Committee will report to the full Board on the conclusions of any investigation that results in a founded determination and the disciplinary and other actions taken </w:t>
            </w:r>
          </w:p>
        </w:tc>
      </w:tr>
    </w:tbl>
    <w:p>
      <w:pPr>
        <w:pStyle w:val="TextBody"/>
        <w:bidi w:val="0"/>
        <w:spacing w:before="120" w:after="0"/>
        <w:jc w:val="left"/>
        <w:rPr>
          <w:rFonts w:ascii="Arial" w:hAnsi="Arial"/>
          <w:sz w:val="18"/>
        </w:rPr>
      </w:pPr>
      <w:r>
        <w:rPr>
          <w:rFonts w:ascii="Arial" w:hAnsi="Arial"/>
          <w:sz w:val="18"/>
        </w:rPr>
        <w:t xml:space="preserve">Our senior executives for Human Resources support the Compensation Committee in its work. The Committee may delegate its authority to subcommittees and to one or more designated members of the Committee. The Committee may delegate to one or more executive officers the authority to make grants of equity-based compensation to eligible individuals who are not executive officers and to administer the Company’s equity-based compensation plans. The Committee has delegated to senior leadership the authority to make stock award grants to employees who are not Section 16 officers and to administer the Company’s equity-based compensation plans. </w:t>
      </w:r>
    </w:p>
    <w:p>
      <w:pPr>
        <w:pStyle w:val="TextBody"/>
        <w:bidi w:val="0"/>
        <w:spacing w:before="120" w:after="0"/>
        <w:jc w:val="left"/>
        <w:rPr>
          <w:rFonts w:ascii="Arial" w:hAnsi="Arial"/>
          <w:sz w:val="18"/>
        </w:rPr>
      </w:pPr>
      <w:r>
        <w:rPr>
          <w:rFonts w:ascii="Arial" w:hAnsi="Arial"/>
          <w:b/>
          <w:sz w:val="18"/>
        </w:rPr>
        <w:t>Independent compensation consultant</w:t>
      </w:r>
      <w:r>
        <w:rPr>
          <w:rFonts w:ascii="Arial" w:hAnsi="Arial"/>
          <w:sz w:val="18"/>
        </w:rPr>
        <w:t xml:space="preserve">. The Compensation Committee retained Pay Governance LLC as its independent compensation consultant throughout fiscal year 2026. The consultant advises the Committee on marketplace trends in executive compensation, management proposals for compensation programs, and executive officer compensation decisions. The consultant also evaluates compensation for non-employee directors, other members of senior leadership, and equity compensation programs generally. The consultant discusses recommendations to the Board on CEO compensation with the Committee and is directly accountable to the Committee. To maintain the independence of the consultant’s advice, the firm does not provide services to Microsoft other than those described above. The Committee has adopted Compensation Consultant Independence Standards, which can be viewed on our website at </w:t>
      </w:r>
      <w:r>
        <w:rPr>
          <w:rFonts w:ascii="Arial" w:hAnsi="Arial"/>
          <w:sz w:val="18"/>
          <w:u w:val="single"/>
        </w:rPr>
        <w:t>aka.ms/policiesandguidelines</w:t>
      </w:r>
      <w:r>
        <w:rPr>
          <w:rFonts w:ascii="Arial" w:hAnsi="Arial"/>
          <w:sz w:val="18"/>
        </w:rPr>
        <w:t xml:space="preserve">. These standards require that the Committee annually assess the independence of its compensation consultant. A consultant satisfying the following requirements will be considered independent. The consultant (including each individual employee of the consultant providing services):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125"/>
        <w:gridCol w:w="60"/>
        <w:gridCol w:w="92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Arial" w:hAnsi="Arial"/>
                <w:sz w:val="18"/>
              </w:rPr>
            </w:pPr>
            <w:r>
              <w:rPr>
                <w:rFonts w:ascii="Arial" w:hAnsi="Arial"/>
                <w:sz w:val="18"/>
              </w:rPr>
              <w:t xml:space="preserve">Is retained and terminated by, has its compensation fixed by, and reports solely to, the Compensation Committee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125"/>
        <w:gridCol w:w="60"/>
        <w:gridCol w:w="2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Arial" w:hAnsi="Arial"/>
                <w:sz w:val="18"/>
              </w:rPr>
            </w:pPr>
            <w:r>
              <w:rPr>
                <w:rFonts w:ascii="Arial" w:hAnsi="Arial"/>
                <w:sz w:val="18"/>
              </w:rPr>
              <w:t xml:space="preserve">Is independent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Will not perform any work for Company management except at the request of the Compensation Committee chair and in the capacity of the Committee’s agent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Should not provide any unrelated services or products to the Company and its affiliates or management, except for surveys purchased from the consultant’s firm </w:t>
            </w:r>
          </w:p>
        </w:tc>
      </w:tr>
    </w:tbl>
    <w:p>
      <w:pPr>
        <w:pStyle w:val="TextBody"/>
        <w:bidi w:val="0"/>
        <w:spacing w:before="120" w:after="0"/>
        <w:jc w:val="left"/>
        <w:rPr>
          <w:rFonts w:ascii="Arial" w:hAnsi="Arial"/>
          <w:sz w:val="18"/>
        </w:rPr>
      </w:pPr>
      <w:r>
        <w:rPr>
          <w:rFonts w:ascii="Arial" w:hAnsi="Arial"/>
          <w:sz w:val="18"/>
        </w:rPr>
        <w:t xml:space="preserve">In assessing the consultant’s independence, the Compensation Committee considers the nature and amount of work performed for the Committee during the year, the nature of any unrelated services performed for the Company, and the fees paid for those services in relation to the firm’s total revenue. The consultant annually prepares for the Committee an independence letter providing assurances and confirmation of the consultant’s independent status under the standards. The Committee believes that Pay Governance has been independent during its service for the Committee. </w:t>
      </w:r>
    </w:p>
    <w:p>
      <w:pPr>
        <w:pStyle w:val="TextBody"/>
        <w:bidi w:val="0"/>
        <w:spacing w:before="240" w:after="0"/>
        <w:jc w:val="left"/>
        <w:rPr>
          <w:rFonts w:ascii="Arial" w:hAnsi="Arial"/>
          <w:b/>
          <w:color w:val="0075C9"/>
          <w:sz w:val="20"/>
        </w:rPr>
      </w:pPr>
      <w:r>
        <w:rPr>
          <w:rFonts w:ascii="Arial" w:hAnsi="Arial"/>
          <w:b/>
          <w:color w:val="0075C9"/>
          <w:sz w:val="20"/>
        </w:rPr>
        <w:t xml:space="preserve">Environmental, Social, and Public Policy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Assist the Board in overseeing the Company’s key non-financial regulatory risks that may have a material impact on the Company and its ability to sustain trust with customers, employees, and the public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management policies and programs relating to key environmental and social matters including climate change and environmental sustainability, competition and antitrust, privacy, national security, trade, digital safety, responsible AI, accessibility, human rights, responsible sourcing, and infrastructure and datacenter localization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125"/>
        <w:gridCol w:w="60"/>
        <w:gridCol w:w="66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Arial" w:hAnsi="Arial"/>
                <w:sz w:val="18"/>
              </w:rPr>
            </w:pPr>
            <w:r>
              <w:rPr>
                <w:rFonts w:ascii="Arial" w:hAnsi="Arial"/>
                <w:sz w:val="18"/>
              </w:rPr>
              <w:t xml:space="preserve">Review our government relations activity and political activities and expenditures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125"/>
        <w:gridCol w:w="60"/>
        <w:gridCol w:w="66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Arial" w:hAnsi="Arial"/>
                <w:sz w:val="18"/>
              </w:rPr>
            </w:pPr>
            <w:r>
              <w:rPr>
                <w:rFonts w:ascii="Arial" w:hAnsi="Arial"/>
                <w:sz w:val="18"/>
              </w:rPr>
              <w:t xml:space="preserve">Review our public policy agenda and position on significant public policy matters </w:t>
            </w:r>
          </w:p>
        </w:tc>
      </w:tr>
    </w:tbl>
    <w:p>
      <w:pPr>
        <w:pStyle w:val="TextBody"/>
        <w:bidi w:val="0"/>
        <w:spacing w:before="240" w:after="0"/>
        <w:jc w:val="left"/>
        <w:rPr>
          <w:rFonts w:ascii="Arial" w:hAnsi="Arial"/>
          <w:b/>
          <w:color w:val="0075C9"/>
          <w:sz w:val="20"/>
        </w:rPr>
      </w:pPr>
      <w:r>
        <w:rPr>
          <w:rFonts w:ascii="Arial" w:hAnsi="Arial"/>
          <w:b/>
          <w:color w:val="0075C9"/>
          <w:sz w:val="20"/>
        </w:rPr>
        <w:t xml:space="preserve">Governance and Nominating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Determine and recommend the slate of director nominees for election to our Board during the annual shareholders meeting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125"/>
        <w:gridCol w:w="60"/>
        <w:gridCol w:w="47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Arial" w:hAnsi="Arial"/>
                <w:sz w:val="18"/>
              </w:rPr>
            </w:pPr>
            <w:r>
              <w:rPr>
                <w:rFonts w:ascii="Arial" w:hAnsi="Arial"/>
                <w:sz w:val="18"/>
              </w:rPr>
              <w:t xml:space="preserve">Identify, recruit, and recommend candidates for the Board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125"/>
        <w:gridCol w:w="60"/>
        <w:gridCol w:w="7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Arial" w:hAnsi="Arial"/>
                <w:sz w:val="18"/>
              </w:rPr>
            </w:pPr>
            <w:r>
              <w:rPr>
                <w:rFonts w:ascii="Arial" w:hAnsi="Arial"/>
                <w:sz w:val="18"/>
              </w:rPr>
              <w:t xml:space="preserve">Review and make recommendations to the Board about the composition of Board committees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25"/>
        <w:gridCol w:w="60"/>
        <w:gridCol w:w="54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Arial" w:hAnsi="Arial"/>
                <w:sz w:val="18"/>
              </w:rPr>
            </w:pPr>
            <w:r>
              <w:rPr>
                <w:rFonts w:ascii="Arial" w:hAnsi="Arial"/>
                <w:sz w:val="18"/>
              </w:rPr>
              <w:t xml:space="preserve">Annually evaluate the performance and effectiveness of the Board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Arial" w:hAnsi="Arial"/>
                <w:sz w:val="18"/>
              </w:rPr>
            </w:pPr>
            <w:r>
              <w:rPr>
                <w:rFonts w:ascii="Arial" w:hAnsi="Arial"/>
                <w:sz w:val="18"/>
              </w:rPr>
              <w:t xml:space="preserve">Annually assess the independence of each director </w:t>
            </w:r>
          </w:p>
        </w:tc>
      </w:tr>
    </w:tbl>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25"/>
        <w:gridCol w:w="60"/>
        <w:gridCol w:w="86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Arial" w:hAnsi="Arial"/>
                <w:sz w:val="18"/>
              </w:rPr>
            </w:pPr>
            <w:r>
              <w:rPr>
                <w:rFonts w:ascii="Arial" w:hAnsi="Arial"/>
                <w:sz w:val="18"/>
              </w:rPr>
              <w:t xml:space="preserve">Monitor adherence to, review, develop, and recommend changes to our corporate governance framework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provide guidance to the Board and management about the framework for the Board’s oversight of, and involvement in, shareholder engagement, including shareholder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Annually review the charters of Board committees and, after consultation with the respective committees, recommend to the Board appropriate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the process and review the results of investigations of any sexual harassment complaints against members of the Board and the Chief Executive Officer. The Committee will report to the full Board on the conclusions of any investigation that results in a founded determination and the disciplinary and other actions taken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7" w:name="toc61756_5"/>
      <w:bookmarkEnd w:id="7"/>
      <w:r>
        <w:rPr>
          <w:rFonts w:ascii="Arial" w:hAnsi="Arial"/>
          <w:b/>
          <w:color w:val="0075C9"/>
          <w:sz w:val="28"/>
        </w:rPr>
        <w:t xml:space="preserve">Director Selection and Qualifications </w:t>
      </w:r>
    </w:p>
    <w:p>
      <w:pPr>
        <w:pStyle w:val="TextBody"/>
        <w:bidi w:val="0"/>
        <w:spacing w:before="120" w:after="0"/>
        <w:jc w:val="left"/>
        <w:rPr>
          <w:rFonts w:ascii="Arial" w:hAnsi="Arial"/>
          <w:sz w:val="18"/>
        </w:rPr>
      </w:pPr>
      <w:r>
        <w:rPr>
          <w:rFonts w:ascii="Arial" w:hAnsi="Arial"/>
          <w:sz w:val="18"/>
        </w:rPr>
        <w:t xml:space="preserve">Shareholders elect our Board of Directors annually. In making its annual director nominations determination, the Board’s objective is to recommend a group of directors that can best ensure the continuing success of our business and represent shareholder interests through the exercise of sound judgment using its diversity of experience and perspectives. </w:t>
      </w:r>
    </w:p>
    <w:p>
      <w:pPr>
        <w:pStyle w:val="TextBody"/>
        <w:bidi w:val="0"/>
        <w:spacing w:before="120" w:after="0"/>
        <w:jc w:val="left"/>
        <w:rPr>
          <w:rFonts w:ascii="Arial" w:hAnsi="Arial"/>
          <w:sz w:val="18"/>
        </w:rPr>
      </w:pPr>
      <w:r>
        <w:rPr>
          <w:rFonts w:ascii="Arial" w:hAnsi="Arial"/>
          <w:sz w:val="18"/>
        </w:rPr>
        <w:t xml:space="preserve">The Governance and Nominating Committee recommends to the Board director candidates for nomination and election during the annual shareholders meeting or for appointment to fill vacancies. The Committee works with our Board to strategically consider the composition and skills needed on the Board over the short-, medium-, and long-term. In doing so, they determine the characteristics, skills, and experience for the Board as a whole and its individual members with the objective of having a board with diverse backgrounds, skills, and experience. In making its recommendations to our Board, the Committee considers the qualifications of individual director candidates applying the Board membership criteria described below. The Committee retains any search firm involved in identifying potential candidates and approves their fees. </w:t>
      </w:r>
    </w:p>
    <w:p>
      <w:pPr>
        <w:pStyle w:val="TextBody"/>
        <w:bidi w:val="0"/>
        <w:spacing w:before="120" w:after="0"/>
        <w:jc w:val="left"/>
        <w:rPr>
          <w:rFonts w:ascii="Arial" w:hAnsi="Arial"/>
          <w:sz w:val="18"/>
        </w:rPr>
      </w:pPr>
      <w:r>
        <w:rPr>
          <w:rFonts w:ascii="Arial" w:hAnsi="Arial"/>
          <w:sz w:val="18"/>
        </w:rPr>
        <w:t xml:space="preserve">For all directors, we require an independent mindset, integrity, personal and professional ethics, business judgment, and the ability and willingness to commit sufficient time to the Board. Our Board considers many factors in evaluating the suitability of individual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16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director candidates, including their general understanding of global business, sales and marketing, finance, and other disciplines relevant to the success of a large, publicly traded company; understanding of our business and technology; educational and professional background; personal accomplishment; and geographic, gender, age, and ethnic diversity. </w:t>
      </w:r>
    </w:p>
    <w:p>
      <w:pPr>
        <w:pStyle w:val="TextBody"/>
        <w:bidi w:val="0"/>
        <w:spacing w:before="120" w:after="0"/>
        <w:jc w:val="left"/>
        <w:rPr>
          <w:rFonts w:ascii="Arial" w:hAnsi="Arial"/>
          <w:sz w:val="18"/>
        </w:rPr>
      </w:pPr>
      <w:r>
        <w:rPr>
          <w:rFonts w:ascii="Arial" w:hAnsi="Arial"/>
          <w:sz w:val="18"/>
        </w:rPr>
        <w:t xml:space="preserve">This Proxy Statement includes a table summarizing the key qualifications, expertise, and attributes currently most relevant to the decision to nominate candidates to serve on the Board. As the Board continuously works to align the skillsets of directors to the needs of the Company, it also expects that each member will be able to understand and contribute meaningfully to the oversight of the range of material business, risk, and regulatory issues the Company faces. As the Company’s business changes over time, the Board is committed to continuously evaluating what skills may be helpful to meet the evolving needs of the Company and seeking new directors with the necessary skills. Management’s responsibility includes educating and communicating to the Board in a way that enables effective oversight of this broad set of issues. The Board is committed to actively seeking highly qualified women and individuals from minority groups to include in the pool from which new candidates are selected. We work with our search firm to ensure the candidate slate provided to the Committee includes diverse candidates. </w:t>
      </w:r>
    </w:p>
    <w:p>
      <w:pPr>
        <w:pStyle w:val="TextBody"/>
        <w:bidi w:val="0"/>
        <w:spacing w:before="120" w:after="0"/>
        <w:jc w:val="left"/>
        <w:rPr>
          <w:rFonts w:ascii="Arial" w:hAnsi="Arial"/>
          <w:sz w:val="18"/>
        </w:rPr>
      </w:pPr>
      <w:r>
        <w:rPr>
          <w:rFonts w:ascii="Arial" w:hAnsi="Arial"/>
          <w:sz w:val="18"/>
        </w:rPr>
        <w:t xml:space="preserve">The Board does not believe that directors should expect to be re-nominated annually. In determining whether to recommend a director for re-election, the Committee considers the director’s participation in and contributions to the activities of the Board, the results of the most recent Board evaluation, and meeting attendance. </w:t>
      </w:r>
    </w:p>
    <w:p>
      <w:pPr>
        <w:pStyle w:val="TextBody"/>
        <w:bidi w:val="0"/>
        <w:spacing w:before="120" w:after="0"/>
        <w:jc w:val="left"/>
        <w:rPr>
          <w:rFonts w:ascii="Arial" w:hAnsi="Arial"/>
          <w:sz w:val="18"/>
        </w:rPr>
      </w:pPr>
      <w:r>
        <w:rPr>
          <w:rFonts w:ascii="Arial" w:hAnsi="Arial"/>
          <w:sz w:val="18"/>
        </w:rPr>
        <w:t xml:space="preserve">When the Committee recruits new director candidates, that process typically involves either a search firm or a member of the Committee contacting a prospect to assess interest and availability. A candidate will then meet with members of the Board and Mr. Nadella and then meet with members of management as appropriate. At the same time, the Committee and the search firm typically contacts references for the candidate. A background check is completed in connection with a candidate’s nomination by the Board. </w:t>
      </w:r>
    </w:p>
    <w:p>
      <w:pPr>
        <w:pStyle w:val="TextBody"/>
        <w:bidi w:val="0"/>
        <w:spacing w:before="120" w:after="0"/>
        <w:jc w:val="left"/>
        <w:rPr>
          <w:rFonts w:ascii="Arial" w:hAnsi="Arial"/>
          <w:sz w:val="18"/>
        </w:rPr>
      </w:pPr>
      <w:r>
        <w:rPr>
          <w:rFonts w:ascii="Arial" w:hAnsi="Arial"/>
          <w:sz w:val="18"/>
        </w:rPr>
        <w:t xml:space="preserve">Shareholders have previously elected all Board nominees, except Mr. Collison and Mr. Di Sibio. </w:t>
      </w:r>
    </w:p>
    <w:p>
      <w:pPr>
        <w:pStyle w:val="TextBody"/>
        <w:bidi w:val="0"/>
        <w:spacing w:before="120" w:after="0"/>
        <w:jc w:val="left"/>
        <w:rPr>
          <w:rFonts w:ascii="Arial" w:hAnsi="Arial"/>
          <w:sz w:val="18"/>
        </w:rPr>
      </w:pPr>
      <w:r>
        <w:rPr>
          <w:rFonts w:ascii="Arial" w:hAnsi="Arial"/>
          <w:sz w:val="18"/>
        </w:rPr>
        <w:t xml:space="preserve">The Committee assesses its efforts to maintain an effective and diverse board as part of its regular responsibilities, which include annually: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125"/>
        <w:gridCol w:w="60"/>
        <w:gridCol w:w="60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Arial" w:hAnsi="Arial"/>
                <w:sz w:val="18"/>
              </w:rPr>
            </w:pPr>
            <w:r>
              <w:rPr>
                <w:rFonts w:ascii="Arial" w:hAnsi="Arial"/>
                <w:sz w:val="18"/>
              </w:rPr>
              <w:t xml:space="preserve">Reporting to our Board on the performance and effectiveness of the Board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125"/>
        <w:gridCol w:w="60"/>
        <w:gridCol w:w="90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Arial" w:hAnsi="Arial"/>
                <w:sz w:val="18"/>
              </w:rPr>
            </w:pPr>
            <w:r>
              <w:rPr>
                <w:rFonts w:ascii="Arial" w:hAnsi="Arial"/>
                <w:sz w:val="18"/>
              </w:rPr>
              <w:t xml:space="preserve">Presenting to our Board individuals recommended for election to the Board at the annual shareholders meeting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25"/>
        <w:gridCol w:w="60"/>
        <w:gridCol w:w="37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18"/>
              </w:rPr>
            </w:pPr>
            <w:r>
              <w:rPr>
                <w:rFonts w:ascii="Arial" w:hAnsi="Arial"/>
                <w:sz w:val="18"/>
              </w:rPr>
              <w:t xml:space="preserve">Assessing the Committee’s own performance </w:t>
            </w:r>
          </w:p>
        </w:tc>
      </w:tr>
    </w:tbl>
    <w:p>
      <w:pPr>
        <w:pStyle w:val="TextBody"/>
        <w:bidi w:val="0"/>
        <w:spacing w:before="240" w:after="0"/>
        <w:jc w:val="left"/>
        <w:rPr>
          <w:rFonts w:ascii="Arial" w:hAnsi="Arial"/>
          <w:b/>
          <w:sz w:val="24"/>
        </w:rPr>
      </w:pPr>
      <w:r>
        <w:rPr>
          <w:rFonts w:ascii="Arial" w:hAnsi="Arial"/>
          <w:b/>
          <w:sz w:val="24"/>
        </w:rPr>
        <w:t xml:space="preserve">Shareholder Recommendations and Nominations of Director Candidates </w:t>
      </w:r>
    </w:p>
    <w:p>
      <w:pPr>
        <w:pStyle w:val="TextBody"/>
        <w:bidi w:val="0"/>
        <w:spacing w:before="120" w:after="0"/>
        <w:jc w:val="left"/>
        <w:rPr>
          <w:rFonts w:ascii="Arial" w:hAnsi="Arial"/>
          <w:b/>
          <w:color w:val="0075C9"/>
          <w:sz w:val="20"/>
        </w:rPr>
      </w:pPr>
      <w:r>
        <w:rPr>
          <w:rFonts w:ascii="Arial" w:hAnsi="Arial"/>
          <w:b/>
          <w:color w:val="0075C9"/>
          <w:sz w:val="20"/>
        </w:rPr>
        <w:t xml:space="preserve">Recommendations </w:t>
      </w:r>
    </w:p>
    <w:p>
      <w:pPr>
        <w:pStyle w:val="TextBody"/>
        <w:bidi w:val="0"/>
        <w:spacing w:before="120" w:after="0"/>
        <w:jc w:val="left"/>
        <w:rPr>
          <w:rFonts w:ascii="Arial" w:hAnsi="Arial"/>
          <w:sz w:val="18"/>
        </w:rPr>
      </w:pPr>
      <w:r>
        <w:rPr>
          <w:rFonts w:ascii="Arial" w:hAnsi="Arial"/>
          <w:sz w:val="18"/>
        </w:rPr>
        <w:t xml:space="preserve">The Governance and Nominating Committee considers shareholder recommendations for candidates for the Board of Directors using the same criteria described above. The name of any recommended candidate for director, together with a brief biography, a document indicating the candidate’s willingness to serve if elected, and evidence of the nominating shareholder’s ownership of Company stock must be sent to the attention of MSC 123/9999, Office of the Corporate Secretary, Microsoft Corporation, One Microsoft Way, Redmond, WA, 98052-6399. </w:t>
      </w:r>
    </w:p>
    <w:p>
      <w:pPr>
        <w:pStyle w:val="TextBody"/>
        <w:bidi w:val="0"/>
        <w:spacing w:before="120" w:after="0"/>
        <w:jc w:val="left"/>
        <w:rPr>
          <w:rFonts w:ascii="Arial" w:hAnsi="Arial"/>
          <w:sz w:val="18"/>
        </w:rPr>
      </w:pPr>
      <w:r>
        <w:rPr>
          <w:rFonts w:ascii="Arial" w:hAnsi="Arial"/>
          <w:sz w:val="18"/>
        </w:rPr>
        <w:t xml:space="preserve">Our Board and the Governance and Nominating Committee believe that all candidates should be treated equitably with respect to administrative and evidentiary requirements. Therefore, all nominees, whether proposed by the Board or recommended by shareholders, shall be subject to the same standards and informational requirements. </w:t>
      </w:r>
    </w:p>
    <w:p>
      <w:pPr>
        <w:pStyle w:val="TextBody"/>
        <w:bidi w:val="0"/>
        <w:spacing w:before="120" w:after="0"/>
        <w:jc w:val="left"/>
        <w:rPr>
          <w:rFonts w:ascii="Arial" w:hAnsi="Arial"/>
          <w:b/>
          <w:color w:val="0075C9"/>
          <w:sz w:val="20"/>
        </w:rPr>
      </w:pPr>
      <w:r>
        <w:rPr>
          <w:rFonts w:ascii="Arial" w:hAnsi="Arial"/>
          <w:b/>
          <w:color w:val="0075C9"/>
          <w:sz w:val="20"/>
        </w:rPr>
        <w:t xml:space="preserve">Nominations </w:t>
      </w:r>
    </w:p>
    <w:p>
      <w:pPr>
        <w:pStyle w:val="TextBody"/>
        <w:bidi w:val="0"/>
        <w:spacing w:before="120" w:after="0"/>
        <w:jc w:val="left"/>
        <w:rPr>
          <w:rFonts w:ascii="Arial" w:hAnsi="Arial"/>
          <w:sz w:val="18"/>
        </w:rPr>
      </w:pPr>
      <w:r>
        <w:rPr>
          <w:rFonts w:ascii="Arial" w:hAnsi="Arial"/>
          <w:sz w:val="18"/>
        </w:rPr>
        <w:t xml:space="preserve">Our Bylaws provide for proxy access shareholder nominations of director candidates by eligible shareholders. A shareholder who wishes to formally nominate a candidate, whether for inclusion in the Company’s proxy statement or not, must follow the procedures described in Article 1 of our Bylaws. Appropriately nominated proxy access candidates or candidates who comply with both our Advanced Notice Bylaw Provisions and the SEC’s Rule 14a-19 will be included in the Company’s proxy statement and ballot.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How to Communicate with our Board </w:t>
      </w:r>
    </w:p>
    <w:p>
      <w:pPr>
        <w:pStyle w:val="TextBody"/>
        <w:bidi w:val="0"/>
        <w:spacing w:before="120" w:after="0"/>
        <w:jc w:val="left"/>
        <w:rPr>
          <w:rFonts w:ascii="Arial" w:hAnsi="Arial"/>
          <w:sz w:val="18"/>
        </w:rPr>
      </w:pPr>
      <w:r>
        <w:rPr>
          <w:rFonts w:ascii="Arial" w:hAnsi="Arial"/>
          <w:sz w:val="18"/>
        </w:rPr>
        <w:t xml:space="preserve">We will transmit shareholder communications related to corporate governance and other Board matters to the Board, a committee of the Board, or a director as designated in your message. Communications relating to other topics, including those that are primarily commercial in nature, will not be forwarded. </w:t>
      </w:r>
    </w:p>
    <w:p>
      <w:pPr>
        <w:pStyle w:val="TextBody"/>
        <w:bidi w:val="0"/>
        <w:spacing w:before="0" w:after="0"/>
        <w:jc w:val="left"/>
        <w:rPr/>
      </w:pPr>
      <w:r>
        <w:rPr/>
        <w:t> </w:t>
      </w:r>
    </w:p>
    <w:tbl>
      <w:tblPr>
        <w:tblW w:w="6553" w:type="dxa"/>
        <w:jc w:val="left"/>
        <w:tblInd w:w="0" w:type="dxa"/>
        <w:tblLayout w:type="fixed"/>
        <w:tblCellMar>
          <w:top w:w="0" w:type="dxa"/>
          <w:left w:w="0" w:type="dxa"/>
          <w:bottom w:w="0" w:type="dxa"/>
          <w:right w:w="0" w:type="dxa"/>
        </w:tblCellMar>
      </w:tblPr>
      <w:tblGrid>
        <w:gridCol w:w="515"/>
        <w:gridCol w:w="60"/>
        <w:gridCol w:w="2090"/>
        <w:gridCol w:w="60"/>
        <w:gridCol w:w="23"/>
        <w:gridCol w:w="60"/>
        <w:gridCol w:w="420"/>
        <w:gridCol w:w="60"/>
        <w:gridCol w:w="2870"/>
        <w:gridCol w:w="120"/>
        <w:gridCol w:w="27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0"/>
              <w:jc w:val="left"/>
              <w:rPr>
                <w:rFonts w:ascii="Arial" w:hAnsi="Arial"/>
                <w:sz w:val="40"/>
              </w:rPr>
            </w:pPr>
            <w:r>
              <w:rPr>
                <w:rFonts w:ascii="Arial" w:hAnsi="Arial"/>
                <w:sz w:val="40"/>
              </w:rPr>
              <w:t>@ </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18"/>
                <w:u w:val="single"/>
              </w:rPr>
            </w:pPr>
            <w:r>
              <w:rPr>
                <w:rFonts w:ascii="Arial" w:hAnsi="Arial"/>
                <w:sz w:val="18"/>
                <w:u w:val="single"/>
              </w:rPr>
              <w:t>askboard@microsoft.com</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0"/>
              <w:jc w:val="left"/>
              <w:rPr/>
            </w:pPr>
            <w:r>
              <w:rPr/>
              <w:drawing>
                <wp:inline distT="0" distB="0" distL="0" distR="0">
                  <wp:extent cx="228600" cy="14414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228600" cy="1441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lineRule="atLeast" w:line="180" w:before="0" w:after="0"/>
              <w:jc w:val="left"/>
              <w:rPr/>
            </w:pPr>
            <w:r>
              <w:rPr/>
              <w:t>  </w:t>
            </w:r>
            <w:r>
              <w:rPr>
                <w:rFonts w:ascii="Arial" w:hAnsi="Arial"/>
                <w:sz w:val="18"/>
              </w:rPr>
              <w:t>MSC 123/9999</w:t>
            </w:r>
          </w:p>
          <w:p>
            <w:pPr>
              <w:pStyle w:val="TableContents"/>
              <w:bidi w:val="0"/>
              <w:spacing w:before="0" w:after="0"/>
              <w:jc w:val="left"/>
              <w:rPr/>
            </w:pPr>
            <w:r>
              <w:rPr/>
              <w:t>  </w:t>
            </w:r>
            <w:r>
              <w:rPr>
                <w:rFonts w:ascii="Arial" w:hAnsi="Arial"/>
                <w:sz w:val="18"/>
              </w:rPr>
              <w:t>Office of the Corporate Secretary</w:t>
            </w:r>
          </w:p>
          <w:p>
            <w:pPr>
              <w:pStyle w:val="TableContents"/>
              <w:bidi w:val="0"/>
              <w:spacing w:before="0" w:after="0"/>
              <w:jc w:val="left"/>
              <w:rPr/>
            </w:pPr>
            <w:r>
              <w:rPr/>
              <w:t>  </w:t>
            </w:r>
            <w:r>
              <w:rPr>
                <w:rFonts w:ascii="Arial" w:hAnsi="Arial"/>
                <w:sz w:val="18"/>
              </w:rPr>
              <w:t>Microsoft Corporation</w:t>
            </w:r>
          </w:p>
          <w:p>
            <w:pPr>
              <w:pStyle w:val="TableContents"/>
              <w:bidi w:val="0"/>
              <w:spacing w:before="0" w:after="0"/>
              <w:jc w:val="left"/>
              <w:rPr/>
            </w:pPr>
            <w:r>
              <w:rPr/>
              <w:t>  </w:t>
            </w:r>
            <w:r>
              <w:rPr>
                <w:rFonts w:ascii="Arial" w:hAnsi="Arial"/>
                <w:sz w:val="18"/>
              </w:rPr>
              <w:t>One Microsoft Way</w:t>
            </w:r>
          </w:p>
          <w:p>
            <w:pPr>
              <w:pStyle w:val="TableContents"/>
              <w:bidi w:val="0"/>
              <w:spacing w:before="0" w:after="20"/>
              <w:jc w:val="left"/>
              <w:rPr/>
            </w:pPr>
            <w:r>
              <w:rPr/>
              <w:t>  </w:t>
            </w:r>
            <w:r>
              <w:rPr>
                <w:rFonts w:ascii="Arial" w:hAnsi="Arial"/>
                <w:sz w:val="18"/>
              </w:rPr>
              <w:t>Redmond, WA 98052-6399</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Concerns about accounting or auditing matters or possible violations of our Standards of Business Conduct should be reported under the procedures outlined in the Microsoft Standards of Business Conduct, which is available on our Microsoft integrity website at </w:t>
      </w:r>
      <w:r>
        <w:rPr>
          <w:rFonts w:ascii="Arial" w:hAnsi="Arial"/>
          <w:sz w:val="18"/>
          <w:u w:val="single"/>
        </w:rPr>
        <w:t>microsoft.com/legal/compliance/integrity</w:t>
      </w:r>
      <w:r>
        <w:rPr>
          <w:rFonts w:ascii="Arial" w:hAnsi="Arial"/>
          <w:sz w:val="18"/>
        </w:rPr>
        <w:t xml:space="preserve">. </w:t>
      </w:r>
    </w:p>
    <w:p>
      <w:pPr>
        <w:pStyle w:val="TextBody"/>
        <w:bidi w:val="0"/>
        <w:spacing w:before="240" w:after="0"/>
        <w:jc w:val="left"/>
        <w:rPr>
          <w:rFonts w:ascii="Arial" w:hAnsi="Arial"/>
          <w:b/>
          <w:sz w:val="24"/>
        </w:rPr>
      </w:pPr>
      <w:r>
        <w:rPr>
          <w:rFonts w:ascii="Arial" w:hAnsi="Arial"/>
          <w:b/>
          <w:sz w:val="24"/>
        </w:rPr>
        <w:t xml:space="preserve">Director Independence </w:t>
      </w:r>
    </w:p>
    <w:p>
      <w:pPr>
        <w:pStyle w:val="TextBody"/>
        <w:bidi w:val="0"/>
        <w:spacing w:before="120" w:after="0"/>
        <w:jc w:val="left"/>
        <w:rPr>
          <w:rFonts w:ascii="Arial" w:hAnsi="Arial"/>
          <w:sz w:val="18"/>
        </w:rPr>
      </w:pPr>
      <w:r>
        <w:rPr>
          <w:rFonts w:ascii="Arial" w:hAnsi="Arial"/>
          <w:sz w:val="18"/>
        </w:rPr>
        <w:t xml:space="preserve">Our Board has adopted director independence guidelines to assist in determining each director’s independence. These guidelines are available on our website at </w:t>
      </w:r>
      <w:r>
        <w:rPr>
          <w:rFonts w:ascii="Arial" w:hAnsi="Arial"/>
          <w:sz w:val="18"/>
          <w:u w:val="single"/>
        </w:rPr>
        <w:t>aka.ms/policiesandguidelines</w:t>
      </w:r>
      <w:r>
        <w:rPr>
          <w:rFonts w:ascii="Arial" w:hAnsi="Arial"/>
          <w:sz w:val="18"/>
        </w:rPr>
        <w:t xml:space="preserve">. The guidelines either meet or are more restrictive than the definition of “independent director” in the listing requirements of Nasdaq and applicable laws and regulations. The guidelines identify categories of relationships the Board has determined would not affect a director’s independence and therefore are not considered by the Board in determining director independence. </w:t>
      </w:r>
    </w:p>
    <w:p>
      <w:pPr>
        <w:pStyle w:val="TextBody"/>
        <w:bidi w:val="0"/>
        <w:spacing w:before="120" w:after="0"/>
        <w:jc w:val="left"/>
        <w:rPr>
          <w:rFonts w:ascii="Arial" w:hAnsi="Arial"/>
          <w:sz w:val="18"/>
        </w:rPr>
      </w:pPr>
      <w:r>
        <w:rPr>
          <w:rFonts w:ascii="Arial" w:hAnsi="Arial"/>
          <w:sz w:val="18"/>
        </w:rPr>
        <w:t xml:space="preserve">Following the director independence guidelines, each year and before a new director is appointed, the Board must affirmatively determine a director has no relationship that would interfere with the exercise of independent judgment in carrying out their responsibilities as a director. Annually, each director completes a detailed questionnaire that provides information about relationships that might affect the determination of independence. Management provides the Governance and Nominating Committee and Board with relevant known facts and circumstances of any relationship bearing on the independence of a director or nominee that is outside the categories permitted under the director independence guidelines. The Committee then completes an assessment of each director considering all known relevant facts and circumstances concerning any relationship bearing on the independence of a director or nominee. This process includes evaluating whether any identified relationship otherwise adversely affects a director’s independence and affirmatively determining that the director has no material relationship with Microsoft, another director, or as a partner, shareholder, or officer of an organization that has a relationship with our Company. </w:t>
      </w:r>
    </w:p>
    <w:p>
      <w:pPr>
        <w:pStyle w:val="TextBody"/>
        <w:bidi w:val="0"/>
        <w:spacing w:before="120" w:after="0"/>
        <w:jc w:val="left"/>
        <w:rPr>
          <w:rFonts w:ascii="Arial" w:hAnsi="Arial"/>
          <w:sz w:val="18"/>
        </w:rPr>
      </w:pPr>
      <w:r>
        <w:rPr>
          <w:rFonts w:ascii="Arial" w:hAnsi="Arial"/>
          <w:sz w:val="18"/>
        </w:rPr>
        <w:t xml:space="preserve">The Governance and Nominating Committee also considers the tenure of a director, and for longer serving directors, whether the duration of service impacts the director’s independence from management, as demonstrated by the director’s relationship with management and the director’s participation in Board and committee deliberations. The Board seeks to maintain an average tenure of 10 years or less for its independent directors as a group. </w:t>
      </w:r>
    </w:p>
    <w:p>
      <w:pPr>
        <w:pStyle w:val="TextBody"/>
        <w:bidi w:val="0"/>
        <w:spacing w:before="120" w:after="0"/>
        <w:jc w:val="left"/>
        <w:rPr>
          <w:rFonts w:ascii="Arial" w:hAnsi="Arial"/>
          <w:sz w:val="18"/>
        </w:rPr>
      </w:pPr>
      <w:r>
        <w:rPr>
          <w:rFonts w:ascii="Arial" w:hAnsi="Arial"/>
          <w:sz w:val="18"/>
        </w:rPr>
        <w:t xml:space="preserve">Based on the review and recommendation by the Governance and Nominating Committee, the Board analyzed the independence of each director and nominee. The Board determined that Mses. List, MacGregor, Peterson, Pritzker, and Walmsley, and Messrs. Collison, Di Sibio, Hoffman, Johnston, Mason, Rainey, Scharf, and Stanton (as well as Carlos Rodriguez, whose Board service ended on December 5, 2025) meet the standards of independence under our Corporate Governance Guidelines, the director independence guidelines, and applicable Nasdaq listing standards, including that each member is free of any relationship that would interfere with his or her individual exercise of independent judgment. In making its independence determination, the Committee and Board considered ordinary course transactions between Microsoft and certain related entities, for instance the purchase of software licenses by companies of which a director is an executive officer, and purchases by Microsoft of goods and services from such companies. </w:t>
      </w:r>
    </w:p>
    <w:p>
      <w:pPr>
        <w:pStyle w:val="TextBody"/>
        <w:bidi w:val="0"/>
        <w:spacing w:before="240" w:after="0"/>
        <w:jc w:val="left"/>
        <w:rPr>
          <w:rFonts w:ascii="Arial" w:hAnsi="Arial"/>
          <w:b/>
          <w:sz w:val="24"/>
        </w:rPr>
      </w:pPr>
      <w:r>
        <w:rPr>
          <w:rFonts w:ascii="Arial" w:hAnsi="Arial"/>
          <w:b/>
          <w:sz w:val="24"/>
        </w:rPr>
        <w:t xml:space="preserve">Certain Relationships and Related Transactions </w:t>
      </w:r>
    </w:p>
    <w:p>
      <w:pPr>
        <w:pStyle w:val="TextBody"/>
        <w:bidi w:val="0"/>
        <w:spacing w:before="120" w:after="0"/>
        <w:jc w:val="left"/>
        <w:rPr>
          <w:rFonts w:ascii="Arial" w:hAnsi="Arial"/>
          <w:sz w:val="18"/>
        </w:rPr>
      </w:pPr>
      <w:r>
        <w:rPr>
          <w:rFonts w:ascii="Arial" w:hAnsi="Arial"/>
          <w:sz w:val="18"/>
        </w:rPr>
        <w:t xml:space="preserve">We are a global company with extensive operations in the U.S. and many foreign countries. Every year, we spend billions of dollars for goods and services purchased from third parties. The authority of our employees to purchase goods and services is widely dispersed. Because of these wide-ranging activities, there may be transactions, business arrangements, or relationships with businesses and other organizations in which one of our directors, executive officers, nominees for director, or an owner of 5% or more of our stock (“5% shareholders”), or their immediate families, may also be a director, executive officer, or investor, or have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18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some other direct or indirect material interest (“related entities”). We will refer to these transactions with related entities as related-party transactions where the amount involved exceeds $120,000 and a director, executive officer, nominee for director or 5% shareholders, or immediate family member has a direct or indirect material interest. </w:t>
      </w:r>
    </w:p>
    <w:p>
      <w:pPr>
        <w:pStyle w:val="TextBody"/>
        <w:bidi w:val="0"/>
        <w:spacing w:before="120" w:after="0"/>
        <w:jc w:val="left"/>
        <w:rPr>
          <w:rFonts w:ascii="Arial" w:hAnsi="Arial"/>
          <w:sz w:val="18"/>
        </w:rPr>
      </w:pPr>
      <w:r>
        <w:rPr>
          <w:rFonts w:ascii="Arial" w:hAnsi="Arial"/>
          <w:sz w:val="18"/>
        </w:rPr>
        <w:t xml:space="preserve">Related-party transactions have the potential to create actual or perceived conflicts of interest between Microsoft and its directors, executive officers, nominees for director or 5% shareholders, or their immediate family members. The Audit and Finance Committee has established a written policy and procedures for review and approval of related-party transactions. If a related-party transaction subject to review involves directly or indirectly a member of the Audit and Finance Committee (or an immediate family member or domestic partner), the remaining Committee members will conduct the review. In evaluating a related-party transaction, the Audit and Finance Committee considers, among other factors: </w:t>
      </w:r>
    </w:p>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125"/>
        <w:gridCol w:w="60"/>
        <w:gridCol w:w="46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Arial" w:hAnsi="Arial"/>
                <w:sz w:val="18"/>
              </w:rPr>
            </w:pPr>
            <w:r>
              <w:rPr>
                <w:rFonts w:ascii="Arial" w:hAnsi="Arial"/>
                <w:sz w:val="18"/>
              </w:rPr>
              <w:t xml:space="preserve">The goods or services provided by or to the related party </w:t>
            </w:r>
          </w:p>
        </w:tc>
      </w:tr>
    </w:tbl>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125"/>
        <w:gridCol w:w="60"/>
        <w:gridCol w:w="77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Arial" w:hAnsi="Arial"/>
                <w:sz w:val="18"/>
              </w:rPr>
            </w:pPr>
            <w:r>
              <w:rPr>
                <w:rFonts w:ascii="Arial" w:hAnsi="Arial"/>
                <w:sz w:val="18"/>
              </w:rPr>
              <w:t xml:space="preserve">The nature of the transaction and the costs to be incurred by Microsoft or payments to Microsoft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benefits associated with the transaction and whether comparable or alternative goods or services are available to Microsoft from unrelated parties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125"/>
        <w:gridCol w:w="60"/>
        <w:gridCol w:w="63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Arial" w:hAnsi="Arial"/>
                <w:sz w:val="18"/>
              </w:rPr>
            </w:pPr>
            <w:r>
              <w:rPr>
                <w:rFonts w:ascii="Arial" w:hAnsi="Arial"/>
                <w:sz w:val="18"/>
              </w:rPr>
              <w:t xml:space="preserve">The business advantage Microsoft would gain by engaging in the transaction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125"/>
        <w:gridCol w:w="60"/>
        <w:gridCol w:w="57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left"/>
              <w:rPr>
                <w:rFonts w:ascii="Arial" w:hAnsi="Arial"/>
                <w:sz w:val="18"/>
              </w:rPr>
            </w:pPr>
            <w:r>
              <w:rPr>
                <w:rFonts w:ascii="Arial" w:hAnsi="Arial"/>
                <w:sz w:val="18"/>
              </w:rPr>
              <w:t xml:space="preserve">The significance of the transaction to Microsoft and to the related party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125"/>
        <w:gridCol w:w="60"/>
        <w:gridCol w:w="68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Arial" w:hAnsi="Arial"/>
                <w:sz w:val="18"/>
              </w:rPr>
            </w:pPr>
            <w:r>
              <w:rPr>
                <w:rFonts w:ascii="Arial" w:hAnsi="Arial"/>
                <w:sz w:val="18"/>
              </w:rPr>
              <w:t xml:space="preserve">Management’s determination that the transaction is in the best interests of Microsoft </w:t>
            </w:r>
          </w:p>
        </w:tc>
      </w:tr>
    </w:tbl>
    <w:p>
      <w:pPr>
        <w:pStyle w:val="TextBody"/>
        <w:bidi w:val="0"/>
        <w:spacing w:before="120" w:after="0"/>
        <w:jc w:val="left"/>
        <w:rPr>
          <w:rFonts w:ascii="Arial" w:hAnsi="Arial"/>
          <w:sz w:val="18"/>
        </w:rPr>
      </w:pPr>
      <w:r>
        <w:rPr>
          <w:rFonts w:ascii="Arial" w:hAnsi="Arial"/>
          <w:sz w:val="18"/>
        </w:rPr>
        <w:t xml:space="preserve">To receive Audit and Finance Committee approval, a related-party transaction must have a Microsoft business purpose and be on terms that are fair and reasonable to Microsoft and be as favorable to Microsoft as would be available from non-related entities in comparable transactions. The Audit and Finance Committee also requires that the transaction meet the same Microsoft standards that apply to comparable transactions with unaffiliated entities. </w:t>
      </w:r>
    </w:p>
    <w:p>
      <w:pPr>
        <w:pStyle w:val="TextBody"/>
        <w:bidi w:val="0"/>
        <w:spacing w:before="120" w:after="0"/>
        <w:jc w:val="left"/>
        <w:rPr>
          <w:rFonts w:ascii="Arial" w:hAnsi="Arial"/>
          <w:sz w:val="18"/>
        </w:rPr>
      </w:pPr>
      <w:r>
        <w:rPr>
          <w:rFonts w:ascii="Arial" w:hAnsi="Arial"/>
          <w:sz w:val="18"/>
        </w:rPr>
        <w:t xml:space="preserve">During fiscal year 2026, there were ordinary course transactions between Microsoft and certain related entities, for instance the purchase of software licenses by companies of which a director is an executive officer and purchases by Microsoft of goods and services from such companies. None of these transactions constituted a related-party transaction that required approval by the Audit and Finance Committee.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8" w:name="toc61756_6"/>
      <w:bookmarkEnd w:id="8"/>
      <w:r>
        <w:rPr>
          <w:rFonts w:ascii="Arial" w:hAnsi="Arial"/>
          <w:b/>
          <w:color w:val="0075C9"/>
          <w:sz w:val="28"/>
        </w:rPr>
        <w:t xml:space="preserve">Board Composition </w:t>
      </w:r>
    </w:p>
    <w:p>
      <w:pPr>
        <w:pStyle w:val="TextBody"/>
        <w:bidi w:val="0"/>
        <w:spacing w:before="240" w:after="0"/>
        <w:jc w:val="left"/>
        <w:rPr>
          <w:rFonts w:ascii="Arial" w:hAnsi="Arial"/>
          <w:sz w:val="18"/>
        </w:rPr>
      </w:pPr>
      <w:r>
        <w:rPr>
          <w:rFonts w:ascii="Arial" w:hAnsi="Arial"/>
          <w:sz w:val="18"/>
        </w:rPr>
        <w:t>Our Board believes that the current directors and director nominees bring complementary qualifications, expertise, and perspectives that enable effective oversight of the Company’s strategy and support long-term value creation for shareholders. Together, they form a skilled, engaged, and independent Board. The biographies below provide additional information about each director’s background and relevant experience.</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Qualifications and Expertise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3"/>
        <w:gridCol w:w="60"/>
        <w:gridCol w:w="2082"/>
        <w:gridCol w:w="60"/>
        <w:gridCol w:w="7130"/>
      </w:tblGrid>
      <w:tr>
        <w:trPr/>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0" w:type="dxa"/>
            <w:tcBorders/>
            <w:vAlign w:val="center"/>
          </w:tcPr>
          <w:p>
            <w:pPr>
              <w:pStyle w:val="TableContents"/>
              <w:bidi w:val="0"/>
              <w:spacing w:before="0" w:after="283"/>
              <w:jc w:val="left"/>
              <w:rPr>
                <w:sz w:val="4"/>
                <w:szCs w:val="4"/>
              </w:rPr>
            </w:pPr>
            <w:r>
              <w:rPr>
                <w:sz w:val="4"/>
                <w:szCs w:val="4"/>
              </w:rPr>
            </w:r>
          </w:p>
        </w:tc>
      </w:tr>
      <w:tr>
        <w:trPr/>
        <w:tc>
          <w:tcPr>
            <w:tcW w:w="873" w:type="dxa"/>
            <w:tcBorders>
              <w:top w:val="single" w:sz="6" w:space="0" w:color="000000"/>
            </w:tcBorders>
            <w:tcMar>
              <w:top w:w="28" w:type="dxa"/>
            </w:tcMar>
            <w:vAlign w:val="center"/>
          </w:tcPr>
          <w:p>
            <w:pPr>
              <w:pStyle w:val="TableContents"/>
              <w:bidi w:val="0"/>
              <w:spacing w:before="0" w:after="283"/>
              <w:jc w:val="left"/>
              <w:rPr/>
            </w:pPr>
            <w:r>
              <w:rPr/>
              <w:t> </w:t>
            </w:r>
          </w:p>
        </w:tc>
        <w:tc>
          <w:tcPr>
            <w:tcW w:w="2142"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7190"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873" w:type="dxa"/>
            <w:tcBorders/>
            <w:vAlign w:val="center"/>
          </w:tcPr>
          <w:p>
            <w:pPr>
              <w:pStyle w:val="TableContents"/>
              <w:bidi w:val="0"/>
              <w:spacing w:before="0" w:after="0"/>
              <w:jc w:val="center"/>
              <w:rPr/>
            </w:pPr>
            <w:r>
              <w:rPr/>
              <w:t xml:space="preserve">   </w:t>
            </w:r>
            <w:r>
              <w:rPr/>
              <w:drawing>
                <wp:inline distT="0" distB="0" distL="0" distR="0">
                  <wp:extent cx="381000" cy="381000"/>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381000" cy="381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b/>
              </w:rPr>
            </w:pPr>
            <w:r>
              <w:rPr>
                <w:b/>
              </w:rPr>
              <w:t>Finance and Capital Allocation</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overseeing capital allocation decisions, including infrastructure investments, research and development, and financial risk</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ability to guide enterprises on strategies that balance near-term performance with long-term shareholder value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Management of finance and financial reporting processes and strategies to ensure accurate and compliant reporting</w:t>
            </w:r>
          </w:p>
        </w:tc>
      </w:tr>
      <w:tr>
        <w:trPr/>
        <w:tc>
          <w:tcPr>
            <w:tcW w:w="873" w:type="dxa"/>
            <w:tcBorders>
              <w:top w:val="single" w:sz="6" w:space="0" w:color="0075C9"/>
            </w:tcBorders>
            <w:tcMar>
              <w:top w:w="28" w:type="dxa"/>
            </w:tcMar>
            <w:vAlign w:val="center"/>
          </w:tcPr>
          <w:p>
            <w:pPr>
              <w:pStyle w:val="TableContents"/>
              <w:bidi w:val="0"/>
              <w:spacing w:before="0" w:after="283"/>
              <w:jc w:val="left"/>
              <w:rPr/>
            </w:pPr>
            <w:r>
              <w:rPr/>
              <w:t> </w:t>
            </w:r>
          </w:p>
        </w:tc>
        <w:tc>
          <w:tcPr>
            <w:tcW w:w="214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7190"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873" w:type="dxa"/>
            <w:tcBorders>
              <w:bottom w:val="single" w:sz="6" w:space="0" w:color="0075C9"/>
            </w:tcBorders>
            <w:tcMar>
              <w:bottom w:w="60" w:type="dxa"/>
            </w:tcMar>
            <w:vAlign w:val="center"/>
          </w:tcPr>
          <w:p>
            <w:pPr>
              <w:pStyle w:val="TableContents"/>
              <w:bidi w:val="0"/>
              <w:spacing w:before="0" w:after="0"/>
              <w:jc w:val="center"/>
              <w:rPr/>
            </w:pPr>
            <w:r>
              <w:rPr/>
              <w:t xml:space="preserve">  </w:t>
            </w:r>
            <w:r>
              <w:rPr/>
              <w:drawing>
                <wp:inline distT="0" distB="0" distL="0" distR="0">
                  <wp:extent cx="381000" cy="38100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381000" cy="381000"/>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82" w:type="dxa"/>
            <w:tcBorders>
              <w:bottom w:val="single" w:sz="6" w:space="0" w:color="0075C9"/>
            </w:tcBorders>
            <w:tcMar>
              <w:bottom w:w="60" w:type="dxa"/>
            </w:tcMar>
            <w:vAlign w:val="center"/>
          </w:tcPr>
          <w:p>
            <w:pPr>
              <w:pStyle w:val="TableContents"/>
              <w:bidi w:val="0"/>
              <w:spacing w:before="0" w:after="283"/>
              <w:jc w:val="left"/>
              <w:rPr>
                <w:b/>
              </w:rPr>
            </w:pPr>
            <w:r>
              <w:rPr>
                <w:b/>
              </w:rPr>
              <w:t>Global Business</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7130" w:type="dxa"/>
            <w:tcBorders>
              <w:bottom w:val="single" w:sz="6" w:space="0" w:color="0075C9"/>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driving business success in markets around the world, including evaluating international investments, expansion opportunities, sales and marketing, and growth strategies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Success in building relationships with customers, partners, governments, and other stakeholders across regions and jurisdictions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insight on geopolitical, economic, and regulatory challenges, risks, and opportunities</w:t>
            </w:r>
          </w:p>
        </w:tc>
      </w:tr>
      <w:tr>
        <w:trPr/>
        <w:tc>
          <w:tcPr>
            <w:tcW w:w="873" w:type="dxa"/>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873" w:type="dxa"/>
            <w:tcBorders/>
            <w:vAlign w:val="center"/>
          </w:tcPr>
          <w:p>
            <w:pPr>
              <w:pStyle w:val="TableContents"/>
              <w:bidi w:val="0"/>
              <w:spacing w:before="0" w:after="0"/>
              <w:jc w:val="center"/>
              <w:rPr/>
            </w:pPr>
            <w:r>
              <w:rPr/>
              <w:t xml:space="preserve">  </w:t>
            </w:r>
            <w:r>
              <w:rPr/>
              <w:drawing>
                <wp:inline distT="0" distB="0" distL="0" distR="0">
                  <wp:extent cx="381000" cy="38417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381000" cy="3841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b/>
              </w:rPr>
            </w:pPr>
            <w:r>
              <w:rPr>
                <w:b/>
              </w:rPr>
              <w:t>Leadership</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leading complex enterprises, resulting in a practical understanding of organizations, processes, and enterprise risk management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practical insight into business strategy and operations and supporting achievement of strategic priorities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Service on the board and board committees of other public companies, including experience with corporate governance practices and insights into board oversight</w:t>
            </w:r>
          </w:p>
        </w:tc>
      </w:tr>
      <w:tr>
        <w:trPr/>
        <w:tc>
          <w:tcPr>
            <w:tcW w:w="873" w:type="dxa"/>
            <w:tcBorders>
              <w:top w:val="single" w:sz="6" w:space="0" w:color="0075C9"/>
            </w:tcBorders>
            <w:tcMar>
              <w:top w:w="28" w:type="dxa"/>
            </w:tcMar>
            <w:vAlign w:val="center"/>
          </w:tcPr>
          <w:p>
            <w:pPr>
              <w:pStyle w:val="TableContents"/>
              <w:bidi w:val="0"/>
              <w:spacing w:before="0" w:after="283"/>
              <w:jc w:val="left"/>
              <w:rPr/>
            </w:pPr>
            <w:r>
              <w:rPr/>
              <w:t> </w:t>
            </w:r>
          </w:p>
        </w:tc>
        <w:tc>
          <w:tcPr>
            <w:tcW w:w="214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7190"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873" w:type="dxa"/>
            <w:tcBorders>
              <w:bottom w:val="single" w:sz="6" w:space="0" w:color="0075C9"/>
            </w:tcBorders>
            <w:tcMar>
              <w:bottom w:w="60" w:type="dxa"/>
            </w:tcMar>
            <w:vAlign w:val="center"/>
          </w:tcPr>
          <w:p>
            <w:pPr>
              <w:pStyle w:val="TableContents"/>
              <w:bidi w:val="0"/>
              <w:spacing w:before="0" w:after="0"/>
              <w:jc w:val="center"/>
              <w:rPr/>
            </w:pPr>
            <w:r>
              <w:rPr/>
              <w:t xml:space="preserve">  </w:t>
            </w:r>
            <w:r>
              <w:rPr/>
              <w:drawing>
                <wp:inline distT="0" distB="0" distL="0" distR="0">
                  <wp:extent cx="381000" cy="398780"/>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381000" cy="398780"/>
                          </a:xfrm>
                          <a:prstGeom prst="rect">
                            <a:avLst/>
                          </a:prstGeom>
                        </pic:spPr>
                      </pic:pic>
                    </a:graphicData>
                  </a:graphic>
                </wp:inline>
              </w:drawing>
            </w:r>
            <w:r>
              <w:rPr/>
              <w:t xml:space="preserve">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82" w:type="dxa"/>
            <w:tcBorders>
              <w:bottom w:val="single" w:sz="6" w:space="0" w:color="0075C9"/>
            </w:tcBorders>
            <w:tcMar>
              <w:bottom w:w="60" w:type="dxa"/>
            </w:tcMar>
            <w:vAlign w:val="center"/>
          </w:tcPr>
          <w:p>
            <w:pPr>
              <w:pStyle w:val="TableContents"/>
              <w:bidi w:val="0"/>
              <w:spacing w:before="0" w:after="283"/>
              <w:jc w:val="left"/>
              <w:rPr>
                <w:b/>
              </w:rPr>
            </w:pPr>
            <w:r>
              <w:rPr>
                <w:b/>
              </w:rPr>
              <w:t>Strategic Transformation</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7130" w:type="dxa"/>
            <w:tcBorders>
              <w:bottom w:val="single" w:sz="6" w:space="0" w:color="0075C9"/>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leading enterprise-wide transformations, including changes to business models, operations, and organizational structures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ability to lead through periods of technological disruption, market transition, and competitive pressure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Success driving growth through acquisitions, strategic partnerships, and other business combinations, including through evaluation, execution, and integration</w:t>
            </w:r>
          </w:p>
        </w:tc>
      </w:tr>
      <w:tr>
        <w:trPr/>
        <w:tc>
          <w:tcPr>
            <w:tcW w:w="873" w:type="dxa"/>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7190" w:type="dxa"/>
            <w:gridSpan w:val="2"/>
            <w:tcBorders/>
            <w:vAlign w:val="center"/>
          </w:tcPr>
          <w:p>
            <w:pPr>
              <w:pStyle w:val="TableContents"/>
              <w:bidi w:val="0"/>
              <w:spacing w:before="0" w:after="283"/>
              <w:jc w:val="left"/>
              <w:rPr>
                <w:sz w:val="4"/>
                <w:szCs w:val="4"/>
              </w:rPr>
            </w:pPr>
            <w:r>
              <w:rPr>
                <w:sz w:val="4"/>
                <w:szCs w:val="4"/>
              </w:rPr>
            </w:r>
          </w:p>
        </w:tc>
      </w:tr>
      <w:tr>
        <w:trPr/>
        <w:tc>
          <w:tcPr>
            <w:tcW w:w="873" w:type="dxa"/>
            <w:tcBorders/>
            <w:vAlign w:val="center"/>
          </w:tcPr>
          <w:p>
            <w:pPr>
              <w:pStyle w:val="TableContents"/>
              <w:bidi w:val="0"/>
              <w:spacing w:before="0" w:after="0"/>
              <w:jc w:val="center"/>
              <w:rPr/>
            </w:pPr>
            <w:r>
              <w:rPr/>
              <w:t xml:space="preserve">  </w:t>
            </w:r>
            <w:r>
              <w:rPr/>
              <w:drawing>
                <wp:inline distT="0" distB="0" distL="0" distR="0">
                  <wp:extent cx="410210" cy="37211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410210" cy="3721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b/>
              </w:rPr>
            </w:pPr>
            <w:r>
              <w:rPr>
                <w:b/>
              </w:rPr>
              <w:t>Talent, Culture, and Diversity</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strengths in developing talent, planning succession, and driving change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building inclusive organizations and developing human capital strategies that help attract, retain, and develop world-class talent</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Contribution of diverse experiences, attributes, and perspectives to the Board’s understanding of the needs and viewpoints of our customers, partners, employees, and other stakeholders globally</w:t>
            </w:r>
          </w:p>
        </w:tc>
      </w:tr>
      <w:tr>
        <w:trPr/>
        <w:tc>
          <w:tcPr>
            <w:tcW w:w="873" w:type="dxa"/>
            <w:tcBorders>
              <w:top w:val="single" w:sz="6" w:space="0" w:color="0075C9"/>
            </w:tcBorders>
            <w:tcMar>
              <w:top w:w="28" w:type="dxa"/>
            </w:tcMar>
            <w:vAlign w:val="center"/>
          </w:tcPr>
          <w:p>
            <w:pPr>
              <w:pStyle w:val="TableContents"/>
              <w:bidi w:val="0"/>
              <w:spacing w:before="0" w:after="283"/>
              <w:jc w:val="left"/>
              <w:rPr/>
            </w:pPr>
            <w:r>
              <w:rPr/>
              <w:t> </w:t>
            </w:r>
          </w:p>
        </w:tc>
        <w:tc>
          <w:tcPr>
            <w:tcW w:w="2142" w:type="dxa"/>
            <w:gridSpan w:val="2"/>
            <w:tcBorders>
              <w:top w:val="single" w:sz="6" w:space="0" w:color="0075C9"/>
            </w:tcBorders>
            <w:tcMar>
              <w:top w:w="28" w:type="dxa"/>
            </w:tcMar>
            <w:vAlign w:val="center"/>
          </w:tcPr>
          <w:p>
            <w:pPr>
              <w:pStyle w:val="TableContents"/>
              <w:bidi w:val="0"/>
              <w:spacing w:before="0" w:after="283"/>
              <w:jc w:val="left"/>
              <w:rPr/>
            </w:pPr>
            <w:r>
              <w:rPr/>
              <w:t> </w:t>
            </w:r>
          </w:p>
        </w:tc>
        <w:tc>
          <w:tcPr>
            <w:tcW w:w="7190"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873" w:type="dxa"/>
            <w:tcBorders>
              <w:bottom w:val="single" w:sz="6" w:space="0" w:color="000000"/>
            </w:tcBorders>
            <w:tcMar>
              <w:bottom w:w="60" w:type="dxa"/>
            </w:tcMar>
            <w:vAlign w:val="center"/>
          </w:tcPr>
          <w:p>
            <w:pPr>
              <w:pStyle w:val="TableContents"/>
              <w:bidi w:val="0"/>
              <w:spacing w:before="0" w:after="0"/>
              <w:jc w:val="center"/>
              <w:rPr/>
            </w:pPr>
            <w:r>
              <w:rPr/>
              <w:t xml:space="preserve">  </w:t>
            </w:r>
            <w:r>
              <w:rPr/>
              <w:drawing>
                <wp:inline distT="0" distB="0" distL="0" distR="0">
                  <wp:extent cx="396875" cy="28003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396875" cy="28003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82" w:type="dxa"/>
            <w:tcBorders>
              <w:bottom w:val="single" w:sz="6" w:space="0" w:color="000000"/>
            </w:tcBorders>
            <w:tcMar>
              <w:bottom w:w="60" w:type="dxa"/>
            </w:tcMar>
            <w:vAlign w:val="center"/>
          </w:tcPr>
          <w:p>
            <w:pPr>
              <w:pStyle w:val="TableContents"/>
              <w:bidi w:val="0"/>
              <w:spacing w:before="0" w:after="283"/>
              <w:jc w:val="left"/>
              <w:rPr>
                <w:b/>
              </w:rPr>
            </w:pPr>
            <w:r>
              <w:rPr>
                <w:b/>
              </w:rPr>
              <w:t>Technology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130" w:type="dxa"/>
            <w:tcBorders>
              <w:bottom w:val="single" w:sz="6"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Success in developing, operating, or overseeing technology businesses, products, and platforms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Experience identifying, evaluating, or adopting emerging technologies, including AI and other disruptive innovation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Demonstrated competencies in the secure, responsible, and trustworthy deployment of technology, including the oversight and risk management of cybersecurity, privacy, data governance, and AI</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6400800" cy="81089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6400800" cy="8108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20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assessing each director’s qualifications and expertise, the Board considered the nature, depth, breadth, duration, and relevance of each nominee’s experience related to the capabilities described above, including the scope of their responsibilities and the size and complexity of the organizations in which that experience was gained. The circles reflect the Board’s qualitative assessment and are not based solely on the number of listed capabilities satisfied. </w:t>
      </w:r>
    </w:p>
    <w:p>
      <w:pPr>
        <w:pStyle w:val="TextBody"/>
        <w:bidi w:val="0"/>
        <w:spacing w:before="0" w:after="0"/>
        <w:jc w:val="left"/>
        <w:rPr/>
      </w:pPr>
      <w:r>
        <w:rPr/>
        <w:t> </w:t>
      </w:r>
    </w:p>
    <w:p>
      <w:pPr>
        <w:pStyle w:val="TextBody"/>
        <w:bidi w:val="0"/>
        <w:spacing w:before="0" w:after="0"/>
        <w:jc w:val="left"/>
        <w:rPr/>
      </w:pPr>
      <w:r>
        <w:rPr/>
        <w:drawing>
          <wp:inline distT="0" distB="0" distL="0" distR="0">
            <wp:extent cx="6696710" cy="555307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6696710" cy="5553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9" w:name="toc61756_7"/>
      <w:bookmarkEnd w:id="9"/>
      <w:r>
        <w:rPr>
          <w:rFonts w:ascii="Arial" w:hAnsi="Arial"/>
          <w:b/>
          <w:color w:val="0075C9"/>
          <w:sz w:val="28"/>
        </w:rPr>
        <w:t xml:space="preserve">Our Director Nominees </w:t>
      </w:r>
    </w:p>
    <w:p>
      <w:pPr>
        <w:pStyle w:val="TextBody"/>
        <w:bidi w:val="0"/>
        <w:spacing w:before="120" w:after="0"/>
        <w:jc w:val="left"/>
        <w:rPr>
          <w:rFonts w:ascii="Arial" w:hAnsi="Arial"/>
          <w:sz w:val="18"/>
        </w:rPr>
      </w:pPr>
      <w:r>
        <w:rPr>
          <w:rFonts w:ascii="Arial" w:hAnsi="Arial"/>
          <w:sz w:val="18"/>
        </w:rPr>
        <w:t xml:space="preserve">Following are biographies for the 12 directors nominated by the Board for election during the 2026 Annual Meeting. </w:t>
      </w:r>
    </w:p>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38"/>
        <w:gridCol w:w="60"/>
        <w:gridCol w:w="1484"/>
        <w:gridCol w:w="120"/>
        <w:gridCol w:w="5926"/>
        <w:gridCol w:w="492"/>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926" w:type="dxa"/>
            <w:vMerge w:val="restart"/>
            <w:tcBorders/>
            <w:vAlign w:val="center"/>
          </w:tcPr>
          <w:p>
            <w:pPr>
              <w:pStyle w:val="TableContents"/>
              <w:bidi w:val="0"/>
              <w:spacing w:before="0" w:after="283"/>
              <w:jc w:val="left"/>
              <w:rPr>
                <w:color w:val="595959"/>
              </w:rPr>
            </w:pPr>
            <w:r>
              <w:rPr>
                <w:color w:val="595959"/>
              </w:rPr>
              <w:t>John Collison </w:t>
            </w:r>
          </w:p>
        </w:tc>
        <w:tc>
          <w:tcPr>
            <w:tcW w:w="4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926" w:type="dxa"/>
            <w:vMerge w:val="continue"/>
            <w:tcBorders/>
            <w:vAlign w:val="center"/>
          </w:tcPr>
          <w:p>
            <w:pPr>
              <w:pStyle w:val="Normal"/>
              <w:bidi w:val="0"/>
              <w:jc w:val="left"/>
              <w:rPr/>
            </w:pPr>
            <w:r>
              <w:rPr/>
            </w:r>
          </w:p>
        </w:tc>
        <w:tc>
          <w:tcPr>
            <w:tcW w:w="4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573"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36 | </w:t>
            </w:r>
            <w:r>
              <w:rPr>
                <w:rFonts w:ascii="Arial" w:hAnsi="Arial"/>
                <w:b/>
                <w:sz w:val="20"/>
              </w:rPr>
              <w:t>Director Since:</w:t>
            </w:r>
            <w:r>
              <w:rPr>
                <w:rFonts w:ascii="Arial" w:hAnsi="Arial"/>
                <w:sz w:val="20"/>
              </w:rPr>
              <w:t xml:space="preserve"> New Nominee | </w:t>
            </w:r>
            <w:r>
              <w:rPr>
                <w:rFonts w:ascii="Arial" w:hAnsi="Arial"/>
                <w:b/>
                <w:sz w:val="20"/>
              </w:rPr>
              <w:t>Birthplace:</w:t>
            </w:r>
            <w:r>
              <w:rPr>
                <w:rFonts w:ascii="Arial" w:hAnsi="Arial"/>
                <w:sz w:val="20"/>
              </w:rPr>
              <w:t xml:space="preserve"> Ireland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4141"/>
        <w:gridCol w:w="240"/>
        <w:gridCol w:w="5373"/>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4141"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Stripe Global Holdings, Inc. (2010-present)</w:t>
            </w:r>
          </w:p>
          <w:p>
            <w:pPr>
              <w:pStyle w:val="TableContents"/>
              <w:bidi w:val="0"/>
              <w:spacing w:before="0" w:after="0"/>
              <w:jc w:val="left"/>
              <w:rPr>
                <w:rFonts w:ascii="Arial" w:hAnsi="Arial"/>
                <w:color w:val="0075C9"/>
                <w:sz w:val="18"/>
              </w:rPr>
            </w:pPr>
            <w:r>
              <w:rPr>
                <w:rFonts w:ascii="Arial" w:hAnsi="Arial"/>
                <w:color w:val="0075C9"/>
                <w:sz w:val="18"/>
              </w:rPr>
              <w:t>(financial services company)</w:t>
            </w:r>
          </w:p>
          <w:p>
            <w:pPr>
              <w:pStyle w:val="TableContents"/>
              <w:bidi w:val="0"/>
              <w:spacing w:before="0" w:after="0"/>
              <w:jc w:val="left"/>
              <w:rPr/>
            </w:pPr>
            <w:r>
              <w:rPr/>
              <w:t>•  </w:t>
            </w:r>
            <w:r>
              <w:rPr>
                <w:rFonts w:ascii="Arial" w:hAnsi="Arial"/>
                <w:sz w:val="18"/>
              </w:rPr>
              <w:t>Co-founder, President, and Director (2010-present)</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5373"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Appointment will be made after election</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 Held in the Past Five Years:</w:t>
            </w:r>
          </w:p>
          <w:p>
            <w:pPr>
              <w:pStyle w:val="TableContents"/>
              <w:bidi w:val="0"/>
              <w:spacing w:before="0" w:after="0"/>
              <w:jc w:val="left"/>
              <w:rPr/>
            </w:pPr>
            <w:r>
              <w:rPr/>
              <w:t>• </w:t>
            </w:r>
            <w:r>
              <w:rPr>
                <w:rFonts w:ascii="Arial" w:hAnsi="Arial"/>
                <w:sz w:val="18"/>
              </w:rPr>
              <w:t>None</w:t>
            </w:r>
          </w:p>
          <w:p>
            <w:pPr>
              <w:pStyle w:val="TableContents"/>
              <w:bidi w:val="0"/>
              <w:spacing w:before="0" w:after="20"/>
              <w:jc w:val="left"/>
              <w:rPr/>
            </w:pPr>
            <w:r>
              <w:rPr/>
              <w:t> </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86" w:type="dxa"/>
        <w:jc w:val="left"/>
        <w:tblInd w:w="0" w:type="dxa"/>
        <w:tblLayout w:type="fixed"/>
        <w:tblCellMar>
          <w:top w:w="0" w:type="dxa"/>
          <w:left w:w="0" w:type="dxa"/>
          <w:bottom w:w="0" w:type="dxa"/>
          <w:right w:w="0" w:type="dxa"/>
        </w:tblCellMar>
      </w:tblPr>
      <w:tblGrid>
        <w:gridCol w:w="38"/>
        <w:gridCol w:w="60"/>
        <w:gridCol w:w="1484"/>
        <w:gridCol w:w="120"/>
        <w:gridCol w:w="5135"/>
        <w:gridCol w:w="341"/>
        <w:gridCol w:w="10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135" w:type="dxa"/>
            <w:vMerge w:val="restart"/>
            <w:tcBorders/>
            <w:vAlign w:val="center"/>
          </w:tcPr>
          <w:p>
            <w:pPr>
              <w:pStyle w:val="TableContents"/>
              <w:bidi w:val="0"/>
              <w:spacing w:before="0" w:after="283"/>
              <w:jc w:val="left"/>
              <w:rPr>
                <w:color w:val="595959"/>
              </w:rPr>
            </w:pPr>
            <w:r>
              <w:rPr>
                <w:color w:val="595959"/>
              </w:rPr>
              <w:t>Carmine Di Sibio </w:t>
            </w:r>
          </w:p>
        </w:tc>
        <w:tc>
          <w:tcPr>
            <w:tcW w:w="34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135" w:type="dxa"/>
            <w:vMerge w:val="continue"/>
            <w:tcBorders/>
            <w:vAlign w:val="center"/>
          </w:tcPr>
          <w:p>
            <w:pPr>
              <w:pStyle w:val="Normal"/>
              <w:bidi w:val="0"/>
              <w:jc w:val="left"/>
              <w:rPr/>
            </w:pPr>
            <w:r>
              <w:rPr/>
            </w:r>
          </w:p>
        </w:tc>
        <w:tc>
          <w:tcPr>
            <w:tcW w:w="34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584"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63 | </w:t>
            </w:r>
            <w:r>
              <w:rPr>
                <w:rFonts w:ascii="Arial" w:hAnsi="Arial"/>
                <w:b/>
                <w:sz w:val="20"/>
              </w:rPr>
              <w:t>Director Since:</w:t>
            </w:r>
            <w:r>
              <w:rPr>
                <w:rFonts w:ascii="Arial" w:hAnsi="Arial"/>
                <w:sz w:val="20"/>
              </w:rPr>
              <w:t xml:space="preserve"> 2026 | </w:t>
            </w:r>
            <w:r>
              <w:rPr>
                <w:rFonts w:ascii="Arial" w:hAnsi="Arial"/>
                <w:b/>
                <w:sz w:val="20"/>
              </w:rPr>
              <w:t>Birthplace:</w:t>
            </w:r>
            <w:r>
              <w:rPr>
                <w:rFonts w:ascii="Arial" w:hAnsi="Arial"/>
                <w:sz w:val="20"/>
              </w:rPr>
              <w:t xml:space="preserve"> Italy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lineRule="atLeast" w:line="160"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4774"/>
        <w:gridCol w:w="240"/>
        <w:gridCol w:w="4740"/>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4774"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EY (2001-2024)</w:t>
            </w:r>
          </w:p>
          <w:p>
            <w:pPr>
              <w:pStyle w:val="TableContents"/>
              <w:bidi w:val="0"/>
              <w:spacing w:before="0" w:after="0"/>
              <w:jc w:val="left"/>
              <w:rPr>
                <w:rFonts w:ascii="Arial" w:hAnsi="Arial"/>
                <w:color w:val="0075C9"/>
                <w:sz w:val="18"/>
              </w:rPr>
            </w:pPr>
            <w:r>
              <w:rPr>
                <w:rFonts w:ascii="Arial" w:hAnsi="Arial"/>
                <w:color w:val="0075C9"/>
                <w:sz w:val="18"/>
              </w:rPr>
              <w:t>(professional services company)</w:t>
            </w:r>
          </w:p>
          <w:p>
            <w:pPr>
              <w:pStyle w:val="TableContents"/>
              <w:bidi w:val="0"/>
              <w:spacing w:before="0" w:after="0"/>
              <w:jc w:val="left"/>
              <w:rPr/>
            </w:pPr>
            <w:r>
              <w:rPr/>
              <w:t>•  </w:t>
            </w:r>
            <w:r>
              <w:rPr>
                <w:rFonts w:ascii="Arial" w:hAnsi="Arial"/>
                <w:sz w:val="18"/>
              </w:rPr>
              <w:t>Global Chairman and CEO (2019-2024)</w:t>
            </w:r>
          </w:p>
          <w:p>
            <w:pPr>
              <w:pStyle w:val="TableContents"/>
              <w:bidi w:val="0"/>
              <w:spacing w:before="0" w:after="0"/>
              <w:jc w:val="left"/>
              <w:rPr/>
            </w:pPr>
            <w:r>
              <w:rPr/>
              <w:t>•  </w:t>
            </w:r>
            <w:r>
              <w:rPr>
                <w:rFonts w:ascii="Arial" w:hAnsi="Arial"/>
                <w:sz w:val="18"/>
              </w:rPr>
              <w:t>Global Chairman and CEO-elect (2019)</w:t>
            </w:r>
          </w:p>
          <w:p>
            <w:pPr>
              <w:pStyle w:val="TableContents"/>
              <w:bidi w:val="0"/>
              <w:spacing w:before="0" w:after="0"/>
              <w:jc w:val="left"/>
              <w:rPr/>
            </w:pPr>
            <w:r>
              <w:rPr/>
              <w:t>•  </w:t>
            </w:r>
            <w:r>
              <w:rPr>
                <w:rFonts w:ascii="Arial" w:hAnsi="Arial"/>
                <w:sz w:val="18"/>
              </w:rPr>
              <w:t>Global Managing Partner-Client Service (2013-2019)</w:t>
            </w:r>
          </w:p>
          <w:p>
            <w:pPr>
              <w:pStyle w:val="TableContents"/>
              <w:bidi w:val="0"/>
              <w:spacing w:before="0" w:after="0"/>
              <w:jc w:val="left"/>
              <w:rPr/>
            </w:pPr>
            <w:r>
              <w:rPr/>
              <w:t>•  </w:t>
            </w:r>
            <w:r>
              <w:rPr>
                <w:rFonts w:ascii="Arial" w:hAnsi="Arial"/>
                <w:sz w:val="18"/>
              </w:rPr>
              <w:t>Chair of the Global Financial Services Markets Executive (2011-2013)</w:t>
            </w:r>
          </w:p>
          <w:p>
            <w:pPr>
              <w:pStyle w:val="TableContents"/>
              <w:bidi w:val="0"/>
              <w:spacing w:before="0" w:after="0"/>
              <w:jc w:val="left"/>
              <w:rPr/>
            </w:pPr>
            <w:r>
              <w:rPr/>
              <w:t>•  </w:t>
            </w:r>
            <w:r>
              <w:rPr>
                <w:rFonts w:ascii="Arial" w:hAnsi="Arial"/>
                <w:sz w:val="18"/>
              </w:rPr>
              <w:t>Various positions of increasing authority (2001-2011)</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474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Audit and Finance</w:t>
            </w:r>
          </w:p>
          <w:p>
            <w:pPr>
              <w:pStyle w:val="TableContents"/>
              <w:bidi w:val="0"/>
              <w:spacing w:before="0" w:after="0"/>
              <w:jc w:val="left"/>
              <w:rPr/>
            </w:pPr>
            <w:r>
              <w:rPr/>
              <w:t>• </w:t>
            </w:r>
            <w:r>
              <w:rPr>
                <w:rFonts w:ascii="Arial" w:hAnsi="Arial"/>
                <w:sz w:val="18"/>
              </w:rPr>
              <w:t>Compensation</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PayPal Holdings, Inc.</w:t>
            </w:r>
          </w:p>
          <w:p>
            <w:pPr>
              <w:pStyle w:val="TableContents"/>
              <w:bidi w:val="0"/>
              <w:spacing w:before="0" w:after="0"/>
              <w:jc w:val="left"/>
              <w:rPr/>
            </w:pPr>
            <w:r>
              <w:rPr/>
              <w:t>• </w:t>
            </w:r>
            <w:r>
              <w:rPr>
                <w:rFonts w:ascii="Arial" w:hAnsi="Arial"/>
                <w:sz w:val="18"/>
              </w:rPr>
              <w:t>Prudential Financial, Inc.</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 Held in the Past Five Years:</w:t>
            </w:r>
          </w:p>
          <w:p>
            <w:pPr>
              <w:pStyle w:val="TableContents"/>
              <w:bidi w:val="0"/>
              <w:spacing w:before="0" w:after="0"/>
              <w:jc w:val="left"/>
              <w:rPr/>
            </w:pPr>
            <w:r>
              <w:rPr/>
              <w:t>• </w:t>
            </w:r>
            <w:r>
              <w:rPr>
                <w:rFonts w:ascii="Arial" w:hAnsi="Arial"/>
                <w:sz w:val="18"/>
              </w:rPr>
              <w:t>None</w:t>
            </w:r>
          </w:p>
          <w:p>
            <w:pPr>
              <w:pStyle w:val="TableContents"/>
              <w:bidi w:val="0"/>
              <w:spacing w:before="0" w:after="20"/>
              <w:jc w:val="left"/>
              <w:rPr/>
            </w:pPr>
            <w:r>
              <w:rPr/>
              <w:t> </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22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066" w:type="dxa"/>
        <w:jc w:val="left"/>
        <w:tblInd w:w="0" w:type="dxa"/>
        <w:tblLayout w:type="fixed"/>
        <w:tblCellMar>
          <w:top w:w="0" w:type="dxa"/>
          <w:left w:w="0" w:type="dxa"/>
          <w:bottom w:w="0" w:type="dxa"/>
          <w:right w:w="0" w:type="dxa"/>
        </w:tblCellMar>
      </w:tblPr>
      <w:tblGrid>
        <w:gridCol w:w="38"/>
        <w:gridCol w:w="60"/>
        <w:gridCol w:w="1484"/>
        <w:gridCol w:w="120"/>
        <w:gridCol w:w="5635"/>
        <w:gridCol w:w="554"/>
        <w:gridCol w:w="1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3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635" w:type="dxa"/>
            <w:vMerge w:val="restart"/>
            <w:tcBorders/>
            <w:vAlign w:val="center"/>
          </w:tcPr>
          <w:p>
            <w:pPr>
              <w:pStyle w:val="TableContents"/>
              <w:bidi w:val="0"/>
              <w:spacing w:before="0" w:after="283"/>
              <w:jc w:val="left"/>
              <w:rPr>
                <w:color w:val="595959"/>
              </w:rPr>
            </w:pPr>
            <w:r>
              <w:rPr>
                <w:color w:val="595959"/>
              </w:rPr>
              <w:t>Teri L. List </w:t>
            </w:r>
          </w:p>
        </w:tc>
        <w:tc>
          <w:tcPr>
            <w:tcW w:w="55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635" w:type="dxa"/>
            <w:vMerge w:val="continue"/>
            <w:tcBorders/>
            <w:vAlign w:val="center"/>
          </w:tcPr>
          <w:p>
            <w:pPr>
              <w:pStyle w:val="Normal"/>
              <w:bidi w:val="0"/>
              <w:jc w:val="left"/>
              <w:rPr/>
            </w:pPr>
            <w:r>
              <w:rPr/>
            </w:r>
          </w:p>
        </w:tc>
        <w:tc>
          <w:tcPr>
            <w:tcW w:w="55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64"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63 | </w:t>
            </w:r>
            <w:r>
              <w:rPr>
                <w:rFonts w:ascii="Arial" w:hAnsi="Arial"/>
                <w:b/>
                <w:sz w:val="20"/>
              </w:rPr>
              <w:t>Director since:</w:t>
            </w:r>
            <w:r>
              <w:rPr>
                <w:rFonts w:ascii="Arial" w:hAnsi="Arial"/>
                <w:sz w:val="20"/>
              </w:rPr>
              <w:t xml:space="preserve"> 2014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4888"/>
        <w:gridCol w:w="240"/>
        <w:gridCol w:w="4626"/>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4888"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The Gap, Inc. (2016-2020)</w:t>
            </w:r>
          </w:p>
          <w:p>
            <w:pPr>
              <w:pStyle w:val="TableContents"/>
              <w:bidi w:val="0"/>
              <w:spacing w:before="0" w:after="0"/>
              <w:jc w:val="left"/>
              <w:rPr>
                <w:rFonts w:ascii="Arial" w:hAnsi="Arial"/>
                <w:color w:val="0075C9"/>
                <w:sz w:val="18"/>
              </w:rPr>
            </w:pPr>
            <w:r>
              <w:rPr>
                <w:rFonts w:ascii="Arial" w:hAnsi="Arial"/>
                <w:color w:val="0075C9"/>
                <w:sz w:val="18"/>
              </w:rPr>
              <w:t>(clothing and accessories retailer)</w:t>
            </w:r>
          </w:p>
          <w:p>
            <w:pPr>
              <w:pStyle w:val="TableContents"/>
              <w:bidi w:val="0"/>
              <w:spacing w:before="0" w:after="0"/>
              <w:jc w:val="left"/>
              <w:rPr/>
            </w:pPr>
            <w:r>
              <w:rPr/>
              <w:t>•  </w:t>
            </w:r>
            <w:r>
              <w:rPr>
                <w:rFonts w:ascii="Arial" w:hAnsi="Arial"/>
                <w:sz w:val="18"/>
              </w:rPr>
              <w:t>Executive Vice President and Chief Financial Officer (2016-2020)</w:t>
            </w:r>
          </w:p>
          <w:p>
            <w:pPr>
              <w:pStyle w:val="TableContents"/>
              <w:bidi w:val="0"/>
              <w:spacing w:before="0" w:after="0"/>
              <w:jc w:val="left"/>
              <w:rPr>
                <w:rFonts w:ascii="Arial" w:hAnsi="Arial"/>
                <w:b/>
                <w:color w:val="0075C9"/>
                <w:sz w:val="18"/>
              </w:rPr>
            </w:pPr>
            <w:r>
              <w:rPr>
                <w:rFonts w:ascii="Arial" w:hAnsi="Arial"/>
                <w:b/>
                <w:color w:val="0075C9"/>
                <w:sz w:val="18"/>
              </w:rPr>
              <w:t>Dick’s Sporting Goods, Inc. (2015-2016)</w:t>
            </w:r>
          </w:p>
          <w:p>
            <w:pPr>
              <w:pStyle w:val="TableContents"/>
              <w:bidi w:val="0"/>
              <w:spacing w:before="0" w:after="0"/>
              <w:jc w:val="left"/>
              <w:rPr/>
            </w:pPr>
            <w:r>
              <w:rPr/>
              <w:t>•  </w:t>
            </w:r>
            <w:r>
              <w:rPr>
                <w:rFonts w:ascii="Arial" w:hAnsi="Arial"/>
                <w:sz w:val="18"/>
              </w:rPr>
              <w:t>Executive Vice President and Chief Financial Officer (2015-2016)</w:t>
            </w:r>
          </w:p>
          <w:p>
            <w:pPr>
              <w:pStyle w:val="TableContents"/>
              <w:bidi w:val="0"/>
              <w:spacing w:before="0" w:after="0"/>
              <w:jc w:val="left"/>
              <w:rPr>
                <w:rFonts w:ascii="Arial" w:hAnsi="Arial"/>
                <w:b/>
                <w:color w:val="0075C9"/>
                <w:sz w:val="18"/>
              </w:rPr>
            </w:pPr>
            <w:r>
              <w:rPr>
                <w:rFonts w:ascii="Arial" w:hAnsi="Arial"/>
                <w:b/>
                <w:color w:val="0075C9"/>
                <w:sz w:val="18"/>
              </w:rPr>
              <w:t>Kraft Foods Group, Inc. (2013-2015)</w:t>
            </w:r>
          </w:p>
          <w:p>
            <w:pPr>
              <w:pStyle w:val="TableContents"/>
              <w:bidi w:val="0"/>
              <w:spacing w:before="0" w:after="0"/>
              <w:jc w:val="left"/>
              <w:rPr/>
            </w:pPr>
            <w:r>
              <w:rPr/>
              <w:t>•  </w:t>
            </w:r>
            <w:r>
              <w:rPr>
                <w:rFonts w:ascii="Arial" w:hAnsi="Arial"/>
                <w:sz w:val="18"/>
              </w:rPr>
              <w:t>Senior Advisor (2015)</w:t>
            </w:r>
          </w:p>
          <w:p>
            <w:pPr>
              <w:pStyle w:val="TableContents"/>
              <w:bidi w:val="0"/>
              <w:spacing w:before="0" w:after="0"/>
              <w:jc w:val="left"/>
              <w:rPr/>
            </w:pPr>
            <w:r>
              <w:rPr/>
              <w:t>•  </w:t>
            </w:r>
            <w:r>
              <w:rPr>
                <w:rFonts w:ascii="Arial" w:hAnsi="Arial"/>
                <w:sz w:val="18"/>
              </w:rPr>
              <w:t>Executive Vice President and Chief Financial Officer  (2013-2015)</w:t>
            </w:r>
          </w:p>
          <w:p>
            <w:pPr>
              <w:pStyle w:val="TableContents"/>
              <w:bidi w:val="0"/>
              <w:spacing w:before="0" w:after="0"/>
              <w:jc w:val="left"/>
              <w:rPr/>
            </w:pPr>
            <w:r>
              <w:rPr/>
              <w:t>•  </w:t>
            </w:r>
            <w:r>
              <w:rPr>
                <w:rFonts w:ascii="Arial" w:hAnsi="Arial"/>
                <w:sz w:val="18"/>
              </w:rPr>
              <w:t>Senior Vice President (2013)</w:t>
            </w:r>
          </w:p>
          <w:p>
            <w:pPr>
              <w:pStyle w:val="TableContents"/>
              <w:bidi w:val="0"/>
              <w:spacing w:before="0" w:after="0"/>
              <w:jc w:val="left"/>
              <w:rPr>
                <w:rFonts w:ascii="Arial" w:hAnsi="Arial"/>
                <w:b/>
                <w:color w:val="0075C9"/>
                <w:sz w:val="18"/>
              </w:rPr>
            </w:pPr>
            <w:r>
              <w:rPr>
                <w:rFonts w:ascii="Arial" w:hAnsi="Arial"/>
                <w:b/>
                <w:color w:val="0075C9"/>
                <w:sz w:val="18"/>
              </w:rPr>
              <w:t>The Procter &amp; Gamble Company (1994-2013)</w:t>
            </w:r>
          </w:p>
          <w:p>
            <w:pPr>
              <w:pStyle w:val="TableContents"/>
              <w:bidi w:val="0"/>
              <w:spacing w:before="0" w:after="0"/>
              <w:jc w:val="left"/>
              <w:rPr/>
            </w:pPr>
            <w:r>
              <w:rPr/>
              <w:t>•  </w:t>
            </w:r>
            <w:r>
              <w:rPr>
                <w:rFonts w:ascii="Arial" w:hAnsi="Arial"/>
                <w:sz w:val="18"/>
              </w:rPr>
              <w:t>Senior Vice President and Treasurer (2009-2013)</w:t>
            </w:r>
          </w:p>
          <w:p>
            <w:pPr>
              <w:pStyle w:val="TableContents"/>
              <w:bidi w:val="0"/>
              <w:spacing w:before="0" w:after="0"/>
              <w:jc w:val="left"/>
              <w:rPr/>
            </w:pPr>
            <w:r>
              <w:rPr/>
              <w:t>•  </w:t>
            </w:r>
            <w:r>
              <w:rPr>
                <w:rFonts w:ascii="Arial" w:hAnsi="Arial"/>
                <w:sz w:val="18"/>
              </w:rPr>
              <w:t>Various positions of increasing authority (1994-2009)</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4626"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Audit and Finance</w:t>
            </w:r>
          </w:p>
          <w:p>
            <w:pPr>
              <w:pStyle w:val="TableContents"/>
              <w:bidi w:val="0"/>
              <w:spacing w:before="0" w:after="0"/>
              <w:jc w:val="left"/>
              <w:rPr/>
            </w:pPr>
            <w:r>
              <w:rPr/>
              <w:t>•  </w:t>
            </w:r>
            <w:r>
              <w:rPr>
                <w:rFonts w:ascii="Arial" w:hAnsi="Arial"/>
                <w:sz w:val="18"/>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Danaher Corporation</w:t>
            </w:r>
          </w:p>
          <w:p>
            <w:pPr>
              <w:pStyle w:val="TableContents"/>
              <w:bidi w:val="0"/>
              <w:spacing w:before="0" w:after="0"/>
              <w:jc w:val="left"/>
              <w:rPr/>
            </w:pPr>
            <w:r>
              <w:rPr/>
              <w:t>•  </w:t>
            </w:r>
            <w:r>
              <w:rPr>
                <w:rFonts w:ascii="Arial" w:hAnsi="Arial"/>
                <w:sz w:val="18"/>
              </w:rPr>
              <w:t>lululemon athletica inc.</w:t>
            </w:r>
          </w:p>
          <w:p>
            <w:pPr>
              <w:pStyle w:val="TableContents"/>
              <w:bidi w:val="0"/>
              <w:spacing w:before="0" w:after="0"/>
              <w:jc w:val="left"/>
              <w:rPr/>
            </w:pPr>
            <w:r>
              <w:rPr/>
              <w:t>•  </w:t>
            </w:r>
            <w:r>
              <w:rPr>
                <w:rFonts w:ascii="Arial" w:hAnsi="Arial"/>
                <w:sz w:val="18"/>
              </w:rPr>
              <w:t>Visa Inc.</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sz w:val="18"/>
              </w:rPr>
            </w:pPr>
            <w:r>
              <w:rPr>
                <w:rFonts w:ascii="Arial" w:hAnsi="Arial"/>
                <w:sz w:val="18"/>
              </w:rPr>
              <w:t>Heldin the Past Five Years:</w:t>
            </w:r>
          </w:p>
          <w:p>
            <w:pPr>
              <w:pStyle w:val="TableContents"/>
              <w:bidi w:val="0"/>
              <w:spacing w:before="0" w:after="0"/>
              <w:jc w:val="left"/>
              <w:rPr/>
            </w:pPr>
            <w:r>
              <w:rPr/>
              <w:t>•  </w:t>
            </w:r>
            <w:r>
              <w:rPr>
                <w:rFonts w:ascii="Arial" w:hAnsi="Arial"/>
                <w:sz w:val="18"/>
              </w:rPr>
              <w:t>DoubleVerify Holdings, Inc.</w:t>
            </w:r>
          </w:p>
          <w:p>
            <w:pPr>
              <w:pStyle w:val="TableContents"/>
              <w:bidi w:val="0"/>
              <w:spacing w:before="0" w:after="0"/>
              <w:jc w:val="left"/>
              <w:rPr/>
            </w:pPr>
            <w:r>
              <w:rPr/>
              <w:t>•  </w:t>
            </w:r>
            <w:r>
              <w:rPr>
                <w:rFonts w:ascii="Arial" w:hAnsi="Arial"/>
                <w:sz w:val="18"/>
              </w:rPr>
              <w:t>Oscar Health, Inc.</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Positions:</w:t>
            </w:r>
          </w:p>
          <w:p>
            <w:pPr>
              <w:pStyle w:val="TableContents"/>
              <w:bidi w:val="0"/>
              <w:spacing w:before="0" w:after="0"/>
              <w:jc w:val="left"/>
              <w:rPr/>
            </w:pPr>
            <w:r>
              <w:rPr/>
              <w:t>•  </w:t>
            </w:r>
            <w:r>
              <w:rPr>
                <w:rFonts w:ascii="Arial" w:hAnsi="Arial"/>
                <w:sz w:val="18"/>
              </w:rPr>
              <w:t>Former Trustee, Financial Accounting Foundation</w:t>
            </w:r>
          </w:p>
          <w:p>
            <w:pPr>
              <w:pStyle w:val="TableContents"/>
              <w:bidi w:val="0"/>
              <w:spacing w:before="0" w:after="0"/>
              <w:jc w:val="left"/>
              <w:rPr/>
            </w:pPr>
            <w:r>
              <w:rPr/>
              <w:t>•  </w:t>
            </w:r>
            <w:r>
              <w:rPr>
                <w:rFonts w:ascii="Arial" w:hAnsi="Arial"/>
                <w:sz w:val="18"/>
              </w:rPr>
              <w:t>Former Practice Fellow, Financial Accounting Standards Board</w:t>
            </w:r>
          </w:p>
          <w:p>
            <w:pPr>
              <w:pStyle w:val="TableContents"/>
              <w:bidi w:val="0"/>
              <w:spacing w:before="0" w:after="20"/>
              <w:jc w:val="left"/>
              <w:rPr/>
            </w:pPr>
            <w:r>
              <w:rPr/>
              <w:t> </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661" w:type="dxa"/>
        <w:jc w:val="left"/>
        <w:tblInd w:w="0" w:type="dxa"/>
        <w:tblLayout w:type="fixed"/>
        <w:tblCellMar>
          <w:top w:w="0" w:type="dxa"/>
          <w:left w:w="0" w:type="dxa"/>
          <w:bottom w:w="0" w:type="dxa"/>
          <w:right w:w="0" w:type="dxa"/>
        </w:tblCellMar>
      </w:tblPr>
      <w:tblGrid>
        <w:gridCol w:w="38"/>
        <w:gridCol w:w="60"/>
        <w:gridCol w:w="1484"/>
        <w:gridCol w:w="120"/>
        <w:gridCol w:w="5562"/>
        <w:gridCol w:w="302"/>
        <w:gridCol w:w="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6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562" w:type="dxa"/>
            <w:vMerge w:val="restart"/>
            <w:tcBorders/>
            <w:vAlign w:val="center"/>
          </w:tcPr>
          <w:p>
            <w:pPr>
              <w:pStyle w:val="TableContents"/>
              <w:bidi w:val="0"/>
              <w:spacing w:before="0" w:after="283"/>
              <w:jc w:val="left"/>
              <w:rPr>
                <w:color w:val="595959"/>
              </w:rPr>
            </w:pPr>
            <w:r>
              <w:rPr>
                <w:color w:val="595959"/>
              </w:rPr>
              <w:t>Catherine MacGregor </w:t>
            </w:r>
          </w:p>
        </w:tc>
        <w:tc>
          <w:tcPr>
            <w:tcW w:w="30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562" w:type="dxa"/>
            <w:vMerge w:val="continue"/>
            <w:tcBorders/>
            <w:vAlign w:val="center"/>
          </w:tcPr>
          <w:p>
            <w:pPr>
              <w:pStyle w:val="Normal"/>
              <w:bidi w:val="0"/>
              <w:jc w:val="left"/>
              <w:rPr/>
            </w:pPr>
            <w:r>
              <w:rPr/>
            </w:r>
          </w:p>
        </w:tc>
        <w:tc>
          <w:tcPr>
            <w:tcW w:w="30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54 | </w:t>
            </w:r>
            <w:r>
              <w:rPr>
                <w:rFonts w:ascii="Arial" w:hAnsi="Arial"/>
                <w:b/>
                <w:sz w:val="20"/>
              </w:rPr>
              <w:t>Director Since:</w:t>
            </w:r>
            <w:r>
              <w:rPr>
                <w:rFonts w:ascii="Arial" w:hAnsi="Arial"/>
                <w:sz w:val="20"/>
              </w:rPr>
              <w:t xml:space="preserve"> 2023 | </w:t>
            </w:r>
            <w:r>
              <w:rPr>
                <w:rFonts w:ascii="Arial" w:hAnsi="Arial"/>
                <w:b/>
                <w:sz w:val="20"/>
              </w:rPr>
              <w:t>Birthplace:</w:t>
            </w:r>
            <w:r>
              <w:rPr>
                <w:rFonts w:ascii="Arial" w:hAnsi="Arial"/>
                <w:sz w:val="20"/>
              </w:rPr>
              <w:t xml:space="preserve"> Morocco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6453"/>
        <w:gridCol w:w="240"/>
        <w:gridCol w:w="3061"/>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453"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Engie S.A. (2021-present)</w:t>
            </w:r>
          </w:p>
          <w:p>
            <w:pPr>
              <w:pStyle w:val="TableContents"/>
              <w:bidi w:val="0"/>
              <w:spacing w:before="0" w:after="0"/>
              <w:jc w:val="left"/>
              <w:rPr>
                <w:rFonts w:ascii="Arial" w:hAnsi="Arial"/>
                <w:color w:val="0075C9"/>
                <w:sz w:val="18"/>
              </w:rPr>
            </w:pPr>
            <w:r>
              <w:rPr>
                <w:rFonts w:ascii="Arial" w:hAnsi="Arial"/>
                <w:color w:val="0075C9"/>
                <w:sz w:val="18"/>
              </w:rPr>
              <w:t>(energy company)</w:t>
            </w:r>
          </w:p>
          <w:p>
            <w:pPr>
              <w:pStyle w:val="TableContents"/>
              <w:bidi w:val="0"/>
              <w:spacing w:before="0" w:after="0"/>
              <w:jc w:val="left"/>
              <w:rPr/>
            </w:pPr>
            <w:r>
              <w:rPr/>
              <w:t>•  </w:t>
            </w:r>
            <w:r>
              <w:rPr>
                <w:rFonts w:ascii="Arial" w:hAnsi="Arial"/>
                <w:sz w:val="18"/>
              </w:rPr>
              <w:t>Group Chief Executive Officer and Director (2021-present)</w:t>
            </w:r>
          </w:p>
          <w:p>
            <w:pPr>
              <w:pStyle w:val="TableContents"/>
              <w:bidi w:val="0"/>
              <w:spacing w:before="0" w:after="0"/>
              <w:jc w:val="left"/>
              <w:rPr>
                <w:rFonts w:ascii="Arial" w:hAnsi="Arial"/>
                <w:b/>
                <w:color w:val="0075C9"/>
                <w:sz w:val="18"/>
              </w:rPr>
            </w:pPr>
            <w:r>
              <w:rPr>
                <w:rFonts w:ascii="Arial" w:hAnsi="Arial"/>
                <w:b/>
                <w:color w:val="0075C9"/>
                <w:sz w:val="18"/>
              </w:rPr>
              <w:t>TechnipFMC plc (2019-2020)</w:t>
            </w:r>
          </w:p>
          <w:p>
            <w:pPr>
              <w:pStyle w:val="TableContents"/>
              <w:bidi w:val="0"/>
              <w:spacing w:before="0" w:after="0"/>
              <w:jc w:val="left"/>
              <w:rPr/>
            </w:pPr>
            <w:r>
              <w:rPr/>
              <w:t>•  </w:t>
            </w:r>
            <w:r>
              <w:rPr>
                <w:rFonts w:ascii="Arial" w:hAnsi="Arial"/>
                <w:sz w:val="18"/>
              </w:rPr>
              <w:t>President, Technip Energies (2019-2020)</w:t>
            </w:r>
          </w:p>
          <w:p>
            <w:pPr>
              <w:pStyle w:val="TableContents"/>
              <w:bidi w:val="0"/>
              <w:spacing w:before="0" w:after="0"/>
              <w:jc w:val="left"/>
              <w:rPr>
                <w:rFonts w:ascii="Arial" w:hAnsi="Arial"/>
                <w:b/>
                <w:color w:val="0075C9"/>
                <w:sz w:val="18"/>
              </w:rPr>
            </w:pPr>
            <w:r>
              <w:rPr>
                <w:rFonts w:ascii="Arial" w:hAnsi="Arial"/>
                <w:b/>
                <w:color w:val="0075C9"/>
                <w:sz w:val="18"/>
              </w:rPr>
              <w:t>Schlumberger N.V. (1995-2018)</w:t>
            </w:r>
          </w:p>
          <w:p>
            <w:pPr>
              <w:pStyle w:val="TableContents"/>
              <w:bidi w:val="0"/>
              <w:spacing w:before="0" w:after="0"/>
              <w:jc w:val="left"/>
              <w:rPr/>
            </w:pPr>
            <w:r>
              <w:rPr/>
              <w:t>•  </w:t>
            </w:r>
            <w:r>
              <w:rPr>
                <w:rFonts w:ascii="Arial" w:hAnsi="Arial"/>
                <w:sz w:val="18"/>
              </w:rPr>
              <w:t>President, Drilling Group (London) (2017)</w:t>
            </w:r>
          </w:p>
          <w:p>
            <w:pPr>
              <w:pStyle w:val="TableContents"/>
              <w:bidi w:val="0"/>
              <w:spacing w:before="0" w:after="0"/>
              <w:jc w:val="left"/>
              <w:rPr/>
            </w:pPr>
            <w:r>
              <w:rPr/>
              <w:t>•  </w:t>
            </w:r>
            <w:r>
              <w:rPr>
                <w:rFonts w:ascii="Arial" w:hAnsi="Arial"/>
                <w:sz w:val="18"/>
              </w:rPr>
              <w:t>President, Reservoir Characterization Group (France) (2016)</w:t>
            </w:r>
          </w:p>
          <w:p>
            <w:pPr>
              <w:pStyle w:val="TableContents"/>
              <w:bidi w:val="0"/>
              <w:spacing w:before="0" w:after="0"/>
              <w:jc w:val="left"/>
              <w:rPr/>
            </w:pPr>
            <w:r>
              <w:rPr/>
              <w:t>•  </w:t>
            </w:r>
            <w:r>
              <w:rPr>
                <w:rFonts w:ascii="Arial" w:hAnsi="Arial"/>
                <w:sz w:val="18"/>
              </w:rPr>
              <w:t>President, Europe &amp; Africa, La Defense (France) (2013)</w:t>
            </w:r>
          </w:p>
          <w:p>
            <w:pPr>
              <w:pStyle w:val="TableContents"/>
              <w:bidi w:val="0"/>
              <w:spacing w:before="0" w:after="0"/>
              <w:jc w:val="left"/>
              <w:rPr/>
            </w:pPr>
            <w:r>
              <w:rPr/>
              <w:t>•  </w:t>
            </w:r>
            <w:r>
              <w:rPr>
                <w:rFonts w:ascii="Arial" w:hAnsi="Arial"/>
                <w:sz w:val="18"/>
              </w:rPr>
              <w:t>President, Wireline, Schlumberger Wireline (France) (2009)</w:t>
            </w:r>
          </w:p>
          <w:p>
            <w:pPr>
              <w:pStyle w:val="TableContents"/>
              <w:bidi w:val="0"/>
              <w:spacing w:before="0" w:after="0"/>
              <w:jc w:val="left"/>
              <w:rPr/>
            </w:pPr>
            <w:r>
              <w:rPr/>
              <w:t>•  </w:t>
            </w:r>
            <w:r>
              <w:rPr>
                <w:rFonts w:ascii="Arial" w:hAnsi="Arial"/>
                <w:sz w:val="18"/>
              </w:rPr>
              <w:t>Group Human Resource Director (France) (2007)</w:t>
            </w:r>
          </w:p>
          <w:p>
            <w:pPr>
              <w:pStyle w:val="TableContents"/>
              <w:bidi w:val="0"/>
              <w:spacing w:before="0" w:after="0"/>
              <w:jc w:val="left"/>
              <w:rPr/>
            </w:pPr>
            <w:r>
              <w:rPr/>
              <w:t>•  </w:t>
            </w:r>
            <w:r>
              <w:rPr>
                <w:rFonts w:ascii="Arial" w:hAnsi="Arial"/>
                <w:sz w:val="18"/>
              </w:rPr>
              <w:t>Various positions of increasing authority (Congo, UK, Malaysia, US, and France) (1995-2007)</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3061"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Compensation (Chair)</w:t>
            </w:r>
          </w:p>
          <w:p>
            <w:pPr>
              <w:pStyle w:val="TableContents"/>
              <w:bidi w:val="0"/>
              <w:spacing w:before="0" w:after="0"/>
              <w:jc w:val="left"/>
              <w:rPr/>
            </w:pPr>
            <w:r>
              <w:rPr/>
              <w:t>•  </w:t>
            </w:r>
            <w:r>
              <w:rPr>
                <w:rFonts w:ascii="Arial" w:hAnsi="Arial"/>
                <w:sz w:val="18"/>
              </w:rPr>
              <w:t>Environmental, Social, and Public Policy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Engie S.A.</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20"/>
              <w:jc w:val="left"/>
              <w:rPr/>
            </w:pPr>
            <w:r>
              <w:rPr/>
              <w:t>•  </w:t>
            </w:r>
            <w:r>
              <w:rPr>
                <w:rFonts w:ascii="Arial" w:hAnsi="Arial"/>
                <w:sz w:val="18"/>
              </w:rPr>
              <w:t>None</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8"/>
        <w:gridCol w:w="60"/>
        <w:gridCol w:w="1484"/>
        <w:gridCol w:w="120"/>
        <w:gridCol w:w="5909"/>
        <w:gridCol w:w="368"/>
        <w:gridCol w:w="116"/>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909" w:type="dxa"/>
            <w:vMerge w:val="restart"/>
            <w:tcBorders/>
            <w:vAlign w:val="center"/>
          </w:tcPr>
          <w:p>
            <w:pPr>
              <w:pStyle w:val="TableContents"/>
              <w:bidi w:val="0"/>
              <w:spacing w:before="0" w:after="283"/>
              <w:jc w:val="left"/>
              <w:rPr>
                <w:color w:val="595959"/>
              </w:rPr>
            </w:pPr>
            <w:r>
              <w:rPr>
                <w:color w:val="595959"/>
              </w:rPr>
              <w:t>Mark A. L. Mason </w:t>
            </w:r>
          </w:p>
        </w:tc>
        <w:tc>
          <w:tcPr>
            <w:tcW w:w="36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909" w:type="dxa"/>
            <w:vMerge w:val="continue"/>
            <w:tcBorders/>
            <w:vAlign w:val="center"/>
          </w:tcPr>
          <w:p>
            <w:pPr>
              <w:pStyle w:val="Normal"/>
              <w:bidi w:val="0"/>
              <w:jc w:val="left"/>
              <w:rPr/>
            </w:pPr>
            <w:r>
              <w:rPr/>
            </w:r>
          </w:p>
        </w:tc>
        <w:tc>
          <w:tcPr>
            <w:tcW w:w="368"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3"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57 | </w:t>
            </w:r>
            <w:r>
              <w:rPr>
                <w:rFonts w:ascii="Arial" w:hAnsi="Arial"/>
                <w:b/>
                <w:sz w:val="20"/>
              </w:rPr>
              <w:t>Director Since:</w:t>
            </w:r>
            <w:r>
              <w:rPr>
                <w:rFonts w:ascii="Arial" w:hAnsi="Arial"/>
                <w:sz w:val="20"/>
              </w:rPr>
              <w:t xml:space="preserve"> 2023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6521"/>
        <w:gridCol w:w="240"/>
        <w:gridCol w:w="2993"/>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521"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Citigroup Inc. (2001-present)</w:t>
            </w:r>
          </w:p>
          <w:p>
            <w:pPr>
              <w:pStyle w:val="TableContents"/>
              <w:bidi w:val="0"/>
              <w:spacing w:before="0" w:after="0"/>
              <w:jc w:val="left"/>
              <w:rPr>
                <w:rFonts w:ascii="Arial" w:hAnsi="Arial"/>
                <w:color w:val="0075C9"/>
                <w:sz w:val="18"/>
              </w:rPr>
            </w:pPr>
            <w:r>
              <w:rPr>
                <w:rFonts w:ascii="Arial" w:hAnsi="Arial"/>
                <w:color w:val="0075C9"/>
                <w:sz w:val="18"/>
              </w:rPr>
              <w:t>(banking and financial services company)</w:t>
            </w:r>
          </w:p>
          <w:p>
            <w:pPr>
              <w:pStyle w:val="TableContents"/>
              <w:bidi w:val="0"/>
              <w:spacing w:before="0" w:after="0"/>
              <w:jc w:val="left"/>
              <w:rPr/>
            </w:pPr>
            <w:r>
              <w:rPr/>
              <w:t>•  </w:t>
            </w:r>
            <w:r>
              <w:rPr>
                <w:rFonts w:ascii="Arial" w:hAnsi="Arial"/>
                <w:sz w:val="18"/>
              </w:rPr>
              <w:t>Executive Vice Chair and Senior Executive Advisor to the Chair and CEO (2026-present)</w:t>
            </w:r>
          </w:p>
          <w:p>
            <w:pPr>
              <w:pStyle w:val="TableContents"/>
              <w:bidi w:val="0"/>
              <w:spacing w:before="0" w:after="0"/>
              <w:jc w:val="left"/>
              <w:rPr/>
            </w:pPr>
            <w:r>
              <w:rPr/>
              <w:t>•  </w:t>
            </w:r>
            <w:r>
              <w:rPr>
                <w:rFonts w:ascii="Arial" w:hAnsi="Arial"/>
                <w:sz w:val="18"/>
              </w:rPr>
              <w:t>Chief Financial Officer (2019-2026)</w:t>
            </w:r>
          </w:p>
          <w:p>
            <w:pPr>
              <w:pStyle w:val="TableContents"/>
              <w:bidi w:val="0"/>
              <w:spacing w:before="0" w:after="0"/>
              <w:jc w:val="left"/>
              <w:rPr/>
            </w:pPr>
            <w:r>
              <w:rPr/>
              <w:t>•  </w:t>
            </w:r>
            <w:r>
              <w:rPr>
                <w:rFonts w:ascii="Arial" w:hAnsi="Arial"/>
                <w:sz w:val="18"/>
              </w:rPr>
              <w:t>Chief Financial Officer, Institutional Clients Group (2014)</w:t>
            </w:r>
          </w:p>
          <w:p>
            <w:pPr>
              <w:pStyle w:val="TableContents"/>
              <w:bidi w:val="0"/>
              <w:spacing w:before="0" w:after="0"/>
              <w:jc w:val="left"/>
              <w:rPr/>
            </w:pPr>
            <w:r>
              <w:rPr/>
              <w:t>•  </w:t>
            </w:r>
            <w:r>
              <w:rPr>
                <w:rFonts w:ascii="Arial" w:hAnsi="Arial"/>
                <w:sz w:val="18"/>
              </w:rPr>
              <w:t>Chief Executive Officer, Citi Private Bank (2013)</w:t>
            </w:r>
          </w:p>
          <w:p>
            <w:pPr>
              <w:pStyle w:val="TableContents"/>
              <w:bidi w:val="0"/>
              <w:spacing w:before="0" w:after="0"/>
              <w:jc w:val="left"/>
              <w:rPr/>
            </w:pPr>
            <w:r>
              <w:rPr/>
              <w:t>•  </w:t>
            </w:r>
            <w:r>
              <w:rPr>
                <w:rFonts w:ascii="Arial" w:hAnsi="Arial"/>
                <w:sz w:val="18"/>
              </w:rPr>
              <w:t>Chief Executive Officer, Citi Holdings (2012)</w:t>
            </w:r>
          </w:p>
          <w:p>
            <w:pPr>
              <w:pStyle w:val="TableContents"/>
              <w:bidi w:val="0"/>
              <w:spacing w:before="0" w:after="0"/>
              <w:jc w:val="left"/>
              <w:rPr/>
            </w:pPr>
            <w:r>
              <w:rPr/>
              <w:t>•  </w:t>
            </w:r>
            <w:r>
              <w:rPr>
                <w:rFonts w:ascii="Arial" w:hAnsi="Arial"/>
                <w:sz w:val="18"/>
              </w:rPr>
              <w:t>Chief Operating Officer, Citi Holdings (2009)</w:t>
            </w:r>
          </w:p>
          <w:p>
            <w:pPr>
              <w:pStyle w:val="TableContents"/>
              <w:bidi w:val="0"/>
              <w:spacing w:before="0" w:after="0"/>
              <w:jc w:val="left"/>
              <w:rPr/>
            </w:pPr>
            <w:r>
              <w:rPr/>
              <w:t>•  </w:t>
            </w:r>
            <w:r>
              <w:rPr>
                <w:rFonts w:ascii="Arial" w:hAnsi="Arial"/>
                <w:sz w:val="18"/>
              </w:rPr>
              <w:t>Chief Financial Officer and Head of Strategy and M&amp;A, Global Wealth Management (2006)</w:t>
            </w:r>
          </w:p>
          <w:p>
            <w:pPr>
              <w:pStyle w:val="TableContents"/>
              <w:bidi w:val="0"/>
              <w:spacing w:before="0" w:after="0"/>
              <w:jc w:val="left"/>
              <w:rPr/>
            </w:pPr>
            <w:r>
              <w:rPr/>
              <w:t>•  </w:t>
            </w:r>
            <w:r>
              <w:rPr>
                <w:rFonts w:ascii="Arial" w:hAnsi="Arial"/>
                <w:sz w:val="18"/>
              </w:rPr>
              <w:t>Various positions of increasing authority (2001-2006)</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2993"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Audit and Finance</w:t>
            </w:r>
          </w:p>
          <w:p>
            <w:pPr>
              <w:pStyle w:val="TableContents"/>
              <w:bidi w:val="0"/>
              <w:spacing w:before="0" w:after="0"/>
              <w:jc w:val="left"/>
              <w:rPr/>
            </w:pPr>
            <w:r>
              <w:rPr/>
              <w:t>•  </w:t>
            </w:r>
            <w:r>
              <w:rPr>
                <w:rFonts w:ascii="Arial" w:hAnsi="Arial"/>
                <w:sz w:val="18"/>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 xml:space="preserve">Former Public Company Directorships </w:t>
              <w:br/>
              <w:t>Held in the Past Five Years:</w:t>
            </w:r>
          </w:p>
          <w:p>
            <w:pPr>
              <w:pStyle w:val="TableContents"/>
              <w:bidi w:val="0"/>
              <w:spacing w:before="0" w:after="20"/>
              <w:jc w:val="left"/>
              <w:rPr/>
            </w:pPr>
            <w:r>
              <w:rPr/>
              <w:t>•  </w:t>
            </w:r>
            <w:r>
              <w:rPr>
                <w:rFonts w:ascii="Arial" w:hAnsi="Arial"/>
                <w:sz w:val="18"/>
              </w:rPr>
              <w:t>None</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101" w:type="dxa"/>
        <w:jc w:val="left"/>
        <w:tblInd w:w="0" w:type="dxa"/>
        <w:tblLayout w:type="fixed"/>
        <w:tblCellMar>
          <w:top w:w="0" w:type="dxa"/>
          <w:left w:w="0" w:type="dxa"/>
          <w:bottom w:w="0" w:type="dxa"/>
          <w:right w:w="0" w:type="dxa"/>
        </w:tblCellMar>
      </w:tblPr>
      <w:tblGrid>
        <w:gridCol w:w="38"/>
        <w:gridCol w:w="60"/>
        <w:gridCol w:w="1484"/>
        <w:gridCol w:w="120"/>
        <w:gridCol w:w="3970"/>
        <w:gridCol w:w="326"/>
        <w:gridCol w:w="103"/>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3970" w:type="dxa"/>
            <w:vMerge w:val="restart"/>
            <w:tcBorders/>
            <w:vAlign w:val="center"/>
          </w:tcPr>
          <w:p>
            <w:pPr>
              <w:pStyle w:val="TableContents"/>
              <w:bidi w:val="0"/>
              <w:spacing w:before="0" w:after="283"/>
              <w:jc w:val="left"/>
              <w:rPr>
                <w:color w:val="595959"/>
              </w:rPr>
            </w:pPr>
            <w:r>
              <w:rPr>
                <w:color w:val="595959"/>
              </w:rPr>
              <w:t>Satya Nadella </w:t>
            </w:r>
          </w:p>
        </w:tc>
        <w:tc>
          <w:tcPr>
            <w:tcW w:w="32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3970" w:type="dxa"/>
            <w:vMerge w:val="continue"/>
            <w:tcBorders/>
            <w:vAlign w:val="center"/>
          </w:tcPr>
          <w:p>
            <w:pPr>
              <w:pStyle w:val="Normal"/>
              <w:bidi w:val="0"/>
              <w:jc w:val="left"/>
              <w:rPr/>
            </w:pPr>
            <w:r>
              <w:rPr/>
            </w:r>
          </w:p>
        </w:tc>
        <w:tc>
          <w:tcPr>
            <w:tcW w:w="32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399"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59 | </w:t>
            </w:r>
            <w:r>
              <w:rPr>
                <w:rFonts w:ascii="Arial" w:hAnsi="Arial"/>
                <w:b/>
                <w:sz w:val="20"/>
              </w:rPr>
              <w:t>Director Since:</w:t>
            </w:r>
            <w:r>
              <w:rPr>
                <w:rFonts w:ascii="Arial" w:hAnsi="Arial"/>
                <w:sz w:val="20"/>
              </w:rPr>
              <w:t xml:space="preserve"> 2014 | </w:t>
            </w:r>
            <w:r>
              <w:rPr>
                <w:rFonts w:ascii="Arial" w:hAnsi="Arial"/>
                <w:b/>
                <w:sz w:val="20"/>
              </w:rPr>
              <w:t>Birthplace:</w:t>
            </w:r>
            <w:r>
              <w:rPr>
                <w:rFonts w:ascii="Arial" w:hAnsi="Arial"/>
                <w:sz w:val="20"/>
              </w:rPr>
              <w:t xml:space="preserve"> India</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9760" w:type="dxa"/>
        <w:jc w:val="left"/>
        <w:tblInd w:w="0" w:type="dxa"/>
        <w:tblLayout w:type="fixed"/>
        <w:tblCellMar>
          <w:top w:w="0" w:type="dxa"/>
          <w:left w:w="0" w:type="dxa"/>
          <w:bottom w:w="0" w:type="dxa"/>
          <w:right w:w="0" w:type="dxa"/>
        </w:tblCellMar>
      </w:tblPr>
      <w:tblGrid>
        <w:gridCol w:w="75"/>
        <w:gridCol w:w="60"/>
        <w:gridCol w:w="60"/>
        <w:gridCol w:w="60"/>
        <w:gridCol w:w="5720"/>
        <w:gridCol w:w="240"/>
        <w:gridCol w:w="3350"/>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572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Microsoft Corporation (1992-present)</w:t>
            </w:r>
          </w:p>
          <w:p>
            <w:pPr>
              <w:pStyle w:val="TableContents"/>
              <w:bidi w:val="0"/>
              <w:spacing w:before="0" w:after="0"/>
              <w:jc w:val="left"/>
              <w:rPr/>
            </w:pPr>
            <w:r>
              <w:rPr/>
              <w:t>•  </w:t>
            </w:r>
            <w:r>
              <w:rPr>
                <w:rFonts w:ascii="Arial" w:hAnsi="Arial"/>
                <w:sz w:val="18"/>
              </w:rPr>
              <w:t>Chairman and Chief Executive Officer (2021-present)</w:t>
            </w:r>
          </w:p>
          <w:p>
            <w:pPr>
              <w:pStyle w:val="TableContents"/>
              <w:bidi w:val="0"/>
              <w:spacing w:before="0" w:after="0"/>
              <w:jc w:val="left"/>
              <w:rPr/>
            </w:pPr>
            <w:r>
              <w:rPr/>
              <w:t>•  </w:t>
            </w:r>
            <w:r>
              <w:rPr>
                <w:rFonts w:ascii="Arial" w:hAnsi="Arial"/>
                <w:sz w:val="18"/>
              </w:rPr>
              <w:t>Chief Executive Officer and Director (2014-2021)</w:t>
            </w:r>
          </w:p>
          <w:p>
            <w:pPr>
              <w:pStyle w:val="TableContents"/>
              <w:bidi w:val="0"/>
              <w:spacing w:before="0" w:after="0"/>
              <w:jc w:val="left"/>
              <w:rPr/>
            </w:pPr>
            <w:r>
              <w:rPr/>
              <w:t>•  </w:t>
            </w:r>
            <w:r>
              <w:rPr>
                <w:rFonts w:ascii="Arial" w:hAnsi="Arial"/>
                <w:sz w:val="18"/>
              </w:rPr>
              <w:t>Executive Vice President, Cloud and Enterprise (2013-2014)</w:t>
            </w:r>
          </w:p>
          <w:p>
            <w:pPr>
              <w:pStyle w:val="TableContents"/>
              <w:bidi w:val="0"/>
              <w:spacing w:before="0" w:after="0"/>
              <w:jc w:val="left"/>
              <w:rPr/>
            </w:pPr>
            <w:r>
              <w:rPr/>
              <w:t>•  </w:t>
            </w:r>
            <w:r>
              <w:rPr>
                <w:rFonts w:ascii="Arial" w:hAnsi="Arial"/>
                <w:sz w:val="18"/>
              </w:rPr>
              <w:t>President, Server and Tools (2011-2013)</w:t>
            </w:r>
          </w:p>
          <w:p>
            <w:pPr>
              <w:pStyle w:val="TableContents"/>
              <w:bidi w:val="0"/>
              <w:spacing w:before="0" w:after="0"/>
              <w:jc w:val="left"/>
              <w:rPr/>
            </w:pPr>
            <w:r>
              <w:rPr/>
              <w:t>•  </w:t>
            </w:r>
            <w:r>
              <w:rPr>
                <w:rFonts w:ascii="Arial" w:hAnsi="Arial"/>
                <w:sz w:val="18"/>
              </w:rPr>
              <w:t>Senior Vice President, Online Services Division (2009-2011)</w:t>
            </w:r>
          </w:p>
          <w:p>
            <w:pPr>
              <w:pStyle w:val="TableContents"/>
              <w:bidi w:val="0"/>
              <w:spacing w:before="0" w:after="0"/>
              <w:jc w:val="left"/>
              <w:rPr/>
            </w:pPr>
            <w:r>
              <w:rPr/>
              <w:t>•  </w:t>
            </w:r>
            <w:r>
              <w:rPr>
                <w:rFonts w:ascii="Arial" w:hAnsi="Arial"/>
                <w:sz w:val="18"/>
              </w:rPr>
              <w:t>Senior Vice President, Search, Portal, and Advertising (2008-2009)</w:t>
            </w:r>
          </w:p>
          <w:p>
            <w:pPr>
              <w:pStyle w:val="TableContents"/>
              <w:bidi w:val="0"/>
              <w:spacing w:before="0" w:after="0"/>
              <w:jc w:val="left"/>
              <w:rPr/>
            </w:pPr>
            <w:r>
              <w:rPr/>
              <w:t>•  </w:t>
            </w:r>
            <w:r>
              <w:rPr>
                <w:rFonts w:ascii="Arial" w:hAnsi="Arial"/>
                <w:sz w:val="18"/>
              </w:rPr>
              <w:t>Various positions of increasing authority (1992-2008)</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335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 xml:space="preserve">Former Public Company Directorships </w:t>
              <w:br/>
              <w:t>Held in the Past Five Years:</w:t>
            </w:r>
          </w:p>
          <w:p>
            <w:pPr>
              <w:pStyle w:val="TableContents"/>
              <w:bidi w:val="0"/>
              <w:spacing w:before="0" w:after="20"/>
              <w:jc w:val="left"/>
              <w:rPr/>
            </w:pPr>
            <w:r>
              <w:rPr/>
              <w:t>•  </w:t>
            </w:r>
            <w:r>
              <w:rPr>
                <w:rFonts w:ascii="Arial" w:hAnsi="Arial"/>
                <w:sz w:val="18"/>
              </w:rPr>
              <w:t>Starbucks Corporation</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24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8"/>
        <w:gridCol w:w="60"/>
        <w:gridCol w:w="1484"/>
        <w:gridCol w:w="120"/>
        <w:gridCol w:w="5913"/>
        <w:gridCol w:w="365"/>
        <w:gridCol w:w="1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913" w:type="dxa"/>
            <w:vMerge w:val="restart"/>
            <w:tcBorders/>
            <w:vAlign w:val="center"/>
          </w:tcPr>
          <w:p>
            <w:pPr>
              <w:pStyle w:val="TableContents"/>
              <w:bidi w:val="0"/>
              <w:spacing w:before="0" w:after="283"/>
              <w:jc w:val="left"/>
              <w:rPr>
                <w:color w:val="595959"/>
              </w:rPr>
            </w:pPr>
            <w:r>
              <w:rPr>
                <w:color w:val="595959"/>
              </w:rPr>
              <w:t>Sandra E. Peterson </w:t>
            </w:r>
          </w:p>
        </w:tc>
        <w:tc>
          <w:tcPr>
            <w:tcW w:w="36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913" w:type="dxa"/>
            <w:vMerge w:val="continue"/>
            <w:tcBorders/>
            <w:vAlign w:val="center"/>
          </w:tcPr>
          <w:p>
            <w:pPr>
              <w:pStyle w:val="Normal"/>
              <w:bidi w:val="0"/>
              <w:jc w:val="left"/>
              <w:rPr/>
            </w:pPr>
            <w:r>
              <w:rPr/>
            </w:r>
          </w:p>
        </w:tc>
        <w:tc>
          <w:tcPr>
            <w:tcW w:w="36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3"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67 | </w:t>
            </w:r>
            <w:r>
              <w:rPr>
                <w:rFonts w:ascii="Arial" w:hAnsi="Arial"/>
                <w:b/>
                <w:sz w:val="20"/>
              </w:rPr>
              <w:t>Director Since:</w:t>
            </w:r>
            <w:r>
              <w:rPr>
                <w:rFonts w:ascii="Arial" w:hAnsi="Arial"/>
                <w:sz w:val="20"/>
              </w:rPr>
              <w:t xml:space="preserve"> 2015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6647"/>
        <w:gridCol w:w="240"/>
        <w:gridCol w:w="2867"/>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647"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Microsoft Corporation (2015-present)</w:t>
            </w:r>
          </w:p>
          <w:p>
            <w:pPr>
              <w:pStyle w:val="TableContents"/>
              <w:bidi w:val="0"/>
              <w:spacing w:before="0" w:after="0"/>
              <w:jc w:val="left"/>
              <w:rPr/>
            </w:pPr>
            <w:r>
              <w:rPr/>
              <w:t>•  </w:t>
            </w:r>
            <w:r>
              <w:rPr>
                <w:rFonts w:ascii="Arial" w:hAnsi="Arial"/>
                <w:sz w:val="18"/>
              </w:rPr>
              <w:t>Lead Independent Director (2023-present)</w:t>
            </w:r>
          </w:p>
          <w:p>
            <w:pPr>
              <w:pStyle w:val="TableContents"/>
              <w:bidi w:val="0"/>
              <w:spacing w:before="0" w:after="0"/>
              <w:jc w:val="left"/>
              <w:rPr>
                <w:rFonts w:ascii="Arial" w:hAnsi="Arial"/>
                <w:b/>
                <w:color w:val="0075C9"/>
                <w:sz w:val="18"/>
              </w:rPr>
            </w:pPr>
            <w:r>
              <w:rPr>
                <w:rFonts w:ascii="Arial" w:hAnsi="Arial"/>
                <w:b/>
                <w:color w:val="0075C9"/>
                <w:sz w:val="18"/>
              </w:rPr>
              <w:t>Clayton, Dubilier &amp; Rice, LLC (2019-present)</w:t>
            </w:r>
          </w:p>
          <w:p>
            <w:pPr>
              <w:pStyle w:val="TableContents"/>
              <w:bidi w:val="0"/>
              <w:spacing w:before="0" w:after="0"/>
              <w:jc w:val="left"/>
              <w:rPr>
                <w:rFonts w:ascii="Arial" w:hAnsi="Arial"/>
                <w:color w:val="0075C9"/>
                <w:sz w:val="18"/>
              </w:rPr>
            </w:pPr>
            <w:r>
              <w:rPr>
                <w:rFonts w:ascii="Arial" w:hAnsi="Arial"/>
                <w:color w:val="0075C9"/>
                <w:sz w:val="18"/>
              </w:rPr>
              <w:t>(investment firm)</w:t>
            </w:r>
          </w:p>
          <w:p>
            <w:pPr>
              <w:pStyle w:val="TableContents"/>
              <w:bidi w:val="0"/>
              <w:spacing w:before="0" w:after="0"/>
              <w:jc w:val="left"/>
              <w:rPr/>
            </w:pPr>
            <w:r>
              <w:rPr/>
              <w:t>•  </w:t>
            </w:r>
            <w:r>
              <w:rPr>
                <w:rFonts w:ascii="Arial" w:hAnsi="Arial"/>
                <w:sz w:val="18"/>
              </w:rPr>
              <w:t>Operating Partner (2019-present)</w:t>
            </w:r>
          </w:p>
          <w:p>
            <w:pPr>
              <w:pStyle w:val="TableContents"/>
              <w:bidi w:val="0"/>
              <w:spacing w:before="0" w:after="0"/>
              <w:jc w:val="left"/>
              <w:rPr>
                <w:rFonts w:ascii="Arial" w:hAnsi="Arial"/>
                <w:b/>
                <w:color w:val="0075C9"/>
                <w:sz w:val="18"/>
              </w:rPr>
            </w:pPr>
            <w:r>
              <w:rPr>
                <w:rFonts w:ascii="Arial" w:hAnsi="Arial"/>
                <w:b/>
                <w:color w:val="0075C9"/>
                <w:sz w:val="18"/>
              </w:rPr>
              <w:t>Johnson &amp; Johnson (2012-2018)</w:t>
            </w:r>
          </w:p>
          <w:p>
            <w:pPr>
              <w:pStyle w:val="TableContents"/>
              <w:bidi w:val="0"/>
              <w:spacing w:before="0" w:after="0"/>
              <w:jc w:val="left"/>
              <w:rPr/>
            </w:pPr>
            <w:r>
              <w:rPr/>
              <w:t>•  </w:t>
            </w:r>
            <w:r>
              <w:rPr>
                <w:rFonts w:ascii="Arial" w:hAnsi="Arial"/>
                <w:sz w:val="18"/>
              </w:rPr>
              <w:t>Group Worldwide Chair and member of the Executive</w:t>
              <w:br/>
              <w:t>Committee (2012-2018)</w:t>
            </w:r>
          </w:p>
          <w:p>
            <w:pPr>
              <w:pStyle w:val="TableContents"/>
              <w:bidi w:val="0"/>
              <w:spacing w:before="0" w:after="0"/>
              <w:jc w:val="left"/>
              <w:rPr>
                <w:rFonts w:ascii="Arial" w:hAnsi="Arial"/>
                <w:b/>
                <w:color w:val="0075C9"/>
                <w:sz w:val="18"/>
              </w:rPr>
            </w:pPr>
            <w:r>
              <w:rPr>
                <w:rFonts w:ascii="Arial" w:hAnsi="Arial"/>
                <w:b/>
                <w:color w:val="0075C9"/>
                <w:sz w:val="18"/>
              </w:rPr>
              <w:t>Bayer CropScience AG (2010-2012)</w:t>
            </w:r>
          </w:p>
          <w:p>
            <w:pPr>
              <w:pStyle w:val="TableContents"/>
              <w:bidi w:val="0"/>
              <w:spacing w:before="0" w:after="0"/>
              <w:jc w:val="left"/>
              <w:rPr/>
            </w:pPr>
            <w:r>
              <w:rPr/>
              <w:t>•  </w:t>
            </w:r>
            <w:r>
              <w:rPr>
                <w:rFonts w:ascii="Arial" w:hAnsi="Arial"/>
                <w:sz w:val="18"/>
              </w:rPr>
              <w:t>Chief Executive Officer and Chairman of the Board of</w:t>
              <w:br/>
              <w:t>Management (2010-2012)</w:t>
            </w:r>
          </w:p>
          <w:p>
            <w:pPr>
              <w:pStyle w:val="TableContents"/>
              <w:bidi w:val="0"/>
              <w:spacing w:before="0" w:after="0"/>
              <w:jc w:val="left"/>
              <w:rPr/>
            </w:pPr>
            <w:r>
              <w:rPr/>
              <w:t>•  </w:t>
            </w:r>
            <w:r>
              <w:rPr>
                <w:rFonts w:ascii="Arial" w:hAnsi="Arial"/>
                <w:sz w:val="18"/>
              </w:rPr>
              <w:t>Member of Board of Management (2010)</w:t>
            </w:r>
          </w:p>
          <w:p>
            <w:pPr>
              <w:pStyle w:val="TableContents"/>
              <w:bidi w:val="0"/>
              <w:spacing w:before="0" w:after="0"/>
              <w:jc w:val="left"/>
              <w:rPr>
                <w:rFonts w:ascii="Arial" w:hAnsi="Arial"/>
                <w:b/>
                <w:color w:val="0075C9"/>
                <w:sz w:val="18"/>
              </w:rPr>
            </w:pPr>
            <w:r>
              <w:rPr>
                <w:rFonts w:ascii="Arial" w:hAnsi="Arial"/>
                <w:b/>
                <w:color w:val="0075C9"/>
                <w:sz w:val="18"/>
              </w:rPr>
              <w:t>Bayer HealthCare LLC (2005-2010)</w:t>
            </w:r>
          </w:p>
          <w:p>
            <w:pPr>
              <w:pStyle w:val="TableContents"/>
              <w:bidi w:val="0"/>
              <w:spacing w:before="0" w:after="0"/>
              <w:jc w:val="left"/>
              <w:rPr/>
            </w:pPr>
            <w:r>
              <w:rPr/>
              <w:t>•  </w:t>
            </w:r>
            <w:r>
              <w:rPr>
                <w:rFonts w:ascii="Arial" w:hAnsi="Arial"/>
                <w:sz w:val="18"/>
              </w:rPr>
              <w:t>Executive Vice President and President, Medical Care</w:t>
              <w:br/>
              <w:t>(2009-2010)</w:t>
            </w:r>
          </w:p>
          <w:p>
            <w:pPr>
              <w:pStyle w:val="TableContents"/>
              <w:bidi w:val="0"/>
              <w:spacing w:before="0" w:after="0"/>
              <w:jc w:val="left"/>
              <w:rPr/>
            </w:pPr>
            <w:r>
              <w:rPr/>
              <w:t>•  </w:t>
            </w:r>
            <w:r>
              <w:rPr>
                <w:rFonts w:ascii="Arial" w:hAnsi="Arial"/>
                <w:sz w:val="18"/>
              </w:rPr>
              <w:t>President, Diabetes Care Division (2005-2009)</w:t>
            </w:r>
          </w:p>
          <w:p>
            <w:pPr>
              <w:pStyle w:val="TableContents"/>
              <w:bidi w:val="0"/>
              <w:spacing w:before="0" w:after="0"/>
              <w:jc w:val="left"/>
              <w:rPr>
                <w:rFonts w:ascii="Arial" w:hAnsi="Arial"/>
                <w:b/>
                <w:color w:val="0075C9"/>
                <w:sz w:val="18"/>
              </w:rPr>
            </w:pPr>
            <w:r>
              <w:rPr>
                <w:rFonts w:ascii="Arial" w:hAnsi="Arial"/>
                <w:b/>
                <w:color w:val="0075C9"/>
                <w:sz w:val="18"/>
              </w:rPr>
              <w:t>Medco Health Solutions, Inc. (1999-2004)</w:t>
            </w:r>
          </w:p>
          <w:p>
            <w:pPr>
              <w:pStyle w:val="TableContents"/>
              <w:bidi w:val="0"/>
              <w:spacing w:before="0" w:after="0"/>
              <w:jc w:val="left"/>
              <w:rPr/>
            </w:pPr>
            <w:r>
              <w:rPr/>
              <w:t>•  </w:t>
            </w:r>
            <w:r>
              <w:rPr>
                <w:rFonts w:ascii="Arial" w:hAnsi="Arial"/>
                <w:sz w:val="18"/>
              </w:rPr>
              <w:t>Group President of Government (2003-2004)</w:t>
            </w:r>
          </w:p>
          <w:p>
            <w:pPr>
              <w:pStyle w:val="TableContents"/>
              <w:bidi w:val="0"/>
              <w:spacing w:before="0" w:after="0"/>
              <w:jc w:val="left"/>
              <w:rPr/>
            </w:pPr>
            <w:r>
              <w:rPr/>
              <w:t>•  </w:t>
            </w:r>
            <w:r>
              <w:rPr>
                <w:rFonts w:ascii="Arial" w:hAnsi="Arial"/>
                <w:sz w:val="18"/>
              </w:rPr>
              <w:t>Senior Vice President, Health Businesses, Merck-Medco Managed Care LLC (2001-2003)</w:t>
            </w:r>
          </w:p>
          <w:p>
            <w:pPr>
              <w:pStyle w:val="TableContents"/>
              <w:bidi w:val="0"/>
              <w:spacing w:before="0" w:after="0"/>
              <w:jc w:val="left"/>
              <w:rPr/>
            </w:pPr>
            <w:r>
              <w:rPr/>
              <w:t>•  </w:t>
            </w:r>
            <w:r>
              <w:rPr>
                <w:rFonts w:ascii="Arial" w:hAnsi="Arial"/>
                <w:sz w:val="18"/>
              </w:rPr>
              <w:t>Senior Vice President, Marketing and Strategy, Merck-Medco Managed Care LLC (1999-2001)</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2867"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Compensation</w:t>
            </w:r>
          </w:p>
          <w:p>
            <w:pPr>
              <w:pStyle w:val="TableContents"/>
              <w:bidi w:val="0"/>
              <w:spacing w:before="0" w:after="0"/>
              <w:jc w:val="left"/>
              <w:rPr/>
            </w:pPr>
            <w:r>
              <w:rPr/>
              <w:t>•  </w:t>
            </w:r>
            <w:r>
              <w:rPr>
                <w:rFonts w:ascii="Arial" w:hAnsi="Arial"/>
                <w:sz w:val="18"/>
              </w:rPr>
              <w:t>Governance and Nominating (Chair)</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Seaport Therapeutics, Inc.</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0"/>
              <w:jc w:val="left"/>
              <w:rPr/>
            </w:pPr>
            <w:r>
              <w:rPr/>
              <w:t>•  </w:t>
            </w:r>
            <w:r>
              <w:rPr>
                <w:rFonts w:ascii="Arial" w:hAnsi="Arial"/>
                <w:sz w:val="18"/>
              </w:rPr>
              <w:t>Covetrus, Inc.</w:t>
            </w:r>
          </w:p>
          <w:p>
            <w:pPr>
              <w:pStyle w:val="TableContents"/>
              <w:bidi w:val="0"/>
              <w:spacing w:before="0" w:after="20"/>
              <w:jc w:val="left"/>
              <w:rPr/>
            </w:pPr>
            <w:r>
              <w:rPr/>
              <w:t>•  </w:t>
            </w:r>
            <w:r>
              <w:rPr>
                <w:rFonts w:ascii="Arial" w:hAnsi="Arial"/>
                <w:sz w:val="18"/>
              </w:rPr>
              <w:t>Zymergen, Inc.</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8"/>
        <w:gridCol w:w="60"/>
        <w:gridCol w:w="1484"/>
        <w:gridCol w:w="120"/>
        <w:gridCol w:w="5876"/>
        <w:gridCol w:w="393"/>
        <w:gridCol w:w="124"/>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876" w:type="dxa"/>
            <w:vMerge w:val="restart"/>
            <w:tcBorders/>
            <w:vAlign w:val="center"/>
          </w:tcPr>
          <w:p>
            <w:pPr>
              <w:pStyle w:val="TableContents"/>
              <w:bidi w:val="0"/>
              <w:spacing w:before="0" w:after="283"/>
              <w:jc w:val="left"/>
              <w:rPr>
                <w:color w:val="595959"/>
              </w:rPr>
            </w:pPr>
            <w:r>
              <w:rPr>
                <w:color w:val="595959"/>
              </w:rPr>
              <w:t>Penny S. Pritzker </w:t>
            </w:r>
          </w:p>
        </w:tc>
        <w:tc>
          <w:tcPr>
            <w:tcW w:w="39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876" w:type="dxa"/>
            <w:vMerge w:val="continue"/>
            <w:tcBorders/>
            <w:vAlign w:val="center"/>
          </w:tcPr>
          <w:p>
            <w:pPr>
              <w:pStyle w:val="Normal"/>
              <w:bidi w:val="0"/>
              <w:jc w:val="left"/>
              <w:rPr/>
            </w:pPr>
            <w:r>
              <w:rPr/>
            </w:r>
          </w:p>
        </w:tc>
        <w:tc>
          <w:tcPr>
            <w:tcW w:w="39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3"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67 | </w:t>
            </w:r>
            <w:r>
              <w:rPr>
                <w:rFonts w:ascii="Arial" w:hAnsi="Arial"/>
                <w:b/>
                <w:sz w:val="20"/>
              </w:rPr>
              <w:t>Director Since:</w:t>
            </w:r>
            <w:r>
              <w:rPr>
                <w:rFonts w:ascii="Arial" w:hAnsi="Arial"/>
                <w:sz w:val="20"/>
              </w:rPr>
              <w:t xml:space="preserve"> 2017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9475" w:type="dxa"/>
        <w:jc w:val="left"/>
        <w:tblInd w:w="0" w:type="dxa"/>
        <w:tblLayout w:type="fixed"/>
        <w:tblCellMar>
          <w:top w:w="0" w:type="dxa"/>
          <w:left w:w="0" w:type="dxa"/>
          <w:bottom w:w="0" w:type="dxa"/>
          <w:right w:w="0" w:type="dxa"/>
        </w:tblCellMar>
      </w:tblPr>
      <w:tblGrid>
        <w:gridCol w:w="75"/>
        <w:gridCol w:w="60"/>
        <w:gridCol w:w="60"/>
        <w:gridCol w:w="60"/>
        <w:gridCol w:w="4610"/>
        <w:gridCol w:w="240"/>
        <w:gridCol w:w="4175"/>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461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United States Secretary of Commerce (2013-2017)</w:t>
            </w:r>
          </w:p>
          <w:p>
            <w:pPr>
              <w:pStyle w:val="TableContents"/>
              <w:bidi w:val="0"/>
              <w:spacing w:before="0" w:after="0"/>
              <w:jc w:val="left"/>
              <w:rPr>
                <w:rFonts w:ascii="Arial" w:hAnsi="Arial"/>
                <w:b/>
                <w:color w:val="0075C9"/>
                <w:sz w:val="18"/>
              </w:rPr>
            </w:pPr>
            <w:r>
              <w:rPr>
                <w:rFonts w:ascii="Arial" w:hAnsi="Arial"/>
                <w:b/>
                <w:color w:val="0075C9"/>
                <w:sz w:val="18"/>
              </w:rPr>
              <w:t>PSP Partners, LLC (present)</w:t>
            </w:r>
          </w:p>
          <w:p>
            <w:pPr>
              <w:pStyle w:val="TableContents"/>
              <w:bidi w:val="0"/>
              <w:spacing w:before="0" w:after="0"/>
              <w:jc w:val="left"/>
              <w:rPr>
                <w:rFonts w:ascii="Arial" w:hAnsi="Arial"/>
                <w:color w:val="0075C9"/>
                <w:sz w:val="18"/>
              </w:rPr>
            </w:pPr>
            <w:r>
              <w:rPr>
                <w:rFonts w:ascii="Arial" w:hAnsi="Arial"/>
                <w:color w:val="0075C9"/>
                <w:sz w:val="18"/>
              </w:rPr>
              <w:t>(private investment firm)</w:t>
            </w:r>
          </w:p>
          <w:p>
            <w:pPr>
              <w:pStyle w:val="TableContents"/>
              <w:bidi w:val="0"/>
              <w:spacing w:before="0" w:after="0"/>
              <w:jc w:val="left"/>
              <w:rPr/>
            </w:pPr>
            <w:r>
              <w:rPr/>
              <w:t>•  </w:t>
            </w:r>
            <w:r>
              <w:rPr>
                <w:rFonts w:ascii="Arial" w:hAnsi="Arial"/>
                <w:sz w:val="18"/>
              </w:rPr>
              <w:t>Founder and Chairman (present)</w:t>
            </w:r>
          </w:p>
          <w:p>
            <w:pPr>
              <w:pStyle w:val="TableContents"/>
              <w:bidi w:val="0"/>
              <w:spacing w:before="0" w:after="0"/>
              <w:jc w:val="left"/>
              <w:rPr>
                <w:rFonts w:ascii="Arial" w:hAnsi="Arial"/>
                <w:b/>
                <w:color w:val="0075C9"/>
                <w:sz w:val="18"/>
              </w:rPr>
            </w:pPr>
            <w:r>
              <w:rPr>
                <w:rFonts w:ascii="Arial" w:hAnsi="Arial"/>
                <w:b/>
                <w:color w:val="0075C9"/>
                <w:sz w:val="18"/>
              </w:rPr>
              <w:t>Pritzker Realty Group (present)</w:t>
            </w:r>
          </w:p>
          <w:p>
            <w:pPr>
              <w:pStyle w:val="TableContents"/>
              <w:bidi w:val="0"/>
              <w:spacing w:before="0" w:after="0"/>
              <w:jc w:val="left"/>
              <w:rPr/>
            </w:pPr>
            <w:r>
              <w:rPr/>
              <w:t>•  </w:t>
            </w:r>
            <w:r>
              <w:rPr>
                <w:rFonts w:ascii="Arial" w:hAnsi="Arial"/>
                <w:sz w:val="18"/>
              </w:rPr>
              <w:t>Co-founder and Chairman (present)</w:t>
            </w:r>
          </w:p>
          <w:p>
            <w:pPr>
              <w:pStyle w:val="TableContents"/>
              <w:bidi w:val="0"/>
              <w:spacing w:before="0" w:after="0"/>
              <w:jc w:val="left"/>
              <w:rPr>
                <w:rFonts w:ascii="Arial" w:hAnsi="Arial"/>
                <w:b/>
                <w:color w:val="0075C9"/>
                <w:sz w:val="18"/>
              </w:rPr>
            </w:pPr>
            <w:r>
              <w:rPr>
                <w:rFonts w:ascii="Arial" w:hAnsi="Arial"/>
                <w:b/>
                <w:color w:val="0075C9"/>
                <w:sz w:val="18"/>
              </w:rPr>
              <w:t>Inspired Capital Partners (present)</w:t>
            </w:r>
          </w:p>
          <w:p>
            <w:pPr>
              <w:pStyle w:val="TableContents"/>
              <w:bidi w:val="0"/>
              <w:spacing w:before="0" w:after="0"/>
              <w:jc w:val="left"/>
              <w:rPr/>
            </w:pPr>
            <w:r>
              <w:rPr/>
              <w:t>•  </w:t>
            </w:r>
            <w:r>
              <w:rPr>
                <w:rFonts w:ascii="Arial" w:hAnsi="Arial"/>
                <w:sz w:val="18"/>
              </w:rPr>
              <w:t>Co-founder and Chairman (present)</w:t>
            </w:r>
          </w:p>
          <w:p>
            <w:pPr>
              <w:pStyle w:val="TableContents"/>
              <w:bidi w:val="0"/>
              <w:spacing w:before="0" w:after="0"/>
              <w:jc w:val="left"/>
              <w:rPr>
                <w:rFonts w:ascii="Arial" w:hAnsi="Arial"/>
                <w:b/>
                <w:color w:val="0075C9"/>
                <w:sz w:val="18"/>
              </w:rPr>
            </w:pPr>
            <w:r>
              <w:rPr>
                <w:rFonts w:ascii="Arial" w:hAnsi="Arial"/>
                <w:b/>
                <w:color w:val="0075C9"/>
                <w:sz w:val="18"/>
              </w:rPr>
              <w:t>Artemis Real Estate Partners (2009-2013; 2017-2025)</w:t>
            </w:r>
          </w:p>
          <w:p>
            <w:pPr>
              <w:pStyle w:val="TableContents"/>
              <w:bidi w:val="0"/>
              <w:spacing w:before="0" w:after="0"/>
              <w:jc w:val="left"/>
              <w:rPr/>
            </w:pPr>
            <w:r>
              <w:rPr/>
              <w:t>•  </w:t>
            </w:r>
            <w:r>
              <w:rPr>
                <w:rFonts w:ascii="Arial" w:hAnsi="Arial"/>
                <w:sz w:val="18"/>
              </w:rPr>
              <w:t>Co-founder (2009-2013; 2017-2025)</w:t>
            </w:r>
          </w:p>
          <w:p>
            <w:pPr>
              <w:pStyle w:val="TableContents"/>
              <w:bidi w:val="0"/>
              <w:spacing w:before="0" w:after="0"/>
              <w:jc w:val="left"/>
              <w:rPr>
                <w:rFonts w:ascii="Arial" w:hAnsi="Arial"/>
                <w:b/>
                <w:color w:val="0075C9"/>
                <w:sz w:val="18"/>
              </w:rPr>
            </w:pPr>
            <w:r>
              <w:rPr>
                <w:rFonts w:ascii="Arial" w:hAnsi="Arial"/>
                <w:b/>
                <w:color w:val="0075C9"/>
                <w:sz w:val="18"/>
              </w:rPr>
              <w:t>The Parking Spot (1998-2011)</w:t>
            </w:r>
          </w:p>
          <w:p>
            <w:pPr>
              <w:pStyle w:val="TableContents"/>
              <w:bidi w:val="0"/>
              <w:spacing w:before="0" w:after="0"/>
              <w:jc w:val="left"/>
              <w:rPr/>
            </w:pPr>
            <w:r>
              <w:rPr/>
              <w:t>•  </w:t>
            </w:r>
            <w:r>
              <w:rPr>
                <w:rFonts w:ascii="Arial" w:hAnsi="Arial"/>
                <w:sz w:val="18"/>
              </w:rPr>
              <w:t>Co-founder and Chairman (1998-2011)</w:t>
            </w:r>
          </w:p>
          <w:p>
            <w:pPr>
              <w:pStyle w:val="TableContents"/>
              <w:bidi w:val="0"/>
              <w:spacing w:before="0" w:after="0"/>
              <w:jc w:val="left"/>
              <w:rPr>
                <w:rFonts w:ascii="Arial" w:hAnsi="Arial"/>
                <w:b/>
                <w:color w:val="0075C9"/>
                <w:sz w:val="18"/>
              </w:rPr>
            </w:pPr>
            <w:r>
              <w:rPr>
                <w:rFonts w:ascii="Arial" w:hAnsi="Arial"/>
                <w:b/>
                <w:color w:val="0075C9"/>
                <w:sz w:val="18"/>
              </w:rPr>
              <w:t>Vi Senior Living (1987-2011)</w:t>
            </w:r>
          </w:p>
          <w:p>
            <w:pPr>
              <w:pStyle w:val="TableContents"/>
              <w:bidi w:val="0"/>
              <w:spacing w:before="0" w:after="0"/>
              <w:jc w:val="left"/>
              <w:rPr/>
            </w:pPr>
            <w:r>
              <w:rPr/>
              <w:t>•  </w:t>
            </w:r>
            <w:r>
              <w:rPr>
                <w:rFonts w:ascii="Arial" w:hAnsi="Arial"/>
                <w:sz w:val="18"/>
              </w:rPr>
              <w:t>Founder and Chairman (1987-2011)</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4175"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Environmental, Social, and Public Policy (Chair)</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Positions:</w:t>
            </w:r>
          </w:p>
          <w:p>
            <w:pPr>
              <w:pStyle w:val="TableContents"/>
              <w:bidi w:val="0"/>
              <w:spacing w:before="0" w:after="20"/>
              <w:jc w:val="left"/>
              <w:rPr/>
            </w:pPr>
            <w:r>
              <w:rPr/>
              <w:t>•  </w:t>
            </w:r>
            <w:r>
              <w:rPr>
                <w:rFonts w:ascii="Arial" w:hAnsi="Arial"/>
                <w:sz w:val="18"/>
              </w:rPr>
              <w:t>Co-founder, Pritzker Traubert Foundation</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8"/>
        <w:gridCol w:w="60"/>
        <w:gridCol w:w="1483"/>
        <w:gridCol w:w="120"/>
        <w:gridCol w:w="5920"/>
        <w:gridCol w:w="360"/>
        <w:gridCol w:w="114"/>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3" w:type="dxa"/>
            <w:vMerge w:val="restart"/>
            <w:tcBorders/>
            <w:vAlign w:val="center"/>
          </w:tcPr>
          <w:p>
            <w:pPr>
              <w:pStyle w:val="TableContents"/>
              <w:bidi w:val="0"/>
              <w:spacing w:before="0" w:after="283"/>
              <w:jc w:val="left"/>
              <w:rPr/>
            </w:pPr>
            <w:r>
              <w:rPr/>
              <w:drawing>
                <wp:inline distT="0" distB="0" distL="0" distR="0">
                  <wp:extent cx="903605" cy="903605"/>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903605" cy="903605"/>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920" w:type="dxa"/>
            <w:vMerge w:val="restart"/>
            <w:tcBorders/>
            <w:vAlign w:val="center"/>
          </w:tcPr>
          <w:p>
            <w:pPr>
              <w:pStyle w:val="TableContents"/>
              <w:bidi w:val="0"/>
              <w:spacing w:before="0" w:after="283"/>
              <w:jc w:val="left"/>
              <w:rPr>
                <w:color w:val="595959"/>
              </w:rPr>
            </w:pPr>
            <w:r>
              <w:rPr>
                <w:color w:val="595959"/>
              </w:rPr>
              <w:t>John David Rainey </w:t>
            </w:r>
          </w:p>
        </w:tc>
        <w:tc>
          <w:tcPr>
            <w:tcW w:w="3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3"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920" w:type="dxa"/>
            <w:vMerge w:val="continue"/>
            <w:tcBorders/>
            <w:vAlign w:val="center"/>
          </w:tcPr>
          <w:p>
            <w:pPr>
              <w:pStyle w:val="Normal"/>
              <w:bidi w:val="0"/>
              <w:jc w:val="left"/>
              <w:rPr/>
            </w:pPr>
            <w:r>
              <w:rPr/>
            </w:r>
          </w:p>
        </w:tc>
        <w:tc>
          <w:tcPr>
            <w:tcW w:w="3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4"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56 | </w:t>
            </w:r>
            <w:r>
              <w:rPr>
                <w:rFonts w:ascii="Arial" w:hAnsi="Arial"/>
                <w:b/>
                <w:sz w:val="20"/>
              </w:rPr>
              <w:t>Director Since:</w:t>
            </w:r>
            <w:r>
              <w:rPr>
                <w:rFonts w:ascii="Arial" w:hAnsi="Arial"/>
                <w:sz w:val="20"/>
              </w:rPr>
              <w:t xml:space="preserve"> 2025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6622"/>
        <w:gridCol w:w="240"/>
        <w:gridCol w:w="2892"/>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2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622"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Walmart Inc. (2022-present)</w:t>
            </w:r>
          </w:p>
          <w:p>
            <w:pPr>
              <w:pStyle w:val="TableContents"/>
              <w:bidi w:val="0"/>
              <w:spacing w:before="0" w:after="0"/>
              <w:jc w:val="left"/>
              <w:rPr>
                <w:rFonts w:ascii="Arial" w:hAnsi="Arial"/>
                <w:color w:val="0075C9"/>
                <w:sz w:val="18"/>
              </w:rPr>
            </w:pPr>
            <w:r>
              <w:rPr>
                <w:rFonts w:ascii="Arial" w:hAnsi="Arial"/>
                <w:color w:val="0075C9"/>
                <w:sz w:val="18"/>
              </w:rPr>
              <w:t>(retail company)</w:t>
            </w:r>
          </w:p>
          <w:p>
            <w:pPr>
              <w:pStyle w:val="TableContents"/>
              <w:bidi w:val="0"/>
              <w:spacing w:before="0" w:after="0"/>
              <w:jc w:val="left"/>
              <w:rPr/>
            </w:pPr>
            <w:r>
              <w:rPr/>
              <w:t>•  </w:t>
            </w:r>
            <w:r>
              <w:rPr>
                <w:rFonts w:ascii="Arial" w:hAnsi="Arial"/>
                <w:sz w:val="18"/>
              </w:rPr>
              <w:t>Executive Vice President and Chief Financial Officer (2022-present)</w:t>
            </w:r>
          </w:p>
          <w:p>
            <w:pPr>
              <w:pStyle w:val="TableContents"/>
              <w:bidi w:val="0"/>
              <w:spacing w:before="0" w:after="0"/>
              <w:jc w:val="left"/>
              <w:rPr>
                <w:rFonts w:ascii="Arial" w:hAnsi="Arial"/>
                <w:b/>
                <w:color w:val="0075C9"/>
                <w:sz w:val="18"/>
              </w:rPr>
            </w:pPr>
            <w:r>
              <w:rPr>
                <w:rFonts w:ascii="Arial" w:hAnsi="Arial"/>
                <w:b/>
                <w:color w:val="0075C9"/>
                <w:sz w:val="18"/>
              </w:rPr>
              <w:t>PayPal Holdings, Inc. (2015-2022)</w:t>
            </w:r>
          </w:p>
          <w:p>
            <w:pPr>
              <w:pStyle w:val="TableContents"/>
              <w:bidi w:val="0"/>
              <w:spacing w:before="0" w:after="0"/>
              <w:jc w:val="left"/>
              <w:rPr/>
            </w:pPr>
            <w:r>
              <w:rPr/>
              <w:t>•  </w:t>
            </w:r>
            <w:r>
              <w:rPr>
                <w:rFonts w:ascii="Arial" w:hAnsi="Arial"/>
                <w:sz w:val="18"/>
              </w:rPr>
              <w:t>Chief Financial Officer and Executive Vice President, Global Customer Operations (2015-2022)</w:t>
            </w:r>
          </w:p>
          <w:p>
            <w:pPr>
              <w:pStyle w:val="TableContents"/>
              <w:bidi w:val="0"/>
              <w:spacing w:before="0" w:after="0"/>
              <w:jc w:val="left"/>
              <w:rPr>
                <w:rFonts w:ascii="Arial" w:hAnsi="Arial"/>
                <w:b/>
                <w:color w:val="0075C9"/>
                <w:sz w:val="18"/>
              </w:rPr>
            </w:pPr>
            <w:r>
              <w:rPr>
                <w:rFonts w:ascii="Arial" w:hAnsi="Arial"/>
                <w:b/>
                <w:color w:val="0075C9"/>
                <w:sz w:val="18"/>
              </w:rPr>
              <w:t>United Airlines, Inc. (2010-2015)</w:t>
            </w:r>
          </w:p>
          <w:p>
            <w:pPr>
              <w:pStyle w:val="TableContents"/>
              <w:bidi w:val="0"/>
              <w:spacing w:before="0" w:after="0"/>
              <w:jc w:val="left"/>
              <w:rPr/>
            </w:pPr>
            <w:r>
              <w:rPr/>
              <w:t>•  </w:t>
            </w:r>
            <w:r>
              <w:rPr>
                <w:rFonts w:ascii="Arial" w:hAnsi="Arial"/>
                <w:sz w:val="18"/>
              </w:rPr>
              <w:t>Executive Vice President and Chief Financial Officer (2012-2015)</w:t>
            </w:r>
          </w:p>
          <w:p>
            <w:pPr>
              <w:pStyle w:val="TableContents"/>
              <w:bidi w:val="0"/>
              <w:spacing w:before="0" w:after="0"/>
              <w:jc w:val="left"/>
              <w:rPr/>
            </w:pPr>
            <w:r>
              <w:rPr/>
              <w:t>•  </w:t>
            </w:r>
            <w:r>
              <w:rPr>
                <w:rFonts w:ascii="Arial" w:hAnsi="Arial"/>
                <w:sz w:val="18"/>
              </w:rPr>
              <w:t>Senior Vice President of Financial Planning and Analysis (2010-2012)</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2892"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Audit and Finance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20"/>
              <w:jc w:val="left"/>
              <w:rPr/>
            </w:pPr>
            <w:r>
              <w:rPr/>
              <w:t>•  </w:t>
            </w:r>
            <w:r>
              <w:rPr>
                <w:rFonts w:ascii="Arial" w:hAnsi="Arial"/>
                <w:sz w:val="18"/>
              </w:rPr>
              <w:t>Nasdaq, Inc.</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096" w:type="dxa"/>
        <w:jc w:val="left"/>
        <w:tblInd w:w="0" w:type="dxa"/>
        <w:tblLayout w:type="fixed"/>
        <w:tblCellMar>
          <w:top w:w="0" w:type="dxa"/>
          <w:left w:w="0" w:type="dxa"/>
          <w:bottom w:w="0" w:type="dxa"/>
          <w:right w:w="0" w:type="dxa"/>
        </w:tblCellMar>
      </w:tblPr>
      <w:tblGrid>
        <w:gridCol w:w="38"/>
        <w:gridCol w:w="60"/>
        <w:gridCol w:w="1484"/>
        <w:gridCol w:w="120"/>
        <w:gridCol w:w="5899"/>
        <w:gridCol w:w="376"/>
        <w:gridCol w:w="11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89344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904240" cy="893445"/>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899" w:type="dxa"/>
            <w:vMerge w:val="restart"/>
            <w:tcBorders/>
            <w:vAlign w:val="center"/>
          </w:tcPr>
          <w:p>
            <w:pPr>
              <w:pStyle w:val="TableContents"/>
              <w:bidi w:val="0"/>
              <w:spacing w:before="0" w:after="283"/>
              <w:jc w:val="left"/>
              <w:rPr>
                <w:color w:val="595959"/>
              </w:rPr>
            </w:pPr>
            <w:r>
              <w:rPr>
                <w:color w:val="595959"/>
              </w:rPr>
              <w:t>Charles W. Scharf </w:t>
            </w:r>
          </w:p>
        </w:tc>
        <w:tc>
          <w:tcPr>
            <w:tcW w:w="37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899" w:type="dxa"/>
            <w:vMerge w:val="continue"/>
            <w:tcBorders/>
            <w:vAlign w:val="center"/>
          </w:tcPr>
          <w:p>
            <w:pPr>
              <w:pStyle w:val="Normal"/>
              <w:bidi w:val="0"/>
              <w:jc w:val="left"/>
              <w:rPr/>
            </w:pPr>
            <w:r>
              <w:rPr/>
            </w:r>
          </w:p>
        </w:tc>
        <w:tc>
          <w:tcPr>
            <w:tcW w:w="37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4"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61 | </w:t>
            </w:r>
            <w:r>
              <w:rPr>
                <w:rFonts w:ascii="Arial" w:hAnsi="Arial"/>
                <w:b/>
                <w:sz w:val="20"/>
              </w:rPr>
              <w:t>Director Since:</w:t>
            </w:r>
            <w:r>
              <w:rPr>
                <w:rFonts w:ascii="Arial" w:hAnsi="Arial"/>
                <w:sz w:val="20"/>
              </w:rPr>
              <w:t xml:space="preserve"> 2014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6519"/>
        <w:gridCol w:w="240"/>
        <w:gridCol w:w="2995"/>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519"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Wells Fargo &amp; Company (2019-present)</w:t>
            </w:r>
          </w:p>
          <w:p>
            <w:pPr>
              <w:pStyle w:val="TableContents"/>
              <w:bidi w:val="0"/>
              <w:spacing w:before="0" w:after="0"/>
              <w:jc w:val="left"/>
              <w:rPr>
                <w:rFonts w:ascii="Arial" w:hAnsi="Arial"/>
                <w:color w:val="0075C9"/>
                <w:sz w:val="18"/>
              </w:rPr>
            </w:pPr>
            <w:r>
              <w:rPr>
                <w:rFonts w:ascii="Arial" w:hAnsi="Arial"/>
                <w:color w:val="0075C9"/>
                <w:sz w:val="18"/>
              </w:rPr>
              <w:t>(banking and financial services company)</w:t>
            </w:r>
          </w:p>
          <w:p>
            <w:pPr>
              <w:pStyle w:val="TableContents"/>
              <w:bidi w:val="0"/>
              <w:spacing w:before="0" w:after="0"/>
              <w:jc w:val="left"/>
              <w:rPr/>
            </w:pPr>
            <w:r>
              <w:rPr/>
              <w:t>•  </w:t>
            </w:r>
            <w:r>
              <w:rPr>
                <w:rFonts w:ascii="Arial" w:hAnsi="Arial"/>
                <w:sz w:val="18"/>
              </w:rPr>
              <w:t>Chairman and Chief Executive Officer (2025-present)</w:t>
            </w:r>
          </w:p>
          <w:p>
            <w:pPr>
              <w:pStyle w:val="TableContents"/>
              <w:bidi w:val="0"/>
              <w:spacing w:before="0" w:after="0"/>
              <w:jc w:val="left"/>
              <w:rPr/>
            </w:pPr>
            <w:r>
              <w:rPr/>
              <w:t>•  </w:t>
            </w:r>
            <w:r>
              <w:rPr>
                <w:rFonts w:ascii="Arial" w:hAnsi="Arial"/>
                <w:sz w:val="18"/>
              </w:rPr>
              <w:t>Chief Executive Officer, President, and Chairman (2025)</w:t>
            </w:r>
          </w:p>
          <w:p>
            <w:pPr>
              <w:pStyle w:val="TableContents"/>
              <w:bidi w:val="0"/>
              <w:spacing w:before="0" w:after="0"/>
              <w:jc w:val="left"/>
              <w:rPr/>
            </w:pPr>
            <w:r>
              <w:rPr/>
              <w:t>•  </w:t>
            </w:r>
            <w:r>
              <w:rPr>
                <w:rFonts w:ascii="Arial" w:hAnsi="Arial"/>
                <w:sz w:val="18"/>
              </w:rPr>
              <w:t>Chief Executive Officer, President, and Director (2019-2025)</w:t>
            </w:r>
          </w:p>
          <w:p>
            <w:pPr>
              <w:pStyle w:val="TableContents"/>
              <w:bidi w:val="0"/>
              <w:spacing w:before="0" w:after="0"/>
              <w:jc w:val="left"/>
              <w:rPr>
                <w:rFonts w:ascii="Arial" w:hAnsi="Arial"/>
                <w:b/>
                <w:color w:val="0075C9"/>
                <w:sz w:val="18"/>
              </w:rPr>
            </w:pPr>
            <w:r>
              <w:rPr>
                <w:rFonts w:ascii="Arial" w:hAnsi="Arial"/>
                <w:b/>
                <w:color w:val="0075C9"/>
                <w:sz w:val="18"/>
              </w:rPr>
              <w:t>The Bank of New York Mellon Corporation (2017-2019)</w:t>
            </w:r>
          </w:p>
          <w:p>
            <w:pPr>
              <w:pStyle w:val="TableContents"/>
              <w:bidi w:val="0"/>
              <w:spacing w:before="0" w:after="0"/>
              <w:jc w:val="left"/>
              <w:rPr/>
            </w:pPr>
            <w:r>
              <w:rPr/>
              <w:t>•  </w:t>
            </w:r>
            <w:r>
              <w:rPr>
                <w:rFonts w:ascii="Arial" w:hAnsi="Arial"/>
                <w:sz w:val="18"/>
              </w:rPr>
              <w:t>Chairman and Chief Executive Officer (2018-2019)</w:t>
            </w:r>
          </w:p>
          <w:p>
            <w:pPr>
              <w:pStyle w:val="TableContents"/>
              <w:bidi w:val="0"/>
              <w:spacing w:before="0" w:after="0"/>
              <w:jc w:val="left"/>
              <w:rPr/>
            </w:pPr>
            <w:r>
              <w:rPr/>
              <w:t>•  </w:t>
            </w:r>
            <w:r>
              <w:rPr>
                <w:rFonts w:ascii="Arial" w:hAnsi="Arial"/>
                <w:sz w:val="18"/>
              </w:rPr>
              <w:t>Chief Executive Officer and Director (2017)</w:t>
            </w:r>
          </w:p>
          <w:p>
            <w:pPr>
              <w:pStyle w:val="TableContents"/>
              <w:bidi w:val="0"/>
              <w:spacing w:before="0" w:after="0"/>
              <w:jc w:val="left"/>
              <w:rPr>
                <w:rFonts w:ascii="Arial" w:hAnsi="Arial"/>
                <w:b/>
                <w:color w:val="0075C9"/>
                <w:sz w:val="18"/>
              </w:rPr>
            </w:pPr>
            <w:r>
              <w:rPr>
                <w:rFonts w:ascii="Arial" w:hAnsi="Arial"/>
                <w:b/>
                <w:color w:val="0075C9"/>
                <w:sz w:val="18"/>
              </w:rPr>
              <w:t>Visa Inc. (2012-2016)</w:t>
            </w:r>
          </w:p>
          <w:p>
            <w:pPr>
              <w:pStyle w:val="TableContents"/>
              <w:bidi w:val="0"/>
              <w:spacing w:before="0" w:after="0"/>
              <w:jc w:val="left"/>
              <w:rPr/>
            </w:pPr>
            <w:r>
              <w:rPr/>
              <w:t>•  </w:t>
            </w:r>
            <w:r>
              <w:rPr>
                <w:rFonts w:ascii="Arial" w:hAnsi="Arial"/>
                <w:sz w:val="18"/>
              </w:rPr>
              <w:t>Chief Executive Officer and Director (2012-2016)</w:t>
            </w:r>
          </w:p>
          <w:p>
            <w:pPr>
              <w:pStyle w:val="TableContents"/>
              <w:bidi w:val="0"/>
              <w:spacing w:before="0" w:after="0"/>
              <w:jc w:val="left"/>
              <w:rPr>
                <w:rFonts w:ascii="Arial" w:hAnsi="Arial"/>
                <w:b/>
                <w:color w:val="0075C9"/>
                <w:sz w:val="18"/>
              </w:rPr>
            </w:pPr>
            <w:r>
              <w:rPr>
                <w:rFonts w:ascii="Arial" w:hAnsi="Arial"/>
                <w:b/>
                <w:color w:val="0075C9"/>
                <w:sz w:val="18"/>
              </w:rPr>
              <w:t>JPMorgan Chase &amp; Co. (2004-2012)</w:t>
            </w:r>
          </w:p>
          <w:p>
            <w:pPr>
              <w:pStyle w:val="TableContents"/>
              <w:bidi w:val="0"/>
              <w:spacing w:before="0" w:after="0"/>
              <w:jc w:val="left"/>
              <w:rPr/>
            </w:pPr>
            <w:r>
              <w:rPr/>
              <w:t>•  </w:t>
            </w:r>
            <w:r>
              <w:rPr>
                <w:rFonts w:ascii="Arial" w:hAnsi="Arial"/>
                <w:sz w:val="18"/>
              </w:rPr>
              <w:t>Managing Director, One Equity Partners, private investment arm (2011-2012)</w:t>
            </w:r>
          </w:p>
          <w:p>
            <w:pPr>
              <w:pStyle w:val="TableContents"/>
              <w:bidi w:val="0"/>
              <w:spacing w:before="0" w:after="0"/>
              <w:jc w:val="left"/>
              <w:rPr/>
            </w:pPr>
            <w:r>
              <w:rPr/>
              <w:t>•  </w:t>
            </w:r>
            <w:r>
              <w:rPr>
                <w:rFonts w:ascii="Arial" w:hAnsi="Arial"/>
                <w:sz w:val="18"/>
              </w:rPr>
              <w:t>Chief Executive Officer of Retail Financial Services (2004-2011)</w:t>
            </w:r>
          </w:p>
          <w:p>
            <w:pPr>
              <w:pStyle w:val="TableContents"/>
              <w:bidi w:val="0"/>
              <w:spacing w:before="0" w:after="0"/>
              <w:jc w:val="left"/>
              <w:rPr>
                <w:rFonts w:ascii="Arial" w:hAnsi="Arial"/>
                <w:b/>
                <w:color w:val="0075C9"/>
                <w:sz w:val="18"/>
              </w:rPr>
            </w:pPr>
            <w:r>
              <w:rPr>
                <w:rFonts w:ascii="Arial" w:hAnsi="Arial"/>
                <w:b/>
                <w:color w:val="0075C9"/>
                <w:sz w:val="18"/>
              </w:rPr>
              <w:t>Bank One Corporation (2000-2004)</w:t>
            </w:r>
          </w:p>
          <w:p>
            <w:pPr>
              <w:pStyle w:val="TableContents"/>
              <w:bidi w:val="0"/>
              <w:spacing w:before="0" w:after="0"/>
              <w:jc w:val="left"/>
              <w:rPr/>
            </w:pPr>
            <w:r>
              <w:rPr/>
              <w:t>•  </w:t>
            </w:r>
            <w:r>
              <w:rPr>
                <w:rFonts w:ascii="Arial" w:hAnsi="Arial"/>
                <w:sz w:val="18"/>
              </w:rPr>
              <w:t>Chief Executive Officer of the Retail Division (2002-2004)</w:t>
            </w:r>
          </w:p>
          <w:p>
            <w:pPr>
              <w:pStyle w:val="TableContents"/>
              <w:bidi w:val="0"/>
              <w:spacing w:before="0" w:after="0"/>
              <w:jc w:val="left"/>
              <w:rPr/>
            </w:pPr>
            <w:r>
              <w:rPr/>
              <w:t>•  </w:t>
            </w:r>
            <w:r>
              <w:rPr>
                <w:rFonts w:ascii="Arial" w:hAnsi="Arial"/>
                <w:sz w:val="18"/>
              </w:rPr>
              <w:t>Chief Financial Officer (2000-2002)</w:t>
            </w:r>
          </w:p>
          <w:p>
            <w:pPr>
              <w:pStyle w:val="TableContents"/>
              <w:bidi w:val="0"/>
              <w:spacing w:before="0" w:after="0"/>
              <w:jc w:val="left"/>
              <w:rPr>
                <w:rFonts w:ascii="Arial" w:hAnsi="Arial"/>
                <w:b/>
                <w:color w:val="0075C9"/>
                <w:sz w:val="18"/>
              </w:rPr>
            </w:pPr>
            <w:r>
              <w:rPr>
                <w:rFonts w:ascii="Arial" w:hAnsi="Arial"/>
                <w:b/>
                <w:color w:val="0075C9"/>
                <w:sz w:val="18"/>
              </w:rPr>
              <w:t>Citigroup Inc. (1999-2000)</w:t>
            </w:r>
          </w:p>
          <w:p>
            <w:pPr>
              <w:pStyle w:val="TableContents"/>
              <w:bidi w:val="0"/>
              <w:spacing w:before="0" w:after="0"/>
              <w:jc w:val="left"/>
              <w:rPr/>
            </w:pPr>
            <w:r>
              <w:rPr/>
              <w:t>•  </w:t>
            </w:r>
            <w:r>
              <w:rPr>
                <w:rFonts w:ascii="Arial" w:hAnsi="Arial"/>
                <w:sz w:val="18"/>
              </w:rPr>
              <w:t>Chief Financial Officer of the Global Corporate and Investment Bank Division (1999-2000)</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2995"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Compensation</w:t>
            </w:r>
          </w:p>
          <w:p>
            <w:pPr>
              <w:pStyle w:val="TableContents"/>
              <w:bidi w:val="0"/>
              <w:spacing w:before="0" w:after="0"/>
              <w:jc w:val="left"/>
              <w:rPr/>
            </w:pPr>
            <w:r>
              <w:rPr/>
              <w:t>•  </w:t>
            </w:r>
            <w:r>
              <w:rPr>
                <w:rFonts w:ascii="Arial" w:hAnsi="Arial"/>
                <w:sz w:val="18"/>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Wells Fargo &amp; Company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20"/>
              <w:jc w:val="left"/>
              <w:rPr/>
            </w:pPr>
            <w:r>
              <w:rPr/>
              <w:t>•  </w:t>
            </w:r>
            <w:r>
              <w:rPr>
                <w:rFonts w:ascii="Arial" w:hAnsi="Arial"/>
                <w:sz w:val="18"/>
              </w:rPr>
              <w:t>None</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26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38"/>
        <w:gridCol w:w="60"/>
        <w:gridCol w:w="1484"/>
        <w:gridCol w:w="120"/>
        <w:gridCol w:w="5855"/>
        <w:gridCol w:w="409"/>
        <w:gridCol w:w="12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855" w:type="dxa"/>
            <w:vMerge w:val="restart"/>
            <w:tcBorders/>
            <w:vAlign w:val="center"/>
          </w:tcPr>
          <w:p>
            <w:pPr>
              <w:pStyle w:val="TableContents"/>
              <w:bidi w:val="0"/>
              <w:spacing w:before="0" w:after="283"/>
              <w:jc w:val="left"/>
              <w:rPr>
                <w:color w:val="595959"/>
              </w:rPr>
            </w:pPr>
            <w:r>
              <w:rPr>
                <w:color w:val="595959"/>
              </w:rPr>
              <w:t>John W. Stanton </w:t>
            </w:r>
          </w:p>
        </w:tc>
        <w:tc>
          <w:tcPr>
            <w:tcW w:w="40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855" w:type="dxa"/>
            <w:vMerge w:val="continue"/>
            <w:tcBorders/>
            <w:vAlign w:val="center"/>
          </w:tcPr>
          <w:p>
            <w:pPr>
              <w:pStyle w:val="Normal"/>
              <w:bidi w:val="0"/>
              <w:jc w:val="left"/>
              <w:rPr/>
            </w:pPr>
            <w:r>
              <w:rPr/>
            </w:r>
          </w:p>
        </w:tc>
        <w:tc>
          <w:tcPr>
            <w:tcW w:w="40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393"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71 | </w:t>
            </w:r>
            <w:r>
              <w:rPr>
                <w:rFonts w:ascii="Arial" w:hAnsi="Arial"/>
                <w:b/>
                <w:sz w:val="20"/>
              </w:rPr>
              <w:t>Director Since:</w:t>
            </w:r>
            <w:r>
              <w:rPr>
                <w:rFonts w:ascii="Arial" w:hAnsi="Arial"/>
                <w:sz w:val="20"/>
              </w:rPr>
              <w:t xml:space="preserve"> 2014 | </w:t>
            </w:r>
            <w:r>
              <w:rPr>
                <w:rFonts w:ascii="Arial" w:hAnsi="Arial"/>
                <w:b/>
                <w:sz w:val="20"/>
              </w:rPr>
              <w:t>Birthplace:</w:t>
            </w:r>
            <w:r>
              <w:rPr>
                <w:rFonts w:ascii="Arial" w:hAnsi="Arial"/>
                <w:sz w:val="20"/>
              </w:rPr>
              <w:t xml:space="preserve"> United States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60"/>
        <w:gridCol w:w="4024"/>
        <w:gridCol w:w="240"/>
        <w:gridCol w:w="5490"/>
        <w:gridCol w:w="120"/>
        <w:gridCol w:w="76"/>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4024"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Trilogy Partnerships (2005-present)</w:t>
            </w:r>
          </w:p>
          <w:p>
            <w:pPr>
              <w:pStyle w:val="TableContents"/>
              <w:bidi w:val="0"/>
              <w:spacing w:before="0" w:after="0"/>
              <w:jc w:val="left"/>
              <w:rPr>
                <w:rFonts w:ascii="Arial" w:hAnsi="Arial"/>
                <w:color w:val="0075C9"/>
                <w:sz w:val="18"/>
              </w:rPr>
            </w:pPr>
            <w:r>
              <w:rPr>
                <w:rFonts w:ascii="Arial" w:hAnsi="Arial"/>
                <w:color w:val="0075C9"/>
                <w:sz w:val="18"/>
              </w:rPr>
              <w:t>(investment company)</w:t>
            </w:r>
          </w:p>
          <w:p>
            <w:pPr>
              <w:pStyle w:val="TableContents"/>
              <w:bidi w:val="0"/>
              <w:spacing w:before="0" w:after="0"/>
              <w:jc w:val="left"/>
              <w:rPr/>
            </w:pPr>
            <w:r>
              <w:rPr/>
              <w:t>•  </w:t>
            </w:r>
            <w:r>
              <w:rPr>
                <w:rFonts w:ascii="Arial" w:hAnsi="Arial"/>
                <w:sz w:val="18"/>
              </w:rPr>
              <w:t>Founder and Chairman (2005-present)</w:t>
            </w:r>
          </w:p>
          <w:p>
            <w:pPr>
              <w:pStyle w:val="TableContents"/>
              <w:bidi w:val="0"/>
              <w:spacing w:before="0" w:after="0"/>
              <w:jc w:val="left"/>
              <w:rPr>
                <w:rFonts w:ascii="Arial" w:hAnsi="Arial"/>
                <w:b/>
                <w:color w:val="0075C9"/>
                <w:sz w:val="18"/>
              </w:rPr>
            </w:pPr>
            <w:r>
              <w:rPr>
                <w:rFonts w:ascii="Arial" w:hAnsi="Arial"/>
                <w:b/>
                <w:color w:val="0075C9"/>
                <w:sz w:val="18"/>
              </w:rPr>
              <w:t>Clearwire Corp. (2008-2013)</w:t>
            </w:r>
          </w:p>
          <w:p>
            <w:pPr>
              <w:pStyle w:val="TableContents"/>
              <w:bidi w:val="0"/>
              <w:spacing w:before="0" w:after="0"/>
              <w:jc w:val="left"/>
              <w:rPr/>
            </w:pPr>
            <w:r>
              <w:rPr/>
              <w:t>•  </w:t>
            </w:r>
            <w:r>
              <w:rPr>
                <w:rFonts w:ascii="Arial" w:hAnsi="Arial"/>
                <w:sz w:val="18"/>
              </w:rPr>
              <w:t>Chairman of the Board (2011-2013)</w:t>
            </w:r>
          </w:p>
          <w:p>
            <w:pPr>
              <w:pStyle w:val="TableContents"/>
              <w:bidi w:val="0"/>
              <w:spacing w:before="0" w:after="0"/>
              <w:jc w:val="left"/>
              <w:rPr/>
            </w:pPr>
            <w:r>
              <w:rPr/>
              <w:t>•  </w:t>
            </w:r>
            <w:r>
              <w:rPr>
                <w:rFonts w:ascii="Arial" w:hAnsi="Arial"/>
                <w:sz w:val="18"/>
              </w:rPr>
              <w:t>Interim Chief Executive Officer (2011)</w:t>
            </w:r>
          </w:p>
          <w:p>
            <w:pPr>
              <w:pStyle w:val="TableContents"/>
              <w:bidi w:val="0"/>
              <w:spacing w:before="0" w:after="0"/>
              <w:jc w:val="left"/>
              <w:rPr/>
            </w:pPr>
            <w:r>
              <w:rPr/>
              <w:t>•  </w:t>
            </w:r>
            <w:r>
              <w:rPr>
                <w:rFonts w:ascii="Arial" w:hAnsi="Arial"/>
                <w:sz w:val="18"/>
              </w:rPr>
              <w:t>Board member (2008-2011)</w:t>
            </w:r>
          </w:p>
          <w:p>
            <w:pPr>
              <w:pStyle w:val="TableContents"/>
              <w:bidi w:val="0"/>
              <w:spacing w:before="0" w:after="0"/>
              <w:jc w:val="left"/>
              <w:rPr>
                <w:rFonts w:ascii="Arial" w:hAnsi="Arial"/>
                <w:b/>
                <w:color w:val="0075C9"/>
                <w:sz w:val="18"/>
              </w:rPr>
            </w:pPr>
            <w:r>
              <w:rPr>
                <w:rFonts w:ascii="Arial" w:hAnsi="Arial"/>
                <w:b/>
                <w:color w:val="0075C9"/>
                <w:sz w:val="18"/>
              </w:rPr>
              <w:t>Western Wireless Corporation (1992-2005)</w:t>
            </w:r>
          </w:p>
          <w:p>
            <w:pPr>
              <w:pStyle w:val="TableContents"/>
              <w:bidi w:val="0"/>
              <w:spacing w:before="0" w:after="0"/>
              <w:jc w:val="left"/>
              <w:rPr/>
            </w:pPr>
            <w:r>
              <w:rPr/>
              <w:t>•  </w:t>
            </w:r>
            <w:r>
              <w:rPr>
                <w:rFonts w:ascii="Arial" w:hAnsi="Arial"/>
                <w:sz w:val="18"/>
              </w:rPr>
              <w:t>Founder, Chief Executive Officer, and Chairman (1992-2005)</w:t>
            </w:r>
          </w:p>
          <w:p>
            <w:pPr>
              <w:pStyle w:val="TableContents"/>
              <w:bidi w:val="0"/>
              <w:spacing w:before="0" w:after="0"/>
              <w:jc w:val="left"/>
              <w:rPr>
                <w:rFonts w:ascii="Arial" w:hAnsi="Arial"/>
                <w:b/>
                <w:color w:val="0075C9"/>
                <w:sz w:val="18"/>
              </w:rPr>
            </w:pPr>
            <w:r>
              <w:rPr>
                <w:rFonts w:ascii="Arial" w:hAnsi="Arial"/>
                <w:b/>
                <w:color w:val="0075C9"/>
                <w:sz w:val="18"/>
              </w:rPr>
              <w:t>VoiceStream Wireless Corporation (1995-2003)</w:t>
            </w:r>
          </w:p>
          <w:p>
            <w:pPr>
              <w:pStyle w:val="TableContents"/>
              <w:bidi w:val="0"/>
              <w:spacing w:before="0" w:after="20"/>
              <w:jc w:val="left"/>
              <w:rPr/>
            </w:pPr>
            <w:r>
              <w:rPr/>
              <w:t>•  </w:t>
            </w:r>
            <w:r>
              <w:rPr>
                <w:rFonts w:ascii="Arial" w:hAnsi="Arial"/>
                <w:sz w:val="18"/>
              </w:rPr>
              <w:t>Chief Executive Officer and Chairman (1995-2003)</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549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Audit and Finance</w:t>
            </w:r>
          </w:p>
          <w:p>
            <w:pPr>
              <w:pStyle w:val="TableContents"/>
              <w:bidi w:val="0"/>
              <w:spacing w:before="0" w:after="0"/>
              <w:jc w:val="left"/>
              <w:rPr/>
            </w:pPr>
            <w:r>
              <w:rPr/>
              <w:t>•  </w:t>
            </w:r>
            <w:r>
              <w:rPr>
                <w:rFonts w:ascii="Arial" w:hAnsi="Arial"/>
                <w:sz w:val="18"/>
              </w:rPr>
              <w:t>Environmental, Social, and Public Policy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Costco Wholesale Corporation</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0"/>
              <w:jc w:val="left"/>
              <w:rPr/>
            </w:pPr>
            <w:r>
              <w:rPr/>
              <w:t>•  </w:t>
            </w:r>
            <w:r>
              <w:rPr>
                <w:rFonts w:ascii="Arial" w:hAnsi="Arial"/>
                <w:sz w:val="18"/>
              </w:rPr>
              <w:t>Trilogy International Partners, Inc.</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Positions:</w:t>
            </w:r>
          </w:p>
          <w:p>
            <w:pPr>
              <w:pStyle w:val="TableContents"/>
              <w:bidi w:val="0"/>
              <w:spacing w:before="0" w:after="0"/>
              <w:jc w:val="left"/>
              <w:rPr/>
            </w:pPr>
            <w:r>
              <w:rPr/>
              <w:t>• </w:t>
            </w:r>
            <w:r>
              <w:rPr>
                <w:rFonts w:ascii="Arial" w:hAnsi="Arial"/>
                <w:sz w:val="18"/>
              </w:rPr>
              <w:t>Chairman, First Avenue Entertainment LLLP, owner of Seattle Mariners (2016-present)</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6"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38"/>
        <w:gridCol w:w="60"/>
        <w:gridCol w:w="1484"/>
        <w:gridCol w:w="120"/>
        <w:gridCol w:w="6120"/>
        <w:gridCol w:w="356"/>
        <w:gridCol w:w="11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2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84" w:type="dxa"/>
            <w:vMerge w:val="restart"/>
            <w:tcBorders/>
            <w:vAlign w:val="center"/>
          </w:tcPr>
          <w:p>
            <w:pPr>
              <w:pStyle w:val="TableContents"/>
              <w:bidi w:val="0"/>
              <w:spacing w:before="0" w:after="283"/>
              <w:jc w:val="left"/>
              <w:rPr/>
            </w:pPr>
            <w:r>
              <w:rPr/>
              <w:drawing>
                <wp:inline distT="0" distB="0" distL="0" distR="0">
                  <wp:extent cx="904240" cy="90424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904240" cy="904240"/>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6120" w:type="dxa"/>
            <w:vMerge w:val="restart"/>
            <w:tcBorders/>
            <w:vAlign w:val="center"/>
          </w:tcPr>
          <w:p>
            <w:pPr>
              <w:pStyle w:val="TableContents"/>
              <w:bidi w:val="0"/>
              <w:spacing w:before="0" w:after="283"/>
              <w:jc w:val="left"/>
              <w:rPr>
                <w:color w:val="595959"/>
              </w:rPr>
            </w:pPr>
            <w:r>
              <w:rPr>
                <w:color w:val="595959"/>
              </w:rPr>
              <w:t>Emma N. Walmsley </w:t>
            </w:r>
          </w:p>
        </w:tc>
        <w:tc>
          <w:tcPr>
            <w:tcW w:w="3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6120" w:type="dxa"/>
            <w:vMerge w:val="continue"/>
            <w:tcBorders/>
            <w:vAlign w:val="center"/>
          </w:tcPr>
          <w:p>
            <w:pPr>
              <w:pStyle w:val="Normal"/>
              <w:bidi w:val="0"/>
              <w:jc w:val="left"/>
              <w:rPr/>
            </w:pPr>
            <w:r>
              <w:rPr/>
            </w:r>
          </w:p>
        </w:tc>
        <w:tc>
          <w:tcPr>
            <w:tcW w:w="35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48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588" w:type="dxa"/>
            <w:gridSpan w:val="3"/>
            <w:tcBorders/>
            <w:vAlign w:val="center"/>
          </w:tcPr>
          <w:p>
            <w:pPr>
              <w:pStyle w:val="TableContents"/>
              <w:bidi w:val="0"/>
              <w:spacing w:before="0" w:after="0"/>
              <w:jc w:val="left"/>
              <w:rPr>
                <w:rFonts w:ascii="Arial" w:hAnsi="Arial"/>
                <w:sz w:val="20"/>
              </w:rPr>
            </w:pPr>
            <w:r>
              <w:rPr>
                <w:rFonts w:ascii="Arial" w:hAnsi="Arial"/>
                <w:b/>
                <w:sz w:val="20"/>
              </w:rPr>
              <w:t>Age:</w:t>
            </w:r>
            <w:r>
              <w:rPr>
                <w:rFonts w:ascii="Arial" w:hAnsi="Arial"/>
                <w:sz w:val="20"/>
              </w:rPr>
              <w:t xml:space="preserve"> 57 | </w:t>
            </w:r>
            <w:r>
              <w:rPr>
                <w:rFonts w:ascii="Arial" w:hAnsi="Arial"/>
                <w:b/>
                <w:sz w:val="20"/>
              </w:rPr>
              <w:t>Director Since:</w:t>
            </w:r>
            <w:r>
              <w:rPr>
                <w:rFonts w:ascii="Arial" w:hAnsi="Arial"/>
                <w:sz w:val="20"/>
              </w:rPr>
              <w:t xml:space="preserve"> 2019 | </w:t>
            </w:r>
            <w:r>
              <w:rPr>
                <w:rFonts w:ascii="Arial" w:hAnsi="Arial"/>
                <w:b/>
                <w:sz w:val="20"/>
              </w:rPr>
              <w:t>Birthplace:</w:t>
            </w:r>
            <w:r>
              <w:rPr>
                <w:rFonts w:ascii="Arial" w:hAnsi="Arial"/>
                <w:sz w:val="20"/>
              </w:rPr>
              <w:t xml:space="preserve"> United Kingdom | </w:t>
            </w:r>
            <w:r>
              <w:rPr>
                <w:rFonts w:ascii="Arial" w:hAnsi="Arial"/>
                <w:color w:val="0075C9"/>
                <w:sz w:val="20"/>
              </w:rPr>
              <w:t>Independent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tbl>
      <w:tblPr>
        <w:tblW w:w="9325" w:type="dxa"/>
        <w:jc w:val="left"/>
        <w:tblInd w:w="0" w:type="dxa"/>
        <w:tblLayout w:type="fixed"/>
        <w:tblCellMar>
          <w:top w:w="0" w:type="dxa"/>
          <w:left w:w="0" w:type="dxa"/>
          <w:bottom w:w="0" w:type="dxa"/>
          <w:right w:w="0" w:type="dxa"/>
        </w:tblCellMar>
      </w:tblPr>
      <w:tblGrid>
        <w:gridCol w:w="75"/>
        <w:gridCol w:w="60"/>
        <w:gridCol w:w="60"/>
        <w:gridCol w:w="60"/>
        <w:gridCol w:w="5075"/>
        <w:gridCol w:w="240"/>
        <w:gridCol w:w="3560"/>
        <w:gridCol w:w="12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60" w:type="dxa"/>
            <w:tcBorders>
              <w:bottom w:val="single" w:sz="6" w:space="0" w:color="999999"/>
            </w:tcBorders>
            <w:tcMar>
              <w:bottom w:w="28" w:type="dxa"/>
            </w:tcMar>
            <w:vAlign w:val="center"/>
          </w:tcPr>
          <w:p>
            <w:pPr>
              <w:pStyle w:val="TableContents"/>
              <w:bidi w:val="0"/>
              <w:spacing w:before="0" w:after="283"/>
              <w:jc w:val="left"/>
              <w:rPr/>
            </w:pPr>
            <w:r>
              <w:rPr/>
              <w:t> </w:t>
            </w:r>
          </w:p>
        </w:tc>
        <w:tc>
          <w:tcPr>
            <w:tcW w:w="5075"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Experience:</w:t>
            </w:r>
          </w:p>
          <w:p>
            <w:pPr>
              <w:pStyle w:val="TableContents"/>
              <w:bidi w:val="0"/>
              <w:spacing w:before="0" w:after="0"/>
              <w:jc w:val="left"/>
              <w:rPr>
                <w:rFonts w:ascii="Arial" w:hAnsi="Arial"/>
                <w:b/>
                <w:color w:val="0075C9"/>
                <w:sz w:val="18"/>
              </w:rPr>
            </w:pPr>
            <w:r>
              <w:rPr>
                <w:rFonts w:ascii="Arial" w:hAnsi="Arial"/>
                <w:b/>
                <w:color w:val="0075C9"/>
                <w:sz w:val="18"/>
              </w:rPr>
              <w:t>GSK plc (2010-2026)</w:t>
            </w:r>
          </w:p>
          <w:p>
            <w:pPr>
              <w:pStyle w:val="TableContents"/>
              <w:bidi w:val="0"/>
              <w:spacing w:before="0" w:after="0"/>
              <w:jc w:val="left"/>
              <w:rPr>
                <w:rFonts w:ascii="Arial" w:hAnsi="Arial"/>
                <w:color w:val="0075C9"/>
                <w:sz w:val="18"/>
              </w:rPr>
            </w:pPr>
            <w:r>
              <w:rPr>
                <w:rFonts w:ascii="Arial" w:hAnsi="Arial"/>
                <w:color w:val="0075C9"/>
                <w:sz w:val="18"/>
              </w:rPr>
              <w:t>(healthcare company)</w:t>
            </w:r>
          </w:p>
          <w:p>
            <w:pPr>
              <w:pStyle w:val="TableContents"/>
              <w:bidi w:val="0"/>
              <w:spacing w:before="0" w:after="0"/>
              <w:jc w:val="left"/>
              <w:rPr/>
            </w:pPr>
            <w:r>
              <w:rPr/>
              <w:t>•  </w:t>
            </w:r>
            <w:r>
              <w:rPr>
                <w:rFonts w:ascii="Arial" w:hAnsi="Arial"/>
                <w:sz w:val="18"/>
              </w:rPr>
              <w:t>Advisor, GSK plc Board (2026)</w:t>
            </w:r>
          </w:p>
          <w:p>
            <w:pPr>
              <w:pStyle w:val="TableContents"/>
              <w:bidi w:val="0"/>
              <w:spacing w:before="0" w:after="0"/>
              <w:jc w:val="left"/>
              <w:rPr/>
            </w:pPr>
            <w:r>
              <w:rPr/>
              <w:t>•  </w:t>
            </w:r>
            <w:r>
              <w:rPr>
                <w:rFonts w:ascii="Arial" w:hAnsi="Arial"/>
                <w:sz w:val="18"/>
              </w:rPr>
              <w:t>Chief Executive Officer and Director (2017-2025)</w:t>
            </w:r>
          </w:p>
          <w:p>
            <w:pPr>
              <w:pStyle w:val="TableContents"/>
              <w:bidi w:val="0"/>
              <w:spacing w:before="0" w:after="0"/>
              <w:jc w:val="left"/>
              <w:rPr/>
            </w:pPr>
            <w:r>
              <w:rPr/>
              <w:t>•  </w:t>
            </w:r>
            <w:r>
              <w:rPr>
                <w:rFonts w:ascii="Arial" w:hAnsi="Arial"/>
                <w:sz w:val="18"/>
              </w:rPr>
              <w:t>Chief Executive Officer, Consumer Healthcare (2015-2016)</w:t>
            </w:r>
          </w:p>
          <w:p>
            <w:pPr>
              <w:pStyle w:val="TableContents"/>
              <w:bidi w:val="0"/>
              <w:spacing w:before="0" w:after="0"/>
              <w:jc w:val="left"/>
              <w:rPr/>
            </w:pPr>
            <w:r>
              <w:rPr/>
              <w:t>•  </w:t>
            </w:r>
            <w:r>
              <w:rPr>
                <w:rFonts w:ascii="Arial" w:hAnsi="Arial"/>
                <w:sz w:val="18"/>
              </w:rPr>
              <w:t>President, Consumer Healthcare (2012-2015)</w:t>
            </w:r>
          </w:p>
          <w:p>
            <w:pPr>
              <w:pStyle w:val="TableContents"/>
              <w:bidi w:val="0"/>
              <w:spacing w:before="0" w:after="0"/>
              <w:jc w:val="left"/>
              <w:rPr/>
            </w:pPr>
            <w:r>
              <w:rPr/>
              <w:t>•  </w:t>
            </w:r>
            <w:r>
              <w:rPr>
                <w:rFonts w:ascii="Arial" w:hAnsi="Arial"/>
                <w:sz w:val="18"/>
              </w:rPr>
              <w:t>President, Consumer Healthcare Europe (2010-2012)</w:t>
            </w:r>
          </w:p>
          <w:p>
            <w:pPr>
              <w:pStyle w:val="TableContents"/>
              <w:bidi w:val="0"/>
              <w:spacing w:before="0" w:after="0"/>
              <w:jc w:val="left"/>
              <w:rPr>
                <w:rFonts w:ascii="Arial" w:hAnsi="Arial"/>
                <w:b/>
                <w:color w:val="0075C9"/>
                <w:sz w:val="18"/>
              </w:rPr>
            </w:pPr>
            <w:r>
              <w:rPr>
                <w:rFonts w:ascii="Arial" w:hAnsi="Arial"/>
                <w:b/>
                <w:color w:val="0075C9"/>
                <w:sz w:val="18"/>
              </w:rPr>
              <w:t>L’Oreal, S.A. (1994-2010)</w:t>
            </w:r>
          </w:p>
          <w:p>
            <w:pPr>
              <w:pStyle w:val="TableContents"/>
              <w:bidi w:val="0"/>
              <w:spacing w:before="0" w:after="0"/>
              <w:jc w:val="left"/>
              <w:rPr/>
            </w:pPr>
            <w:r>
              <w:rPr/>
              <w:t>•  </w:t>
            </w:r>
            <w:r>
              <w:rPr>
                <w:rFonts w:ascii="Arial" w:hAnsi="Arial"/>
                <w:sz w:val="18"/>
              </w:rPr>
              <w:t>General Manager, Consumer Products, China (2007-2010)</w:t>
            </w:r>
          </w:p>
          <w:p>
            <w:pPr>
              <w:pStyle w:val="TableContents"/>
              <w:bidi w:val="0"/>
              <w:spacing w:before="0" w:after="0"/>
              <w:jc w:val="left"/>
              <w:rPr/>
            </w:pPr>
            <w:r>
              <w:rPr/>
              <w:t>•  </w:t>
            </w:r>
            <w:r>
              <w:rPr>
                <w:rFonts w:ascii="Arial" w:hAnsi="Arial"/>
                <w:sz w:val="18"/>
              </w:rPr>
              <w:t>Global Brand Head, Maybelline, USA (2002-2007)</w:t>
            </w:r>
          </w:p>
          <w:p>
            <w:pPr>
              <w:pStyle w:val="TableContents"/>
              <w:bidi w:val="0"/>
              <w:spacing w:before="0" w:after="0"/>
              <w:jc w:val="left"/>
              <w:rPr/>
            </w:pPr>
            <w:r>
              <w:rPr/>
              <w:t>•  </w:t>
            </w:r>
            <w:r>
              <w:rPr>
                <w:rFonts w:ascii="Arial" w:hAnsi="Arial"/>
                <w:sz w:val="18"/>
              </w:rPr>
              <w:t>UK General Manager, Garnier/Maybelline (1999-2002)</w:t>
            </w:r>
          </w:p>
          <w:p>
            <w:pPr>
              <w:pStyle w:val="TableContents"/>
              <w:bidi w:val="0"/>
              <w:spacing w:before="0" w:after="0"/>
              <w:jc w:val="left"/>
              <w:rPr/>
            </w:pPr>
            <w:r>
              <w:rPr/>
              <w:t>•  </w:t>
            </w:r>
            <w:r>
              <w:rPr>
                <w:rFonts w:ascii="Arial" w:hAnsi="Arial"/>
                <w:sz w:val="18"/>
              </w:rPr>
              <w:t>Various positions of increasing authority (1994-1999)</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bottom w:val="single" w:sz="6" w:space="0" w:color="999999"/>
            </w:tcBorders>
            <w:tcMar>
              <w:bottom w:w="28" w:type="dxa"/>
            </w:tcMar>
            <w:vAlign w:val="center"/>
          </w:tcPr>
          <w:p>
            <w:pPr>
              <w:pStyle w:val="TableContents"/>
              <w:bidi w:val="0"/>
              <w:spacing w:before="0" w:after="283"/>
              <w:jc w:val="left"/>
              <w:rPr/>
            </w:pPr>
            <w:r>
              <w:rPr/>
              <w:t>    </w:t>
            </w:r>
          </w:p>
        </w:tc>
        <w:tc>
          <w:tcPr>
            <w:tcW w:w="3560" w:type="dxa"/>
            <w:tcBorders>
              <w:bottom w:val="single" w:sz="6" w:space="0" w:color="99999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Microsoft Committees:</w:t>
            </w:r>
          </w:p>
          <w:p>
            <w:pPr>
              <w:pStyle w:val="TableContents"/>
              <w:bidi w:val="0"/>
              <w:spacing w:before="0" w:after="0"/>
              <w:jc w:val="left"/>
              <w:rPr/>
            </w:pPr>
            <w:r>
              <w:rPr/>
              <w:t>•  </w:t>
            </w:r>
            <w:r>
              <w:rPr>
                <w:rFonts w:ascii="Arial" w:hAnsi="Arial"/>
                <w:sz w:val="18"/>
              </w:rPr>
              <w:t>Compensation</w:t>
            </w:r>
          </w:p>
          <w:p>
            <w:pPr>
              <w:pStyle w:val="TableContents"/>
              <w:bidi w:val="0"/>
              <w:spacing w:before="0" w:after="0"/>
              <w:jc w:val="left"/>
              <w:rPr/>
            </w:pPr>
            <w:r>
              <w:rPr/>
              <w:t>•  </w:t>
            </w:r>
            <w:r>
              <w:rPr>
                <w:rFonts w:ascii="Arial" w:hAnsi="Arial"/>
                <w:sz w:val="18"/>
              </w:rPr>
              <w:t>Environmental, Social, and Public Policy</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Other Public Company Directorships:</w:t>
            </w:r>
          </w:p>
          <w:p>
            <w:pPr>
              <w:pStyle w:val="TableContents"/>
              <w:bidi w:val="0"/>
              <w:spacing w:before="0" w:after="0"/>
              <w:jc w:val="left"/>
              <w:rPr/>
            </w:pPr>
            <w:r>
              <w:rPr/>
              <w:t>•  </w:t>
            </w:r>
            <w:r>
              <w:rPr>
                <w:rFonts w:ascii="Arial" w:hAnsi="Arial"/>
                <w:sz w:val="18"/>
              </w:rPr>
              <w:t>None</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Former Public Company Directorships</w:t>
            </w:r>
          </w:p>
          <w:p>
            <w:pPr>
              <w:pStyle w:val="TableContents"/>
              <w:bidi w:val="0"/>
              <w:spacing w:before="0" w:after="0"/>
              <w:jc w:val="left"/>
              <w:rPr>
                <w:rFonts w:ascii="Arial" w:hAnsi="Arial"/>
                <w:b/>
                <w:sz w:val="18"/>
              </w:rPr>
            </w:pPr>
            <w:r>
              <w:rPr>
                <w:rFonts w:ascii="Arial" w:hAnsi="Arial"/>
                <w:b/>
                <w:sz w:val="18"/>
              </w:rPr>
              <w:t>Held in the Past Five Years:</w:t>
            </w:r>
          </w:p>
          <w:p>
            <w:pPr>
              <w:pStyle w:val="TableContents"/>
              <w:bidi w:val="0"/>
              <w:spacing w:before="0" w:after="20"/>
              <w:jc w:val="left"/>
              <w:rPr/>
            </w:pPr>
            <w:r>
              <w:rPr/>
              <w:t>•  </w:t>
            </w:r>
            <w:r>
              <w:rPr>
                <w:rFonts w:ascii="Arial" w:hAnsi="Arial"/>
                <w:sz w:val="18"/>
              </w:rPr>
              <w:t>GSK plc</w:t>
            </w:r>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75" w:type="dxa"/>
            <w:tcBorders>
              <w:bottom w:val="single" w:sz="6" w:space="0" w:color="99999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0" w:name="toc61756_8"/>
      <w:bookmarkEnd w:id="10"/>
      <w:r>
        <w:rPr>
          <w:rFonts w:ascii="Arial" w:hAnsi="Arial"/>
          <w:b/>
          <w:color w:val="0075C9"/>
          <w:sz w:val="28"/>
        </w:rPr>
        <w:t xml:space="preserve">Director Compensation </w:t>
      </w:r>
    </w:p>
    <w:p>
      <w:pPr>
        <w:pStyle w:val="TextBody"/>
        <w:bidi w:val="0"/>
        <w:spacing w:before="120" w:after="0"/>
        <w:jc w:val="left"/>
        <w:rPr>
          <w:rFonts w:ascii="Arial" w:hAnsi="Arial"/>
          <w:sz w:val="18"/>
        </w:rPr>
      </w:pPr>
      <w:r>
        <w:rPr>
          <w:rFonts w:ascii="Arial" w:hAnsi="Arial"/>
          <w:sz w:val="18"/>
        </w:rPr>
        <w:t xml:space="preserve">The Compensation Committee periodically reviews the regular annual retainer paid to non-employee directors and makes recommendations for adjustments, as appropriate, to the full Board. Our objective for compensation to non-employee directors is to award the majority of compensation in equity to further align the interests of our Board with those of our shareholders and to make meaningful adjustments every few years, rather than smaller adjustments that are more frequent. There was no change for fiscal year 2026. Our CEO, Mr. Nadella does not receive pay for serving as a director or as Board Chairman. </w:t>
      </w:r>
    </w:p>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6545"/>
        <w:gridCol w:w="120"/>
        <w:gridCol w:w="60"/>
        <w:gridCol w:w="920"/>
        <w:gridCol w:w="75"/>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645" w:type="dxa"/>
            <w:gridSpan w:val="4"/>
            <w:tcBorders>
              <w:bottom w:val="single" w:sz="8" w:space="0" w:color="000000"/>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Fiscal Year 2026 Compensation Structure for Non-Employee Directors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720" w:type="dxa"/>
            <w:gridSpan w:val="5"/>
            <w:tcBorders/>
            <w:vAlign w:val="center"/>
          </w:tcPr>
          <w:p>
            <w:pPr>
              <w:pStyle w:val="TableContents"/>
              <w:bidi w:val="0"/>
              <w:spacing w:before="0" w:after="283"/>
              <w:jc w:val="left"/>
              <w:rPr>
                <w:sz w:val="4"/>
                <w:szCs w:val="4"/>
              </w:rPr>
            </w:pPr>
            <w:r>
              <w:rPr>
                <w:sz w:val="4"/>
                <w:szCs w:val="4"/>
              </w:rPr>
            </w:r>
          </w:p>
        </w:tc>
      </w:tr>
      <w:tr>
        <w:trPr/>
        <w:tc>
          <w:tcPr>
            <w:tcW w:w="7645" w:type="dxa"/>
            <w:gridSpan w:val="4"/>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Regular Retainers</w:t>
            </w:r>
          </w:p>
        </w:tc>
        <w:tc>
          <w:tcPr>
            <w:tcW w:w="75" w:type="dxa"/>
            <w:tcBorders>
              <w:bottom w:val="single" w:sz="6" w:space="0" w:color="0075C9"/>
            </w:tcBorders>
            <w:tcMar>
              <w:bottom w:w="40" w:type="dxa"/>
            </w:tcMar>
            <w:vAlign w:val="center"/>
          </w:tcPr>
          <w:p>
            <w:pPr>
              <w:pStyle w:val="TableContents"/>
              <w:bidi w:val="0"/>
              <w:spacing w:before="0" w:after="0"/>
              <w:jc w:val="left"/>
              <w:rPr>
                <w:color w:val="0075C9"/>
              </w:rPr>
            </w:pPr>
            <w:r>
              <w:rPr>
                <w:color w:val="0075C9"/>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Base Retainer (TOTAL)</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$375,000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Cash</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$125,000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Stock Award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92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720" w:type="dxa"/>
            <w:gridSpan w:val="5"/>
            <w:tcBorders/>
            <w:vAlign w:val="center"/>
          </w:tcPr>
          <w:p>
            <w:pPr>
              <w:pStyle w:val="TableContents"/>
              <w:bidi w:val="0"/>
              <w:spacing w:before="0" w:after="283"/>
              <w:jc w:val="left"/>
              <w:rPr>
                <w:sz w:val="4"/>
                <w:szCs w:val="4"/>
              </w:rPr>
            </w:pPr>
            <w:r>
              <w:rPr>
                <w:sz w:val="4"/>
                <w:szCs w:val="4"/>
              </w:rPr>
            </w:r>
          </w:p>
        </w:tc>
      </w:tr>
      <w:tr>
        <w:trPr/>
        <w:tc>
          <w:tcPr>
            <w:tcW w:w="7645" w:type="dxa"/>
            <w:gridSpan w:val="4"/>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b/>
                <w:color w:val="0075C9"/>
                <w:sz w:val="18"/>
              </w:rPr>
              <w:t>Committee Retainers</w:t>
            </w:r>
            <w:r>
              <w:rPr>
                <w:rFonts w:ascii="Arial" w:hAnsi="Arial"/>
                <w:sz w:val="18"/>
              </w:rPr>
              <w:t xml:space="preserve"> (cash except stock award for Governance and Nominating Committee)</w:t>
            </w:r>
          </w:p>
        </w:tc>
        <w:tc>
          <w:tcPr>
            <w:tcW w:w="75" w:type="dxa"/>
            <w:tcBorders>
              <w:bottom w:val="single" w:sz="6" w:space="0" w:color="0075C9"/>
            </w:tcBorders>
            <w:tcMar>
              <w:bottom w:w="40" w:type="dxa"/>
            </w:tcMar>
            <w:vAlign w:val="center"/>
          </w:tcPr>
          <w:p>
            <w:pPr>
              <w:pStyle w:val="TableContents"/>
              <w:bidi w:val="0"/>
              <w:spacing w:before="0" w:after="0"/>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Audit and Finance Committee Chair Retainer</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$45,000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Audit and Finance Committee Non-Chair Member Retainer</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$15,000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Compensation Committee Chair Retainer</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$35,000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59595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Environmental, Social, and Public Policy Committee Chair Retainer</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920" w:type="dxa"/>
            <w:tcBorders>
              <w:bottom w:val="single" w:sz="6" w:space="0" w:color="595959"/>
            </w:tcBorders>
            <w:tcMar>
              <w:bottom w:w="40" w:type="dxa"/>
            </w:tcMar>
            <w:vAlign w:val="center"/>
          </w:tcPr>
          <w:p>
            <w:pPr>
              <w:pStyle w:val="TableContents"/>
              <w:bidi w:val="0"/>
              <w:spacing w:before="0" w:after="283"/>
              <w:jc w:val="right"/>
              <w:rPr/>
            </w:pPr>
            <w:r>
              <w:rPr/>
              <w:t>$25,000</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Governance and Nominating Committee Chair Retainer</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920" w:type="dxa"/>
            <w:tcBorders>
              <w:bottom w:val="single" w:sz="6" w:space="0" w:color="0075C9"/>
            </w:tcBorders>
            <w:tcMar>
              <w:bottom w:w="40" w:type="dxa"/>
            </w:tcMar>
            <w:vAlign w:val="center"/>
          </w:tcPr>
          <w:p>
            <w:pPr>
              <w:pStyle w:val="TableContents"/>
              <w:bidi w:val="0"/>
              <w:spacing w:before="0" w:after="283"/>
              <w:jc w:val="right"/>
              <w:rPr/>
            </w:pPr>
            <w:r>
              <w:rPr/>
              <w:t>$25,000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6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b/>
                <w:color w:val="0075C9"/>
                <w:sz w:val="18"/>
              </w:rPr>
              <w:t>Lead Independent Director Retainer</w:t>
            </w:r>
            <w:r>
              <w:rPr>
                <w:rFonts w:ascii="Arial" w:hAnsi="Arial"/>
                <w:sz w:val="18"/>
              </w:rPr>
              <w:t xml:space="preserve"> (stock award in addition to other retainers)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920" w:type="dxa"/>
            <w:tcBorders>
              <w:bottom w:val="single" w:sz="6" w:space="0" w:color="0075C9"/>
            </w:tcBorders>
            <w:tcMar>
              <w:bottom w:w="40" w:type="dxa"/>
            </w:tcMar>
            <w:vAlign w:val="center"/>
          </w:tcPr>
          <w:p>
            <w:pPr>
              <w:pStyle w:val="TableContents"/>
              <w:bidi w:val="0"/>
              <w:spacing w:before="0" w:after="283"/>
              <w:jc w:val="right"/>
              <w:rPr/>
            </w:pPr>
            <w:r>
              <w:rPr/>
              <w:t>$60,000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The Company reimburses reasonable expenses incurred for Board-related activities. Directors may participate in our corporate matching gift program for charitable donations. </w:t>
      </w:r>
    </w:p>
    <w:p>
      <w:pPr>
        <w:pStyle w:val="TextBody"/>
        <w:bidi w:val="0"/>
        <w:spacing w:before="120" w:after="0"/>
        <w:jc w:val="left"/>
        <w:rPr>
          <w:rFonts w:ascii="Arial" w:hAnsi="Arial"/>
          <w:sz w:val="18"/>
        </w:rPr>
      </w:pPr>
      <w:r>
        <w:rPr>
          <w:rFonts w:ascii="Arial" w:hAnsi="Arial"/>
          <w:sz w:val="18"/>
        </w:rPr>
        <w:t xml:space="preserve">Director retainers are paid quarterly in arrears. Quarterly periods are measured beginning with the annual shareholders meeting. For the first quarterly period following the annual shareholders meeting, we pay 25% of the total annual retainer to each director on the last trading day in January. For the remaining quarterly periods, we pay 25% of the total annual retainer to each director at the end of the quarterly period. The number of shares awarded each quarterly period is determined by dividing the dollar value of the stock award by the market price of our common stock as of the last business day of the period. Retainers are pro-rated for directors who join or leave the Board or have a change in Board role during a quarterly period. </w:t>
      </w:r>
    </w:p>
    <w:p>
      <w:pPr>
        <w:pStyle w:val="TextBody"/>
        <w:bidi w:val="0"/>
        <w:spacing w:before="120" w:after="0"/>
        <w:jc w:val="left"/>
        <w:rPr>
          <w:rFonts w:ascii="Arial" w:hAnsi="Arial"/>
          <w:sz w:val="18"/>
        </w:rPr>
      </w:pPr>
      <w:r>
        <w:rPr>
          <w:rFonts w:ascii="Arial" w:hAnsi="Arial"/>
          <w:sz w:val="18"/>
        </w:rPr>
        <w:t xml:space="preserve">Directors may elect to defer and convert to deferred stock awards all or part of their annual cash retainer, and to defer receipt of all or part of their annual stock awards retainer under the Deferred Compensation Plan for Non-Employee Directors. Amounts deferred are maintained in bookkeeping accounts that are deemed invested in Microsoft common stock, and dividends paid on deemed investments are also deemed to be invested in our common stock. We calculate the number of shares credited by dividing the amount deferred by the closing market price of our common stock on the originally scheduled payment date. Accounts in the plan are distributed in shares of Microsoft common stock, with payments either in installments beginning on separation from Board service or in a lump sum paid no later than the fifth anniversary after separation from Board service.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28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365" w:type="dxa"/>
        <w:jc w:val="left"/>
        <w:tblInd w:w="0" w:type="dxa"/>
        <w:tblLayout w:type="fixed"/>
        <w:tblCellMar>
          <w:top w:w="0" w:type="dxa"/>
          <w:left w:w="0" w:type="dxa"/>
          <w:bottom w:w="0" w:type="dxa"/>
          <w:right w:w="0" w:type="dxa"/>
        </w:tblCellMar>
      </w:tblPr>
      <w:tblGrid>
        <w:gridCol w:w="245"/>
        <w:gridCol w:w="60"/>
        <w:gridCol w:w="1100"/>
        <w:gridCol w:w="60"/>
        <w:gridCol w:w="470"/>
        <w:gridCol w:w="60"/>
        <w:gridCol w:w="1790"/>
        <w:gridCol w:w="60"/>
        <w:gridCol w:w="230"/>
        <w:gridCol w:w="60"/>
        <w:gridCol w:w="141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color w:val="0075C9"/>
                <w:sz w:val="42"/>
              </w:rPr>
            </w:pPr>
            <w:r>
              <w:rPr>
                <w:color w:val="0075C9"/>
                <w:sz w:val="42"/>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0075C9"/>
                <w:sz w:val="14"/>
              </w:rPr>
            </w:pPr>
            <w:r>
              <w:rPr>
                <w:rFonts w:ascii="Arial" w:hAnsi="Arial"/>
                <w:color w:val="0075C9"/>
                <w:sz w:val="14"/>
              </w:rPr>
              <w:t>BOARD OF</w:t>
            </w:r>
          </w:p>
          <w:p>
            <w:pPr>
              <w:pStyle w:val="TableContents"/>
              <w:bidi w:val="0"/>
              <w:spacing w:before="0" w:after="0"/>
              <w:jc w:val="left"/>
              <w:rPr>
                <w:rFonts w:ascii="Arial" w:hAnsi="Arial"/>
                <w:color w:val="0075C9"/>
                <w:sz w:val="14"/>
              </w:rPr>
            </w:pPr>
            <w:r>
              <w:rPr>
                <w:rFonts w:ascii="Arial" w:hAnsi="Arial"/>
                <w:color w:val="0075C9"/>
                <w:sz w:val="14"/>
              </w:rPr>
              <w:t>DIRECTORS AND</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w:t>
              <w:br/>
              <w:t>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40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Director Compensation </w:t>
      </w:r>
    </w:p>
    <w:p>
      <w:pPr>
        <w:pStyle w:val="TextBody"/>
        <w:bidi w:val="0"/>
        <w:spacing w:before="120" w:after="0"/>
        <w:jc w:val="left"/>
        <w:rPr>
          <w:rFonts w:ascii="Arial" w:hAnsi="Arial"/>
          <w:sz w:val="18"/>
        </w:rPr>
      </w:pPr>
      <w:r>
        <w:rPr>
          <w:rFonts w:ascii="Arial" w:hAnsi="Arial"/>
          <w:sz w:val="18"/>
        </w:rPr>
        <w:t xml:space="preserve">This table describes the cash and stock award portions of the annual retainer paid to each non-employee director who served in fiscal year 2026. Mr. Nadella received no compensation as a director or Board Chairman. He is excluded from the table because we fully describe his compensation in Part 2 – Named Executive Officer Compensation. </w:t>
      </w:r>
    </w:p>
    <w:p>
      <w:pPr>
        <w:pStyle w:val="TextBody"/>
        <w:bidi w:val="0"/>
        <w:spacing w:before="0" w:after="0"/>
        <w:jc w:val="left"/>
        <w:rPr/>
      </w:pPr>
      <w:r>
        <w:rPr/>
        <w:t> </w:t>
      </w:r>
    </w:p>
    <w:tbl>
      <w:tblPr>
        <w:tblW w:w="8334" w:type="dxa"/>
        <w:jc w:val="left"/>
        <w:tblInd w:w="0" w:type="dxa"/>
        <w:tblLayout w:type="fixed"/>
        <w:tblCellMar>
          <w:top w:w="0" w:type="dxa"/>
          <w:left w:w="0" w:type="dxa"/>
          <w:bottom w:w="0" w:type="dxa"/>
          <w:right w:w="0" w:type="dxa"/>
        </w:tblCellMar>
      </w:tblPr>
      <w:tblGrid>
        <w:gridCol w:w="2120"/>
        <w:gridCol w:w="120"/>
        <w:gridCol w:w="99"/>
        <w:gridCol w:w="1331"/>
        <w:gridCol w:w="60"/>
        <w:gridCol w:w="240"/>
        <w:gridCol w:w="94"/>
        <w:gridCol w:w="1260"/>
        <w:gridCol w:w="60"/>
        <w:gridCol w:w="240"/>
        <w:gridCol w:w="119"/>
        <w:gridCol w:w="1356"/>
        <w:gridCol w:w="60"/>
        <w:gridCol w:w="240"/>
        <w:gridCol w:w="60"/>
        <w:gridCol w:w="800"/>
        <w:gridCol w:w="75"/>
      </w:tblGrid>
      <w:tr>
        <w:trPr/>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8" w:space="0" w:color="000000"/>
            </w:tcBorders>
            <w:tcMar>
              <w:bottom w:w="40" w:type="dxa"/>
            </w:tcMar>
            <w:vAlign w:val="center"/>
          </w:tcPr>
          <w:p>
            <w:pPr>
              <w:pStyle w:val="TableContents"/>
              <w:bidi w:val="0"/>
              <w:spacing w:before="0" w:after="0"/>
              <w:jc w:val="left"/>
              <w:rPr>
                <w:rFonts w:ascii="Arial" w:hAnsi="Arial"/>
                <w:b/>
                <w:sz w:val="20"/>
              </w:rPr>
            </w:pPr>
            <w:r>
              <w:rPr>
                <w:rFonts w:ascii="Arial" w:hAnsi="Arial"/>
                <w:b/>
                <w:sz w:val="20"/>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20"/>
              </w:rPr>
            </w:pPr>
            <w:r>
              <w:rPr>
                <w:rFonts w:ascii="Arial" w:hAnsi="Arial"/>
                <w:b/>
                <w:sz w:val="20"/>
              </w:rPr>
              <w:t>Fees Earned or</w:t>
            </w:r>
          </w:p>
          <w:p>
            <w:pPr>
              <w:pStyle w:val="TableContents"/>
              <w:bidi w:val="0"/>
              <w:spacing w:before="0" w:after="0"/>
              <w:jc w:val="right"/>
              <w:rPr>
                <w:rFonts w:ascii="Arial" w:hAnsi="Arial"/>
                <w:b/>
                <w:sz w:val="20"/>
              </w:rPr>
            </w:pPr>
            <w:r>
              <w:rPr>
                <w:rFonts w:ascii="Arial" w:hAnsi="Arial"/>
                <w:b/>
                <w:sz w:val="20"/>
              </w:rPr>
              <w:t>Paid in Cash¹</w:t>
            </w:r>
          </w:p>
          <w:p>
            <w:pPr>
              <w:pStyle w:val="TableContents"/>
              <w:bidi w:val="0"/>
              <w:spacing w:before="0" w:after="20"/>
              <w:jc w:val="right"/>
              <w:rPr>
                <w:rFonts w:ascii="Arial" w:hAnsi="Arial"/>
                <w:b/>
                <w:sz w:val="20"/>
              </w:rPr>
            </w:pPr>
            <w:r>
              <w:rPr>
                <w:rFonts w:ascii="Arial" w:hAnsi="Arial"/>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4"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20"/>
              </w:rPr>
            </w:pPr>
            <w:r>
              <w:rPr>
                <w:rFonts w:ascii="Arial" w:hAnsi="Arial"/>
                <w:b/>
                <w:sz w:val="20"/>
              </w:rPr>
              <w:t>Stock Awards²</w:t>
            </w:r>
          </w:p>
          <w:p>
            <w:pPr>
              <w:pStyle w:val="TableContents"/>
              <w:bidi w:val="0"/>
              <w:spacing w:before="0" w:after="20"/>
              <w:jc w:val="right"/>
              <w:rPr>
                <w:rFonts w:ascii="Arial" w:hAnsi="Arial"/>
                <w:b/>
                <w:sz w:val="20"/>
              </w:rPr>
            </w:pPr>
            <w:r>
              <w:rPr>
                <w:rFonts w:ascii="Arial" w:hAnsi="Arial"/>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20"/>
              </w:rPr>
            </w:pPr>
            <w:r>
              <w:rPr>
                <w:rFonts w:ascii="Arial" w:hAnsi="Arial"/>
                <w:b/>
                <w:sz w:val="20"/>
              </w:rPr>
              <w:t>All Other</w:t>
            </w:r>
          </w:p>
          <w:p>
            <w:pPr>
              <w:pStyle w:val="TableContents"/>
              <w:bidi w:val="0"/>
              <w:spacing w:before="0" w:after="0"/>
              <w:jc w:val="right"/>
              <w:rPr>
                <w:rFonts w:ascii="Arial" w:hAnsi="Arial"/>
                <w:b/>
                <w:sz w:val="20"/>
              </w:rPr>
            </w:pPr>
            <w:r>
              <w:rPr>
                <w:rFonts w:ascii="Arial" w:hAnsi="Arial"/>
                <w:b/>
                <w:sz w:val="20"/>
              </w:rPr>
              <w:t>Compensation3</w:t>
            </w:r>
          </w:p>
          <w:p>
            <w:pPr>
              <w:pStyle w:val="TableContents"/>
              <w:bidi w:val="0"/>
              <w:spacing w:before="0" w:after="20"/>
              <w:jc w:val="right"/>
              <w:rPr>
                <w:rFonts w:ascii="Arial" w:hAnsi="Arial"/>
                <w:b/>
                <w:sz w:val="20"/>
              </w:rPr>
            </w:pPr>
            <w:r>
              <w:rPr>
                <w:rFonts w:ascii="Arial" w:hAnsi="Arial"/>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20"/>
              </w:rPr>
            </w:pPr>
            <w:r>
              <w:rPr>
                <w:rFonts w:ascii="Arial" w:hAnsi="Arial"/>
                <w:b/>
                <w:sz w:val="20"/>
              </w:rPr>
              <w:t>Total</w:t>
            </w:r>
          </w:p>
          <w:p>
            <w:pPr>
              <w:pStyle w:val="TableContents"/>
              <w:bidi w:val="0"/>
              <w:spacing w:before="0" w:after="20"/>
              <w:jc w:val="right"/>
              <w:rPr>
                <w:rFonts w:ascii="Arial" w:hAnsi="Arial"/>
                <w:b/>
                <w:sz w:val="20"/>
              </w:rPr>
            </w:pPr>
            <w:r>
              <w:rPr>
                <w:rFonts w:ascii="Arial" w:hAnsi="Arial"/>
                <w:b/>
                <w:sz w:val="20"/>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Carmine Di Sibio4</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6,720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12,000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18,720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Reid G. Hoffman5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390,000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Hugh F. Johnston6</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170,000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420,000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Teri L. List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140,000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405,000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Catherine MacGregor7</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142,500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392,500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Mark A. L. Mason8</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127,610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377,610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Sandra E. Peterson9</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335,000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475,000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Penny S. Pritzker10</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415,000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John David Rainey11</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70,000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195,000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Carlos A. Rodriguez12</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87,500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227,500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Charles W. Scharf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375,000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John W. Stanton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140,000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405,000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12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20"/>
              </w:rPr>
            </w:pPr>
            <w:r>
              <w:rPr>
                <w:rFonts w:ascii="Arial" w:hAnsi="Arial"/>
                <w:b/>
                <w:color w:val="0075C9"/>
                <w:sz w:val="20"/>
              </w:rPr>
              <w:t>Emma N. Walmsley13</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9" w:type="dxa"/>
            <w:tcBorders>
              <w:bottom w:val="single" w:sz="6" w:space="0" w:color="0075C9"/>
            </w:tcBorders>
            <w:tcMar>
              <w:bottom w:w="40" w:type="dxa"/>
            </w:tcMar>
            <w:vAlign w:val="center"/>
          </w:tcPr>
          <w:p>
            <w:pPr>
              <w:pStyle w:val="TableContents"/>
              <w:bidi w:val="0"/>
              <w:spacing w:before="0" w:after="283"/>
              <w:jc w:val="left"/>
              <w:rPr/>
            </w:pPr>
            <w:r>
              <w:rPr/>
              <w:t> </w:t>
            </w:r>
          </w:p>
        </w:tc>
        <w:tc>
          <w:tcPr>
            <w:tcW w:w="1331" w:type="dxa"/>
            <w:tcBorders>
              <w:bottom w:val="single" w:sz="6" w:space="0" w:color="0075C9"/>
            </w:tcBorders>
            <w:tcMar>
              <w:bottom w:w="40" w:type="dxa"/>
            </w:tcMar>
            <w:vAlign w:val="center"/>
          </w:tcPr>
          <w:p>
            <w:pPr>
              <w:pStyle w:val="TableContents"/>
              <w:bidi w:val="0"/>
              <w:spacing w:before="0" w:after="283"/>
              <w:jc w:val="right"/>
              <w:rPr/>
            </w:pPr>
            <w:r>
              <w:rPr/>
              <w:t>125,000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40" w:type="dxa"/>
            </w:tcMar>
            <w:vAlign w:val="center"/>
          </w:tcPr>
          <w:p>
            <w:pPr>
              <w:pStyle w:val="TableContents"/>
              <w:bidi w:val="0"/>
              <w:spacing w:before="0" w:after="283"/>
              <w:jc w:val="left"/>
              <w:rPr/>
            </w:pPr>
            <w:r>
              <w:rPr/>
              <w:t> </w:t>
            </w:r>
          </w:p>
        </w:tc>
        <w:tc>
          <w:tcPr>
            <w:tcW w:w="1260" w:type="dxa"/>
            <w:tcBorders>
              <w:bottom w:val="single" w:sz="6" w:space="0" w:color="0075C9"/>
            </w:tcBorders>
            <w:tcMar>
              <w:bottom w:w="40" w:type="dxa"/>
            </w:tcMar>
            <w:vAlign w:val="center"/>
          </w:tcPr>
          <w:p>
            <w:pPr>
              <w:pStyle w:val="TableContents"/>
              <w:bidi w:val="0"/>
              <w:spacing w:before="0" w:after="283"/>
              <w:jc w:val="right"/>
              <w:rPr/>
            </w:pPr>
            <w:r>
              <w:rPr/>
              <w:t>250,000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19" w:type="dxa"/>
            <w:tcBorders>
              <w:bottom w:val="single" w:sz="6" w:space="0" w:color="0075C9"/>
            </w:tcBorders>
            <w:tcMar>
              <w:bottom w:w="40" w:type="dxa"/>
            </w:tcMar>
            <w:vAlign w:val="center"/>
          </w:tcPr>
          <w:p>
            <w:pPr>
              <w:pStyle w:val="TableContents"/>
              <w:bidi w:val="0"/>
              <w:spacing w:before="0" w:after="283"/>
              <w:jc w:val="left"/>
              <w:rPr/>
            </w:pPr>
            <w:r>
              <w:rPr/>
              <w:t> </w:t>
            </w:r>
          </w:p>
        </w:tc>
        <w:tc>
          <w:tcPr>
            <w:tcW w:w="1356"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375,000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305"/>
        <w:gridCol w:w="7115"/>
      </w:tblGrid>
      <w:tr>
        <w:trPr/>
        <w:tc>
          <w:tcPr>
            <w:tcW w:w="305" w:type="dxa"/>
            <w:tcBorders/>
            <w:vAlign w:val="center"/>
          </w:tcPr>
          <w:p>
            <w:pPr>
              <w:pStyle w:val="TableContents"/>
              <w:bidi w:val="0"/>
              <w:spacing w:before="0" w:after="283"/>
              <w:jc w:val="left"/>
              <w:rPr/>
            </w:pPr>
            <w:r>
              <w:rPr/>
              <w:t>(1)</w:t>
            </w:r>
          </w:p>
        </w:tc>
        <w:tc>
          <w:tcPr>
            <w:tcW w:w="7115" w:type="dxa"/>
            <w:tcBorders/>
            <w:vAlign w:val="center"/>
          </w:tcPr>
          <w:p>
            <w:pPr>
              <w:pStyle w:val="TableContents"/>
              <w:bidi w:val="0"/>
              <w:spacing w:before="0" w:after="0"/>
              <w:jc w:val="left"/>
              <w:rPr>
                <w:rFonts w:ascii="Arial" w:hAnsi="Arial"/>
                <w:sz w:val="14"/>
              </w:rPr>
            </w:pPr>
            <w:r>
              <w:rPr>
                <w:rFonts w:ascii="Arial" w:hAnsi="Arial"/>
                <w:sz w:val="14"/>
              </w:rPr>
              <w:t xml:space="preserve">The value of fractional shares under stock awards that are paid in cash are reported in the Stock Awards column.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4"/>
              </w:rPr>
            </w:pPr>
            <w:r>
              <w:rPr>
                <w:rFonts w:ascii="Arial" w:hAnsi="Arial"/>
                <w:sz w:val="14"/>
              </w:rPr>
              <w:t xml:space="preserve">The aggregate award value in the “Stock Awards” column for each director represents four quarterly awards each having a grant date fair value under FASB ASC Topic 718 of $62,500, with exceptions as follows: As lead independent director and Chair of the Governance and Nominating Committee, Ms. Peterson received four quarterly awards with a grant date fair value of $83,750. Mr. Di Sibio joined the Board effective May 13, 2026, and, as a result, was not eligible to receive a stock award for the first three quarters but received a prorated award with a grant date fair value of $12,000 for the fourth quarter of fiscal year 2026. Mr. Rainey joined the Board effective as of the shareholder meeting on December 5, 2025, and, as a result, was not eligible to receive a stock award for the first two quarters of fiscal year 2026. Mr. Rodriguez retired from the Board effective December 5, 2025 and, as a result, was not eligible to receive stock awards in respect of the last two quarters of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14"/>
              </w:rPr>
            </w:pPr>
            <w:r>
              <w:rPr>
                <w:rFonts w:ascii="Arial" w:hAnsi="Arial"/>
                <w:sz w:val="14"/>
              </w:rPr>
              <w:t xml:space="preserve">Amounts in this column represent (i) matching charitable contributions under our corporate giving program in fiscal year 2026, which matches director gifts up to $15,000 per calendar year, and (ii) for Mr. Rodriguez, $15,000 donated by the Company to a charity he selected in his name in connection with his retirement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0"/>
              <w:jc w:val="left"/>
              <w:rPr>
                <w:rFonts w:ascii="Arial" w:hAnsi="Arial"/>
                <w:sz w:val="14"/>
              </w:rPr>
            </w:pPr>
            <w:r>
              <w:rPr>
                <w:rFonts w:ascii="Arial" w:hAnsi="Arial"/>
                <w:sz w:val="14"/>
              </w:rPr>
              <w:t xml:space="preserve">Mr. Di Sibio joined the Board effective May 13, 2026. He elected to defer his stock compensation effective May 26, 2026. The compensation deferred converted into 13 shares of our common stock.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305"/>
        <w:gridCol w:w="8810"/>
      </w:tblGrid>
      <w:tr>
        <w:trPr/>
        <w:tc>
          <w:tcPr>
            <w:tcW w:w="305" w:type="dxa"/>
            <w:tcBorders/>
            <w:vAlign w:val="center"/>
          </w:tcPr>
          <w:p>
            <w:pPr>
              <w:pStyle w:val="TableContents"/>
              <w:bidi w:val="0"/>
              <w:spacing w:before="0" w:after="283"/>
              <w:jc w:val="left"/>
              <w:rPr/>
            </w:pPr>
            <w:r>
              <w:rPr/>
              <w:t>(5)</w:t>
            </w:r>
          </w:p>
        </w:tc>
        <w:tc>
          <w:tcPr>
            <w:tcW w:w="8810" w:type="dxa"/>
            <w:tcBorders/>
            <w:vAlign w:val="center"/>
          </w:tcPr>
          <w:p>
            <w:pPr>
              <w:pStyle w:val="TableContents"/>
              <w:bidi w:val="0"/>
              <w:spacing w:before="0" w:after="0"/>
              <w:jc w:val="left"/>
              <w:rPr>
                <w:rFonts w:ascii="Arial" w:hAnsi="Arial"/>
                <w:sz w:val="14"/>
              </w:rPr>
            </w:pPr>
            <w:r>
              <w:rPr>
                <w:rFonts w:ascii="Arial" w:hAnsi="Arial"/>
                <w:sz w:val="14"/>
              </w:rPr>
              <w:t xml:space="preserve">Mr. Hoffman elected to defer his cash and stock compensation. The compensation deferred converted into 822 shares of our common stock.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283"/>
              <w:jc w:val="left"/>
              <w:rPr/>
            </w:pPr>
            <w:r>
              <w:rPr/>
              <w:t>(6)</w:t>
            </w:r>
          </w:p>
        </w:tc>
        <w:tc>
          <w:tcPr>
            <w:tcW w:w="8870" w:type="dxa"/>
            <w:tcBorders/>
            <w:vAlign w:val="center"/>
          </w:tcPr>
          <w:p>
            <w:pPr>
              <w:pStyle w:val="TableContents"/>
              <w:bidi w:val="0"/>
              <w:spacing w:before="0" w:after="0"/>
              <w:jc w:val="left"/>
              <w:rPr>
                <w:rFonts w:ascii="Arial" w:hAnsi="Arial"/>
                <w:sz w:val="14"/>
              </w:rPr>
            </w:pPr>
            <w:r>
              <w:rPr>
                <w:rFonts w:ascii="Arial" w:hAnsi="Arial"/>
                <w:sz w:val="14"/>
              </w:rPr>
              <w:t xml:space="preserve">Mr. Johnston elected to defer his cash and stock compensation. The compensation deferred converted into 922 shares of our common stock.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(7)</w:t>
            </w:r>
          </w:p>
        </w:tc>
        <w:tc>
          <w:tcPr>
            <w:tcW w:w="9020" w:type="dxa"/>
            <w:tcBorders/>
            <w:vAlign w:val="center"/>
          </w:tcPr>
          <w:p>
            <w:pPr>
              <w:pStyle w:val="TableContents"/>
              <w:bidi w:val="0"/>
              <w:spacing w:before="0" w:after="0"/>
              <w:jc w:val="left"/>
              <w:rPr>
                <w:rFonts w:ascii="Arial" w:hAnsi="Arial"/>
                <w:sz w:val="14"/>
              </w:rPr>
            </w:pPr>
            <w:r>
              <w:rPr>
                <w:rFonts w:ascii="Arial" w:hAnsi="Arial"/>
                <w:sz w:val="14"/>
              </w:rPr>
              <w:t xml:space="preserve">Ms. MacGregor elected to defer her cash and stock compensation. The compensation deferred converted into 864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(8)</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Mr. Mason elected to defer his cash and stock compensation effective February 1, 2026. The compensation deferred converted into 231 shares of our common stock.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(9)</w:t>
            </w:r>
          </w:p>
        </w:tc>
        <w:tc>
          <w:tcPr>
            <w:tcW w:w="9020" w:type="dxa"/>
            <w:tcBorders/>
            <w:vAlign w:val="center"/>
          </w:tcPr>
          <w:p>
            <w:pPr>
              <w:pStyle w:val="TableContents"/>
              <w:bidi w:val="0"/>
              <w:spacing w:before="0" w:after="0"/>
              <w:jc w:val="left"/>
              <w:rPr>
                <w:rFonts w:ascii="Arial" w:hAnsi="Arial"/>
                <w:sz w:val="14"/>
              </w:rPr>
            </w:pPr>
            <w:r>
              <w:rPr>
                <w:rFonts w:ascii="Arial" w:hAnsi="Arial"/>
                <w:sz w:val="14"/>
              </w:rPr>
              <w:t xml:space="preserve">Ms. Peterson elected to defer her cash and stock compensation. The compensation deferred converted into 1,010 shares of our common stock.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425"/>
        <w:gridCol w:w="8825"/>
      </w:tblGrid>
      <w:tr>
        <w:trPr/>
        <w:tc>
          <w:tcPr>
            <w:tcW w:w="425" w:type="dxa"/>
            <w:tcBorders/>
            <w:vAlign w:val="center"/>
          </w:tcPr>
          <w:p>
            <w:pPr>
              <w:pStyle w:val="TableContents"/>
              <w:bidi w:val="0"/>
              <w:spacing w:before="0" w:after="283"/>
              <w:jc w:val="left"/>
              <w:rPr/>
            </w:pPr>
            <w:r>
              <w:rPr/>
              <w:t>(10)</w:t>
            </w:r>
          </w:p>
        </w:tc>
        <w:tc>
          <w:tcPr>
            <w:tcW w:w="8825" w:type="dxa"/>
            <w:tcBorders/>
            <w:vAlign w:val="center"/>
          </w:tcPr>
          <w:p>
            <w:pPr>
              <w:pStyle w:val="TableContents"/>
              <w:bidi w:val="0"/>
              <w:spacing w:before="0" w:after="0"/>
              <w:jc w:val="left"/>
              <w:rPr>
                <w:rFonts w:ascii="Arial" w:hAnsi="Arial"/>
                <w:sz w:val="14"/>
              </w:rPr>
            </w:pPr>
            <w:r>
              <w:rPr>
                <w:rFonts w:ascii="Arial" w:hAnsi="Arial"/>
                <w:sz w:val="14"/>
              </w:rPr>
              <w:t xml:space="preserve">Ms. Pritzker elected to defer her cash and stock compensation. The compensation deferred converted into 877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(11)</w:t>
            </w:r>
          </w:p>
        </w:tc>
        <w:tc>
          <w:tcPr>
            <w:tcW w:w="9802" w:type="dxa"/>
            <w:tcBorders/>
            <w:vAlign w:val="center"/>
          </w:tcPr>
          <w:p>
            <w:pPr>
              <w:pStyle w:val="TableContents"/>
              <w:bidi w:val="0"/>
              <w:spacing w:before="0" w:after="0"/>
              <w:jc w:val="left"/>
              <w:rPr>
                <w:rFonts w:ascii="Arial" w:hAnsi="Arial"/>
                <w:sz w:val="14"/>
              </w:rPr>
            </w:pPr>
            <w:r>
              <w:rPr>
                <w:rFonts w:ascii="Arial" w:hAnsi="Arial"/>
                <w:sz w:val="14"/>
              </w:rPr>
              <w:t xml:space="preserve">Mr. Rainey joined the Board effective as of the shareholder meeting on December 5, 2025. He elected to defer his stock compensation. The compensation deferred converted into 294 shares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(12)</w:t>
            </w:r>
          </w:p>
        </w:tc>
        <w:tc>
          <w:tcPr>
            <w:tcW w:w="9797" w:type="dxa"/>
            <w:tcBorders/>
            <w:vAlign w:val="center"/>
          </w:tcPr>
          <w:p>
            <w:pPr>
              <w:pStyle w:val="TableContents"/>
              <w:bidi w:val="0"/>
              <w:spacing w:before="0" w:after="0"/>
              <w:jc w:val="left"/>
              <w:rPr>
                <w:rFonts w:ascii="Arial" w:hAnsi="Arial"/>
                <w:sz w:val="14"/>
              </w:rPr>
            </w:pPr>
            <w:r>
              <w:rPr>
                <w:rFonts w:ascii="Arial" w:hAnsi="Arial"/>
                <w:sz w:val="14"/>
              </w:rPr>
              <w:t xml:space="preserve">Mr. Rodriguez retired from the Board effective December 5, 2025. He elected to defer his cash and stock compensation. The compensation deferred converted into 432 shares of our common stock.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425"/>
        <w:gridCol w:w="8315"/>
      </w:tblGrid>
      <w:tr>
        <w:trPr/>
        <w:tc>
          <w:tcPr>
            <w:tcW w:w="425" w:type="dxa"/>
            <w:tcBorders/>
            <w:vAlign w:val="center"/>
          </w:tcPr>
          <w:p>
            <w:pPr>
              <w:pStyle w:val="TableContents"/>
              <w:bidi w:val="0"/>
              <w:spacing w:before="0" w:after="283"/>
              <w:jc w:val="left"/>
              <w:rPr/>
            </w:pPr>
            <w:r>
              <w:rPr/>
              <w:t>(13)</w:t>
            </w:r>
          </w:p>
        </w:tc>
        <w:tc>
          <w:tcPr>
            <w:tcW w:w="8315" w:type="dxa"/>
            <w:tcBorders/>
            <w:vAlign w:val="center"/>
          </w:tcPr>
          <w:p>
            <w:pPr>
              <w:pStyle w:val="TableContents"/>
              <w:bidi w:val="0"/>
              <w:spacing w:before="0" w:after="0"/>
              <w:jc w:val="left"/>
              <w:rPr>
                <w:rFonts w:ascii="Arial" w:hAnsi="Arial"/>
                <w:sz w:val="14"/>
              </w:rPr>
            </w:pPr>
            <w:r>
              <w:rPr>
                <w:rFonts w:ascii="Arial" w:hAnsi="Arial"/>
                <w:sz w:val="14"/>
              </w:rPr>
              <w:t xml:space="preserve">Ms. Walmsley elected to defer her stock compensation. The compensation deferred converted into 547 shares of our common stock. </w:t>
            </w:r>
          </w:p>
        </w:tc>
      </w:tr>
    </w:tbl>
    <w:p>
      <w:pPr>
        <w:pStyle w:val="TextBody"/>
        <w:bidi w:val="0"/>
        <w:spacing w:before="240" w:after="0"/>
        <w:jc w:val="left"/>
        <w:rPr>
          <w:rFonts w:ascii="Arial" w:hAnsi="Arial"/>
          <w:b/>
          <w:sz w:val="24"/>
        </w:rPr>
      </w:pPr>
      <w:r>
        <w:rPr>
          <w:rFonts w:ascii="Arial" w:hAnsi="Arial"/>
          <w:b/>
          <w:sz w:val="24"/>
        </w:rPr>
        <w:t xml:space="preserve">Lead Independent Director Compensation </w:t>
      </w:r>
    </w:p>
    <w:p>
      <w:pPr>
        <w:pStyle w:val="TextBody"/>
        <w:bidi w:val="0"/>
        <w:spacing w:before="120" w:after="0"/>
        <w:jc w:val="left"/>
        <w:rPr>
          <w:rFonts w:ascii="Arial" w:hAnsi="Arial"/>
          <w:sz w:val="18"/>
        </w:rPr>
      </w:pPr>
      <w:r>
        <w:rPr>
          <w:rFonts w:ascii="Arial" w:hAnsi="Arial"/>
          <w:sz w:val="18"/>
        </w:rPr>
        <w:t xml:space="preserve">In March 2023, the independent directors elected Sandra Peterson as Lead Independent Director. The Lead Independent Director Retainer reflects the additional time commitment for the Lead Independent Director role given the unique responsibilities of the Lead Independent Director detailed in Part 1 of this Proxy Statement on page 1.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50"/>
        </w:rPr>
      </w:pPr>
      <w:bookmarkStart w:id="11" w:name="toc61756_9"/>
      <w:bookmarkEnd w:id="11"/>
      <w:r>
        <w:rPr>
          <w:rFonts w:ascii="Arial" w:hAnsi="Arial"/>
          <w:b/>
          <w:sz w:val="50"/>
        </w:rPr>
        <w:t xml:space="preserve">2. Named Executive Officer 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2" w:name="toc61756_10"/>
      <w:bookmarkEnd w:id="12"/>
      <w:r>
        <w:rPr>
          <w:rFonts w:ascii="Arial" w:hAnsi="Arial"/>
          <w:b/>
          <w:color w:val="0075C9"/>
          <w:sz w:val="28"/>
        </w:rPr>
        <w:t xml:space="preserve">A Letter from the Compensation Committee </w:t>
      </w:r>
    </w:p>
    <w:p>
      <w:pPr>
        <w:pStyle w:val="TextBody"/>
        <w:bidi w:val="0"/>
        <w:spacing w:before="120" w:after="0"/>
        <w:jc w:val="left"/>
        <w:rPr>
          <w:rFonts w:ascii="Arial" w:hAnsi="Arial"/>
          <w:sz w:val="18"/>
        </w:rPr>
      </w:pPr>
      <w:r>
        <w:rPr>
          <w:rFonts w:ascii="Arial" w:hAnsi="Arial"/>
          <w:sz w:val="18"/>
        </w:rPr>
        <w:t xml:space="preserve">Dear Shareholder, </w:t>
      </w:r>
    </w:p>
    <w:p>
      <w:pPr>
        <w:pStyle w:val="TextBody"/>
        <w:bidi w:val="0"/>
        <w:spacing w:before="120" w:after="0"/>
        <w:jc w:val="left"/>
        <w:rPr>
          <w:rFonts w:ascii="Arial" w:hAnsi="Arial"/>
          <w:sz w:val="18"/>
        </w:rPr>
      </w:pPr>
      <w:r>
        <w:rPr>
          <w:rFonts w:ascii="Arial" w:hAnsi="Arial"/>
          <w:sz w:val="18"/>
        </w:rPr>
        <w:t xml:space="preserve">The pace of technological change continues to increase, but the underpinnings of our executive compensation program remain constant. We tie Microsoft’s long-term strategic goals with shareholder interests while offering a competitive total rewards package to attract, motivate, and retain the key executives who drive our business and develop the next generation of Microsoft leaders. We remain committed to ongoing evaluation of our compensation program to preserve that alignment. </w:t>
      </w:r>
    </w:p>
    <w:p>
      <w:pPr>
        <w:pStyle w:val="TextBody"/>
        <w:bidi w:val="0"/>
        <w:spacing w:before="120" w:after="0"/>
        <w:jc w:val="left"/>
        <w:rPr>
          <w:rFonts w:ascii="Arial" w:hAnsi="Arial"/>
          <w:sz w:val="18"/>
        </w:rPr>
      </w:pPr>
      <w:r>
        <w:rPr>
          <w:rFonts w:ascii="Arial" w:hAnsi="Arial"/>
          <w:sz w:val="18"/>
        </w:rPr>
        <w:t xml:space="preserve">Our fiscal year 2026 results, which include achieving revenue of $331.8 billion and net income of $133.7 billion, continue Microsoft’s longstanding track record of growth in both revenue and profit under Satya Nadella’s tenure. He and his leadership team have positioned Microsoft as a clear leader in the ongoing generational technology shift and at the forefront of AI advancement, enabling Microsoft to drive long-term growth through security, quality, and innovation. </w:t>
      </w:r>
    </w:p>
    <w:p>
      <w:pPr>
        <w:pStyle w:val="TextBody"/>
        <w:bidi w:val="0"/>
        <w:spacing w:before="120" w:after="0"/>
        <w:jc w:val="left"/>
        <w:rPr>
          <w:rFonts w:ascii="Arial" w:hAnsi="Arial"/>
          <w:sz w:val="18"/>
        </w:rPr>
      </w:pPr>
      <w:r>
        <w:rPr>
          <w:rFonts w:ascii="Arial" w:hAnsi="Arial"/>
          <w:sz w:val="18"/>
        </w:rPr>
        <w:t xml:space="preserve">In fiscal year 2026, Microsoft achieved 18% revenue growth and a 21% increase in operating income. This impressive performance resulted in a 129.03% payout as a percentage of target on the financial metric-based portion of our annual cash incentives and a 117.09% payout as a percentage of target on the performance stock award core strategic metrics, demonstrating clear alignment between compensation outcomes and our pay-for-performance philosophy. </w:t>
      </w:r>
    </w:p>
    <w:p>
      <w:pPr>
        <w:pStyle w:val="TextBody"/>
        <w:bidi w:val="0"/>
        <w:spacing w:before="120" w:after="0"/>
        <w:jc w:val="left"/>
        <w:rPr>
          <w:rFonts w:ascii="Arial" w:hAnsi="Arial"/>
          <w:sz w:val="18"/>
        </w:rPr>
      </w:pPr>
      <w:r>
        <w:rPr>
          <w:rFonts w:ascii="Arial" w:hAnsi="Arial"/>
          <w:sz w:val="18"/>
        </w:rPr>
        <w:t xml:space="preserve">During the past fiscal year, Microsoft continued its robust shareholder outreach, engaging with investors representing approximately 50% of outstanding shares. Among those engagements, the Board’s Lead Independent Director and Compensation Committee chair discussed governance and executive compensation with a cross-section of large institutional investors. </w:t>
      </w:r>
    </w:p>
    <w:p>
      <w:pPr>
        <w:pStyle w:val="TextBody"/>
        <w:bidi w:val="0"/>
        <w:spacing w:before="120" w:after="0"/>
        <w:jc w:val="left"/>
        <w:rPr>
          <w:rFonts w:ascii="Arial" w:hAnsi="Arial"/>
          <w:sz w:val="18"/>
        </w:rPr>
      </w:pPr>
      <w:r>
        <w:rPr>
          <w:rFonts w:ascii="Arial" w:hAnsi="Arial"/>
          <w:sz w:val="18"/>
        </w:rPr>
        <w:t xml:space="preserve">The Committee is gratified that the views of most Microsoft shareholders are consistent with the Committee’s own perspective: Mr. Nadella should be compensated in ways that encourage his continued leadership and drive sustained business growth and shareholder value. In accordance with this view, Mr. Nadella’s equity compensation is delivered exclusively through performance stock awards tied to long-term value creation and does not include any time-based equity awards. Including his annual cash incentive, more than 95% of Mr. Nadella’s annual total target compensation opportunity was performance-based. For fiscal year 2026, we set Mr. Nadella’s target performance stock award at $50 million, a level unchanged since fiscal year 2022. We determined that this level appropriately reflected Mr. Nadella’s exceptional leadership, the scope of his responsibilities, and the scale, complexity, and performance of Microsoft. This target value appears in the compensation tables at a higher value primarily due to the required accounting model for reporting purposes. </w:t>
      </w:r>
    </w:p>
    <w:p>
      <w:pPr>
        <w:pStyle w:val="TextBody"/>
        <w:bidi w:val="0"/>
        <w:spacing w:before="120" w:after="0"/>
        <w:jc w:val="left"/>
        <w:rPr>
          <w:rFonts w:ascii="Arial" w:hAnsi="Arial"/>
          <w:sz w:val="18"/>
        </w:rPr>
      </w:pPr>
      <w:r>
        <w:rPr>
          <w:rFonts w:ascii="Arial" w:hAnsi="Arial"/>
          <w:sz w:val="18"/>
        </w:rPr>
        <w:t xml:space="preserve">Consistent with prior years, Mr. Nadella’s fiscal year 2026 annual cash incentive was weighted 70% toward financial performance and 30% toward operational performance. In fiscal year 2026, Microsoft’s strong financial results led to a 129.03% payout as a percentage of target, while the Board assessed Mr. Nadella’s operational performance at 156.67% payout as a percentage of target, based on his contributions across the three categories described on page 43 below. </w:t>
      </w:r>
    </w:p>
    <w:p>
      <w:pPr>
        <w:pStyle w:val="TextBody"/>
        <w:bidi w:val="0"/>
        <w:spacing w:before="120" w:after="0"/>
        <w:jc w:val="left"/>
        <w:rPr>
          <w:rFonts w:ascii="Arial" w:hAnsi="Arial"/>
          <w:sz w:val="18"/>
        </w:rPr>
      </w:pPr>
      <w:r>
        <w:rPr>
          <w:rFonts w:ascii="Arial" w:hAnsi="Arial"/>
          <w:sz w:val="18"/>
        </w:rPr>
        <w:t xml:space="preserve">Each year the Committee reviews the compensation program outlined in the following pages to ensure it advances our pay-for-performance philosophy. We welcome your feedback and perspectives on how we are doing. </w:t>
      </w:r>
    </w:p>
    <w:p>
      <w:pPr>
        <w:pStyle w:val="TextBody"/>
        <w:bidi w:val="0"/>
        <w:spacing w:before="120" w:after="0"/>
        <w:jc w:val="left"/>
        <w:rPr>
          <w:rFonts w:ascii="Arial" w:hAnsi="Arial"/>
          <w:sz w:val="18"/>
        </w:rPr>
      </w:pPr>
      <w:r>
        <w:rPr>
          <w:rFonts w:ascii="Arial" w:hAnsi="Arial"/>
          <w:sz w:val="18"/>
        </w:rPr>
        <w:t xml:space="preserve">Thank you for your continued trust and investment in Microsoft. </w:t>
      </w:r>
    </w:p>
    <w:p>
      <w:pPr>
        <w:pStyle w:val="TextBody"/>
        <w:bidi w:val="0"/>
        <w:spacing w:before="120" w:after="0"/>
        <w:jc w:val="left"/>
        <w:rPr>
          <w:rFonts w:ascii="Arial" w:hAnsi="Arial"/>
          <w:sz w:val="18"/>
        </w:rPr>
      </w:pPr>
      <w:r>
        <w:rPr>
          <w:rFonts w:ascii="Arial" w:hAnsi="Arial"/>
          <w:sz w:val="18"/>
        </w:rPr>
        <w:t xml:space="preserve">Sincerely, </w:t>
      </w:r>
    </w:p>
    <w:p>
      <w:pPr>
        <w:pStyle w:val="TextBody"/>
        <w:bidi w:val="0"/>
        <w:spacing w:before="120" w:after="0"/>
        <w:jc w:val="left"/>
        <w:rPr>
          <w:rFonts w:ascii="Arial" w:hAnsi="Arial"/>
          <w:b/>
          <w:sz w:val="18"/>
        </w:rPr>
      </w:pPr>
      <w:r>
        <w:rPr>
          <w:rFonts w:ascii="Arial" w:hAnsi="Arial"/>
          <w:b/>
          <w:sz w:val="18"/>
        </w:rPr>
        <w:t xml:space="preserve">The Compensation Committee </w:t>
      </w:r>
    </w:p>
    <w:p>
      <w:pPr>
        <w:pStyle w:val="TextBody"/>
        <w:bidi w:val="0"/>
        <w:spacing w:before="0" w:after="0"/>
        <w:jc w:val="left"/>
        <w:rPr>
          <w:rFonts w:ascii="Arial" w:hAnsi="Arial"/>
          <w:sz w:val="18"/>
        </w:rPr>
      </w:pPr>
      <w:r>
        <w:rPr>
          <w:rFonts w:ascii="Arial" w:hAnsi="Arial"/>
          <w:sz w:val="18"/>
        </w:rPr>
        <w:t xml:space="preserve">Catherine MacGregor (Chair) </w:t>
      </w:r>
    </w:p>
    <w:p>
      <w:pPr>
        <w:pStyle w:val="TextBody"/>
        <w:bidi w:val="0"/>
        <w:spacing w:before="0" w:after="0"/>
        <w:jc w:val="left"/>
        <w:rPr>
          <w:rFonts w:ascii="Arial" w:hAnsi="Arial"/>
          <w:sz w:val="18"/>
        </w:rPr>
      </w:pPr>
      <w:r>
        <w:rPr>
          <w:rFonts w:ascii="Arial" w:hAnsi="Arial"/>
          <w:sz w:val="18"/>
        </w:rPr>
        <w:t xml:space="preserve">Carmine Di Sibio </w:t>
      </w:r>
    </w:p>
    <w:p>
      <w:pPr>
        <w:pStyle w:val="TextBody"/>
        <w:bidi w:val="0"/>
        <w:spacing w:before="0" w:after="0"/>
        <w:jc w:val="left"/>
        <w:rPr>
          <w:rFonts w:ascii="Arial" w:hAnsi="Arial"/>
          <w:sz w:val="18"/>
        </w:rPr>
      </w:pPr>
      <w:r>
        <w:rPr>
          <w:rFonts w:ascii="Arial" w:hAnsi="Arial"/>
          <w:sz w:val="18"/>
        </w:rPr>
        <w:t xml:space="preserve">Sandra E. Peterson </w:t>
      </w:r>
    </w:p>
    <w:p>
      <w:pPr>
        <w:pStyle w:val="TextBody"/>
        <w:bidi w:val="0"/>
        <w:spacing w:before="0" w:after="0"/>
        <w:jc w:val="left"/>
        <w:rPr>
          <w:rFonts w:ascii="Arial" w:hAnsi="Arial"/>
          <w:sz w:val="18"/>
        </w:rPr>
      </w:pPr>
      <w:r>
        <w:rPr>
          <w:rFonts w:ascii="Arial" w:hAnsi="Arial"/>
          <w:sz w:val="18"/>
        </w:rPr>
        <w:t xml:space="preserve">Charles W. Scharf </w:t>
      </w:r>
    </w:p>
    <w:p>
      <w:pPr>
        <w:pStyle w:val="TextBody"/>
        <w:bidi w:val="0"/>
        <w:spacing w:before="0" w:after="0"/>
        <w:jc w:val="left"/>
        <w:rPr>
          <w:rFonts w:ascii="Arial" w:hAnsi="Arial"/>
          <w:sz w:val="18"/>
        </w:rPr>
      </w:pPr>
      <w:r>
        <w:rPr>
          <w:rFonts w:ascii="Arial" w:hAnsi="Arial"/>
          <w:sz w:val="18"/>
        </w:rPr>
        <w:t xml:space="preserve">Emma N. Walmsley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30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3" w:name="toc61756_11"/>
      <w:bookmarkEnd w:id="13"/>
      <w:r>
        <w:rPr>
          <w:rFonts w:ascii="Arial" w:hAnsi="Arial"/>
          <w:b/>
          <w:color w:val="0075C9"/>
          <w:sz w:val="28"/>
        </w:rPr>
        <w:t xml:space="preserve">Compensation Discussion and Analysis </w:t>
      </w:r>
    </w:p>
    <w:p>
      <w:pPr>
        <w:pStyle w:val="TextBody"/>
        <w:bidi w:val="0"/>
        <w:spacing w:before="120" w:after="0"/>
        <w:jc w:val="left"/>
        <w:rPr>
          <w:rFonts w:ascii="Arial" w:hAnsi="Arial"/>
          <w:sz w:val="18"/>
        </w:rPr>
      </w:pPr>
      <w:r>
        <w:rPr>
          <w:rFonts w:ascii="Arial" w:hAnsi="Arial"/>
          <w:sz w:val="18"/>
        </w:rPr>
        <w:t xml:space="preserve">This Compensation Discussion and Analysis provides information about our fiscal year 2026 compensation program for our fiscal year 2026 Named Executives (“NEOs”), who are: Satya Nadella, Amy Hood, Judson Althoff, Takeshi Numoto, and Bradford Smith. The content of this Compensation Discussion and Analysis is organized into seven sections: </w:t>
      </w:r>
    </w:p>
    <w:p>
      <w:pPr>
        <w:pStyle w:val="TextBody"/>
        <w:bidi w:val="0"/>
        <w:spacing w:before="240" w:after="0"/>
        <w:jc w:val="center"/>
        <w:rPr>
          <w:rFonts w:ascii="Arial" w:hAnsi="Arial"/>
          <w:b/>
          <w:sz w:val="24"/>
        </w:rPr>
      </w:pPr>
      <w:r>
        <w:rPr>
          <w:rFonts w:ascii="Arial" w:hAnsi="Arial"/>
          <w:b/>
          <w:sz w:val="24"/>
        </w:rPr>
        <w:t xml:space="preserve">Table of Contents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445"/>
        <w:gridCol w:w="120"/>
        <w:gridCol w:w="590"/>
      </w:tblGrid>
      <w:tr>
        <w:trPr/>
        <w:tc>
          <w:tcPr>
            <w:tcW w:w="7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2">
              <w:r>
                <w:rPr>
                  <w:rStyle w:val="InternetLink"/>
                  <w:b/>
                </w:rPr>
                <w:t xml:space="preserve">Section 1 – Performance Update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31</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3">
              <w:r>
                <w:rPr>
                  <w:rStyle w:val="InternetLink"/>
                  <w:b/>
                </w:rPr>
                <w:t xml:space="preserve">Section 2 – Executive Compensation Program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34</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4">
              <w:r>
                <w:rPr>
                  <w:rStyle w:val="InternetLink"/>
                  <w:b/>
                </w:rPr>
                <w:t xml:space="preserve">Section 3 – Pay Setting Governance and Process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36</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5">
              <w:r>
                <w:rPr>
                  <w:rStyle w:val="InternetLink"/>
                  <w:b/>
                </w:rPr>
                <w:t xml:space="preserve">Section 4 – Fiscal Year 2026 Compensation Program Design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38</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6">
              <w:r>
                <w:rPr>
                  <w:rStyle w:val="InternetLink"/>
                  <w:b/>
                </w:rPr>
                <w:t xml:space="preserve">Section 5 – Fiscal Year 2026 Compensation Decisions and Results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42</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283"/>
              <w:jc w:val="left"/>
              <w:rPr/>
            </w:pPr>
            <w:hyperlink w:anchor="toc61756_16a">
              <w:r>
                <w:rPr>
                  <w:rStyle w:val="InternetLink"/>
                  <w:b/>
                </w:rPr>
                <w:t xml:space="preserve">Section 6 – Fiscal Year 2027 Executive Compensation Program Changes </w:t>
              </w:r>
            </w:hyperlink>
          </w:p>
        </w:tc>
        <w:tc>
          <w:tcPr>
            <w:tcW w:w="1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b/>
              </w:rPr>
            </w:pPr>
            <w:r>
              <w:rPr>
                <w:b/>
              </w:rPr>
              <w:t>p. 47</w:t>
            </w:r>
          </w:p>
        </w:tc>
      </w:tr>
      <w:tr>
        <w:trPr/>
        <w:tc>
          <w:tcPr>
            <w:tcW w:w="744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r>
      <w:tr>
        <w:trPr/>
        <w:tc>
          <w:tcPr>
            <w:tcW w:w="7445" w:type="dxa"/>
            <w:tcBorders>
              <w:bottom w:val="single" w:sz="6" w:space="0" w:color="999999"/>
            </w:tcBorders>
            <w:tcMar>
              <w:bottom w:w="28" w:type="dxa"/>
            </w:tcMar>
            <w:vAlign w:val="center"/>
          </w:tcPr>
          <w:p>
            <w:pPr>
              <w:pStyle w:val="TableContents"/>
              <w:bidi w:val="0"/>
              <w:spacing w:before="0" w:after="283"/>
              <w:jc w:val="left"/>
              <w:rPr/>
            </w:pPr>
            <w:hyperlink w:anchor="toc61756_17">
              <w:r>
                <w:rPr>
                  <w:rStyle w:val="InternetLink"/>
                  <w:b/>
                </w:rPr>
                <w:t>Section 7 – Other Compensation Policies and Information</w:t>
              </w:r>
            </w:hyperlink>
          </w:p>
        </w:tc>
        <w:tc>
          <w:tcPr>
            <w:tcW w:w="120" w:type="dxa"/>
            <w:tcBorders>
              <w:bottom w:val="single" w:sz="6" w:space="0" w:color="999999"/>
            </w:tcBorders>
            <w:tcMar>
              <w:bottom w:w="28" w:type="dxa"/>
            </w:tcMar>
            <w:vAlign w:val="center"/>
          </w:tcPr>
          <w:p>
            <w:pPr>
              <w:pStyle w:val="TableContents"/>
              <w:bidi w:val="0"/>
              <w:spacing w:before="0" w:after="283"/>
              <w:jc w:val="left"/>
              <w:rPr/>
            </w:pPr>
            <w:r>
              <w:rPr/>
              <w:t>  </w:t>
            </w:r>
          </w:p>
        </w:tc>
        <w:tc>
          <w:tcPr>
            <w:tcW w:w="590" w:type="dxa"/>
            <w:tcBorders>
              <w:bottom w:val="single" w:sz="6" w:space="0" w:color="999999"/>
            </w:tcBorders>
            <w:tcMar>
              <w:bottom w:w="28" w:type="dxa"/>
            </w:tcMar>
            <w:vAlign w:val="center"/>
          </w:tcPr>
          <w:p>
            <w:pPr>
              <w:pStyle w:val="TableContents"/>
              <w:bidi w:val="0"/>
              <w:jc w:val="left"/>
              <w:rPr/>
            </w:pPr>
            <w:r>
              <w:rPr>
                <w:b/>
              </w:rPr>
              <w:t>p. 48</w:t>
            </w:r>
            <w:r>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sz w:val="18"/>
        </w:rPr>
      </w:pPr>
      <w:r>
        <w:rPr>
          <w:rFonts w:ascii="Arial" w:hAnsi="Arial"/>
          <w:sz w:val="18"/>
        </w:rPr>
        <w:t xml:space="preserve">Microsoft’s executive compensation program is designed by our Compensation Committee and Board of Directors to align to Microsoft’s long-term strategy. Over the years, we have evolved our executive pay system to enhance the performance orientation of the program and adopt best practices while maintaining an overarching compensation philosophy aimed at achieving strong alignment between our long-term strategic goals and our shareholders’ interests. </w:t>
      </w:r>
    </w:p>
    <w:p>
      <w:pPr>
        <w:pStyle w:val="TextBody"/>
        <w:bidi w:val="0"/>
        <w:spacing w:before="120" w:after="0"/>
        <w:jc w:val="left"/>
        <w:rPr>
          <w:rFonts w:ascii="Arial" w:hAnsi="Arial"/>
          <w:sz w:val="18"/>
        </w:rPr>
      </w:pPr>
      <w:r>
        <w:rPr>
          <w:rFonts w:ascii="Arial" w:hAnsi="Arial"/>
          <w:sz w:val="18"/>
        </w:rPr>
        <w:t xml:space="preserve">Each year, the Compensation Committee reviews the existing incentive structure, taking into consideration investor feedback, business performance, our significant scale and growth, and our strategic roadmap, when considering the benefit of further enhancements.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4" w:name="toc61756_12"/>
      <w:bookmarkEnd w:id="14"/>
      <w:r>
        <w:rPr>
          <w:rFonts w:ascii="Arial" w:hAnsi="Arial"/>
          <w:b/>
          <w:color w:val="0075C9"/>
          <w:sz w:val="28"/>
        </w:rPr>
        <w:t xml:space="preserve">Section 1 – Performance Update </w:t>
      </w:r>
    </w:p>
    <w:p>
      <w:pPr>
        <w:pStyle w:val="TextBody"/>
        <w:bidi w:val="0"/>
        <w:spacing w:before="120" w:after="0"/>
        <w:jc w:val="left"/>
        <w:rPr>
          <w:rFonts w:ascii="Arial" w:hAnsi="Arial"/>
          <w:b/>
          <w:sz w:val="24"/>
        </w:rPr>
      </w:pPr>
      <w:r>
        <w:rPr>
          <w:rFonts w:ascii="Arial" w:hAnsi="Arial"/>
          <w:b/>
          <w:sz w:val="24"/>
        </w:rPr>
        <w:t xml:space="preserve">Achieving Strong Financial Results </w:t>
      </w:r>
    </w:p>
    <w:p>
      <w:pPr>
        <w:pStyle w:val="TextBody"/>
        <w:bidi w:val="0"/>
        <w:spacing w:before="120" w:after="0"/>
        <w:jc w:val="left"/>
        <w:rPr>
          <w:rFonts w:ascii="Arial" w:hAnsi="Arial"/>
          <w:sz w:val="18"/>
        </w:rPr>
      </w:pPr>
      <w:r>
        <w:rPr>
          <w:rFonts w:ascii="Arial" w:hAnsi="Arial"/>
          <w:sz w:val="18"/>
        </w:rPr>
        <w:t xml:space="preserve">Our strong business execution throughout fiscal year 2026 achieved the following financial performance (percentages are year-over-year): </w:t>
      </w:r>
    </w:p>
    <w:p>
      <w:pPr>
        <w:pStyle w:val="TextBody"/>
        <w:bidi w:val="0"/>
        <w:spacing w:before="240" w:after="0"/>
        <w:jc w:val="left"/>
        <w:rPr>
          <w:rFonts w:ascii="Arial" w:hAnsi="Arial"/>
          <w:b/>
          <w:color w:val="0075C9"/>
          <w:sz w:val="20"/>
        </w:rPr>
      </w:pPr>
      <w:r>
        <w:rPr>
          <w:rFonts w:ascii="Arial" w:hAnsi="Arial"/>
          <w:b/>
          <w:color w:val="0075C9"/>
          <w:sz w:val="20"/>
        </w:rPr>
        <w:t xml:space="preserve">Fiscal Year 2026 Business Performance Highlights </w:t>
      </w:r>
    </w:p>
    <w:p>
      <w:pPr>
        <w:pStyle w:val="TextBody"/>
        <w:bidi w:val="0"/>
        <w:spacing w:before="0" w:after="0"/>
        <w:jc w:val="left"/>
        <w:rPr/>
      </w:pPr>
      <w:r>
        <w:rPr/>
        <w:t> </w:t>
      </w:r>
    </w:p>
    <w:tbl>
      <w:tblPr>
        <w:tblW w:w="6695" w:type="dxa"/>
        <w:jc w:val="left"/>
        <w:tblInd w:w="0" w:type="dxa"/>
        <w:tblLayout w:type="fixed"/>
        <w:tblCellMar>
          <w:top w:w="0" w:type="dxa"/>
          <w:left w:w="0" w:type="dxa"/>
          <w:bottom w:w="0" w:type="dxa"/>
          <w:right w:w="0" w:type="dxa"/>
        </w:tblCellMar>
      </w:tblPr>
      <w:tblGrid>
        <w:gridCol w:w="1280"/>
        <w:gridCol w:w="60"/>
        <w:gridCol w:w="1535"/>
        <w:gridCol w:w="60"/>
        <w:gridCol w:w="1370"/>
        <w:gridCol w:w="60"/>
        <w:gridCol w:w="233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6" w:space="0" w:color="0075C9"/>
            </w:tcBorders>
            <w:tcMar>
              <w:left w:w="28" w:type="dxa"/>
            </w:tcMar>
            <w:vAlign w:val="center"/>
          </w:tcPr>
          <w:p>
            <w:pPr>
              <w:pStyle w:val="TableContents"/>
              <w:bidi w:val="0"/>
              <w:spacing w:before="0" w:after="283"/>
              <w:jc w:val="left"/>
              <w:rPr/>
            </w:pPr>
            <w:r>
              <w:rPr/>
              <w:t> </w:t>
            </w:r>
          </w:p>
        </w:tc>
        <w:tc>
          <w:tcPr>
            <w:tcW w:w="1430" w:type="dxa"/>
            <w:gridSpan w:val="2"/>
            <w:tcBorders>
              <w:left w:val="single" w:sz="6" w:space="0" w:color="0075C9"/>
            </w:tcBorders>
            <w:tcMar>
              <w:left w:w="28" w:type="dxa"/>
            </w:tcMar>
            <w:vAlign w:val="center"/>
          </w:tcPr>
          <w:p>
            <w:pPr>
              <w:pStyle w:val="TableContents"/>
              <w:bidi w:val="0"/>
              <w:spacing w:before="0" w:after="283"/>
              <w:jc w:val="left"/>
              <w:rPr/>
            </w:pPr>
            <w:r>
              <w:rPr/>
              <w:t> </w:t>
            </w:r>
          </w:p>
        </w:tc>
        <w:tc>
          <w:tcPr>
            <w:tcW w:w="2390" w:type="dxa"/>
            <w:gridSpan w:val="2"/>
            <w:tcBorders>
              <w:left w:val="single" w:sz="6" w:space="0" w:color="0075C9"/>
            </w:tcBorders>
            <w:tcMar>
              <w:left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center"/>
              <w:rPr>
                <w:rFonts w:ascii="Arial" w:hAnsi="Arial"/>
                <w:b/>
                <w:sz w:val="18"/>
              </w:rPr>
            </w:pPr>
            <w:r>
              <w:rPr>
                <w:rFonts w:ascii="Arial" w:hAnsi="Arial"/>
                <w:b/>
                <w:sz w:val="18"/>
              </w:rPr>
              <w:t>Revenue</w:t>
            </w:r>
          </w:p>
          <w:p>
            <w:pPr>
              <w:pStyle w:val="TableContents"/>
              <w:bidi w:val="0"/>
              <w:spacing w:before="0" w:after="2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18%</w:t>
            </w:r>
            <w:r>
              <w:rPr>
                <w:rFonts w:ascii="Arial" w:hAnsi="Arial"/>
                <w:b/>
                <w:sz w:val="18"/>
              </w:rPr>
              <w:t>)</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center"/>
              <w:rPr>
                <w:rFonts w:ascii="Arial" w:hAnsi="Arial"/>
                <w:b/>
                <w:sz w:val="18"/>
              </w:rPr>
            </w:pPr>
            <w:r>
              <w:rPr>
                <w:rFonts w:ascii="Arial" w:hAnsi="Arial"/>
                <w:b/>
                <w:sz w:val="18"/>
              </w:rPr>
              <w:t>Operating Income</w:t>
            </w:r>
          </w:p>
          <w:p>
            <w:pPr>
              <w:pStyle w:val="TableContents"/>
              <w:bidi w:val="0"/>
              <w:spacing w:before="0" w:after="2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21%</w:t>
            </w:r>
            <w:r>
              <w:rPr>
                <w:rFonts w:ascii="Arial" w:hAnsi="Arial"/>
                <w:b/>
                <w:sz w:val="18"/>
              </w:rPr>
              <w:t>)</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Arial" w:hAnsi="Arial"/>
                <w:b/>
                <w:sz w:val="18"/>
              </w:rPr>
            </w:pPr>
            <w:r>
              <w:rPr>
                <w:rFonts w:ascii="Arial" w:hAnsi="Arial"/>
                <w:b/>
                <w:sz w:val="18"/>
              </w:rPr>
              <w:t>Net Income</w:t>
            </w:r>
          </w:p>
          <w:p>
            <w:pPr>
              <w:pStyle w:val="TableContents"/>
              <w:bidi w:val="0"/>
              <w:spacing w:before="0" w:after="2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31%</w:t>
            </w:r>
            <w:r>
              <w:rPr>
                <w:rFonts w:ascii="Arial" w:hAnsi="Arial"/>
                <w:b/>
                <w:sz w:val="18"/>
              </w:rPr>
              <w:t>)</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center"/>
              <w:rPr>
                <w:rFonts w:ascii="Arial" w:hAnsi="Arial"/>
                <w:b/>
                <w:sz w:val="18"/>
              </w:rPr>
            </w:pPr>
            <w:r>
              <w:rPr>
                <w:rFonts w:ascii="Arial" w:hAnsi="Arial"/>
                <w:b/>
                <w:sz w:val="18"/>
              </w:rPr>
              <w:t>Diluted Earnings per Share</w:t>
            </w:r>
          </w:p>
          <w:p>
            <w:pPr>
              <w:pStyle w:val="TableContents"/>
              <w:bidi w:val="0"/>
              <w:spacing w:before="0" w:after="20"/>
              <w:jc w:val="center"/>
              <w:rPr>
                <w:rFonts w:ascii="Arial" w:hAnsi="Arial"/>
                <w:b/>
                <w:sz w:val="18"/>
              </w:rPr>
            </w:pPr>
            <w:r>
              <w:rPr>
                <w:rFonts w:ascii="Arial" w:hAnsi="Arial"/>
                <w:b/>
                <w:sz w:val="18"/>
              </w:rPr>
              <w:t xml:space="preserve">( </w:t>
            </w:r>
            <w:r>
              <w:rPr>
                <w:rFonts w:ascii="Arial" w:hAnsi="Arial"/>
                <w:b/>
                <w:sz w:val="18"/>
              </w:rPr>
              <w:drawing>
                <wp:inline distT="0" distB="0" distL="0" distR="0">
                  <wp:extent cx="91440" cy="8763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91440" cy="87630"/>
                          </a:xfrm>
                          <a:prstGeom prst="rect">
                            <a:avLst/>
                          </a:prstGeom>
                        </pic:spPr>
                      </pic:pic>
                    </a:graphicData>
                  </a:graphic>
                </wp:inline>
              </w:drawing>
            </w:r>
            <w:r>
              <w:rPr>
                <w:rFonts w:ascii="Arial" w:hAnsi="Arial"/>
                <w:b/>
                <w:sz w:val="18"/>
              </w:rPr>
              <w:t xml:space="preserve"> </w:t>
            </w:r>
            <w:r>
              <w:rPr>
                <w:rFonts w:ascii="Arial" w:hAnsi="Arial"/>
                <w:b/>
                <w:color w:val="0075C9"/>
                <w:sz w:val="18"/>
              </w:rPr>
              <w:t>32%</w:t>
            </w:r>
            <w:r>
              <w:rPr>
                <w:rFonts w:ascii="Arial" w:hAnsi="Arial"/>
                <w:b/>
                <w:sz w:val="18"/>
              </w:rPr>
              <w:t>)</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6" w:space="0" w:color="0075C9"/>
            </w:tcBorders>
            <w:tcMar>
              <w:left w:w="28" w:type="dxa"/>
            </w:tcMar>
            <w:vAlign w:val="center"/>
          </w:tcPr>
          <w:p>
            <w:pPr>
              <w:pStyle w:val="TableContents"/>
              <w:bidi w:val="0"/>
              <w:spacing w:before="0" w:after="283"/>
              <w:jc w:val="left"/>
              <w:rPr/>
            </w:pPr>
            <w:r>
              <w:rPr/>
              <w:t> </w:t>
            </w:r>
          </w:p>
        </w:tc>
        <w:tc>
          <w:tcPr>
            <w:tcW w:w="1430" w:type="dxa"/>
            <w:gridSpan w:val="2"/>
            <w:tcBorders>
              <w:left w:val="single" w:sz="6" w:space="0" w:color="0075C9"/>
            </w:tcBorders>
            <w:tcMar>
              <w:left w:w="28" w:type="dxa"/>
            </w:tcMar>
            <w:vAlign w:val="center"/>
          </w:tcPr>
          <w:p>
            <w:pPr>
              <w:pStyle w:val="TableContents"/>
              <w:bidi w:val="0"/>
              <w:spacing w:before="0" w:after="283"/>
              <w:jc w:val="left"/>
              <w:rPr/>
            </w:pPr>
            <w:r>
              <w:rPr/>
              <w:t> </w:t>
            </w:r>
          </w:p>
        </w:tc>
        <w:tc>
          <w:tcPr>
            <w:tcW w:w="2390" w:type="dxa"/>
            <w:gridSpan w:val="2"/>
            <w:tcBorders>
              <w:left w:val="single" w:sz="6" w:space="0" w:color="0075C9"/>
            </w:tcBorders>
            <w:tcMar>
              <w:left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jc w:val="center"/>
              <w:rPr>
                <w:rFonts w:ascii="Arial" w:hAnsi="Arial"/>
                <w:b/>
                <w:color w:val="0075C9"/>
                <w:sz w:val="20"/>
              </w:rPr>
            </w:pPr>
            <w:r>
              <w:rPr>
                <w:rFonts w:ascii="Arial" w:hAnsi="Arial"/>
                <w:b/>
                <w:color w:val="0075C9"/>
                <w:sz w:val="20"/>
              </w:rPr>
              <w:t>$331.8 billion</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color w:val="0075C9"/>
              </w:rPr>
            </w:pPr>
            <w:r>
              <w:rPr>
                <w:b/>
                <w:color w:val="0075C9"/>
              </w:rPr>
              <w:t>$155.2 billion</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color w:val="0075C9"/>
              </w:rPr>
            </w:pPr>
            <w:r>
              <w:rPr>
                <w:b/>
                <w:color w:val="0075C9"/>
              </w:rPr>
              <w:t>$133.7 billion</w:t>
            </w:r>
          </w:p>
        </w:tc>
        <w:tc>
          <w:tcPr>
            <w:tcW w:w="60" w:type="dxa"/>
            <w:tcBorders>
              <w:left w:val="single" w:sz="6" w:space="0" w:color="0075C9"/>
            </w:tcBorders>
            <w:tcMar>
              <w:left w:w="28" w:type="dxa"/>
            </w:tcMar>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center"/>
              <w:rPr>
                <w:b/>
                <w:color w:val="0075C9"/>
              </w:rPr>
            </w:pPr>
            <w:r>
              <w:rPr>
                <w:b/>
                <w:color w:val="0075C9"/>
              </w:rPr>
              <w:t>$17.95</w:t>
            </w:r>
          </w:p>
        </w:tc>
      </w:tr>
    </w:tbl>
    <w:p>
      <w:pPr>
        <w:pStyle w:val="TextBody"/>
        <w:bidi w:val="0"/>
        <w:spacing w:before="120" w:after="0"/>
        <w:jc w:val="left"/>
        <w:rPr>
          <w:rFonts w:ascii="Arial" w:hAnsi="Arial"/>
          <w:sz w:val="18"/>
        </w:rPr>
      </w:pPr>
      <w:r>
        <w:rPr>
          <w:rFonts w:ascii="Arial" w:hAnsi="Arial"/>
          <w:sz w:val="18"/>
        </w:rPr>
        <w:t xml:space="preserve">Highlights from fiscal year 2026 include the following metrics.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125"/>
        <w:gridCol w:w="60"/>
        <w:gridCol w:w="4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Microsoft Cloud revenue increased 27% to $214.4 billion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125"/>
        <w:gridCol w:w="60"/>
        <w:gridCol w:w="63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Arial" w:hAnsi="Arial"/>
                <w:sz w:val="18"/>
              </w:rPr>
            </w:pPr>
            <w:r>
              <w:rPr>
                <w:rFonts w:ascii="Arial" w:hAnsi="Arial"/>
                <w:sz w:val="18"/>
              </w:rPr>
              <w:t xml:space="preserve">Commercial remaining performance obligation increased 84% to $678 billion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125"/>
        <w:gridCol w:w="60"/>
        <w:gridCol w:w="4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Arial" w:hAnsi="Arial"/>
                <w:sz w:val="18"/>
              </w:rPr>
            </w:pPr>
            <w:r>
              <w:rPr>
                <w:rFonts w:ascii="Arial" w:hAnsi="Arial"/>
                <w:sz w:val="18"/>
              </w:rPr>
              <w:t xml:space="preserve">Microsoft 365 Commercial cloud revenue increased 17%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125"/>
        <w:gridCol w:w="60"/>
        <w:gridCol w:w="45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Arial" w:hAnsi="Arial"/>
                <w:sz w:val="18"/>
              </w:rPr>
            </w:pPr>
            <w:r>
              <w:rPr>
                <w:rFonts w:ascii="Arial" w:hAnsi="Arial"/>
                <w:sz w:val="18"/>
              </w:rPr>
              <w:t xml:space="preserve">Microsoft 365 Consumer cloud revenue increased 28%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125"/>
        <w:gridCol w:w="60"/>
        <w:gridCol w:w="27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sz w:val="18"/>
              </w:rPr>
            </w:pPr>
            <w:r>
              <w:rPr>
                <w:rFonts w:ascii="Arial" w:hAnsi="Arial"/>
                <w:sz w:val="18"/>
              </w:rPr>
              <w:t xml:space="preserve">Linkedln revenue increased 11%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125"/>
        <w:gridCol w:w="60"/>
        <w:gridCol w:w="32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Arial" w:hAnsi="Arial"/>
                <w:sz w:val="18"/>
              </w:rPr>
            </w:pPr>
            <w:r>
              <w:rPr>
                <w:rFonts w:ascii="Arial" w:hAnsi="Arial"/>
                <w:sz w:val="18"/>
              </w:rPr>
              <w:t xml:space="preserve">Dynamics 365 revenue increased 18%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sz w:val="18"/>
              </w:rPr>
            </w:pPr>
            <w:r>
              <w:rPr>
                <w:rFonts w:ascii="Arial" w:hAnsi="Arial"/>
                <w:sz w:val="18"/>
              </w:rPr>
              <w:t xml:space="preserve">Azure and other cloud services revenue increased 41%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125"/>
        <w:gridCol w:w="60"/>
        <w:gridCol w:w="45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0"/>
              <w:jc w:val="left"/>
              <w:rPr>
                <w:rFonts w:ascii="Arial" w:hAnsi="Arial"/>
                <w:sz w:val="18"/>
              </w:rPr>
            </w:pPr>
            <w:r>
              <w:rPr>
                <w:rFonts w:ascii="Arial" w:hAnsi="Arial"/>
                <w:sz w:val="18"/>
              </w:rPr>
              <w:t xml:space="preserve">Windows OEM and Devices revenue decreased slightly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Arial" w:hAnsi="Arial"/>
                <w:sz w:val="18"/>
              </w:rPr>
            </w:pPr>
            <w:r>
              <w:rPr>
                <w:rFonts w:ascii="Arial" w:hAnsi="Arial"/>
                <w:sz w:val="18"/>
              </w:rPr>
              <w:t xml:space="preserve">XBOX content and services revenue decreased 5%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25"/>
        <w:gridCol w:w="60"/>
        <w:gridCol w:w="95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18"/>
              </w:rPr>
            </w:pPr>
            <w:r>
              <w:rPr>
                <w:rFonts w:ascii="Arial" w:hAnsi="Arial"/>
                <w:sz w:val="18"/>
              </w:rPr>
              <w:t xml:space="preserve">Search advertising (formerly Search and news advertising) revenue excluding traffic acquisition costs increased 12%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Superior Shareholder Returns </w:t>
      </w:r>
    </w:p>
    <w:p>
      <w:pPr>
        <w:pStyle w:val="TextBody"/>
        <w:bidi w:val="0"/>
        <w:spacing w:before="0" w:after="0"/>
        <w:jc w:val="left"/>
        <w:rPr/>
      </w:pPr>
      <w:r>
        <w:rPr/>
        <w:t> </w:t>
      </w:r>
    </w:p>
    <w:tbl>
      <w:tblPr>
        <w:tblW w:w="9916" w:type="dxa"/>
        <w:jc w:val="left"/>
        <w:tblInd w:w="0" w:type="dxa"/>
        <w:tblLayout w:type="fixed"/>
        <w:tblCellMar>
          <w:top w:w="0" w:type="dxa"/>
          <w:left w:w="0" w:type="dxa"/>
          <w:bottom w:w="0" w:type="dxa"/>
          <w:right w:w="0" w:type="dxa"/>
        </w:tblCellMar>
      </w:tblPr>
      <w:tblGrid>
        <w:gridCol w:w="9916"/>
      </w:tblGrid>
      <w:tr>
        <w:trPr/>
        <w:tc>
          <w:tcPr>
            <w:tcW w:w="9916" w:type="dxa"/>
            <w:tcBorders/>
            <w:vAlign w:val="center"/>
          </w:tcPr>
          <w:p>
            <w:pPr>
              <w:pStyle w:val="TableContents"/>
              <w:bidi w:val="0"/>
              <w:spacing w:before="0" w:after="283"/>
              <w:jc w:val="left"/>
              <w:rPr>
                <w:sz w:val="4"/>
                <w:szCs w:val="4"/>
              </w:rPr>
            </w:pPr>
            <w:r>
              <w:rPr>
                <w:sz w:val="4"/>
                <w:szCs w:val="4"/>
              </w:rPr>
            </w:r>
          </w:p>
        </w:tc>
      </w:tr>
      <w:tr>
        <w:trPr/>
        <w:tc>
          <w:tcPr>
            <w:tcW w:w="9916" w:type="dxa"/>
            <w:tcBorders/>
            <w:vAlign w:val="center"/>
          </w:tcPr>
          <w:p>
            <w:pPr>
              <w:pStyle w:val="TableContents"/>
              <w:bidi w:val="0"/>
              <w:spacing w:before="0" w:after="0"/>
              <w:jc w:val="center"/>
              <w:rPr>
                <w:rFonts w:ascii="Arial" w:hAnsi="Arial"/>
                <w:b/>
                <w:sz w:val="18"/>
              </w:rPr>
            </w:pPr>
            <w:r>
              <w:rPr>
                <w:rFonts w:ascii="Arial" w:hAnsi="Arial"/>
                <w:b/>
                <w:sz w:val="18"/>
              </w:rPr>
              <w:t>Cumulative Total Shareholder Return</w:t>
            </w:r>
          </w:p>
          <w:p>
            <w:pPr>
              <w:pStyle w:val="TableContents"/>
              <w:bidi w:val="0"/>
              <w:spacing w:before="0" w:after="0"/>
              <w:jc w:val="center"/>
              <w:rPr>
                <w:rFonts w:ascii="Arial" w:hAnsi="Arial"/>
                <w:b/>
                <w:sz w:val="18"/>
              </w:rPr>
            </w:pPr>
            <w:r>
              <w:rPr>
                <w:rFonts w:ascii="Arial" w:hAnsi="Arial"/>
                <w:b/>
                <w:sz w:val="18"/>
              </w:rPr>
              <w:t>During Mr. Nadella’s CEO Tenure: MSFT vs. S&amp;P 500</w:t>
            </w:r>
          </w:p>
          <w:p>
            <w:pPr>
              <w:pStyle w:val="TableContents"/>
              <w:bidi w:val="0"/>
              <w:spacing w:before="0" w:after="20"/>
              <w:jc w:val="center"/>
              <w:rPr>
                <w:rFonts w:ascii="Arial" w:hAnsi="Arial"/>
                <w:sz w:val="16"/>
              </w:rPr>
            </w:pPr>
            <w:r>
              <w:rPr>
                <w:rFonts w:ascii="Arial" w:hAnsi="Arial"/>
                <w:sz w:val="16"/>
              </w:rPr>
              <w:t>February 4, 2014 through June 30, 2026</w:t>
            </w:r>
          </w:p>
        </w:tc>
      </w:tr>
      <w:tr>
        <w:trPr/>
        <w:tc>
          <w:tcPr>
            <w:tcW w:w="9916" w:type="dxa"/>
            <w:tcBorders/>
            <w:vAlign w:val="center"/>
          </w:tcPr>
          <w:p>
            <w:pPr>
              <w:pStyle w:val="TableContents"/>
              <w:bidi w:val="0"/>
              <w:spacing w:before="0" w:after="283"/>
              <w:jc w:val="center"/>
              <w:rPr/>
            </w:pPr>
            <w:r>
              <w:rPr/>
              <w:drawing>
                <wp:inline distT="0" distB="0" distL="0" distR="0">
                  <wp:extent cx="6239510" cy="244538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6239510" cy="2445385"/>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0075C9"/>
          <w:sz w:val="20"/>
        </w:rPr>
      </w:pPr>
      <w:r>
        <w:rPr>
          <w:rFonts w:ascii="Arial" w:hAnsi="Arial"/>
          <w:b/>
          <w:color w:val="0075C9"/>
          <w:sz w:val="20"/>
        </w:rPr>
        <w:t xml:space="preserve">Driving Business Success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53380" cy="1813560"/>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5453380" cy="1813560"/>
                    </a:xfrm>
                    <a:prstGeom prst="rect">
                      <a:avLst/>
                    </a:prstGeom>
                  </pic:spPr>
                </pic:pic>
              </a:graphicData>
            </a:graphic>
          </wp:inline>
        </w:drawing>
      </w:r>
      <w:r>
        <w:rPr/>
        <w:t xml:space="preserve"> </w:t>
      </w:r>
    </w:p>
    <w:p>
      <w:pPr>
        <w:pStyle w:val="TextBody"/>
        <w:bidi w:val="0"/>
        <w:spacing w:before="240" w:after="0"/>
        <w:jc w:val="left"/>
        <w:rPr>
          <w:rFonts w:ascii="Arial" w:hAnsi="Arial"/>
          <w:b/>
          <w:color w:val="0075C9"/>
          <w:sz w:val="20"/>
        </w:rPr>
      </w:pPr>
      <w:r>
        <w:rPr>
          <w:rFonts w:ascii="Arial" w:hAnsi="Arial"/>
          <w:b/>
          <w:color w:val="0075C9"/>
          <w:sz w:val="20"/>
        </w:rPr>
        <w:t xml:space="preserve">Continued Innovation and Growth </w:t>
      </w:r>
    </w:p>
    <w:p>
      <w:pPr>
        <w:pStyle w:val="TextBody"/>
        <w:bidi w:val="0"/>
        <w:spacing w:before="120" w:after="0"/>
        <w:jc w:val="left"/>
        <w:rPr>
          <w:rFonts w:ascii="Arial" w:hAnsi="Arial"/>
          <w:sz w:val="18"/>
        </w:rPr>
      </w:pPr>
      <w:r>
        <w:rPr>
          <w:rFonts w:ascii="Arial" w:hAnsi="Arial"/>
          <w:sz w:val="18"/>
        </w:rPr>
        <w:t xml:space="preserve">Since his appointment as Chief Executive Officer in 2014, Satya Nadella has led the Company’s mission to empower every person and every organization on the planet to achieve more. Under his leadership, Microsoft has strengthened its strategic position by helping customers navigate profound technological change and accelerating innovation across the Company. Mr. Nadella’s tenure has been marked by exceptional, sustained financial performance. Over 12 years, Microsoft nearly quadrupled revenue from $86.8 billion to $331.8 billion, increased net income more than sixfold from $22.1 billion to $133.7 billion, and expanded diluted earnings per share nearly sevenfold from $2.63 to $17.95, delivering annual compounded growth across these three metrics of 11.8%, 16.2%, and 17.4%, respectively. This sustained operating performance has contributed to significant value creation for long-term shareholders. Microsoft has transformed its culture, strengthened its commitment to innovation and customer success, and developed a broad technology ecosystem that uniquely connects cloud, security, productivity software, and artificial intelligence (“AI”). The examples below illustrate how Mr. Nadella’s strategic priorities and disciplined execution have translated into durable competitive advantages, expanded Microsoft’s addressable market, strengthened customer relationships, and delivered measurable business outcomes.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32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b/>
          <w:sz w:val="18"/>
        </w:rPr>
        <w:t>Security and Trust.</w:t>
      </w:r>
      <w:r>
        <w:rPr>
          <w:rFonts w:ascii="Arial" w:hAnsi="Arial"/>
          <w:sz w:val="18"/>
        </w:rPr>
        <w:t xml:space="preserve"> Mr. Nadella and our senior leaders prioritized continued innovation at the intersection of AI, security, privacy, and compliance. As cyber threats have grown in scale and sophistication, security has remained a core priority across Microsoft’s products, platforms, and operations, including through the Secure Future Initiative. Microsoft serves approximately 1.6 million security customers, with more than one million customers using four or more Microsoft security workloads, demonstrating customers’ increasing reliance on Microsoft as a strategic security provider and validating the Company’s integrated platform approach. Drawing on signals across the Microsoft ecosystem, the Company is using AI to both strengthen customers’ security postures and help secure their AI deployments. During fiscal year 2026, Microsoft introduced Project Perception, a multi-model agentic security system designed to simulate attacks, investigate threats, and accelerate remediation, and security triage agents handles millions of alerts, helping automate high-volume security workflows and improving the speed and scale at which customers can detect and respond to threats. Microsoft is also enabling customers to adopt AI with confidence through Microsoft Purview, which provides robust tools for data security, data governance, and data compliance and has audited more than 50 billion Copilot interactions to support customers’ compliance obligations. These capabilities reinforce Microsoft’s position as a trusted technology provider and support customer adoption of AI by addressing security, compliance, and governance requirements that are critical to enterprise deployment at scale. Microsoft also provides consumers with robust protections including through the Microsoft privacy dashboard, which has an average of 2.7 million monthly users, demonstrating active engagement and global use. </w:t>
      </w:r>
    </w:p>
    <w:p>
      <w:pPr>
        <w:pStyle w:val="TextBody"/>
        <w:bidi w:val="0"/>
        <w:spacing w:before="120" w:after="0"/>
        <w:jc w:val="left"/>
        <w:rPr>
          <w:rFonts w:ascii="Arial" w:hAnsi="Arial"/>
          <w:sz w:val="18"/>
        </w:rPr>
      </w:pPr>
      <w:r>
        <w:rPr>
          <w:rFonts w:ascii="Arial" w:hAnsi="Arial"/>
          <w:b/>
          <w:sz w:val="18"/>
        </w:rPr>
        <w:t>Platform and Infrastructure.</w:t>
      </w:r>
      <w:r>
        <w:rPr>
          <w:rFonts w:ascii="Arial" w:hAnsi="Arial"/>
          <w:sz w:val="18"/>
        </w:rPr>
        <w:t xml:space="preserve"> Microsoft’s cloud and AI infrastructure development reflect Microsoft’s long-term strategic choice to build the platform capacity required for enterprise AI adoption through the construction of one of the world’s largest and most sophisticated technology platforms. To support that increasing customer demand, Microsoft has continued to aggressively expand its global infrastructure footprint, adding 88 datacenters during the fiscal year, including 31 in the fourth quarter alone, while improving deployment efficiency and accelerating the availability of new computing resources. This expansion increased Microsoft’s capacity to serve cloud and AI demand and accelerated the pace at which new capacity became available for customer use. </w:t>
      </w:r>
    </w:p>
    <w:p>
      <w:pPr>
        <w:pStyle w:val="TextBody"/>
        <w:bidi w:val="0"/>
        <w:spacing w:before="120" w:after="0"/>
        <w:jc w:val="left"/>
        <w:rPr>
          <w:rFonts w:ascii="Arial" w:hAnsi="Arial"/>
          <w:sz w:val="18"/>
        </w:rPr>
      </w:pPr>
      <w:r>
        <w:rPr>
          <w:rFonts w:ascii="Arial" w:hAnsi="Arial"/>
          <w:sz w:val="18"/>
        </w:rPr>
        <w:t xml:space="preserve">Microsoft’s platform differentiation extends beyond scale. Mr. Nadella and our senior leaders have focused the Company on continuous innovation across silicon, systems, software, sovereignty, and model choice to improve performance, flexibility, and efficiency for customers. This full-stack approach helps Microsoft manage supply constraints, optimize workload performance, and give customers more deployment options. Microsoft has also invested in proprietary technologies, including Maia 200 and Cobalt 200, alongside the latest offerings from NVIDIA and AMD, creating a diverse and optimized foundation for AI workloads. These investments, combined with ongoing software and infrastructure optimization, improved inference throughput by 40% for Microsoft’s most-used AI models and increased throughput for Copilot workloads fourfold, enhancing the Company’s ability to scale AI services efficiently as customer adoption continues to accelerate. </w:t>
      </w:r>
    </w:p>
    <w:p>
      <w:pPr>
        <w:pStyle w:val="TextBody"/>
        <w:bidi w:val="0"/>
        <w:spacing w:before="120" w:after="0"/>
        <w:jc w:val="left"/>
        <w:rPr>
          <w:rFonts w:ascii="Arial" w:hAnsi="Arial"/>
          <w:sz w:val="18"/>
        </w:rPr>
      </w:pPr>
      <w:r>
        <w:rPr>
          <w:rFonts w:ascii="Arial" w:hAnsi="Arial"/>
          <w:sz w:val="18"/>
        </w:rPr>
        <w:t xml:space="preserve">Beyond infrastructure, Microsoft is building the enterprise AI stack required for customers to deploy AI responsibly and at scale. Fabric surpassed 40,000 paid customers enabling them to connect agents to real-time operational, analytical, and unstructured data, while Foundry reached 100,000 customers and more than doubled revenue year-over-year. Foundry provides customers with access to more than 11,000 models, including offerings from OpenAI, Anthropic, Mistral, xAI, and Microsoft’s own MAI family. This breadth of model choice enables customers to select solutions based on quality, latency, cost, sovereignty, and compliance requirements, while reinforcing Microsoft’s position as an open and flexible enterprise AI platform. Together with Agent 365, which is helping tens of thousands of companies manage tens of millions of agents, and Microsoft’s broader governance capabilities, these platforms help customers integrate AI into business processes while retaining control of their data, workflows, and intellectual property. </w:t>
      </w:r>
    </w:p>
    <w:p>
      <w:pPr>
        <w:pStyle w:val="TextBody"/>
        <w:bidi w:val="0"/>
        <w:spacing w:before="120" w:after="0"/>
        <w:jc w:val="left"/>
        <w:rPr>
          <w:rFonts w:ascii="Arial" w:hAnsi="Arial"/>
          <w:sz w:val="18"/>
        </w:rPr>
      </w:pPr>
      <w:r>
        <w:rPr>
          <w:rFonts w:ascii="Arial" w:hAnsi="Arial"/>
          <w:sz w:val="18"/>
        </w:rPr>
        <w:t xml:space="preserve">The combination of infrastructure, model choice, governance, and agent management creates a differentiated enterprise AI ecosystem designed to support customer adoption across a broad range of workloads and deployment requirements. </w:t>
      </w:r>
    </w:p>
    <w:p>
      <w:pPr>
        <w:pStyle w:val="TextBody"/>
        <w:bidi w:val="0"/>
        <w:spacing w:before="120" w:after="0"/>
        <w:jc w:val="left"/>
        <w:rPr>
          <w:rFonts w:ascii="Arial" w:hAnsi="Arial"/>
          <w:sz w:val="18"/>
        </w:rPr>
      </w:pPr>
      <w:r>
        <w:rPr>
          <w:rFonts w:ascii="Arial" w:hAnsi="Arial"/>
          <w:b/>
          <w:sz w:val="18"/>
        </w:rPr>
        <w:t>Applications and Agents.</w:t>
      </w:r>
      <w:r>
        <w:rPr>
          <w:rFonts w:ascii="Arial" w:hAnsi="Arial"/>
          <w:sz w:val="18"/>
        </w:rPr>
        <w:t xml:space="preserve"> Mr. Nadella and our senior leaders have focused Microsoft on delivering applications and agentic systems that help customers improve productivity, accelerate innovation, and achieve measurable business outcomes. Through Microsoft 365, Microsoft is helping customers work more effectively, collaborate more seamlessly, and realize greater value from their technology investments. With more than 450 million paid commercial seats and growing adoption of premium offerings, Microsoft continues to embed these innovations into customers’ daily workflows. </w:t>
      </w:r>
    </w:p>
    <w:p>
      <w:pPr>
        <w:pStyle w:val="TextBody"/>
        <w:bidi w:val="0"/>
        <w:spacing w:before="120" w:after="0"/>
        <w:jc w:val="left"/>
        <w:rPr>
          <w:rFonts w:ascii="Arial" w:hAnsi="Arial"/>
          <w:sz w:val="18"/>
        </w:rPr>
      </w:pPr>
      <w:r>
        <w:rPr>
          <w:rFonts w:ascii="Arial" w:hAnsi="Arial"/>
          <w:sz w:val="18"/>
        </w:rPr>
        <w:t xml:space="preserve">Microsoft 365 Copilot adoption continued to accelerate during fiscal year 2026, surpassing 30 million paid seats. The scale of adoption reflects growing customer confidence in Microsoft’s ability to deliver enterprise-ready AI capabilities integrated directly into existing workflows. Microsoft also delivered 625 Copilot updates during the year, reflecting its rapid pace of innovation and commitment to customer feedback. Customer engagement and satisfaction increased as Microsoft enhanced performance and expanded capabilities. Large-scale enterprise deployments accelerated across industries, with the number of customers deploying Copilot broadly across their organizations continuing to increase as Copilot evolved from an AI assistant into a platform for agentic work.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Microsoft’s application-layer innovation extends beyond Microsoft 365 Copilot. GitHub now has 225 million users, with 50 million using Copilot, and one in three pull requests involving an agent. Microsoft also expanded industry-specific AI offerings, including Dragon Copilot for healthcare, which is being used by over 100,000 healthcare providers to help automate administrative and clinical workflows. Together, these examples demonstrate Microsoft’s ability to translate platform investments into widely adopted applications that improve customer productivity, accelerate software development, and create new opportunities for long-term growth. </w:t>
      </w:r>
    </w:p>
    <w:p>
      <w:pPr>
        <w:pStyle w:val="TextBody"/>
        <w:bidi w:val="0"/>
        <w:spacing w:before="120" w:after="0"/>
        <w:jc w:val="left"/>
        <w:rPr>
          <w:rFonts w:ascii="Arial" w:hAnsi="Arial"/>
          <w:sz w:val="18"/>
        </w:rPr>
      </w:pPr>
      <w:r>
        <w:rPr>
          <w:rFonts w:ascii="Arial" w:hAnsi="Arial"/>
          <w:b/>
          <w:sz w:val="18"/>
        </w:rPr>
        <w:t xml:space="preserve">Advertising, LinkedIn, and XBOX. </w:t>
      </w:r>
      <w:r>
        <w:rPr>
          <w:rFonts w:ascii="Arial" w:hAnsi="Arial"/>
          <w:sz w:val="18"/>
        </w:rPr>
        <w:t xml:space="preserve">Microsoft’s consumer-facing businesses further demonstrate the Company’s ability to pair technological innovation with broad global reach. In Search advertising, Bing and Edge have gained share for five consecutive years. Bing reached one billion monthly active users for the first time during fiscal year 2026, while Edge continued its sustained market share gains. Search advertising revenue excluding traffic acquisition costs increased 10% in the fourth quarter, driven by higher revenue per search and search volume. Microsoft also continues investing in Windows as a leading platform for secure edge AI. Windows powers more than 1.6 billion active devices worldwide, combining powerful on-device computing with enterprise-grade security to help customers benefit from AI wherever work occurs. LinkedIn remains an important component of Microsoft’s ecosystem and continued to generate strong engagement, achieving double-digit member growth for the fifth consecutive year. With over 1.3 billion members worldwide, LinkedIn is one of the world’s largest professional networks and recruiters at more than 20,000 companies now use Microsoft’s AI-powered hiring solutions. In XBOX, Microsoft is taking the actions required across its content portfolio, platform, and operations to reset the business for long-term growth. </w:t>
      </w:r>
    </w:p>
    <w:p>
      <w:pPr>
        <w:pStyle w:val="TextBody"/>
        <w:bidi w:val="0"/>
        <w:spacing w:before="240" w:after="0"/>
        <w:jc w:val="left"/>
        <w:rPr>
          <w:rFonts w:ascii="Arial" w:hAnsi="Arial"/>
          <w:b/>
          <w:sz w:val="20"/>
        </w:rPr>
      </w:pPr>
      <w:r>
        <w:rPr>
          <w:rFonts w:ascii="Arial" w:hAnsi="Arial"/>
          <w:b/>
          <w:sz w:val="20"/>
        </w:rPr>
        <w:t xml:space="preserve">Corporate Leadership </w:t>
      </w:r>
    </w:p>
    <w:p>
      <w:pPr>
        <w:pStyle w:val="TextBody"/>
        <w:bidi w:val="0"/>
        <w:spacing w:before="120" w:after="0"/>
        <w:jc w:val="left"/>
        <w:rPr>
          <w:rFonts w:ascii="Arial" w:hAnsi="Arial"/>
          <w:sz w:val="18"/>
        </w:rPr>
      </w:pPr>
      <w:r>
        <w:rPr>
          <w:rFonts w:ascii="Arial" w:hAnsi="Arial"/>
          <w:sz w:val="18"/>
        </w:rPr>
        <w:t xml:space="preserve">Taken together, these accomplishments reflect Mr. Nadella’s guidance through a period of extraordinary technological change. By fostering a culture centered on innovation, learning, accountability, and customer success, Mr. Nadella has helped Microsoft anticipate major platform shifts, allocate capital toward long-term opportunities, and execute across infrastructure, platforms, applications, and consumer experiences. At the same time, Microsoft’s efforts to advance technology and support customers are guided by our broader responsibilities to society. As AI becomes increasingly central to the global economy, Microsoft’s leadership has focused not only on advancing AI innovation, but also on helping ensure AI is developed and deployed responsibly, securely, and in a manner that protects privacy and fundamental rights. Consistent with its mission, Microsoft seeks to expand opportunity, earn trust, and advance sustainability through the products and services it provides. We provide extensive public reporting on these matters at </w:t>
      </w:r>
      <w:r>
        <w:rPr>
          <w:rFonts w:ascii="Arial" w:hAnsi="Arial"/>
          <w:sz w:val="18"/>
          <w:u w:val="single"/>
        </w:rPr>
        <w:t>microsoft.com/trust-center</w:t>
      </w:r>
      <w:r>
        <w:rPr>
          <w:rFonts w:ascii="Arial" w:hAnsi="Arial"/>
          <w:sz w:val="18"/>
        </w:rPr>
        <w:t xml:space="preserve"> and </w:t>
      </w:r>
      <w:r>
        <w:rPr>
          <w:rFonts w:ascii="Arial" w:hAnsi="Arial"/>
          <w:sz w:val="18"/>
          <w:u w:val="single"/>
        </w:rPr>
        <w:t>microsoft.com/transparency</w:t>
      </w:r>
      <w:r>
        <w:rPr>
          <w:rFonts w:ascii="Arial" w:hAnsi="Arial"/>
          <w:sz w:val="18"/>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5" w:name="toc61756_13"/>
      <w:bookmarkEnd w:id="15"/>
      <w:r>
        <w:rPr>
          <w:rFonts w:ascii="Arial" w:hAnsi="Arial"/>
          <w:b/>
          <w:color w:val="0075C9"/>
          <w:sz w:val="28"/>
        </w:rPr>
        <w:t xml:space="preserve">Section 2 – Executive Compensation Program </w:t>
      </w:r>
    </w:p>
    <w:p>
      <w:pPr>
        <w:pStyle w:val="TextBody"/>
        <w:bidi w:val="0"/>
        <w:spacing w:before="120" w:after="0"/>
        <w:jc w:val="left"/>
        <w:rPr>
          <w:rFonts w:ascii="Arial" w:hAnsi="Arial"/>
          <w:b/>
          <w:sz w:val="24"/>
        </w:rPr>
      </w:pPr>
      <w:r>
        <w:rPr>
          <w:rFonts w:ascii="Arial" w:hAnsi="Arial"/>
          <w:b/>
          <w:sz w:val="24"/>
        </w:rPr>
        <w:t xml:space="preserve">Executive Compensation Philosophy </w:t>
      </w:r>
    </w:p>
    <w:p>
      <w:pPr>
        <w:pStyle w:val="TextBody"/>
        <w:bidi w:val="0"/>
        <w:spacing w:before="120" w:after="0"/>
        <w:jc w:val="left"/>
        <w:rPr>
          <w:rFonts w:ascii="Arial" w:hAnsi="Arial"/>
          <w:sz w:val="18"/>
        </w:rPr>
      </w:pPr>
      <w:r>
        <w:rPr>
          <w:rFonts w:ascii="Arial" w:hAnsi="Arial"/>
          <w:sz w:val="18"/>
        </w:rPr>
        <w:t xml:space="preserve">We design our executive compensation program to attract, motivate, and retain the key executives who drive our success and industry leadership while considering Company and individual performance and alignment with the long-term interests of our shareholders. We achieve our objectives through a compensation program that: </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125"/>
        <w:gridCol w:w="60"/>
        <w:gridCol w:w="85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Arial" w:hAnsi="Arial"/>
                <w:sz w:val="18"/>
              </w:rPr>
            </w:pPr>
            <w:r>
              <w:rPr>
                <w:rFonts w:ascii="Arial" w:hAnsi="Arial"/>
                <w:sz w:val="18"/>
              </w:rPr>
              <w:t xml:space="preserve">Provides a competitive total pay opportunity that takes into account our significant scale and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Delivers a majority of our executives’ pay through performance-based incentives, including 100% of our CEO’s stock plan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Provides strong alignment with our shareholders, with 83% of the annual target compensation opportunity for our CEO and 86% of the annual target compensation opportunity for our NEOs (on average) delivered in the form of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Grants equity awards with multi-year vesting or performance requirements to maintain long-term alignment with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Does not encourage unnecessary and excessive risk-taking, assisted by our stock ownership policy and executive compensation recovery (“clawback”) policy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34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Compensation Best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28"/>
        <w:gridCol w:w="120"/>
        <w:gridCol w:w="3357"/>
      </w:tblGrid>
      <w:tr>
        <w:trPr/>
        <w:tc>
          <w:tcPr>
            <w:tcW w:w="67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6728" w:type="dxa"/>
            <w:tcBorders/>
            <w:vAlign w:val="center"/>
          </w:tcPr>
          <w:p>
            <w:pPr>
              <w:pStyle w:val="TableContents"/>
              <w:bidi w:val="0"/>
              <w:spacing w:before="0" w:after="0"/>
              <w:jc w:val="center"/>
              <w:rPr>
                <w:rFonts w:ascii="Arial" w:hAnsi="Arial"/>
                <w:b/>
                <w:sz w:val="18"/>
              </w:rPr>
            </w:pPr>
            <w:r>
              <w:rPr>
                <w:rFonts w:ascii="Arial" w:hAnsi="Arial"/>
                <w:b/>
                <w:sz w:val="18"/>
              </w:rPr>
              <w:t>What We Do</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center"/>
              <w:rPr>
                <w:rFonts w:ascii="Arial" w:hAnsi="Arial"/>
                <w:b/>
                <w:sz w:val="18"/>
              </w:rPr>
            </w:pPr>
            <w:r>
              <w:rPr>
                <w:rFonts w:ascii="Arial" w:hAnsi="Arial"/>
                <w:b/>
                <w:sz w:val="18"/>
              </w:rPr>
              <w:t>What We Don’t Do</w:t>
            </w:r>
          </w:p>
          <w:p>
            <w:pPr>
              <w:pStyle w:val="TableContents"/>
              <w:bidi w:val="0"/>
              <w:spacing w:before="0" w:after="20"/>
              <w:jc w:val="left"/>
              <w:rPr/>
            </w:pPr>
            <w:r>
              <w:rPr/>
              <w:t> </w:t>
            </w:r>
          </w:p>
        </w:tc>
      </w:tr>
      <w:tr>
        <w:trPr/>
        <w:tc>
          <w:tcPr>
            <w:tcW w:w="6728"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Maintain a robust stock ownership policy that reinforces the alignment of executive officer and shareholder interests (including requiring stock ownership of 15x base salary for our CEO)</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Have an executive compensation recovery (“clawback”) policy that allows for recoupment in the event of a restatement or misconduct to ensure accountability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Promote long-term focus through multi-year vesting and performance requirements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Use a combination of absolute and relative performance measures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Prohibit pledging, hedging, and trading in derivatives of Microsoft securities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Retain an independent compensation consultant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Solicit investor feedback on our compensation program and potential enhancements through an extensive shareholder engagement program</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Annual assessment of compensation-related risks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Settle all long-term incentives in Microsoft stock</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extraordinary perquisites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“golden parachute” tax gross-ups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employment agreements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change in control payments or benefits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executive-only pension or supplemental executive retirement plans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guaranteed bonuses, compensation increases, or multi-year equity grants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dividends paid on unvested stock awards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No encouragement of unnecessary and excessive risk taking</w:t>
            </w:r>
          </w:p>
        </w:tc>
      </w:tr>
    </w:tbl>
    <w:p>
      <w:pPr>
        <w:pStyle w:val="TextBody"/>
        <w:bidi w:val="0"/>
        <w:spacing w:before="120" w:after="0"/>
        <w:jc w:val="left"/>
        <w:rPr>
          <w:rFonts w:ascii="Arial" w:hAnsi="Arial"/>
          <w:b/>
          <w:sz w:val="24"/>
        </w:rPr>
      </w:pPr>
      <w:r>
        <w:rPr>
          <w:rFonts w:ascii="Arial" w:hAnsi="Arial"/>
          <w:b/>
          <w:sz w:val="24"/>
        </w:rPr>
        <w:t xml:space="preserve">Shareholder Engagement </w:t>
      </w:r>
    </w:p>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top w:val="single" w:sz="8" w:space="0" w:color="0075C9"/>
              <w:left w:val="single" w:sz="8" w:space="0" w:color="0075C9"/>
            </w:tcBorders>
            <w:tcMar>
              <w:top w:w="28" w:type="dxa"/>
              <w:left w:w="160" w:type="dxa"/>
            </w:tcMar>
            <w:vAlign w:val="center"/>
          </w:tcPr>
          <w:p>
            <w:pPr>
              <w:pStyle w:val="TableContents"/>
              <w:bidi w:val="0"/>
              <w:spacing w:before="0" w:after="283"/>
              <w:jc w:val="left"/>
              <w:rPr/>
            </w:pPr>
            <w:r>
              <w:rPr/>
              <w:t> </w:t>
            </w:r>
          </w:p>
        </w:tc>
        <w:tc>
          <w:tcPr>
            <w:tcW w:w="60" w:type="dxa"/>
            <w:tcBorders>
              <w:top w:val="single" w:sz="8" w:space="0" w:color="0075C9"/>
              <w:bottom w:val="single" w:sz="8" w:space="0" w:color="999999"/>
            </w:tcBorders>
            <w:tcMar>
              <w:top w:w="28" w:type="dxa"/>
              <w:bottom w:w="28" w:type="dxa"/>
            </w:tcMar>
            <w:vAlign w:val="center"/>
          </w:tcPr>
          <w:p>
            <w:pPr>
              <w:pStyle w:val="TableContents"/>
              <w:bidi w:val="0"/>
              <w:spacing w:before="0" w:after="283"/>
              <w:jc w:val="left"/>
              <w:rPr/>
            </w:pPr>
            <w:r>
              <w:rPr/>
              <w:t> </w:t>
            </w:r>
          </w:p>
        </w:tc>
        <w:tc>
          <w:tcPr>
            <w:tcW w:w="9935" w:type="dxa"/>
            <w:tcBorders>
              <w:top w:val="single" w:sz="8" w:space="0" w:color="0075C9"/>
              <w:bottom w:val="single" w:sz="8" w:space="0" w:color="99999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075C9"/>
                <w:sz w:val="24"/>
              </w:rPr>
            </w:pPr>
            <w:r>
              <w:rPr>
                <w:rFonts w:ascii="Arial" w:hAnsi="Arial"/>
                <w:color w:val="0075C9"/>
                <w:sz w:val="24"/>
              </w:rPr>
              <w:t>Engaged with shareholders</w:t>
            </w:r>
          </w:p>
          <w:p>
            <w:pPr>
              <w:pStyle w:val="TableContents"/>
              <w:bidi w:val="0"/>
              <w:spacing w:before="0" w:after="0"/>
              <w:jc w:val="center"/>
              <w:rPr>
                <w:rFonts w:ascii="Arial" w:hAnsi="Arial"/>
                <w:color w:val="0075C9"/>
                <w:sz w:val="24"/>
              </w:rPr>
            </w:pPr>
            <w:r>
              <w:rPr>
                <w:rFonts w:ascii="Arial" w:hAnsi="Arial"/>
                <w:color w:val="0075C9"/>
                <w:sz w:val="24"/>
              </w:rPr>
              <w:t>owning approximately 50%</w:t>
              <w:br/>
              <w:t>of shares in FY26</w:t>
            </w:r>
          </w:p>
          <w:p>
            <w:pPr>
              <w:pStyle w:val="TableContents"/>
              <w:bidi w:val="0"/>
              <w:spacing w:before="0" w:after="20"/>
              <w:jc w:val="left"/>
              <w:rPr/>
            </w:pPr>
            <w:r>
              <w:rPr/>
              <w:t> </w:t>
            </w:r>
          </w:p>
        </w:tc>
        <w:tc>
          <w:tcPr>
            <w:tcW w:w="60" w:type="dxa"/>
            <w:tcBorders>
              <w:top w:val="single" w:sz="8" w:space="0" w:color="0075C9"/>
            </w:tcBorders>
            <w:tcMar>
              <w:top w:w="28" w:type="dxa"/>
            </w:tcMar>
            <w:vAlign w:val="center"/>
          </w:tcPr>
          <w:p>
            <w:pPr>
              <w:pStyle w:val="TableContents"/>
              <w:bidi w:val="0"/>
              <w:spacing w:before="0" w:after="283"/>
              <w:jc w:val="left"/>
              <w:rPr/>
            </w:pPr>
            <w:r>
              <w:rPr/>
              <w:t> </w:t>
            </w:r>
          </w:p>
        </w:tc>
        <w:tc>
          <w:tcPr>
            <w:tcW w:w="75" w:type="dxa"/>
            <w:tcBorders>
              <w:top w:val="single" w:sz="8" w:space="0" w:color="0075C9"/>
              <w:right w:val="single" w:sz="8" w:space="0" w:color="0075C9"/>
            </w:tcBorders>
            <w:tcMar>
              <w:top w:w="28" w:type="dxa"/>
              <w:right w:w="40" w:type="dxa"/>
            </w:tcMar>
            <w:vAlign w:val="center"/>
          </w:tcPr>
          <w:p>
            <w:pPr>
              <w:pStyle w:val="TableContents"/>
              <w:bidi w:val="0"/>
              <w:spacing w:before="0" w:after="283"/>
              <w:jc w:val="left"/>
              <w:rPr/>
            </w:pPr>
            <w:r>
              <w:rPr/>
              <w:t> </w:t>
            </w:r>
          </w:p>
        </w:tc>
      </w:tr>
      <w:tr>
        <w:trPr/>
        <w:tc>
          <w:tcPr>
            <w:tcW w:w="75" w:type="dxa"/>
            <w:tcBorders>
              <w:left w:val="single" w:sz="8" w:space="0" w:color="0075C9"/>
              <w:bottom w:val="single" w:sz="8" w:space="0" w:color="0075C9"/>
            </w:tcBorders>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0075C9"/>
            </w:tcBorders>
            <w:tcMar>
              <w:bottom w:w="28" w:type="dxa"/>
            </w:tcMar>
            <w:vAlign w:val="center"/>
          </w:tcPr>
          <w:p>
            <w:pPr>
              <w:pStyle w:val="TableContents"/>
              <w:bidi w:val="0"/>
              <w:spacing w:before="0" w:after="283"/>
              <w:jc w:val="left"/>
              <w:rPr/>
            </w:pPr>
            <w:r>
              <w:rPr/>
              <w:t> </w:t>
            </w:r>
          </w:p>
        </w:tc>
        <w:tc>
          <w:tcPr>
            <w:tcW w:w="9935" w:type="dxa"/>
            <w:tcBorders>
              <w:bottom w:val="single" w:sz="8"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color w:val="0075C9"/>
                <w:sz w:val="24"/>
              </w:rPr>
            </w:pPr>
            <w:r>
              <w:rPr>
                <w:rFonts w:ascii="Arial" w:hAnsi="Arial"/>
                <w:color w:val="0075C9"/>
                <w:sz w:val="24"/>
              </w:rPr>
              <w:t>Compensation Committee chair and Lead Independent Director regularly engage with large institutional shareholders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075C9"/>
            </w:tcBorders>
            <w:tcMar>
              <w:bottom w:w="28" w:type="dxa"/>
            </w:tcMar>
            <w:vAlign w:val="center"/>
          </w:tcPr>
          <w:p>
            <w:pPr>
              <w:pStyle w:val="TableContents"/>
              <w:bidi w:val="0"/>
              <w:spacing w:before="0" w:after="283"/>
              <w:jc w:val="left"/>
              <w:rPr/>
            </w:pPr>
            <w:r>
              <w:rPr/>
              <w:t> </w:t>
            </w:r>
          </w:p>
        </w:tc>
        <w:tc>
          <w:tcPr>
            <w:tcW w:w="75" w:type="dxa"/>
            <w:tcBorders>
              <w:bottom w:val="single" w:sz="8" w:space="0" w:color="0075C9"/>
              <w:right w:val="single" w:sz="8" w:space="0" w:color="0075C9"/>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Arial" w:hAnsi="Arial"/>
          <w:sz w:val="18"/>
        </w:rPr>
      </w:pPr>
      <w:r>
        <w:rPr>
          <w:rFonts w:ascii="Arial" w:hAnsi="Arial"/>
          <w:sz w:val="18"/>
        </w:rPr>
        <w:t xml:space="preserve">Our executive compensation program is grounded in a compensation philosophy aimed at achieving strong alignment between our long-term strategic goals and our shareholders’ interests. Feedback received from our shareholders through ongoing engagement discussions informs our Compensation Committee’s deliberations as it reviews the incentive structures in place on an ongoing basis. </w:t>
      </w:r>
    </w:p>
    <w:p>
      <w:pPr>
        <w:pStyle w:val="TextBody"/>
        <w:bidi w:val="0"/>
        <w:spacing w:before="120" w:after="0"/>
        <w:jc w:val="left"/>
        <w:rPr>
          <w:rFonts w:ascii="Arial" w:hAnsi="Arial"/>
          <w:sz w:val="18"/>
        </w:rPr>
      </w:pPr>
      <w:r>
        <w:rPr>
          <w:rFonts w:ascii="Arial" w:hAnsi="Arial"/>
          <w:sz w:val="18"/>
        </w:rPr>
        <w:t xml:space="preserve">Our Board and our Compensation Committee deeply value the continued interest of and feedback from our shareholders on our executive compensation program and are committed to maintaining an active dialogue with them to ensure their perspectives are thoughtfully taken into account. </w:t>
      </w:r>
    </w:p>
    <w:p>
      <w:pPr>
        <w:pStyle w:val="TextBody"/>
        <w:bidi w:val="0"/>
        <w:spacing w:before="120" w:after="0"/>
        <w:jc w:val="left"/>
        <w:rPr>
          <w:rFonts w:ascii="Arial" w:hAnsi="Arial"/>
          <w:sz w:val="18"/>
        </w:rPr>
      </w:pPr>
      <w:r>
        <w:rPr>
          <w:rFonts w:ascii="Arial" w:hAnsi="Arial"/>
          <w:sz w:val="18"/>
        </w:rPr>
        <w:t xml:space="preserve">We carefully consider both the level of voting support from our shareholders on our say-on-pay vote, as well as comments from shareholders, when evaluating our executive compensation program. At the 2025 Annual Meeting, over 91% of the votes cast supported our advisory resolution on the compensation of our Named Executives (“say-on-pay” vote). </w:t>
      </w:r>
    </w:p>
    <w:p>
      <w:pPr>
        <w:pStyle w:val="TextBody"/>
        <w:bidi w:val="0"/>
        <w:spacing w:before="120" w:after="0"/>
        <w:jc w:val="left"/>
        <w:rPr>
          <w:rFonts w:ascii="Arial" w:hAnsi="Arial"/>
          <w:sz w:val="18"/>
        </w:rPr>
      </w:pPr>
      <w:r>
        <w:rPr>
          <w:rFonts w:ascii="Arial" w:hAnsi="Arial"/>
          <w:sz w:val="18"/>
        </w:rPr>
        <w:t xml:space="preserve">As in prior years, in fiscal year 2026 we continued our active shareholder engagement program, discussing compensation and a broad range of environmental, social, and governance issues with shareholders representing approximately 50% of our outstanding shares. The Lead Independent Director and Compensation Committee chair also have ongoing consultations on governance and executive compensation topics with a cross-section of Microsoft’s large institutional investors, and in fiscal year 2026, participated in meetings with shareholders representing almost 30% of outstanding shares. </w:t>
      </w:r>
    </w:p>
    <w:p>
      <w:pPr>
        <w:pStyle w:val="TextBody"/>
        <w:bidi w:val="0"/>
        <w:spacing w:before="120" w:after="0"/>
        <w:jc w:val="left"/>
        <w:rPr>
          <w:rFonts w:ascii="Arial" w:hAnsi="Arial"/>
          <w:sz w:val="18"/>
        </w:rPr>
      </w:pPr>
      <w:r>
        <w:rPr>
          <w:rFonts w:ascii="Arial" w:hAnsi="Arial"/>
          <w:sz w:val="18"/>
        </w:rPr>
        <w:t xml:space="preserve">In evaluating our compensation practices in fiscal year 2026, our Compensation Committee was mindful of the support our shareholders expressed for our philosophy and practice of linking executive compensation to operational objectives and shareholder value creation and did not make any substantial changes to our executive compensation program.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6" w:name="toc61756_14"/>
      <w:bookmarkEnd w:id="16"/>
      <w:r>
        <w:rPr>
          <w:rFonts w:ascii="Arial" w:hAnsi="Arial"/>
          <w:b/>
          <w:color w:val="0075C9"/>
          <w:sz w:val="28"/>
        </w:rPr>
        <w:t xml:space="preserve">Section 3 – Pay Setting Governance and Process </w:t>
      </w:r>
    </w:p>
    <w:p>
      <w:pPr>
        <w:pStyle w:val="TextBody"/>
        <w:bidi w:val="0"/>
        <w:spacing w:before="120" w:after="0"/>
        <w:jc w:val="left"/>
        <w:rPr>
          <w:rFonts w:ascii="Arial" w:hAnsi="Arial"/>
          <w:sz w:val="18"/>
        </w:rPr>
      </w:pPr>
      <w:r>
        <w:rPr>
          <w:rFonts w:ascii="Arial" w:hAnsi="Arial"/>
          <w:sz w:val="18"/>
        </w:rPr>
        <w:t xml:space="preserve">Our Compensation Committee establishes the design of our executive compensation program. After considering Mr. Nadella’s recommendations, our Compensation Committee also approves the annual target compensation (base salaries, target cash incentives, and equity incentive compensation) for our Named Executives, except Mr. Nadella. After considering the recommendation of our Compensation Committee, the independent members of our Board approved Mr. Nadella’s base salary, target cash incentive, and target performance stock award (“PSA”), providing no time-based stock awards for fiscal year 2026. </w:t>
      </w:r>
    </w:p>
    <w:p>
      <w:pPr>
        <w:pStyle w:val="TextBody"/>
        <w:bidi w:val="0"/>
        <w:spacing w:before="120" w:after="0"/>
        <w:jc w:val="left"/>
        <w:rPr>
          <w:rFonts w:ascii="Arial" w:hAnsi="Arial"/>
          <w:sz w:val="18"/>
        </w:rPr>
      </w:pPr>
      <w:r>
        <w:rPr>
          <w:rFonts w:ascii="Arial" w:hAnsi="Arial"/>
          <w:sz w:val="18"/>
        </w:rPr>
        <w:t xml:space="preserve">Our Compensation Committee also retains, and seeks the advice of, Pay Governance, an executive compensation consulting firm that is independent of management. See Part 1 – Board of Directors and Governance – Board Committees for more information on Pay Governance’s role and independence as an advisor to the Compensation Committee. </w:t>
      </w:r>
    </w:p>
    <w:p>
      <w:pPr>
        <w:pStyle w:val="TextBody"/>
        <w:bidi w:val="0"/>
        <w:spacing w:before="240" w:after="0"/>
        <w:jc w:val="left"/>
        <w:rPr>
          <w:rFonts w:ascii="Arial" w:hAnsi="Arial"/>
          <w:b/>
          <w:sz w:val="24"/>
        </w:rPr>
      </w:pPr>
      <w:r>
        <w:rPr>
          <w:rFonts w:ascii="Arial" w:hAnsi="Arial"/>
          <w:b/>
          <w:sz w:val="24"/>
        </w:rPr>
        <w:t xml:space="preserve">Competitive Pay </w:t>
      </w:r>
    </w:p>
    <w:p>
      <w:pPr>
        <w:pStyle w:val="TextBody"/>
        <w:bidi w:val="0"/>
        <w:spacing w:before="120" w:after="0"/>
        <w:jc w:val="left"/>
        <w:rPr>
          <w:rFonts w:ascii="Arial" w:hAnsi="Arial"/>
          <w:sz w:val="18"/>
        </w:rPr>
      </w:pPr>
      <w:r>
        <w:rPr>
          <w:rFonts w:ascii="Arial" w:hAnsi="Arial"/>
          <w:sz w:val="18"/>
        </w:rPr>
        <w:t xml:space="preserve">Attracting, retaining, and motivating exceptional executive talent is critical to our long-term success. We compete for leaders in a dynamic and competitive market where organizations are increasingly seeking executives who can lead through technological disruption, capitalize on AI-driven opportunities, and manage complex global businesses. Competition for these individuals is significant and increasing, and compensation levels reflect this demand. We expect these conditions to persist and will continue to evaluate our executive compensation programs to ensure they support the recruitment, retention, and motivation of the leaders necessary to execute our strategy. </w:t>
      </w:r>
    </w:p>
    <w:p>
      <w:pPr>
        <w:pStyle w:val="TextBody"/>
        <w:bidi w:val="0"/>
        <w:spacing w:before="240" w:after="0"/>
        <w:jc w:val="left"/>
        <w:rPr>
          <w:rFonts w:ascii="Arial" w:hAnsi="Arial"/>
          <w:b/>
          <w:sz w:val="24"/>
        </w:rPr>
      </w:pPr>
      <w:r>
        <w:rPr>
          <w:rFonts w:ascii="Arial" w:hAnsi="Arial"/>
          <w:b/>
          <w:sz w:val="24"/>
        </w:rPr>
        <w:t xml:space="preserve">Approach to Compensation Benchmarking </w:t>
      </w:r>
    </w:p>
    <w:p>
      <w:pPr>
        <w:pStyle w:val="TextBody"/>
        <w:bidi w:val="0"/>
        <w:spacing w:before="120" w:after="0"/>
        <w:jc w:val="left"/>
        <w:rPr>
          <w:rFonts w:ascii="Arial" w:hAnsi="Arial"/>
          <w:sz w:val="18"/>
        </w:rPr>
      </w:pPr>
      <w:r>
        <w:rPr>
          <w:rFonts w:ascii="Arial" w:hAnsi="Arial"/>
          <w:sz w:val="18"/>
        </w:rPr>
        <w:t xml:space="preserve">To ensure that our Board and Compensation Committee have current information to set appropriate compensation levels, we conduct an executive compensation market analysis each year that draws from third-party compensation surveys and publicly available data for a group of peer companies. We supplement this analysis with additional market information specific to each executive’s role and responsibilities, including information gleaned from our experience recruiting for executive positions at Microsoft. While this market analysis and supplemental data inform the decisions of the independent members of our Board and our Compensation Committee on the range of compensation opportunities, we do not tie Named Executive compensation to specific market percentiles. Further, because other companies actively recruit our executives to fill CEO and other senior leadership positions, we supplement market information with data on external opportunities potentially available to our executives. We also consider the relationship of annual target compensation among internal peers. </w:t>
      </w:r>
    </w:p>
    <w:p>
      <w:pPr>
        <w:pStyle w:val="TextBody"/>
        <w:bidi w:val="0"/>
        <w:spacing w:before="120" w:after="0"/>
        <w:jc w:val="left"/>
        <w:rPr>
          <w:rFonts w:ascii="Arial" w:hAnsi="Arial"/>
          <w:sz w:val="18"/>
        </w:rPr>
      </w:pPr>
      <w:r>
        <w:rPr>
          <w:rFonts w:ascii="Arial" w:hAnsi="Arial"/>
          <w:sz w:val="18"/>
        </w:rPr>
        <w:t xml:space="preserve">In setting our fiscal year 2026 compensation program design and compensation levels applicable to Named Executives, we considered pay practices at the largest technology companies. The Compensation Committee believes these companies’ executives have comparably complex roles and responsibilities. Even so, our scale is multiple times larger than our median peer as shown in the charts below. </w:t>
      </w:r>
    </w:p>
    <w:p>
      <w:pPr>
        <w:pStyle w:val="TextBody"/>
        <w:bidi w:val="0"/>
        <w:spacing w:before="240" w:after="0"/>
        <w:jc w:val="left"/>
        <w:rPr>
          <w:rFonts w:ascii="Arial" w:hAnsi="Arial"/>
          <w:b/>
          <w:sz w:val="24"/>
        </w:rPr>
      </w:pPr>
      <w:r>
        <w:rPr>
          <w:rFonts w:ascii="Arial" w:hAnsi="Arial"/>
          <w:b/>
          <w:sz w:val="24"/>
        </w:rPr>
        <w:t xml:space="preserve">Peer Group Used for Fiscal Year 2026 Pay Analysis </w:t>
      </w:r>
    </w:p>
    <w:p>
      <w:pPr>
        <w:pStyle w:val="TextBody"/>
        <w:bidi w:val="0"/>
        <w:spacing w:before="120" w:after="0"/>
        <w:jc w:val="left"/>
        <w:rPr>
          <w:rFonts w:ascii="Arial" w:hAnsi="Arial"/>
          <w:sz w:val="18"/>
        </w:rPr>
      </w:pPr>
      <w:r>
        <w:rPr>
          <w:rFonts w:ascii="Arial" w:hAnsi="Arial"/>
          <w:sz w:val="18"/>
        </w:rPr>
        <w:t xml:space="preserve">For fiscal year 2026, the Compensation Committee reviewed the evolution of our business against our historical peer group, and as a result approved moving to the use of a single peer group of bellwether technology companies to reflect the increasing focus on high-technology talent and, in some cases, pay models, that more closely represent Microsoft’s more direct competitors for executive talent. </w:t>
      </w:r>
    </w:p>
    <w:p>
      <w:pPr>
        <w:pStyle w:val="TextBody"/>
        <w:bidi w:val="0"/>
        <w:spacing w:before="240" w:after="0"/>
        <w:jc w:val="left"/>
        <w:rPr>
          <w:rFonts w:ascii="Arial" w:hAnsi="Arial"/>
          <w:b/>
          <w:color w:val="0075C9"/>
          <w:sz w:val="20"/>
        </w:rPr>
      </w:pPr>
      <w:r>
        <w:rPr>
          <w:rFonts w:ascii="Arial" w:hAnsi="Arial"/>
          <w:b/>
          <w:color w:val="0075C9"/>
          <w:sz w:val="20"/>
        </w:rPr>
        <w:t xml:space="preserve">Fiscal Year 2026 Peer Group </w:t>
      </w:r>
    </w:p>
    <w:p>
      <w:pPr>
        <w:pStyle w:val="TextBody"/>
        <w:bidi w:val="0"/>
        <w:spacing w:lineRule="atLeast" w:line="142" w:before="0" w:after="40"/>
        <w:jc w:val="left"/>
        <w:rPr>
          <w:bdr w:val="single" w:sz="2" w:space="1" w:color="0075C9"/>
        </w:rPr>
      </w:pPr>
      <w:r>
        <w:rPr>
          <w:bdr w:val="single" w:sz="2" w:space="1" w:color="0075C9"/>
        </w:rPr>
        <w:t> </w:t>
      </w:r>
    </w:p>
    <w:tbl>
      <w:tblPr>
        <w:tblW w:w="6485" w:type="dxa"/>
        <w:jc w:val="left"/>
        <w:tblInd w:w="0" w:type="dxa"/>
        <w:tblLayout w:type="fixed"/>
        <w:tblCellMar>
          <w:top w:w="0" w:type="dxa"/>
          <w:left w:w="0" w:type="dxa"/>
          <w:bottom w:w="0" w:type="dxa"/>
          <w:right w:w="0" w:type="dxa"/>
        </w:tblCellMar>
      </w:tblPr>
      <w:tblGrid>
        <w:gridCol w:w="770"/>
        <w:gridCol w:w="60"/>
        <w:gridCol w:w="695"/>
        <w:gridCol w:w="240"/>
        <w:gridCol w:w="1220"/>
        <w:gridCol w:w="120"/>
        <w:gridCol w:w="365"/>
        <w:gridCol w:w="240"/>
        <w:gridCol w:w="620"/>
        <w:gridCol w:w="120"/>
        <w:gridCol w:w="905"/>
        <w:gridCol w:w="120"/>
        <w:gridCol w:w="101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0"/>
              <w:jc w:val="left"/>
              <w:rPr>
                <w:rFonts w:ascii="Arial" w:hAnsi="Arial"/>
                <w:sz w:val="18"/>
              </w:rPr>
            </w:pPr>
            <w:r>
              <w:rPr>
                <w:rFonts w:ascii="Arial" w:hAnsi="Arial"/>
                <w:sz w:val="18"/>
              </w:rPr>
              <w:t>Adobe</w:t>
            </w:r>
          </w:p>
          <w:p>
            <w:pPr>
              <w:pStyle w:val="TableContents"/>
              <w:bidi w:val="0"/>
              <w:spacing w:before="0" w:after="20"/>
              <w:jc w:val="left"/>
              <w:rPr>
                <w:rFonts w:ascii="Arial" w:hAnsi="Arial"/>
                <w:sz w:val="18"/>
              </w:rPr>
            </w:pPr>
            <w:r>
              <w:rPr>
                <w:rFonts w:ascii="Arial" w:hAnsi="Arial"/>
                <w:sz w:val="18"/>
              </w:rPr>
              <w:t>Alphabet</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sz w:val="18"/>
              </w:rPr>
            </w:pPr>
            <w:r>
              <w:rPr>
                <w:rFonts w:ascii="Arial" w:hAnsi="Arial"/>
                <w:sz w:val="18"/>
              </w:rPr>
              <w:t>Amazon</w:t>
            </w:r>
          </w:p>
          <w:p>
            <w:pPr>
              <w:pStyle w:val="TableContents"/>
              <w:bidi w:val="0"/>
              <w:spacing w:before="0" w:after="20"/>
              <w:jc w:val="left"/>
              <w:rPr>
                <w:rFonts w:ascii="Arial" w:hAnsi="Arial"/>
                <w:sz w:val="18"/>
              </w:rPr>
            </w:pPr>
            <w:r>
              <w:rPr>
                <w:rFonts w:ascii="Arial" w:hAnsi="Arial"/>
                <w:sz w:val="18"/>
              </w:rPr>
              <w:t>Apple</w:t>
            </w:r>
          </w:p>
        </w:tc>
        <w:tc>
          <w:tcPr>
            <w:tcW w:w="2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rFonts w:ascii="Arial" w:hAnsi="Arial"/>
                <w:sz w:val="18"/>
              </w:rPr>
            </w:pPr>
            <w:r>
              <w:rPr>
                <w:rFonts w:ascii="Arial" w:hAnsi="Arial"/>
                <w:sz w:val="18"/>
              </w:rPr>
              <w:t>Broadcom</w:t>
            </w:r>
          </w:p>
          <w:p>
            <w:pPr>
              <w:pStyle w:val="TableContents"/>
              <w:bidi w:val="0"/>
              <w:spacing w:before="0" w:after="20"/>
              <w:jc w:val="left"/>
              <w:rPr>
                <w:rFonts w:ascii="Arial" w:hAnsi="Arial"/>
                <w:sz w:val="18"/>
              </w:rPr>
            </w:pPr>
            <w:r>
              <w:rPr>
                <w:rFonts w:ascii="Arial" w:hAnsi="Arial"/>
                <w:sz w:val="18"/>
              </w:rPr>
              <w:t>Cisco Systems</w:t>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rFonts w:ascii="Arial" w:hAnsi="Arial"/>
                <w:sz w:val="18"/>
              </w:rPr>
            </w:pPr>
            <w:r>
              <w:rPr>
                <w:rFonts w:ascii="Arial" w:hAnsi="Arial"/>
                <w:sz w:val="18"/>
              </w:rPr>
              <w:t>IBM</w:t>
            </w:r>
          </w:p>
          <w:p>
            <w:pPr>
              <w:pStyle w:val="TableContents"/>
              <w:bidi w:val="0"/>
              <w:spacing w:before="0" w:after="20"/>
              <w:jc w:val="left"/>
              <w:rPr>
                <w:rFonts w:ascii="Arial" w:hAnsi="Arial"/>
                <w:sz w:val="18"/>
              </w:rPr>
            </w:pPr>
            <w:r>
              <w:rPr>
                <w:rFonts w:ascii="Arial" w:hAnsi="Arial"/>
                <w:sz w:val="18"/>
              </w:rPr>
              <w:t>Intel</w:t>
            </w:r>
          </w:p>
        </w:tc>
        <w:tc>
          <w:tcPr>
            <w:tcW w:w="2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0"/>
              <w:jc w:val="left"/>
              <w:rPr>
                <w:rFonts w:ascii="Arial" w:hAnsi="Arial"/>
                <w:sz w:val="18"/>
              </w:rPr>
            </w:pPr>
            <w:r>
              <w:rPr>
                <w:rFonts w:ascii="Arial" w:hAnsi="Arial"/>
                <w:sz w:val="18"/>
              </w:rPr>
              <w:t>Meta</w:t>
            </w:r>
          </w:p>
          <w:p>
            <w:pPr>
              <w:pStyle w:val="TableContents"/>
              <w:bidi w:val="0"/>
              <w:spacing w:before="0" w:after="20"/>
              <w:jc w:val="left"/>
              <w:rPr>
                <w:rFonts w:ascii="Arial" w:hAnsi="Arial"/>
                <w:sz w:val="18"/>
              </w:rPr>
            </w:pPr>
            <w:r>
              <w:rPr>
                <w:rFonts w:ascii="Arial" w:hAnsi="Arial"/>
                <w:sz w:val="18"/>
              </w:rPr>
              <w:t>NVIDIA</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left"/>
              <w:rPr>
                <w:rFonts w:ascii="Arial" w:hAnsi="Arial"/>
                <w:sz w:val="18"/>
              </w:rPr>
            </w:pPr>
            <w:r>
              <w:rPr>
                <w:rFonts w:ascii="Arial" w:hAnsi="Arial"/>
                <w:sz w:val="18"/>
              </w:rPr>
              <w:t>Oracle</w:t>
            </w:r>
          </w:p>
          <w:p>
            <w:pPr>
              <w:pStyle w:val="TableContents"/>
              <w:bidi w:val="0"/>
              <w:spacing w:before="0" w:after="20"/>
              <w:jc w:val="left"/>
              <w:rPr>
                <w:rFonts w:ascii="Arial" w:hAnsi="Arial"/>
                <w:sz w:val="18"/>
              </w:rPr>
            </w:pPr>
            <w:r>
              <w:rPr>
                <w:rFonts w:ascii="Arial" w:hAnsi="Arial"/>
                <w:sz w:val="18"/>
              </w:rPr>
              <w:t>Qualcomm</w:t>
            </w:r>
          </w:p>
        </w:tc>
        <w:tc>
          <w:tcPr>
            <w:tcW w:w="12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Salesforce</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36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Microsoft is meaningfully larger than most companies within the selected peer group in terms of market capitalization and revenue. Our significant size, scale, and growth is a material factor when we set executive pay. The following charts show Microsoft’s position within the peer group on the two screening criteria and the degree to which Microsoft is larger than the median peer. Dollar values are presented in billions as of August 1, 2026, with annual revenue based on the most recent publicly reported fiscal year-end. </w:t>
      </w:r>
    </w:p>
    <w:p>
      <w:pPr>
        <w:pStyle w:val="TextBody"/>
        <w:bidi w:val="0"/>
        <w:spacing w:before="0" w:after="0"/>
        <w:jc w:val="left"/>
        <w:rPr/>
      </w:pPr>
      <w:r>
        <w:rPr/>
        <w:t> </w:t>
      </w:r>
    </w:p>
    <w:p>
      <w:pPr>
        <w:pStyle w:val="TextBody"/>
        <w:bidi w:val="0"/>
        <w:spacing w:before="0" w:after="0"/>
        <w:jc w:val="center"/>
        <w:rPr/>
      </w:pPr>
      <w:r>
        <w:rPr/>
        <w:drawing>
          <wp:inline distT="0" distB="0" distL="0" distR="0">
            <wp:extent cx="6569710" cy="2359025"/>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6569710" cy="2359025"/>
                    </a:xfrm>
                    <a:prstGeom prst="rect">
                      <a:avLst/>
                    </a:prstGeom>
                  </pic:spPr>
                </pic:pic>
              </a:graphicData>
            </a:graphic>
          </wp:inline>
        </w:drawing>
      </w:r>
      <w:r>
        <w:rPr/>
        <w:t xml:space="preserve"> </w:t>
      </w:r>
    </w:p>
    <w:p>
      <w:pPr>
        <w:pStyle w:val="TextBody"/>
        <w:bidi w:val="0"/>
        <w:spacing w:before="240" w:after="0"/>
        <w:jc w:val="left"/>
        <w:rPr>
          <w:rFonts w:ascii="Arial" w:hAnsi="Arial"/>
          <w:b/>
          <w:sz w:val="24"/>
        </w:rPr>
      </w:pPr>
      <w:r>
        <w:rPr>
          <w:rFonts w:ascii="Arial" w:hAnsi="Arial"/>
          <w:b/>
          <w:sz w:val="24"/>
        </w:rPr>
        <w:t xml:space="preserve">Performance-Based Pay and Goal Setting </w:t>
      </w:r>
    </w:p>
    <w:p>
      <w:pPr>
        <w:pStyle w:val="TextBody"/>
        <w:bidi w:val="0"/>
        <w:spacing w:before="120" w:after="0"/>
        <w:jc w:val="left"/>
        <w:rPr>
          <w:rFonts w:ascii="Arial" w:hAnsi="Arial"/>
          <w:sz w:val="18"/>
        </w:rPr>
      </w:pPr>
      <w:r>
        <w:rPr>
          <w:rFonts w:ascii="Arial" w:hAnsi="Arial"/>
          <w:sz w:val="18"/>
        </w:rPr>
        <w:t xml:space="preserve">Our incentive compensation arrangements are tied to specific performance measures that drive long-term performance and value creation. For fiscal year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 95% of our CEO’s annual target compensation opportunity was performance-based and over 50% of the total pay opportunity for other Named Executives was performance-based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70% of our CEO’s annual cash incentive was tied to achieving pre-established financial metric targets (50% for our other Named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100% of our CEO’s annual target equity opportunity was delivered in the form of a performance-based stock award (50% for our other Named Executives), with payouts based on achievement against pre-established quantitative performance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Management and our Compensation Committee discussed in detail the metrics that determine PSAs to ensure they are leading indicators that will drive long-term performance and value creation. The Committee establishes rigorous goals for each metric that require significant year-over-year improvement in order for target awards to be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Performance stock awards include a relative TSR modifier to strengthen the alignment of the interests of our Named Executives with the long-term interests of our shareholders; in order for the TSR modifier to affect the PSAs positively, our relative TSR must be above the 60th percentile of the S&amp;P 500 and Microsoft’s absolute TSR must be positive to apply an above target modifier payout </w:t>
            </w:r>
          </w:p>
        </w:tc>
      </w:tr>
    </w:tbl>
    <w:p>
      <w:pPr>
        <w:pStyle w:val="TextBody"/>
        <w:bidi w:val="0"/>
        <w:spacing w:before="120" w:after="0"/>
        <w:jc w:val="left"/>
        <w:rPr>
          <w:rFonts w:ascii="Arial" w:hAnsi="Arial"/>
          <w:sz w:val="18"/>
        </w:rPr>
      </w:pPr>
      <w:r>
        <w:rPr>
          <w:rFonts w:ascii="Arial" w:hAnsi="Arial"/>
          <w:sz w:val="18"/>
        </w:rPr>
        <w:t xml:space="preserve">Our Compensation Committee sets cash incentive and PSA metric targets, after review and engagement by the Board, for internal budgeting purposes. These targets are intended to be challenging but achievable. Our Compensation Committee then determines thresholds, maximums, and interim payout levels after considering historical data, upside/downside scenarios, sensitivity analysis, and year-over-year growth comparisons, to ensure rigorous alignment of payouts to performance. We set thresholds that we believe are reasonably achievable and maximums that we believe can be reached only with exceptional performance. Our Compensation Committee actively reviews the appropriateness of payout thresholds and maximums for each metric. Our Compensation Committee focuses on ensuring that our challenging goals, when achieved, will result in long-term shareholder value creation and, historically, our performance against these challenging goals has led to substantial returns to our shareholders.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Focus on Pay for Performance </w:t>
      </w:r>
    </w:p>
    <w:p>
      <w:pPr>
        <w:pStyle w:val="TextBody"/>
        <w:bidi w:val="0"/>
        <w:spacing w:before="120" w:after="0"/>
        <w:jc w:val="left"/>
        <w:rPr>
          <w:rFonts w:ascii="Arial" w:hAnsi="Arial"/>
          <w:sz w:val="18"/>
        </w:rPr>
      </w:pPr>
      <w:r>
        <w:rPr>
          <w:rFonts w:ascii="Arial" w:hAnsi="Arial"/>
          <w:sz w:val="18"/>
        </w:rPr>
        <w:t xml:space="preserve">Over 95% of the annual target compensation opportunity for our CEO is performance-based and over 50% for our other Named Executives. All Named Executive Officers had at least 80% of the annual target compensation delivered in the form of equity awards, with the average across all Named Executives over 85%, to incentivize a long-term focus and align their interests with those of our shareholders. </w:t>
      </w:r>
    </w:p>
    <w:tbl>
      <w:tblPr>
        <w:tblW w:w="10075" w:type="dxa"/>
        <w:jc w:val="left"/>
        <w:tblInd w:w="0" w:type="dxa"/>
        <w:tblLayout w:type="fixed"/>
        <w:tblCellMar>
          <w:top w:w="0" w:type="dxa"/>
          <w:left w:w="0" w:type="dxa"/>
          <w:bottom w:w="0" w:type="dxa"/>
          <w:right w:w="0" w:type="dxa"/>
        </w:tblCellMar>
      </w:tblPr>
      <w:tblGrid>
        <w:gridCol w:w="2640"/>
        <w:gridCol w:w="1598"/>
        <w:gridCol w:w="1598"/>
        <w:gridCol w:w="1598"/>
        <w:gridCol w:w="2641"/>
      </w:tblGrid>
      <w:tr>
        <w:trPr/>
        <w:tc>
          <w:tcPr>
            <w:tcW w:w="264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0075" w:type="dxa"/>
            <w:gridSpan w:val="5"/>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6342380" cy="2307590"/>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6342380" cy="230759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7" w:name="toc61756_15"/>
      <w:bookmarkEnd w:id="17"/>
      <w:r>
        <w:rPr>
          <w:rFonts w:ascii="Arial" w:hAnsi="Arial"/>
          <w:b/>
          <w:color w:val="0075C9"/>
          <w:sz w:val="28"/>
        </w:rPr>
        <w:t xml:space="preserve">Section 4 – Fiscal Year 2026 Compensation Program Design </w:t>
      </w:r>
    </w:p>
    <w:p>
      <w:pPr>
        <w:pStyle w:val="TextBody"/>
        <w:bidi w:val="0"/>
        <w:spacing w:before="240" w:after="0"/>
        <w:jc w:val="left"/>
        <w:rPr>
          <w:rFonts w:ascii="Arial" w:hAnsi="Arial"/>
          <w:sz w:val="18"/>
        </w:rPr>
      </w:pPr>
      <w:r>
        <w:rPr>
          <w:rFonts w:ascii="Arial" w:hAnsi="Arial"/>
          <w:sz w:val="18"/>
        </w:rPr>
        <w:t xml:space="preserve">Consistent with our philosophy, the compensation program for our Named Executives in fiscal year 2026 consisted of an annual base salary plus annual cash and equity incentives awarded under our Executive Incentive Plan (“Incentive Plan”). </w:t>
      </w:r>
    </w:p>
    <w:p>
      <w:pPr>
        <w:pStyle w:val="TextBody"/>
        <w:bidi w:val="0"/>
        <w:spacing w:before="120" w:after="0"/>
        <w:jc w:val="left"/>
        <w:rPr>
          <w:rFonts w:ascii="Arial" w:hAnsi="Arial"/>
          <w:sz w:val="18"/>
        </w:rPr>
      </w:pPr>
      <w:r>
        <w:rPr>
          <w:rFonts w:ascii="Arial" w:hAnsi="Arial"/>
          <w:sz w:val="18"/>
        </w:rPr>
        <w:t xml:space="preserve">Annual cash incentives were performance-based, with 70% determined formulaically based on achievement against pre-established financial targets for our CEO (50% for our other Named Executives) and 30% determined based on operational performance in three weighted performance categories for our CEO (50% for our other Named Executives). Our Compensation Committee and the independent members of our Board believe this allocation strengthens our CEO’s accountability to achieving results on the objective financial metrics that most closely align with our business strategy and provides a strong incentive for our other Named Executives to drive performance on those key initiatives, which we believe strongly contributes to our success. </w:t>
      </w:r>
    </w:p>
    <w:p>
      <w:pPr>
        <w:pStyle w:val="TextBody"/>
        <w:bidi w:val="0"/>
        <w:spacing w:before="120" w:after="0"/>
        <w:jc w:val="left"/>
        <w:rPr>
          <w:rFonts w:ascii="Arial" w:hAnsi="Arial"/>
          <w:sz w:val="18"/>
        </w:rPr>
      </w:pPr>
      <w:r>
        <w:rPr>
          <w:rFonts w:ascii="Arial" w:hAnsi="Arial"/>
          <w:sz w:val="18"/>
        </w:rPr>
        <w:t xml:space="preserve">Equity incentives under the Incentive Plan were allocated 100% to target PSAs for our CEO. Equity incentives under the Incentive Plan were allocated 50% to target PSAs and 50% to stock awards with four-year vesting (“SAs”) for our other Named Executives. Our Compensation Committee and the independent members of our Board believed the 100% PSA level for our CEO fully aligned his pay with Microsoft’s long-term performance, while the 50/50 balance between PSAs and SAs appropriately supported our long-term business goals and long-term retention incentives for our other Named Executives, while also aligning their interests with those of our shareholders. </w:t>
      </w:r>
    </w:p>
    <w:p>
      <w:pPr>
        <w:pStyle w:val="TextBody"/>
        <w:bidi w:val="0"/>
        <w:spacing w:before="240" w:after="0"/>
        <w:jc w:val="left"/>
        <w:rPr>
          <w:rFonts w:ascii="Arial" w:hAnsi="Arial"/>
          <w:b/>
          <w:sz w:val="24"/>
        </w:rPr>
      </w:pPr>
      <w:r>
        <w:rPr>
          <w:rFonts w:ascii="Arial" w:hAnsi="Arial"/>
          <w:b/>
          <w:sz w:val="24"/>
        </w:rPr>
        <w:t xml:space="preserve">Base Salaries </w:t>
      </w:r>
    </w:p>
    <w:p>
      <w:pPr>
        <w:pStyle w:val="TextBody"/>
        <w:bidi w:val="0"/>
        <w:spacing w:before="120" w:after="0"/>
        <w:jc w:val="left"/>
        <w:rPr>
          <w:rFonts w:ascii="Arial" w:hAnsi="Arial"/>
          <w:sz w:val="18"/>
        </w:rPr>
      </w:pPr>
      <w:r>
        <w:rPr>
          <w:rFonts w:ascii="Arial" w:hAnsi="Arial"/>
          <w:sz w:val="18"/>
        </w:rPr>
        <w:t xml:space="preserve">Our Named Executives’ base salaries are set to align with the scope and complexity of their roles, their capabilities, and competitive market conditions.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38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Annual Cash Incentives </w:t>
      </w:r>
    </w:p>
    <w:p>
      <w:pPr>
        <w:pStyle w:val="TextBody"/>
        <w:bidi w:val="0"/>
        <w:spacing w:before="120" w:after="0"/>
        <w:jc w:val="left"/>
        <w:rPr>
          <w:rFonts w:ascii="Arial" w:hAnsi="Arial"/>
          <w:sz w:val="18"/>
        </w:rPr>
      </w:pPr>
      <w:r>
        <w:rPr>
          <w:rFonts w:ascii="Arial" w:hAnsi="Arial"/>
          <w:sz w:val="18"/>
        </w:rPr>
        <w:t xml:space="preserve">Cash incentives are determined in two performance categories for our CEO and other NEOs,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737350" cy="179768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6737350" cy="1797685"/>
                    </a:xfrm>
                    <a:prstGeom prst="rect">
                      <a:avLst/>
                    </a:prstGeom>
                  </pic:spPr>
                </pic:pic>
              </a:graphicData>
            </a:graphic>
          </wp:inline>
        </w:drawing>
      </w:r>
      <w:r>
        <w:rPr/>
        <w:t xml:space="preserve"> </w:t>
      </w:r>
    </w:p>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155"/>
        <w:gridCol w:w="8810"/>
      </w:tblGrid>
      <w:tr>
        <w:trPr/>
        <w:tc>
          <w:tcPr>
            <w:tcW w:w="155"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w:t>
            </w:r>
            <w:r>
              <w:rPr>
                <w:rFonts w:ascii="Arial" w:hAnsi="Arial"/>
                <w:sz w:val="16"/>
              </w:rPr>
              <w:t xml:space="preserve">Incentive Plan Revenue” and “Incentive Plan Operating Income” are non-GAAP financial measures defined on page 42. </w:t>
            </w:r>
          </w:p>
        </w:tc>
      </w:tr>
    </w:tbl>
    <w:p>
      <w:pPr>
        <w:pStyle w:val="TextBody"/>
        <w:bidi w:val="0"/>
        <w:spacing w:before="240" w:after="0"/>
        <w:jc w:val="left"/>
        <w:rPr>
          <w:rFonts w:ascii="Arial" w:hAnsi="Arial"/>
          <w:b/>
          <w:color w:val="0075C9"/>
          <w:sz w:val="20"/>
        </w:rPr>
      </w:pPr>
      <w:r>
        <w:rPr>
          <w:rFonts w:ascii="Arial" w:hAnsi="Arial"/>
          <w:b/>
          <w:color w:val="0075C9"/>
          <w:sz w:val="20"/>
        </w:rPr>
        <w:t xml:space="preserve">Financial </w:t>
      </w:r>
    </w:p>
    <w:p>
      <w:pPr>
        <w:pStyle w:val="TextBody"/>
        <w:bidi w:val="0"/>
        <w:spacing w:before="120" w:after="0"/>
        <w:jc w:val="left"/>
        <w:rPr>
          <w:rFonts w:ascii="Arial" w:hAnsi="Arial"/>
          <w:sz w:val="18"/>
        </w:rPr>
      </w:pPr>
      <w:r>
        <w:rPr>
          <w:rFonts w:ascii="Arial" w:hAnsi="Arial"/>
          <w:sz w:val="18"/>
        </w:rPr>
        <w:t xml:space="preserve">We include financial performance measures in our cash incentives to measure our success in meeting internal annual financial performance goals for revenue and profitability which we believe drive long-term value creation. </w:t>
      </w:r>
    </w:p>
    <w:p>
      <w:pPr>
        <w:pStyle w:val="TextBody"/>
        <w:bidi w:val="0"/>
        <w:spacing w:before="120" w:after="0"/>
        <w:jc w:val="left"/>
        <w:rPr>
          <w:rFonts w:ascii="Arial" w:hAnsi="Arial"/>
          <w:sz w:val="18"/>
        </w:rPr>
      </w:pPr>
      <w:r>
        <w:rPr>
          <w:rFonts w:ascii="Arial" w:hAnsi="Arial"/>
          <w:sz w:val="18"/>
        </w:rPr>
        <w:t xml:space="preserve">For fiscal year 2026, the financial portion of the annual cash incentives was determined based on meeting pre-established performance targets for Incentive Plan Revenue and Incentive Plan Operating Income. All financial performance goals required meaningful year-over-year growth in order for the target awards to be achieved. The fiscal year 2026 Incentive Plan Revenue and Incentive Plan Operating Income performance targets were based on the Company’s fiscal year 2026 internal operating budget. </w:t>
      </w:r>
    </w:p>
    <w:p>
      <w:pPr>
        <w:pStyle w:val="TextBody"/>
        <w:bidi w:val="0"/>
        <w:spacing w:before="360" w:after="0"/>
        <w:jc w:val="left"/>
        <w:rPr>
          <w:rFonts w:ascii="Arial" w:hAnsi="Arial"/>
          <w:b/>
          <w:color w:val="0075C9"/>
          <w:sz w:val="20"/>
        </w:rPr>
      </w:pPr>
      <w:r>
        <w:rPr>
          <w:rFonts w:ascii="Arial" w:hAnsi="Arial"/>
          <w:b/>
          <w:color w:val="0075C9"/>
          <w:sz w:val="20"/>
        </w:rPr>
        <w:t xml:space="preserve">Operational Assessment </w:t>
      </w:r>
    </w:p>
    <w:p>
      <w:pPr>
        <w:pStyle w:val="TextBody"/>
        <w:bidi w:val="0"/>
        <w:spacing w:before="120" w:after="0"/>
        <w:jc w:val="left"/>
        <w:rPr>
          <w:rFonts w:ascii="Arial" w:hAnsi="Arial"/>
          <w:sz w:val="18"/>
        </w:rPr>
      </w:pPr>
      <w:r>
        <w:rPr>
          <w:rFonts w:ascii="Arial" w:hAnsi="Arial"/>
          <w:sz w:val="18"/>
        </w:rPr>
        <w:t xml:space="preserve">The operational assessment portion of each Named Executive’s fiscal year 2026 annual cash incentives was determined based on evaluation of their individual contributions to the furtherance of financial, operational, strategic, and culture indicators in three performance categories. The performance indicators varied based on the Named Executive’s responsibilities and the function or group he or she leads, and may have included (in alphabetical order in each category):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1"/>
        <w:gridCol w:w="96"/>
        <w:gridCol w:w="1312"/>
        <w:gridCol w:w="60"/>
        <w:gridCol w:w="140"/>
        <w:gridCol w:w="120"/>
        <w:gridCol w:w="23"/>
        <w:gridCol w:w="60"/>
        <w:gridCol w:w="1321"/>
        <w:gridCol w:w="93"/>
        <w:gridCol w:w="2529"/>
        <w:gridCol w:w="60"/>
        <w:gridCol w:w="23"/>
        <w:gridCol w:w="120"/>
        <w:gridCol w:w="23"/>
        <w:gridCol w:w="60"/>
        <w:gridCol w:w="1263"/>
        <w:gridCol w:w="66"/>
        <w:gridCol w:w="745"/>
      </w:tblGrid>
      <w:tr>
        <w:trPr/>
        <w:tc>
          <w:tcPr>
            <w:tcW w:w="209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2091" w:type="dxa"/>
            <w:vMerge w:val="restart"/>
            <w:tcBorders/>
            <w:vAlign w:val="center"/>
          </w:tcPr>
          <w:p>
            <w:pPr>
              <w:pStyle w:val="TableContents"/>
              <w:bidi w:val="0"/>
              <w:spacing w:before="0" w:after="0"/>
              <w:jc w:val="right"/>
              <w:rPr/>
            </w:pPr>
            <w:r>
              <w:rPr/>
              <w:t xml:space="preserve">      </w:t>
            </w:r>
            <w:r>
              <w:rPr/>
              <w:drawing>
                <wp:inline distT="0" distB="0" distL="0" distR="0">
                  <wp:extent cx="296545" cy="24955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296545" cy="249555"/>
                          </a:xfrm>
                          <a:prstGeom prst="rect">
                            <a:avLst/>
                          </a:prstGeom>
                        </pic:spPr>
                      </pic:pic>
                    </a:graphicData>
                  </a:graphic>
                </wp:inline>
              </w:drawing>
            </w:r>
            <w:r>
              <w:rPr/>
              <w:t xml:space="preserve"> </w:t>
            </w:r>
          </w:p>
          <w:p>
            <w:pPr>
              <w:pStyle w:val="TableContents"/>
              <w:bidi w:val="0"/>
              <w:spacing w:before="0" w:after="20"/>
              <w:jc w:val="left"/>
              <w:rPr/>
            </w:pPr>
            <w:r>
              <w:rPr/>
              <w:t> </w:t>
            </w:r>
          </w:p>
        </w:tc>
        <w:tc>
          <w:tcPr>
            <w:tcW w:w="96" w:type="dxa"/>
            <w:vMerge w:val="restart"/>
            <w:tcBorders/>
            <w:vAlign w:val="center"/>
          </w:tcPr>
          <w:p>
            <w:pPr>
              <w:pStyle w:val="TableContents"/>
              <w:bidi w:val="0"/>
              <w:spacing w:before="0" w:after="283"/>
              <w:jc w:val="left"/>
              <w:rPr/>
            </w:pPr>
            <w:r>
              <w:rPr/>
              <w:t> </w:t>
            </w:r>
          </w:p>
        </w:tc>
        <w:tc>
          <w:tcPr>
            <w:tcW w:w="1312"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Security 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321"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266065" cy="26606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266065" cy="266065"/>
                          </a:xfrm>
                          <a:prstGeom prst="rect">
                            <a:avLst/>
                          </a:prstGeom>
                        </pic:spPr>
                      </pic:pic>
                    </a:graphicData>
                  </a:graphic>
                </wp:inline>
              </w:drawing>
            </w:r>
            <w:r>
              <w:rPr/>
              <w:t xml:space="preserve"> </w:t>
            </w:r>
          </w:p>
          <w:p>
            <w:pPr>
              <w:pStyle w:val="TableContents"/>
              <w:bidi w:val="0"/>
              <w:spacing w:before="0" w:after="20"/>
              <w:jc w:val="left"/>
              <w:rPr/>
            </w:pPr>
            <w:r>
              <w:rPr/>
              <w:t> </w:t>
            </w:r>
          </w:p>
        </w:tc>
        <w:tc>
          <w:tcPr>
            <w:tcW w:w="93" w:type="dxa"/>
            <w:vMerge w:val="restart"/>
            <w:tcBorders/>
            <w:vAlign w:val="center"/>
          </w:tcPr>
          <w:p>
            <w:pPr>
              <w:pStyle w:val="TableContents"/>
              <w:bidi w:val="0"/>
              <w:spacing w:before="0" w:after="283"/>
              <w:jc w:val="left"/>
              <w:rPr/>
            </w:pPr>
            <w:r>
              <w:rPr/>
              <w:t> </w:t>
            </w:r>
          </w:p>
        </w:tc>
        <w:tc>
          <w:tcPr>
            <w:tcW w:w="2529"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Product, Customers,</w:t>
            </w:r>
          </w:p>
          <w:p>
            <w:pPr>
              <w:pStyle w:val="TableContents"/>
              <w:bidi w:val="0"/>
              <w:spacing w:before="0" w:after="0"/>
              <w:jc w:val="left"/>
              <w:rPr>
                <w:color w:val="0075C9"/>
              </w:rPr>
            </w:pPr>
            <w:r>
              <w:rPr>
                <w:color w:val="0075C9"/>
              </w:rPr>
              <w:t>  </w:t>
            </w:r>
            <w:r>
              <w:rPr>
                <w:rFonts w:ascii="Arial" w:hAnsi="Arial"/>
                <w:b/>
                <w:color w:val="0075C9"/>
                <w:sz w:val="18"/>
              </w:rPr>
              <w:t>&amp; Stakeholders</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263"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316865" cy="316865"/>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316865" cy="316865"/>
                          </a:xfrm>
                          <a:prstGeom prst="rect">
                            <a:avLst/>
                          </a:prstGeom>
                        </pic:spPr>
                      </pic:pic>
                    </a:graphicData>
                  </a:graphic>
                </wp:inline>
              </w:drawing>
            </w:r>
            <w:r>
              <w:rPr/>
              <w:t xml:space="preserve"> </w:t>
            </w:r>
          </w:p>
          <w:p>
            <w:pPr>
              <w:pStyle w:val="TableContents"/>
              <w:bidi w:val="0"/>
              <w:spacing w:before="0" w:after="20"/>
              <w:jc w:val="left"/>
              <w:rPr/>
            </w:pPr>
            <w:r>
              <w:rPr/>
              <w:t> </w:t>
            </w:r>
          </w:p>
        </w:tc>
        <w:tc>
          <w:tcPr>
            <w:tcW w:w="66" w:type="dxa"/>
            <w:vMerge w:val="restart"/>
            <w:tcBorders/>
            <w:vAlign w:val="center"/>
          </w:tcPr>
          <w:p>
            <w:pPr>
              <w:pStyle w:val="TableContents"/>
              <w:bidi w:val="0"/>
              <w:spacing w:before="0" w:after="283"/>
              <w:jc w:val="left"/>
              <w:rPr/>
            </w:pPr>
            <w:r>
              <w:rPr/>
              <w:t> </w:t>
            </w:r>
          </w:p>
        </w:tc>
        <w:tc>
          <w:tcPr>
            <w:tcW w:w="745"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Culture</w:t>
            </w:r>
          </w:p>
          <w:p>
            <w:pPr>
              <w:pStyle w:val="TableContents"/>
              <w:bidi w:val="0"/>
              <w:spacing w:before="0" w:after="20"/>
              <w:jc w:val="left"/>
              <w:rPr/>
            </w:pPr>
            <w:r>
              <w:rPr/>
              <w:t> </w:t>
            </w:r>
          </w:p>
        </w:tc>
      </w:tr>
      <w:tr>
        <w:trPr/>
        <w:tc>
          <w:tcPr>
            <w:tcW w:w="2091" w:type="dxa"/>
            <w:vMerge w:val="continue"/>
            <w:tcBorders/>
            <w:vAlign w:val="center"/>
          </w:tcPr>
          <w:p>
            <w:pPr>
              <w:pStyle w:val="Normal"/>
              <w:bidi w:val="0"/>
              <w:jc w:val="left"/>
              <w:rPr/>
            </w:pPr>
            <w:r>
              <w:rPr/>
            </w:r>
          </w:p>
        </w:tc>
        <w:tc>
          <w:tcPr>
            <w:tcW w:w="96" w:type="dxa"/>
            <w:vMerge w:val="continue"/>
            <w:tcBorders/>
            <w:vAlign w:val="center"/>
          </w:tcPr>
          <w:p>
            <w:pPr>
              <w:pStyle w:val="Normal"/>
              <w:bidi w:val="0"/>
              <w:jc w:val="left"/>
              <w:rPr/>
            </w:pPr>
            <w:r>
              <w:rPr/>
            </w:r>
          </w:p>
        </w:tc>
        <w:tc>
          <w:tcPr>
            <w:tcW w:w="131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75C9"/>
            </w:tcBorders>
            <w:tcMar>
              <w:left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321" w:type="dxa"/>
            <w:vMerge w:val="continue"/>
            <w:tcBorders/>
            <w:vAlign w:val="center"/>
          </w:tcPr>
          <w:p>
            <w:pPr>
              <w:pStyle w:val="Normal"/>
              <w:bidi w:val="0"/>
              <w:jc w:val="left"/>
              <w:rPr/>
            </w:pPr>
            <w:r>
              <w:rPr/>
            </w:r>
          </w:p>
        </w:tc>
        <w:tc>
          <w:tcPr>
            <w:tcW w:w="93" w:type="dxa"/>
            <w:vMerge w:val="continue"/>
            <w:tcBorders/>
            <w:vAlign w:val="center"/>
          </w:tcPr>
          <w:p>
            <w:pPr>
              <w:pStyle w:val="Normal"/>
              <w:bidi w:val="0"/>
              <w:jc w:val="left"/>
              <w:rPr/>
            </w:pPr>
            <w:r>
              <w:rPr/>
            </w:r>
          </w:p>
        </w:tc>
        <w:tc>
          <w:tcPr>
            <w:tcW w:w="252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75C9"/>
            </w:tcBorders>
            <w:tcMar>
              <w:left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263" w:type="dxa"/>
            <w:vMerge w:val="continue"/>
            <w:tcBorders/>
            <w:vAlign w:val="center"/>
          </w:tcPr>
          <w:p>
            <w:pPr>
              <w:pStyle w:val="Normal"/>
              <w:bidi w:val="0"/>
              <w:jc w:val="left"/>
              <w:rPr/>
            </w:pPr>
            <w:r>
              <w:rPr/>
            </w:r>
          </w:p>
        </w:tc>
        <w:tc>
          <w:tcPr>
            <w:tcW w:w="66" w:type="dxa"/>
            <w:vMerge w:val="continue"/>
            <w:tcBorders/>
            <w:vAlign w:val="center"/>
          </w:tcPr>
          <w:p>
            <w:pPr>
              <w:pStyle w:val="Normal"/>
              <w:bidi w:val="0"/>
              <w:jc w:val="left"/>
              <w:rPr/>
            </w:pPr>
            <w:r>
              <w:rPr/>
            </w:r>
          </w:p>
        </w:tc>
        <w:tc>
          <w:tcPr>
            <w:tcW w:w="745" w:type="dxa"/>
            <w:vMerge w:val="continue"/>
            <w:tcBorders/>
            <w:vAlign w:val="center"/>
          </w:tcPr>
          <w:p>
            <w:pPr>
              <w:pStyle w:val="Normal"/>
              <w:bidi w:val="0"/>
              <w:jc w:val="left"/>
              <w:rPr/>
            </w:pPr>
            <w:r>
              <w:rPr/>
            </w:r>
          </w:p>
        </w:tc>
      </w:tr>
      <w:tr>
        <w:trPr/>
        <w:tc>
          <w:tcPr>
            <w:tcW w:w="3499"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Accelerated automation response and remediation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pPr>
            <w:r>
              <w:rPr/>
              <w:t> </w:t>
            </w:r>
            <w:r>
              <w:rPr>
                <w:rFonts w:ascii="Arial" w:hAnsi="Arial"/>
                <w:sz w:val="18"/>
              </w:rPr>
              <w:t>Customer trust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Cybersecurity risk identification, mitigation, and reduction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sz w:val="18"/>
              </w:rPr>
            </w:pPr>
            <w:r>
              <w:rPr>
                <w:rFonts w:ascii="Arial" w:hAnsi="Arial"/>
                <w:sz w:val="18"/>
              </w:rPr>
              <w:t>Security mindset culture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 w:type="dxa"/>
            <w:tcBorders>
              <w:left w:val="single" w:sz="6" w:space="0" w:color="0075C9"/>
            </w:tcBorders>
            <w:tcMar>
              <w:left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43"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Customer and partner engagement and outreach</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Customer satisfaction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Developer engagement</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sz w:val="18"/>
              </w:rPr>
            </w:pPr>
            <w:r>
              <w:rPr>
                <w:rFonts w:ascii="Arial" w:hAnsi="Arial"/>
                <w:sz w:val="18"/>
              </w:rPr>
              <w:t>Efficiency and productivity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Innovation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Product development and implementation of strategic roadmap</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Quality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Revenue, consumption, and market share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75C9"/>
            </w:tcBorders>
            <w:tcMar>
              <w:left w:w="28" w:type="dxa"/>
            </w:tcMar>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4"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Compliance and integrity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Culture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Global citizenship</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Inclusion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Organizational health</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Sustainability</w:t>
            </w:r>
          </w:p>
        </w:tc>
      </w:tr>
      <w:tr>
        <w:trPr/>
        <w:tc>
          <w:tcPr>
            <w:tcW w:w="2091"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pPr>
            <w:r>
              <w:rPr/>
              <w:t> </w:t>
            </w:r>
          </w:p>
        </w:tc>
        <w:tc>
          <w:tcPr>
            <w:tcW w:w="2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As described further in Section 6, for fiscal year 2027, the operational assessment for each Named Executive’s fiscal year 2027 cash incentive will be part of the individual modifier assessment.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For Mr. Nadella, the independent members of our Board also considered: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125"/>
        <w:gridCol w:w="60"/>
        <w:gridCol w:w="5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Arial" w:hAnsi="Arial"/>
                <w:sz w:val="18"/>
              </w:rPr>
            </w:pPr>
            <w:r>
              <w:rPr>
                <w:rFonts w:ascii="Arial" w:hAnsi="Arial"/>
                <w:sz w:val="18"/>
              </w:rPr>
              <w:t xml:space="preserve">Input from Microsoft’s senior executives about Mr. Nadella’s leadership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125"/>
        <w:gridCol w:w="60"/>
        <w:gridCol w:w="7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Arial" w:hAnsi="Arial"/>
                <w:sz w:val="18"/>
              </w:rPr>
            </w:pPr>
            <w:r>
              <w:rPr>
                <w:rFonts w:ascii="Arial" w:hAnsi="Arial"/>
                <w:sz w:val="18"/>
              </w:rPr>
              <w:t xml:space="preserve">Mr. Nadella’s evaluation of Microsoft’s and his individual performance over the past fiscal year </w:t>
            </w:r>
          </w:p>
        </w:tc>
      </w:tr>
    </w:tbl>
    <w:p>
      <w:pPr>
        <w:pStyle w:val="TextBody"/>
        <w:bidi w:val="0"/>
        <w:spacing w:before="240" w:after="0"/>
        <w:jc w:val="left"/>
        <w:rPr>
          <w:rFonts w:ascii="Arial" w:hAnsi="Arial"/>
          <w:b/>
          <w:sz w:val="24"/>
        </w:rPr>
      </w:pPr>
      <w:r>
        <w:rPr>
          <w:rFonts w:ascii="Arial" w:hAnsi="Arial"/>
          <w:b/>
          <w:sz w:val="24"/>
        </w:rPr>
        <w:t xml:space="preserve">Equity Compensation </w:t>
      </w:r>
    </w:p>
    <w:p>
      <w:pPr>
        <w:pStyle w:val="TextBody"/>
        <w:bidi w:val="0"/>
        <w:spacing w:before="120" w:after="0"/>
        <w:jc w:val="left"/>
        <w:rPr>
          <w:rFonts w:ascii="Arial" w:hAnsi="Arial"/>
          <w:sz w:val="18"/>
        </w:rPr>
      </w:pPr>
      <w:r>
        <w:rPr>
          <w:rFonts w:ascii="Arial" w:hAnsi="Arial"/>
          <w:sz w:val="18"/>
        </w:rPr>
        <w:t xml:space="preserve">Under the Incentive Plan, each year, our Named Executives receive PSAs and our Named Executives, other than Mr. Nadella, receive SAs. </w:t>
      </w:r>
    </w:p>
    <w:p>
      <w:pPr>
        <w:pStyle w:val="TextBody"/>
        <w:bidi w:val="0"/>
        <w:spacing w:before="240" w:after="0"/>
        <w:jc w:val="left"/>
        <w:rPr>
          <w:rFonts w:ascii="Arial" w:hAnsi="Arial"/>
          <w:b/>
          <w:color w:val="0075C9"/>
          <w:sz w:val="20"/>
        </w:rPr>
      </w:pPr>
      <w:r>
        <w:rPr>
          <w:rFonts w:ascii="Arial" w:hAnsi="Arial"/>
          <w:b/>
          <w:color w:val="0075C9"/>
          <w:sz w:val="20"/>
        </w:rPr>
        <w:t xml:space="preserve">Performance Stock Awards </w:t>
      </w:r>
    </w:p>
    <w:p>
      <w:pPr>
        <w:pStyle w:val="TextBody"/>
        <w:bidi w:val="0"/>
        <w:spacing w:before="120" w:after="0"/>
        <w:jc w:val="left"/>
        <w:rPr>
          <w:rFonts w:ascii="Arial" w:hAnsi="Arial"/>
          <w:sz w:val="18"/>
        </w:rPr>
      </w:pPr>
      <w:r>
        <w:rPr>
          <w:rFonts w:ascii="Arial" w:hAnsi="Arial"/>
          <w:sz w:val="18"/>
        </w:rPr>
        <w:t xml:space="preserve">PSAs are designed to encourage our executives to achieve rigorous, growth-oriented goals in key performance metrics to drive long-term performance and value creation. </w:t>
      </w:r>
    </w:p>
    <w:p>
      <w:pPr>
        <w:pStyle w:val="TextBody"/>
        <w:bidi w:val="0"/>
        <w:spacing w:before="120" w:after="0"/>
        <w:jc w:val="left"/>
        <w:rPr>
          <w:rFonts w:ascii="Arial" w:hAnsi="Arial"/>
          <w:sz w:val="18"/>
        </w:rPr>
      </w:pPr>
      <w:r>
        <w:rPr>
          <w:rFonts w:ascii="Arial" w:hAnsi="Arial"/>
          <w:sz w:val="18"/>
        </w:rPr>
        <w:t xml:space="preserve">Due to the dynamic nature of our business and the specificity of the performance metrics that are chosen under our PSA program, we believe that measuring performance annually over our three-year performance period and modifying the actual awards eligible to be earned based on our three-year relative TSR provides the most accurate and holistic assessment of Microsoft’s long-term trajectory and performance achievements. </w:t>
      </w:r>
    </w:p>
    <w:p>
      <w:pPr>
        <w:pStyle w:val="TextBody"/>
        <w:bidi w:val="0"/>
        <w:spacing w:before="240" w:after="0"/>
        <w:jc w:val="left"/>
        <w:rPr>
          <w:rFonts w:ascii="Arial" w:hAnsi="Arial"/>
          <w:b/>
          <w:color w:val="0075C9"/>
          <w:sz w:val="20"/>
        </w:rPr>
      </w:pPr>
      <w:r>
        <w:rPr>
          <w:rFonts w:ascii="Arial" w:hAnsi="Arial"/>
          <w:b/>
          <w:color w:val="0075C9"/>
          <w:sz w:val="20"/>
        </w:rPr>
        <w:t xml:space="preserve">Fiscal Year 2026 Performance Stock Award Metrics and Weights </w:t>
      </w:r>
    </w:p>
    <w:p>
      <w:pPr>
        <w:pStyle w:val="TextBody"/>
        <w:bidi w:val="0"/>
        <w:spacing w:before="120" w:after="0"/>
        <w:jc w:val="left"/>
        <w:rPr>
          <w:rFonts w:ascii="Arial" w:hAnsi="Arial"/>
          <w:sz w:val="18"/>
        </w:rPr>
      </w:pPr>
      <w:r>
        <w:rPr>
          <w:rFonts w:ascii="Arial" w:hAnsi="Arial"/>
          <w:sz w:val="18"/>
        </w:rPr>
        <w:t xml:space="preserve">For fiscal year 2026, we established our PSA core metrics to align with our key long term strategic priorities. The approved fiscal 2026 PSA metrics continue to reflect a focus in key areas such as Azure and AI as well as a continued focus on monetization of user engagement revenue. </w:t>
      </w:r>
    </w:p>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6290"/>
        <w:gridCol w:w="120"/>
        <w:gridCol w:w="158"/>
        <w:gridCol w:w="687"/>
        <w:gridCol w:w="75"/>
      </w:tblGrid>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FY26 PSA Metrics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8" w:space="0" w:color="000000"/>
            </w:tcBorders>
            <w:tcMar>
              <w:bottom w:w="40" w:type="dxa"/>
            </w:tcMar>
            <w:vAlign w:val="center"/>
          </w:tcPr>
          <w:p>
            <w:pPr>
              <w:pStyle w:val="TableContents"/>
              <w:bidi w:val="0"/>
              <w:spacing w:before="0" w:after="283"/>
              <w:jc w:val="right"/>
              <w:rPr>
                <w:b/>
              </w:rPr>
            </w:pPr>
            <w:r>
              <w:rPr>
                <w:b/>
              </w:rPr>
              <w:t>Weights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Azure and Other Cloud Services Revenue 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8" w:type="dxa"/>
            <w:tcBorders>
              <w:bottom w:val="single" w:sz="6" w:space="0" w:color="0075C9"/>
            </w:tcBorders>
            <w:tcMar>
              <w:bottom w:w="40" w:type="dxa"/>
            </w:tcMar>
            <w:vAlign w:val="center"/>
          </w:tcPr>
          <w:p>
            <w:pPr>
              <w:pStyle w:val="TableContents"/>
              <w:bidi w:val="0"/>
              <w:spacing w:before="0" w:after="283"/>
              <w:jc w:val="left"/>
              <w:rPr/>
            </w:pPr>
            <w:r>
              <w:rPr/>
              <w:t> </w:t>
            </w:r>
          </w:p>
        </w:tc>
        <w:tc>
          <w:tcPr>
            <w:tcW w:w="687" w:type="dxa"/>
            <w:tcBorders>
              <w:bottom w:val="single" w:sz="6" w:space="0" w:color="0075C9"/>
            </w:tcBorders>
            <w:tcMar>
              <w:bottom w:w="40" w:type="dxa"/>
            </w:tcMar>
            <w:vAlign w:val="center"/>
          </w:tcPr>
          <w:p>
            <w:pPr>
              <w:pStyle w:val="TableContents"/>
              <w:bidi w:val="0"/>
              <w:spacing w:before="0" w:after="283"/>
              <w:jc w:val="right"/>
              <w:rPr/>
            </w:pPr>
            <w:r>
              <w:rPr/>
              <w:t>35%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Microsoft Cloud Revenue Growth, excluding Azure and Other Cloud Services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8" w:type="dxa"/>
            <w:tcBorders>
              <w:bottom w:val="single" w:sz="6" w:space="0" w:color="0075C9"/>
            </w:tcBorders>
            <w:tcMar>
              <w:bottom w:w="40" w:type="dxa"/>
            </w:tcMar>
            <w:vAlign w:val="center"/>
          </w:tcPr>
          <w:p>
            <w:pPr>
              <w:pStyle w:val="TableContents"/>
              <w:bidi w:val="0"/>
              <w:spacing w:before="0" w:after="283"/>
              <w:jc w:val="left"/>
              <w:rPr/>
            </w:pPr>
            <w:r>
              <w:rPr/>
              <w:t> </w:t>
            </w:r>
          </w:p>
        </w:tc>
        <w:tc>
          <w:tcPr>
            <w:tcW w:w="687" w:type="dxa"/>
            <w:tcBorders>
              <w:bottom w:val="single" w:sz="6" w:space="0" w:color="0075C9"/>
            </w:tcBorders>
            <w:tcMar>
              <w:bottom w:w="40" w:type="dxa"/>
            </w:tcMar>
            <w:vAlign w:val="center"/>
          </w:tcPr>
          <w:p>
            <w:pPr>
              <w:pStyle w:val="TableContents"/>
              <w:bidi w:val="0"/>
              <w:spacing w:before="0" w:after="283"/>
              <w:jc w:val="right"/>
              <w:rPr/>
            </w:pPr>
            <w:r>
              <w:rPr/>
              <w:t>35%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Consumer Services Revenue 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8" w:type="dxa"/>
            <w:tcBorders>
              <w:bottom w:val="single" w:sz="6" w:space="0" w:color="0075C9"/>
            </w:tcBorders>
            <w:tcMar>
              <w:bottom w:w="40" w:type="dxa"/>
            </w:tcMar>
            <w:vAlign w:val="center"/>
          </w:tcPr>
          <w:p>
            <w:pPr>
              <w:pStyle w:val="TableContents"/>
              <w:bidi w:val="0"/>
              <w:spacing w:before="0" w:after="283"/>
              <w:jc w:val="left"/>
              <w:rPr/>
            </w:pPr>
            <w:r>
              <w:rPr/>
              <w:t> </w:t>
            </w:r>
          </w:p>
        </w:tc>
        <w:tc>
          <w:tcPr>
            <w:tcW w:w="687" w:type="dxa"/>
            <w:tcBorders>
              <w:bottom w:val="single" w:sz="6" w:space="0" w:color="0075C9"/>
            </w:tcBorders>
            <w:tcMar>
              <w:bottom w:w="40" w:type="dxa"/>
            </w:tcMar>
            <w:vAlign w:val="center"/>
          </w:tcPr>
          <w:p>
            <w:pPr>
              <w:pStyle w:val="TableContents"/>
              <w:bidi w:val="0"/>
              <w:spacing w:before="0" w:after="283"/>
              <w:jc w:val="right"/>
              <w:rPr/>
            </w:pPr>
            <w:r>
              <w:rPr/>
              <w:t>15%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62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XBOX Content and Services Revenue 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8" w:type="dxa"/>
            <w:tcBorders>
              <w:bottom w:val="single" w:sz="6" w:space="0" w:color="0075C9"/>
            </w:tcBorders>
            <w:tcMar>
              <w:bottom w:w="40" w:type="dxa"/>
            </w:tcMar>
            <w:vAlign w:val="center"/>
          </w:tcPr>
          <w:p>
            <w:pPr>
              <w:pStyle w:val="TableContents"/>
              <w:bidi w:val="0"/>
              <w:spacing w:before="0" w:after="283"/>
              <w:jc w:val="left"/>
              <w:rPr/>
            </w:pPr>
            <w:r>
              <w:rPr/>
              <w:t> </w:t>
            </w:r>
          </w:p>
        </w:tc>
        <w:tc>
          <w:tcPr>
            <w:tcW w:w="687" w:type="dxa"/>
            <w:tcBorders>
              <w:bottom w:val="single" w:sz="6" w:space="0" w:color="0075C9"/>
            </w:tcBorders>
            <w:tcMar>
              <w:bottom w:w="40" w:type="dxa"/>
            </w:tcMar>
            <w:vAlign w:val="center"/>
          </w:tcPr>
          <w:p>
            <w:pPr>
              <w:pStyle w:val="TableContents"/>
              <w:bidi w:val="0"/>
              <w:spacing w:before="0" w:after="283"/>
              <w:jc w:val="right"/>
              <w:rPr/>
            </w:pPr>
            <w:r>
              <w:rPr/>
              <w:t>15%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120" w:after="0"/>
        <w:jc w:val="left"/>
        <w:rPr>
          <w:rFonts w:ascii="Arial" w:hAnsi="Arial"/>
          <w:sz w:val="18"/>
        </w:rPr>
      </w:pPr>
      <w:r>
        <w:rPr>
          <w:rFonts w:ascii="Arial" w:hAnsi="Arial"/>
          <w:sz w:val="18"/>
        </w:rPr>
        <w:t xml:space="preserve">Targets for the PSA metrics are set at the target levels established under Microsoft’s fiscal year business plan and are intended to be difficult but attainable, and additional information about our goal-setting process is on page 37. All PSA metric goals required year-over-year growth in order for the target to be achieved. Additional details regarding the metrics and weights used for fiscal year 2026 are in the table below. </w:t>
      </w:r>
    </w:p>
    <w:p>
      <w:pPr>
        <w:pStyle w:val="TextBody"/>
        <w:bidi w:val="0"/>
        <w:spacing w:before="240" w:after="0"/>
        <w:jc w:val="left"/>
        <w:rPr>
          <w:rFonts w:ascii="Arial" w:hAnsi="Arial"/>
          <w:b/>
          <w:sz w:val="24"/>
        </w:rPr>
      </w:pPr>
      <w:r>
        <w:rPr>
          <w:rFonts w:ascii="Arial" w:hAnsi="Arial"/>
          <w:b/>
          <w:sz w:val="24"/>
        </w:rPr>
        <w:t xml:space="preserve">Fiscal Year 2026 PSA Metric Descriptions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0"/>
        <w:gridCol w:w="120"/>
        <w:gridCol w:w="6205"/>
        <w:gridCol w:w="120"/>
        <w:gridCol w:w="60"/>
        <w:gridCol w:w="845"/>
        <w:gridCol w:w="75"/>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left"/>
              <w:rPr>
                <w:sz w:val="4"/>
                <w:szCs w:val="4"/>
              </w:rPr>
            </w:pPr>
            <w:r>
              <w:rPr>
                <w:sz w:val="4"/>
                <w:szCs w:val="4"/>
              </w:rPr>
            </w:r>
          </w:p>
        </w:tc>
        <w:tc>
          <w:tcPr>
            <w:tcW w:w="632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0075C9"/>
            </w:tcBorders>
            <w:tcMar>
              <w:bottom w:w="40" w:type="dxa"/>
            </w:tcMar>
            <w:vAlign w:val="center"/>
          </w:tcPr>
          <w:p>
            <w:pPr>
              <w:pStyle w:val="TableContents"/>
              <w:bidi w:val="0"/>
              <w:spacing w:before="0" w:after="283"/>
              <w:jc w:val="left"/>
              <w:rPr>
                <w:b/>
              </w:rPr>
            </w:pPr>
            <w:r>
              <w:rPr>
                <w:b/>
              </w:rPr>
              <w:t>Performance Metrics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205"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Description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45" w:type="dxa"/>
            <w:tcBorders>
              <w:bottom w:val="single" w:sz="6" w:space="0" w:color="0075C9"/>
            </w:tcBorders>
            <w:tcMar>
              <w:bottom w:w="40" w:type="dxa"/>
            </w:tcMar>
            <w:vAlign w:val="center"/>
          </w:tcPr>
          <w:p>
            <w:pPr>
              <w:pStyle w:val="TableContents"/>
              <w:bidi w:val="0"/>
              <w:spacing w:before="0" w:after="283"/>
              <w:jc w:val="right"/>
              <w:rPr>
                <w:b/>
              </w:rPr>
            </w:pPr>
            <w:r>
              <w:rPr>
                <w:b/>
              </w:rPr>
              <w:t>Weights</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632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Azure and Other Cloud Services</w:t>
            </w:r>
          </w:p>
          <w:p>
            <w:pPr>
              <w:pStyle w:val="TableContents"/>
              <w:bidi w:val="0"/>
              <w:spacing w:before="0" w:after="20"/>
              <w:jc w:val="left"/>
              <w:rPr>
                <w:rFonts w:ascii="Arial" w:hAnsi="Arial"/>
                <w:b/>
                <w:color w:val="0075C9"/>
                <w:sz w:val="18"/>
              </w:rPr>
            </w:pPr>
            <w:r>
              <w:rPr>
                <w:rFonts w:ascii="Arial" w:hAnsi="Arial"/>
                <w:b/>
                <w:color w:val="0075C9"/>
                <w:sz w:val="18"/>
              </w:rPr>
              <w:t>Revenue 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205" w:type="dxa"/>
            <w:tcBorders>
              <w:bottom w:val="single" w:sz="6" w:space="0" w:color="0075C9"/>
            </w:tcBorders>
            <w:tcMar>
              <w:bottom w:w="40" w:type="dxa"/>
            </w:tcMar>
            <w:vAlign w:val="center"/>
          </w:tcPr>
          <w:p>
            <w:pPr>
              <w:pStyle w:val="TableContents"/>
              <w:bidi w:val="0"/>
              <w:spacing w:before="0" w:after="283"/>
              <w:jc w:val="left"/>
              <w:rPr/>
            </w:pPr>
            <w:r>
              <w:rPr/>
              <w:t>Revenue from Azure and other cloud services, including cloud and AI consumption-based services, GitHub cloud services, Health and Life Sciences cloud services (formerly Nuance Healthcare cloud services), virtual desktop offerings, and other cloud services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45" w:type="dxa"/>
            <w:tcBorders>
              <w:bottom w:val="single" w:sz="6" w:space="0" w:color="0075C9"/>
            </w:tcBorders>
            <w:tcMar>
              <w:bottom w:w="40" w:type="dxa"/>
            </w:tcMar>
            <w:vAlign w:val="center"/>
          </w:tcPr>
          <w:p>
            <w:pPr>
              <w:pStyle w:val="TableContents"/>
              <w:bidi w:val="0"/>
              <w:spacing w:before="0" w:after="283"/>
              <w:jc w:val="right"/>
              <w:rPr/>
            </w:pPr>
            <w:r>
              <w:rPr/>
              <w:t>35%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632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Microsoft Cloud Revenue</w:t>
            </w:r>
          </w:p>
          <w:p>
            <w:pPr>
              <w:pStyle w:val="TableContents"/>
              <w:bidi w:val="0"/>
              <w:spacing w:before="0" w:after="0"/>
              <w:jc w:val="left"/>
              <w:rPr>
                <w:rFonts w:ascii="Arial" w:hAnsi="Arial"/>
                <w:b/>
                <w:color w:val="0075C9"/>
                <w:sz w:val="18"/>
              </w:rPr>
            </w:pPr>
            <w:r>
              <w:rPr>
                <w:rFonts w:ascii="Arial" w:hAnsi="Arial"/>
                <w:b/>
                <w:color w:val="0075C9"/>
                <w:sz w:val="18"/>
              </w:rPr>
              <w:t>Growth, excluding Azure and</w:t>
            </w:r>
          </w:p>
          <w:p>
            <w:pPr>
              <w:pStyle w:val="TableContents"/>
              <w:bidi w:val="0"/>
              <w:spacing w:before="0" w:after="20"/>
              <w:jc w:val="left"/>
              <w:rPr>
                <w:rFonts w:ascii="Arial" w:hAnsi="Arial"/>
                <w:b/>
                <w:color w:val="0075C9"/>
                <w:sz w:val="18"/>
              </w:rPr>
            </w:pPr>
            <w:r>
              <w:rPr>
                <w:rFonts w:ascii="Arial" w:hAnsi="Arial"/>
                <w:b/>
                <w:color w:val="0075C9"/>
                <w:sz w:val="18"/>
              </w:rPr>
              <w:t>Other Cloud Services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205" w:type="dxa"/>
            <w:tcBorders>
              <w:bottom w:val="single" w:sz="6" w:space="0" w:color="0075C9"/>
            </w:tcBorders>
            <w:tcMar>
              <w:bottom w:w="40" w:type="dxa"/>
            </w:tcMar>
            <w:vAlign w:val="center"/>
          </w:tcPr>
          <w:p>
            <w:pPr>
              <w:pStyle w:val="TableContents"/>
              <w:bidi w:val="0"/>
              <w:spacing w:before="0" w:after="283"/>
              <w:jc w:val="left"/>
              <w:rPr/>
            </w:pPr>
            <w:r>
              <w:rPr/>
              <w:t>Revenue from Microsoft 365 Commercial Cloud, the commercial portion of LinkedIn, and Dynamics 365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45" w:type="dxa"/>
            <w:tcBorders>
              <w:bottom w:val="single" w:sz="6" w:space="0" w:color="0075C9"/>
            </w:tcBorders>
            <w:tcMar>
              <w:bottom w:w="40" w:type="dxa"/>
            </w:tcMar>
            <w:vAlign w:val="center"/>
          </w:tcPr>
          <w:p>
            <w:pPr>
              <w:pStyle w:val="TableContents"/>
              <w:bidi w:val="0"/>
              <w:spacing w:before="0" w:after="283"/>
              <w:jc w:val="right"/>
              <w:rPr/>
            </w:pPr>
            <w:r>
              <w:rPr/>
              <w:t>35%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632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Consumer Services Revenue</w:t>
            </w:r>
          </w:p>
          <w:p>
            <w:pPr>
              <w:pStyle w:val="TableContents"/>
              <w:bidi w:val="0"/>
              <w:spacing w:before="0" w:after="20"/>
              <w:jc w:val="left"/>
              <w:rPr>
                <w:rFonts w:ascii="Arial" w:hAnsi="Arial"/>
                <w:b/>
                <w:color w:val="0075C9"/>
                <w:sz w:val="18"/>
              </w:rPr>
            </w:pPr>
            <w:r>
              <w:rPr>
                <w:rFonts w:ascii="Arial" w:hAnsi="Arial"/>
                <w:b/>
                <w:color w:val="0075C9"/>
                <w:sz w:val="18"/>
              </w:rPr>
              <w:t>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205" w:type="dxa"/>
            <w:tcBorders>
              <w:bottom w:val="single" w:sz="6" w:space="0" w:color="0075C9"/>
            </w:tcBorders>
            <w:tcMar>
              <w:bottom w:w="40" w:type="dxa"/>
            </w:tcMar>
            <w:vAlign w:val="center"/>
          </w:tcPr>
          <w:p>
            <w:pPr>
              <w:pStyle w:val="TableContents"/>
              <w:bidi w:val="0"/>
              <w:spacing w:before="0" w:after="283"/>
              <w:jc w:val="left"/>
              <w:rPr/>
            </w:pPr>
            <w:r>
              <w:rPr/>
              <w:t>Revenue from all consumer areas, excluding XBOX, device licensing, and devices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45" w:type="dxa"/>
            <w:tcBorders>
              <w:bottom w:val="single" w:sz="6" w:space="0" w:color="0075C9"/>
            </w:tcBorders>
            <w:tcMar>
              <w:bottom w:w="40" w:type="dxa"/>
            </w:tcMar>
            <w:vAlign w:val="center"/>
          </w:tcPr>
          <w:p>
            <w:pPr>
              <w:pStyle w:val="TableContents"/>
              <w:bidi w:val="0"/>
              <w:spacing w:before="0" w:after="283"/>
              <w:jc w:val="right"/>
              <w:rPr/>
            </w:pPr>
            <w:r>
              <w:rPr/>
              <w:t>15%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6325" w:type="dxa"/>
            <w:gridSpan w:val="2"/>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XBOX Content and Services</w:t>
            </w:r>
          </w:p>
          <w:p>
            <w:pPr>
              <w:pStyle w:val="TableContents"/>
              <w:bidi w:val="0"/>
              <w:spacing w:before="0" w:after="20"/>
              <w:jc w:val="left"/>
              <w:rPr>
                <w:rFonts w:ascii="Arial" w:hAnsi="Arial"/>
                <w:b/>
                <w:color w:val="0075C9"/>
                <w:sz w:val="18"/>
              </w:rPr>
            </w:pPr>
            <w:r>
              <w:rPr>
                <w:rFonts w:ascii="Arial" w:hAnsi="Arial"/>
                <w:b/>
                <w:color w:val="0075C9"/>
                <w:sz w:val="18"/>
              </w:rPr>
              <w:t>Revenue Growth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205" w:type="dxa"/>
            <w:tcBorders>
              <w:bottom w:val="single" w:sz="6" w:space="0" w:color="0075C9"/>
            </w:tcBorders>
            <w:tcMar>
              <w:bottom w:w="40" w:type="dxa"/>
            </w:tcMar>
            <w:vAlign w:val="center"/>
          </w:tcPr>
          <w:p>
            <w:pPr>
              <w:pStyle w:val="TableContents"/>
              <w:bidi w:val="0"/>
              <w:spacing w:before="0" w:after="283"/>
              <w:jc w:val="left"/>
              <w:rPr/>
            </w:pPr>
            <w:r>
              <w:rPr/>
              <w:t>Revenue from XBOX content and services, comprising first- and third-party content (including games and in-game content), XBOX Game Pass and other subscriptions, XBOX Cloud Gaming, advertising, and other cloud services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45" w:type="dxa"/>
            <w:tcBorders>
              <w:bottom w:val="single" w:sz="6" w:space="0" w:color="0075C9"/>
            </w:tcBorders>
            <w:tcMar>
              <w:bottom w:w="40" w:type="dxa"/>
            </w:tcMar>
            <w:vAlign w:val="center"/>
          </w:tcPr>
          <w:p>
            <w:pPr>
              <w:pStyle w:val="TableContents"/>
              <w:bidi w:val="0"/>
              <w:spacing w:before="0" w:after="283"/>
              <w:jc w:val="right"/>
              <w:rPr/>
            </w:pPr>
            <w:r>
              <w:rPr/>
              <w:t>15%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40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1"/>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fiscal year 2026 PSA metrics were used to establish performance goals for (i) year 3 of the 2024 PSAs, (ii) year 2 of the 2025 PSAs, and (iii) year 1 of the 2026 PSAs, as shown below. </w:t>
      </w:r>
    </w:p>
    <w:tbl>
      <w:tblPr>
        <w:tblW w:w="5681" w:type="dxa"/>
        <w:jc w:val="left"/>
        <w:tblInd w:w="0" w:type="dxa"/>
        <w:tblLayout w:type="fixed"/>
        <w:tblCellMar>
          <w:top w:w="0" w:type="dxa"/>
          <w:left w:w="0" w:type="dxa"/>
          <w:bottom w:w="0" w:type="dxa"/>
          <w:right w:w="0" w:type="dxa"/>
        </w:tblCellMar>
      </w:tblPr>
      <w:tblGrid>
        <w:gridCol w:w="104"/>
        <w:gridCol w:w="164"/>
        <w:gridCol w:w="5142"/>
        <w:gridCol w:w="164"/>
        <w:gridCol w:w="107"/>
      </w:tblGrid>
      <w:tr>
        <w:trPr/>
        <w:tc>
          <w:tcPr>
            <w:tcW w:w="1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1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104" w:type="dxa"/>
            <w:tcBorders/>
            <w:vAlign w:val="center"/>
          </w:tcPr>
          <w:p>
            <w:pPr>
              <w:pStyle w:val="TableContents"/>
              <w:bidi w:val="0"/>
              <w:spacing w:before="0" w:after="283"/>
              <w:jc w:val="left"/>
              <w:rPr>
                <w:sz w:val="4"/>
                <w:szCs w:val="4"/>
              </w:rPr>
            </w:pPr>
            <w:r>
              <w:rPr>
                <w:sz w:val="4"/>
                <w:szCs w:val="4"/>
              </w:rPr>
            </w:r>
          </w:p>
        </w:tc>
        <w:tc>
          <w:tcPr>
            <w:tcW w:w="164" w:type="dxa"/>
            <w:vMerge w:val="restart"/>
            <w:tcBorders/>
            <w:vAlign w:val="center"/>
          </w:tcPr>
          <w:p>
            <w:pPr>
              <w:pStyle w:val="TableContents"/>
              <w:bidi w:val="0"/>
              <w:spacing w:before="0" w:after="283"/>
              <w:jc w:val="left"/>
              <w:rPr/>
            </w:pPr>
            <w:r>
              <w:rPr/>
              <w:t> </w:t>
            </w:r>
          </w:p>
        </w:tc>
        <w:tc>
          <w:tcPr>
            <w:tcW w:w="5142" w:type="dxa"/>
            <w:vMerge w:val="restart"/>
            <w:tcBorders/>
            <w:vAlign w:val="center"/>
          </w:tcPr>
          <w:p>
            <w:pPr>
              <w:pStyle w:val="TableContents"/>
              <w:bidi w:val="0"/>
              <w:spacing w:before="0" w:after="0"/>
              <w:jc w:val="center"/>
              <w:rPr/>
            </w:pPr>
            <w:r>
              <w:rPr/>
              <w:t> </w:t>
            </w:r>
            <w:r>
              <w:rPr>
                <w:rFonts w:ascii="Arial" w:hAnsi="Arial"/>
                <w:b/>
                <w:sz w:val="24"/>
              </w:rPr>
              <w:t>PSA Metric Year </w:t>
            </w:r>
          </w:p>
          <w:p>
            <w:pPr>
              <w:pStyle w:val="TableContents"/>
              <w:bidi w:val="0"/>
              <w:spacing w:before="0" w:after="20"/>
              <w:jc w:val="left"/>
              <w:rPr/>
            </w:pPr>
            <w:r>
              <w:rPr/>
              <w:t> </w:t>
            </w:r>
          </w:p>
        </w:tc>
        <w:tc>
          <w:tcPr>
            <w:tcW w:w="164"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r>
      <w:tr>
        <w:trPr/>
        <w:tc>
          <w:tcPr>
            <w:tcW w:w="104" w:type="dxa"/>
            <w:tcBorders/>
            <w:vAlign w:val="center"/>
          </w:tcPr>
          <w:p>
            <w:pPr>
              <w:pStyle w:val="TableContents"/>
              <w:bidi w:val="0"/>
              <w:spacing w:before="0" w:after="283"/>
              <w:jc w:val="left"/>
              <w:rPr>
                <w:sz w:val="4"/>
                <w:szCs w:val="4"/>
              </w:rPr>
            </w:pPr>
            <w:r>
              <w:rPr>
                <w:sz w:val="4"/>
                <w:szCs w:val="4"/>
              </w:rPr>
            </w:r>
          </w:p>
        </w:tc>
        <w:tc>
          <w:tcPr>
            <w:tcW w:w="164" w:type="dxa"/>
            <w:vMerge w:val="continue"/>
            <w:tcBorders/>
            <w:vAlign w:val="center"/>
          </w:tcPr>
          <w:p>
            <w:pPr>
              <w:pStyle w:val="Normal"/>
              <w:bidi w:val="0"/>
              <w:jc w:val="left"/>
              <w:rPr/>
            </w:pPr>
            <w:r>
              <w:rPr/>
            </w:r>
          </w:p>
        </w:tc>
        <w:tc>
          <w:tcPr>
            <w:tcW w:w="5142" w:type="dxa"/>
            <w:vMerge w:val="continue"/>
            <w:tcBorders/>
            <w:vAlign w:val="center"/>
          </w:tcPr>
          <w:p>
            <w:pPr>
              <w:pStyle w:val="Normal"/>
              <w:bidi w:val="0"/>
              <w:jc w:val="left"/>
              <w:rPr/>
            </w:pPr>
            <w:r>
              <w:rPr/>
            </w:r>
          </w:p>
        </w:tc>
        <w:tc>
          <w:tcPr>
            <w:tcW w:w="164"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r>
      <w:tr>
        <w:trPr/>
        <w:tc>
          <w:tcPr>
            <w:tcW w:w="5681" w:type="dxa"/>
            <w:gridSpan w:val="5"/>
            <w:tcBorders/>
            <w:vAlign w:val="center"/>
          </w:tcPr>
          <w:p>
            <w:pPr>
              <w:pStyle w:val="TableContents"/>
              <w:bidi w:val="0"/>
              <w:spacing w:before="0" w:after="283"/>
              <w:jc w:val="left"/>
              <w:rPr>
                <w:sz w:val="4"/>
                <w:szCs w:val="4"/>
              </w:rPr>
            </w:pPr>
            <w:r>
              <w:rPr>
                <w:sz w:val="4"/>
                <w:szCs w:val="4"/>
              </w:rPr>
            </w:r>
          </w:p>
        </w:tc>
      </w:tr>
      <w:tr>
        <w:trPr/>
        <w:tc>
          <w:tcPr>
            <w:tcW w:w="5681" w:type="dxa"/>
            <w:gridSpan w:val="5"/>
            <w:tcBorders/>
            <w:vAlign w:val="center"/>
          </w:tcPr>
          <w:p>
            <w:pPr>
              <w:pStyle w:val="TableContents"/>
              <w:bidi w:val="0"/>
              <w:spacing w:before="0" w:after="20"/>
              <w:jc w:val="center"/>
              <w:rPr/>
            </w:pPr>
            <w:r>
              <w:rPr/>
              <w:drawing>
                <wp:inline distT="0" distB="0" distL="0" distR="0">
                  <wp:extent cx="3551555" cy="2494915"/>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2"/>
                          <a:stretch>
                            <a:fillRect/>
                          </a:stretch>
                        </pic:blipFill>
                        <pic:spPr bwMode="auto">
                          <a:xfrm>
                            <a:off x="0" y="0"/>
                            <a:ext cx="3551555" cy="2494915"/>
                          </a:xfrm>
                          <a:prstGeom prst="rect">
                            <a:avLst/>
                          </a:prstGeom>
                        </pic:spPr>
                      </pic:pic>
                    </a:graphicData>
                  </a:graphic>
                </wp:inline>
              </w:drawing>
            </w:r>
            <w:r>
              <w:rPr/>
              <w:t xml:space="preserve"> </w:t>
            </w:r>
          </w:p>
        </w:tc>
      </w:tr>
    </w:tbl>
    <w:p>
      <w:pPr>
        <w:pStyle w:val="TextBody"/>
        <w:bidi w:val="0"/>
        <w:spacing w:before="120" w:after="0"/>
        <w:jc w:val="left"/>
        <w:rPr>
          <w:rFonts w:ascii="Arial" w:hAnsi="Arial"/>
          <w:sz w:val="18"/>
        </w:rPr>
      </w:pPr>
      <w:r>
        <w:rPr>
          <w:rFonts w:ascii="Arial" w:hAnsi="Arial"/>
          <w:sz w:val="18"/>
        </w:rPr>
        <w:t xml:space="preserve">Our fiscal year 2026 PSA metric results can be found on page 46. </w:t>
      </w:r>
    </w:p>
    <w:p>
      <w:pPr>
        <w:pStyle w:val="TextBody"/>
        <w:bidi w:val="0"/>
        <w:spacing w:before="120" w:after="0"/>
        <w:jc w:val="left"/>
        <w:rPr>
          <w:rFonts w:ascii="Arial" w:hAnsi="Arial"/>
          <w:sz w:val="18"/>
        </w:rPr>
      </w:pPr>
      <w:r>
        <w:rPr>
          <w:rFonts w:ascii="Arial" w:hAnsi="Arial"/>
          <w:sz w:val="18"/>
        </w:rPr>
        <w:t xml:space="preserve">Results for the three years may be modified based on our Relative TSR percentile ranking as compared to the S&amp;P 500, as shown below. Microsoft’s absolute TSR must be positive to apply an above target (100%) modifier payout.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600"/>
        <w:gridCol w:w="120"/>
        <w:gridCol w:w="60"/>
        <w:gridCol w:w="875"/>
        <w:gridCol w:w="75"/>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3-year Relative TSR Ranking1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40" w:type="dxa"/>
            </w:tcMar>
            <w:vAlign w:val="center"/>
          </w:tcPr>
          <w:p>
            <w:pPr>
              <w:pStyle w:val="TableContents"/>
              <w:bidi w:val="0"/>
              <w:spacing w:before="0" w:after="283"/>
              <w:jc w:val="right"/>
              <w:rPr>
                <w:b/>
              </w:rPr>
            </w:pPr>
            <w:r>
              <w:rPr>
                <w:b/>
              </w:rPr>
              <w:t>Modifier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20th Percentile &amp; Below</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75" w:type="dxa"/>
            <w:tcBorders>
              <w:bottom w:val="single" w:sz="6" w:space="0" w:color="0075C9"/>
            </w:tcBorders>
            <w:tcMar>
              <w:bottom w:w="40" w:type="dxa"/>
            </w:tcMar>
            <w:vAlign w:val="center"/>
          </w:tcPr>
          <w:p>
            <w:pPr>
              <w:pStyle w:val="TableContents"/>
              <w:bidi w:val="0"/>
              <w:spacing w:before="0" w:after="283"/>
              <w:jc w:val="right"/>
              <w:rPr/>
            </w:pPr>
            <w:r>
              <w:rPr/>
              <w:t>75.00%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30th Percentile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75" w:type="dxa"/>
            <w:tcBorders>
              <w:bottom w:val="single" w:sz="6" w:space="0" w:color="0075C9"/>
            </w:tcBorders>
            <w:tcMar>
              <w:bottom w:w="40" w:type="dxa"/>
            </w:tcMar>
            <w:vAlign w:val="center"/>
          </w:tcPr>
          <w:p>
            <w:pPr>
              <w:pStyle w:val="TableContents"/>
              <w:bidi w:val="0"/>
              <w:spacing w:before="0" w:after="283"/>
              <w:jc w:val="right"/>
              <w:rPr/>
            </w:pPr>
            <w:r>
              <w:rPr/>
              <w:t>87.50%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40th to 60th Percentile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75" w:type="dxa"/>
            <w:tcBorders>
              <w:bottom w:val="single" w:sz="6" w:space="0" w:color="0075C9"/>
            </w:tcBorders>
            <w:tcMar>
              <w:bottom w:w="40" w:type="dxa"/>
            </w:tcMar>
            <w:vAlign w:val="center"/>
          </w:tcPr>
          <w:p>
            <w:pPr>
              <w:pStyle w:val="TableContents"/>
              <w:bidi w:val="0"/>
              <w:spacing w:before="0" w:after="283"/>
              <w:jc w:val="right"/>
              <w:rPr/>
            </w:pPr>
            <w:r>
              <w:rPr/>
              <w:t>100.00%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70th Percentile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75" w:type="dxa"/>
            <w:tcBorders>
              <w:bottom w:val="single" w:sz="6" w:space="0" w:color="0075C9"/>
            </w:tcBorders>
            <w:tcMar>
              <w:bottom w:w="40" w:type="dxa"/>
            </w:tcMar>
            <w:vAlign w:val="center"/>
          </w:tcPr>
          <w:p>
            <w:pPr>
              <w:pStyle w:val="TableContents"/>
              <w:bidi w:val="0"/>
              <w:spacing w:before="0" w:after="283"/>
              <w:jc w:val="right"/>
              <w:rPr/>
            </w:pPr>
            <w:r>
              <w:rPr/>
              <w:t>125.00%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60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80th Percentile &amp; Above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75"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Arial" w:hAnsi="Arial"/>
                <w:sz w:val="14"/>
              </w:rPr>
            </w:pPr>
            <w:r>
              <w:rPr>
                <w:rFonts w:ascii="Arial" w:hAnsi="Arial"/>
                <w:sz w:val="14"/>
              </w:rPr>
              <w:t xml:space="preserve">Relative TSR percentile ranking as compared to the S&amp;P 500 results in the above payout modifiers with linear interpolation applied between respective amounts. </w:t>
            </w:r>
          </w:p>
        </w:tc>
      </w:tr>
    </w:tbl>
    <w:p>
      <w:pPr>
        <w:pStyle w:val="TextBody"/>
        <w:bidi w:val="0"/>
        <w:spacing w:before="240" w:after="0"/>
        <w:jc w:val="left"/>
        <w:rPr>
          <w:rFonts w:ascii="Arial" w:hAnsi="Arial"/>
          <w:sz w:val="18"/>
        </w:rPr>
      </w:pPr>
      <w:r>
        <w:rPr>
          <w:rFonts w:ascii="Arial" w:hAnsi="Arial"/>
          <w:sz w:val="18"/>
        </w:rPr>
        <w:t xml:space="preserve">As described further in Section 6, for fiscal year 2027, we narrowed our 2027 PSA metrics to further align with our key strategic priorities. </w:t>
      </w:r>
    </w:p>
    <w:p>
      <w:pPr>
        <w:pStyle w:val="TextBody"/>
        <w:bidi w:val="0"/>
        <w:spacing w:before="240" w:after="0"/>
        <w:jc w:val="left"/>
        <w:rPr>
          <w:rFonts w:ascii="Arial" w:hAnsi="Arial"/>
          <w:b/>
          <w:color w:val="0075C9"/>
          <w:sz w:val="20"/>
        </w:rPr>
      </w:pPr>
      <w:r>
        <w:rPr>
          <w:rFonts w:ascii="Arial" w:hAnsi="Arial"/>
          <w:b/>
          <w:color w:val="0075C9"/>
          <w:sz w:val="20"/>
        </w:rPr>
        <w:t xml:space="preserve">Stock Awards </w:t>
      </w:r>
    </w:p>
    <w:p>
      <w:pPr>
        <w:pStyle w:val="TextBody"/>
        <w:bidi w:val="0"/>
        <w:spacing w:before="120" w:after="0"/>
        <w:jc w:val="left"/>
        <w:rPr>
          <w:rFonts w:ascii="Arial" w:hAnsi="Arial"/>
          <w:sz w:val="18"/>
        </w:rPr>
      </w:pPr>
      <w:r>
        <w:rPr>
          <w:rFonts w:ascii="Arial" w:hAnsi="Arial"/>
          <w:sz w:val="18"/>
        </w:rPr>
        <w:t xml:space="preserve">Stock awards were granted under the Incentive Plan in September 2025 for shares of Microsoft common stock to Named Executives other than Mr. Nadella. These stock awards vest over four years, with 25% vesting on August 31, 2026 and 12.5% each six-months thereafter, to support long-term focus and align with shareholders’ interests as the value of such awards is dependent on our stock price and vesting is subject to continued employment, except as described on page 49 below. </w:t>
      </w:r>
    </w:p>
    <w:p>
      <w:pPr>
        <w:pStyle w:val="TextBody"/>
        <w:bidi w:val="0"/>
        <w:spacing w:before="240" w:after="0"/>
        <w:jc w:val="left"/>
        <w:rPr>
          <w:rFonts w:ascii="Arial" w:hAnsi="Arial"/>
          <w:b/>
          <w:sz w:val="24"/>
        </w:rPr>
      </w:pPr>
      <w:r>
        <w:rPr>
          <w:rFonts w:ascii="Arial" w:hAnsi="Arial"/>
          <w:b/>
          <w:sz w:val="24"/>
        </w:rPr>
        <w:t xml:space="preserve">No Other Fiscal Year 2026 Compensation </w:t>
      </w:r>
    </w:p>
    <w:p>
      <w:pPr>
        <w:pStyle w:val="TextBody"/>
        <w:bidi w:val="0"/>
        <w:spacing w:before="120" w:after="0"/>
        <w:jc w:val="left"/>
        <w:rPr>
          <w:rFonts w:ascii="Arial" w:hAnsi="Arial"/>
          <w:sz w:val="18"/>
        </w:rPr>
      </w:pPr>
      <w:r>
        <w:rPr>
          <w:rFonts w:ascii="Arial" w:hAnsi="Arial"/>
          <w:sz w:val="18"/>
        </w:rPr>
        <w:t xml:space="preserve">During fiscal year 2026, the Compensation Committee and independent members of our Board awarded no other compensation to our Named Executives.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8" w:name="toc61756_16"/>
      <w:bookmarkEnd w:id="18"/>
      <w:r>
        <w:rPr>
          <w:rFonts w:ascii="Arial" w:hAnsi="Arial"/>
          <w:b/>
          <w:color w:val="0075C9"/>
          <w:sz w:val="28"/>
        </w:rPr>
        <w:t xml:space="preserve">Section 5 – Fiscal Year 2026 Compensation Decisions and Results </w:t>
      </w:r>
    </w:p>
    <w:p>
      <w:pPr>
        <w:pStyle w:val="TextBody"/>
        <w:bidi w:val="0"/>
        <w:spacing w:before="120" w:after="0"/>
        <w:jc w:val="left"/>
        <w:rPr>
          <w:rFonts w:ascii="Arial" w:hAnsi="Arial"/>
          <w:sz w:val="18"/>
        </w:rPr>
      </w:pPr>
      <w:r>
        <w:rPr>
          <w:rFonts w:ascii="Arial" w:hAnsi="Arial"/>
          <w:sz w:val="18"/>
        </w:rPr>
        <w:t xml:space="preserve">Our Named Executives were awarded the following compensation in fiscal year 2026: </w:t>
      </w:r>
    </w:p>
    <w:p>
      <w:pPr>
        <w:pStyle w:val="TextBody"/>
        <w:bidi w:val="0"/>
        <w:spacing w:before="240" w:after="0"/>
        <w:jc w:val="left"/>
        <w:rPr>
          <w:rFonts w:ascii="Arial" w:hAnsi="Arial"/>
          <w:b/>
          <w:sz w:val="24"/>
        </w:rPr>
      </w:pPr>
      <w:r>
        <w:rPr>
          <w:rFonts w:ascii="Arial" w:hAnsi="Arial"/>
          <w:b/>
          <w:sz w:val="24"/>
        </w:rPr>
        <w:t xml:space="preserve">Fiscal Year 2026 Base Salaries </w:t>
      </w:r>
    </w:p>
    <w:p>
      <w:pPr>
        <w:pStyle w:val="TextBody"/>
        <w:bidi w:val="0"/>
        <w:spacing w:before="120" w:after="0"/>
        <w:jc w:val="left"/>
        <w:rPr>
          <w:rFonts w:ascii="Arial" w:hAnsi="Arial"/>
          <w:sz w:val="18"/>
        </w:rPr>
      </w:pPr>
      <w:r>
        <w:rPr>
          <w:rFonts w:ascii="Arial" w:hAnsi="Arial"/>
          <w:sz w:val="18"/>
        </w:rPr>
        <w:t xml:space="preserve">As part of the annual review of target compensation opportunities, our Compensation Committee and, for Mr. Nadella, the independent members of our Board, reviewed the base salaries of our Named Executives in September 2025. The independent members of our Board did not increase the base salary of Mr. Nadella, which it continued to believe was reasonable and appropriate given his role, capabilities, and experience, as well as the Company’s relative scale and performance. Our Compensation Committee also did not increase the base salaries of any of the NEOs, except in the case of Mr. Numoto. We increased Mr. Numoto’s base salary from $800,000 to $850,000, based on a competitive market review. </w:t>
      </w:r>
    </w:p>
    <w:p>
      <w:pPr>
        <w:pStyle w:val="TextBody"/>
        <w:bidi w:val="0"/>
        <w:spacing w:before="240" w:after="0"/>
        <w:jc w:val="left"/>
        <w:rPr>
          <w:rFonts w:ascii="Arial" w:hAnsi="Arial"/>
          <w:b/>
          <w:sz w:val="24"/>
        </w:rPr>
      </w:pPr>
      <w:r>
        <w:rPr>
          <w:rFonts w:ascii="Arial" w:hAnsi="Arial"/>
          <w:b/>
          <w:sz w:val="24"/>
        </w:rPr>
        <w:t xml:space="preserve">Fiscal Year 2026 Cash Incentive Awards </w:t>
      </w:r>
    </w:p>
    <w:p>
      <w:pPr>
        <w:pStyle w:val="TextBody"/>
        <w:bidi w:val="0"/>
        <w:spacing w:before="120" w:after="0"/>
        <w:jc w:val="left"/>
        <w:rPr>
          <w:rFonts w:ascii="Arial" w:hAnsi="Arial"/>
          <w:sz w:val="18"/>
        </w:rPr>
      </w:pPr>
      <w:r>
        <w:rPr>
          <w:rFonts w:ascii="Arial" w:hAnsi="Arial"/>
          <w:sz w:val="18"/>
        </w:rPr>
        <w:t xml:space="preserve">We did not increase our target cash incentive opportunities in fiscal year 2026 as a percentage of base salary, except in the case of Mr. Numoto. For fiscal year 2026, these opportunities were: Mr. Nadella – 300%; Ms. Hood – 250%; Mr. Althoff – 250%; Mr. Numoto – 225%; and Mr. Smith – 250%. We increased Mr. Numoto’s target cash incentive opportunity from 200% to 225% of base salary, based on a competitive market review. </w:t>
      </w:r>
    </w:p>
    <w:p>
      <w:pPr>
        <w:pStyle w:val="TextBody"/>
        <w:bidi w:val="0"/>
        <w:spacing w:before="120" w:after="0"/>
        <w:jc w:val="left"/>
        <w:rPr>
          <w:rFonts w:ascii="Arial" w:hAnsi="Arial"/>
          <w:sz w:val="18"/>
        </w:rPr>
      </w:pPr>
      <w:r>
        <w:rPr>
          <w:rFonts w:ascii="Arial" w:hAnsi="Arial"/>
          <w:sz w:val="18"/>
        </w:rPr>
        <w:t xml:space="preserve">Our Compensation Committee and, for Mr. Nadella, the independent members of our Board, determined the design and payouts of fiscal year 2026 cash incentive awards. These were based on two performance categories: financial results and operational performance results. </w:t>
      </w:r>
    </w:p>
    <w:p>
      <w:pPr>
        <w:pStyle w:val="TextBody"/>
        <w:bidi w:val="0"/>
        <w:spacing w:before="240" w:after="0"/>
        <w:jc w:val="left"/>
        <w:rPr>
          <w:rFonts w:ascii="Arial" w:hAnsi="Arial"/>
          <w:b/>
          <w:sz w:val="24"/>
        </w:rPr>
      </w:pPr>
      <w:r>
        <w:rPr>
          <w:rFonts w:ascii="Arial" w:hAnsi="Arial"/>
          <w:b/>
          <w:sz w:val="24"/>
        </w:rPr>
        <w:t xml:space="preserve">Financial Results </w:t>
      </w:r>
    </w:p>
    <w:p>
      <w:pPr>
        <w:pStyle w:val="TextBody"/>
        <w:bidi w:val="0"/>
        <w:spacing w:before="120" w:after="0"/>
        <w:jc w:val="left"/>
        <w:rPr>
          <w:rFonts w:ascii="Arial" w:hAnsi="Arial"/>
          <w:sz w:val="18"/>
        </w:rPr>
      </w:pPr>
      <w:r>
        <w:rPr>
          <w:rFonts w:ascii="Arial" w:hAnsi="Arial"/>
          <w:sz w:val="18"/>
        </w:rPr>
        <w:t xml:space="preserve">The fiscal year 2026 financial performance measures are shown below, resulting in a weighted payout of 129.03% as a percentage of target. We note that our Incentive Plan Revenue result was 130.02% of target and Incentive Plan Operating Income result was 128.05% of target, which equated to a 16.00% and 18.27% fiscal year 2026 growth rate, respectively, further demonstrating our commitment to rigorous goal setting. </w:t>
      </w:r>
    </w:p>
    <w:p>
      <w:pPr>
        <w:pStyle w:val="TextBody"/>
        <w:bidi w:val="0"/>
        <w:spacing w:before="0" w:after="0"/>
        <w:jc w:val="left"/>
        <w:rPr/>
      </w:pPr>
      <w:r>
        <w:rPr/>
        <w:t> </w:t>
      </w:r>
    </w:p>
    <w:tbl>
      <w:tblPr>
        <w:tblW w:w="9710" w:type="dxa"/>
        <w:jc w:val="left"/>
        <w:tblInd w:w="0" w:type="dxa"/>
        <w:tblLayout w:type="fixed"/>
        <w:tblCellMar>
          <w:top w:w="0" w:type="dxa"/>
          <w:left w:w="0" w:type="dxa"/>
          <w:bottom w:w="0" w:type="dxa"/>
          <w:right w:w="0" w:type="dxa"/>
        </w:tblCellMar>
      </w:tblPr>
      <w:tblGrid>
        <w:gridCol w:w="3275"/>
        <w:gridCol w:w="120"/>
        <w:gridCol w:w="60"/>
        <w:gridCol w:w="800"/>
        <w:gridCol w:w="60"/>
        <w:gridCol w:w="120"/>
        <w:gridCol w:w="61"/>
        <w:gridCol w:w="814"/>
        <w:gridCol w:w="60"/>
        <w:gridCol w:w="120"/>
        <w:gridCol w:w="60"/>
        <w:gridCol w:w="800"/>
        <w:gridCol w:w="60"/>
        <w:gridCol w:w="120"/>
        <w:gridCol w:w="60"/>
        <w:gridCol w:w="800"/>
        <w:gridCol w:w="60"/>
        <w:gridCol w:w="120"/>
        <w:gridCol w:w="60"/>
        <w:gridCol w:w="800"/>
        <w:gridCol w:w="60"/>
        <w:gridCol w:w="60"/>
        <w:gridCol w:w="105"/>
        <w:gridCol w:w="98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Financial Results</w:t>
            </w:r>
          </w:p>
          <w:p>
            <w:pPr>
              <w:pStyle w:val="TableContents"/>
              <w:bidi w:val="0"/>
              <w:spacing w:before="0" w:after="20"/>
              <w:jc w:val="left"/>
              <w:rPr>
                <w:rFonts w:ascii="Arial" w:hAnsi="Arial"/>
                <w:b/>
                <w:sz w:val="18"/>
              </w:rPr>
            </w:pPr>
            <w:r>
              <w:rPr>
                <w:rFonts w:ascii="Arial" w:hAnsi="Arial"/>
                <w:b/>
                <w:sz w:val="18"/>
              </w:rPr>
              <w:t>($ in billions)1</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FY25</w:t>
            </w:r>
          </w:p>
          <w:p>
            <w:pPr>
              <w:pStyle w:val="TableContents"/>
              <w:bidi w:val="0"/>
              <w:spacing w:before="0" w:after="20"/>
              <w:jc w:val="right"/>
              <w:rPr>
                <w:rFonts w:ascii="Arial" w:hAnsi="Arial"/>
                <w:b/>
                <w:sz w:val="18"/>
              </w:rPr>
            </w:pPr>
            <w:r>
              <w:rPr>
                <w:rFonts w:ascii="Arial" w:hAnsi="Arial"/>
                <w:b/>
                <w:sz w:val="18"/>
              </w:rPr>
              <w:t>Actual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FY26</w:t>
            </w:r>
          </w:p>
          <w:p>
            <w:pPr>
              <w:pStyle w:val="TableContents"/>
              <w:bidi w:val="0"/>
              <w:spacing w:before="0" w:after="20"/>
              <w:jc w:val="right"/>
              <w:rPr>
                <w:rFonts w:ascii="Arial" w:hAnsi="Arial"/>
                <w:b/>
                <w:sz w:val="18"/>
              </w:rPr>
            </w:pPr>
            <w:r>
              <w:rPr>
                <w:rFonts w:ascii="Arial" w:hAnsi="Arial"/>
                <w:b/>
                <w:sz w:val="18"/>
              </w:rPr>
              <w:t>Threshold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FY26</w:t>
            </w:r>
          </w:p>
          <w:p>
            <w:pPr>
              <w:pStyle w:val="TableContents"/>
              <w:bidi w:val="0"/>
              <w:spacing w:before="0" w:after="20"/>
              <w:jc w:val="right"/>
              <w:rPr>
                <w:rFonts w:ascii="Arial" w:hAnsi="Arial"/>
                <w:b/>
                <w:sz w:val="18"/>
              </w:rPr>
            </w:pPr>
            <w:r>
              <w:rPr>
                <w:rFonts w:ascii="Arial" w:hAnsi="Arial"/>
                <w:b/>
                <w:sz w:val="18"/>
              </w:rPr>
              <w:t>Target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FY26</w:t>
            </w:r>
          </w:p>
          <w:p>
            <w:pPr>
              <w:pStyle w:val="TableContents"/>
              <w:bidi w:val="0"/>
              <w:spacing w:before="0" w:after="20"/>
              <w:jc w:val="right"/>
              <w:rPr>
                <w:rFonts w:ascii="Arial" w:hAnsi="Arial"/>
                <w:b/>
                <w:sz w:val="18"/>
              </w:rPr>
            </w:pPr>
            <w:r>
              <w:rPr>
                <w:rFonts w:ascii="Arial" w:hAnsi="Arial"/>
                <w:b/>
                <w:sz w:val="18"/>
              </w:rPr>
              <w:t>Maximum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FY26</w:t>
            </w:r>
          </w:p>
          <w:p>
            <w:pPr>
              <w:pStyle w:val="TableContents"/>
              <w:bidi w:val="0"/>
              <w:spacing w:before="0" w:after="20"/>
              <w:jc w:val="right"/>
              <w:rPr>
                <w:rFonts w:ascii="Arial" w:hAnsi="Arial"/>
                <w:b/>
                <w:sz w:val="18"/>
              </w:rPr>
            </w:pPr>
            <w:r>
              <w:rPr>
                <w:rFonts w:ascii="Arial" w:hAnsi="Arial"/>
                <w:b/>
                <w:sz w:val="18"/>
              </w:rPr>
              <w:t>Actual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FY26</w:t>
            </w:r>
          </w:p>
          <w:p>
            <w:pPr>
              <w:pStyle w:val="TableContents"/>
              <w:bidi w:val="0"/>
              <w:spacing w:before="0" w:after="20"/>
              <w:jc w:val="right"/>
              <w:rPr>
                <w:rFonts w:ascii="Arial" w:hAnsi="Arial"/>
                <w:b/>
                <w:sz w:val="18"/>
              </w:rPr>
            </w:pPr>
            <w:r>
              <w:rPr>
                <w:rFonts w:ascii="Arial" w:hAnsi="Arial"/>
                <w:b/>
                <w:sz w:val="18"/>
              </w:rPr>
              <w:t>Growth Rate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FY26 Incentive Plan Revenue2</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$284.96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814" w:type="dxa"/>
            <w:tcBorders>
              <w:bottom w:val="single" w:sz="6" w:space="0" w:color="0075C9"/>
            </w:tcBorders>
            <w:tcMar>
              <w:bottom w:w="40" w:type="dxa"/>
            </w:tcMar>
            <w:vAlign w:val="center"/>
          </w:tcPr>
          <w:p>
            <w:pPr>
              <w:pStyle w:val="TableContents"/>
              <w:bidi w:val="0"/>
              <w:spacing w:before="0" w:after="283"/>
              <w:jc w:val="right"/>
              <w:rPr/>
            </w:pPr>
            <w:r>
              <w:rPr/>
              <w:t>$305.68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$325.19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$343.08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$330.56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5" w:type="dxa"/>
            <w:tcBorders>
              <w:bottom w:val="single" w:sz="6" w:space="0" w:color="0075C9"/>
            </w:tcBorders>
            <w:tcMar>
              <w:bottom w:w="40"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right"/>
              <w:rPr/>
            </w:pPr>
            <w:r>
              <w:rPr/>
              <w:t>16.00%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FY26 Incentive Plan Operating Income3</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$130.96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814" w:type="dxa"/>
            <w:tcBorders>
              <w:bottom w:val="single" w:sz="6" w:space="0" w:color="0075C9"/>
            </w:tcBorders>
            <w:tcMar>
              <w:bottom w:w="40" w:type="dxa"/>
            </w:tcMar>
            <w:vAlign w:val="center"/>
          </w:tcPr>
          <w:p>
            <w:pPr>
              <w:pStyle w:val="TableContents"/>
              <w:bidi w:val="0"/>
              <w:spacing w:before="0" w:after="283"/>
              <w:jc w:val="right"/>
              <w:rPr/>
            </w:pPr>
            <w:r>
              <w:rPr/>
              <w:t>$136.74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$149.44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$168.87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$154.89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5" w:type="dxa"/>
            <w:tcBorders>
              <w:bottom w:val="single" w:sz="6" w:space="0" w:color="0075C9"/>
            </w:tcBorders>
            <w:tcMar>
              <w:bottom w:w="40"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right"/>
              <w:rPr/>
            </w:pPr>
            <w:r>
              <w:rPr/>
              <w:t>18.27%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pPr>
            <w:r>
              <w:rPr/>
              <w:t>“</w:t>
            </w:r>
            <w:r>
              <w:rPr>
                <w:rFonts w:ascii="Arial" w:hAnsi="Arial"/>
                <w:sz w:val="14"/>
              </w:rPr>
              <w:t xml:space="preserve">Incentive Plan Revenue” and “Incentive Plan Operating Income”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rFonts w:ascii="Arial" w:hAnsi="Arial"/>
                <w:sz w:val="14"/>
              </w:rPr>
            </w:pPr>
            <w:r>
              <w:rPr>
                <w:rFonts w:ascii="Arial" w:hAnsi="Arial"/>
                <w:sz w:val="14"/>
              </w:rPr>
              <w:t xml:space="preserve">We calculate Incentive Plan Revenue by adjusting as reported Revenue calculated in accordance with GAAP for the effect of foreign currency rate fluctuations. The net impact of this adjustment was $(1.28) billion.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Arial" w:hAnsi="Arial"/>
                <w:sz w:val="14"/>
              </w:rPr>
            </w:pPr>
            <w:r>
              <w:rPr>
                <w:rFonts w:ascii="Arial" w:hAnsi="Arial"/>
                <w:sz w:val="14"/>
              </w:rPr>
              <w:t xml:space="preserve">We calculate Incentive Plan Operating Income by adjusting as reported Operating Income calculated in accordance with GAAP for the effect of foreign currency rate fluctuations. The net impact of this adjustment was $(0.35) billion.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42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3"/>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Operational Results </w:t>
      </w:r>
    </w:p>
    <w:p>
      <w:pPr>
        <w:pStyle w:val="TextBody"/>
        <w:bidi w:val="0"/>
        <w:spacing w:before="120" w:after="0"/>
        <w:jc w:val="left"/>
        <w:rPr>
          <w:rFonts w:ascii="Arial" w:hAnsi="Arial"/>
          <w:b/>
          <w:color w:val="0075C9"/>
          <w:sz w:val="20"/>
        </w:rPr>
      </w:pPr>
      <w:r>
        <w:rPr>
          <w:rFonts w:ascii="Arial" w:hAnsi="Arial"/>
          <w:b/>
          <w:color w:val="0075C9"/>
          <w:sz w:val="20"/>
        </w:rPr>
        <w:t xml:space="preserve">Satya Nadella </w:t>
      </w:r>
    </w:p>
    <w:p>
      <w:pPr>
        <w:pStyle w:val="TextBody"/>
        <w:bidi w:val="0"/>
        <w:spacing w:before="120" w:after="0"/>
        <w:jc w:val="left"/>
        <w:rPr>
          <w:rFonts w:ascii="Arial" w:hAnsi="Arial"/>
          <w:sz w:val="18"/>
        </w:rPr>
      </w:pPr>
      <w:r>
        <w:rPr>
          <w:rFonts w:ascii="Arial" w:hAnsi="Arial"/>
          <w:sz w:val="18"/>
        </w:rPr>
        <w:t xml:space="preserve">The key results influencing the Compensation Committee and the independent members of our Board decisions on the operational performance portion of Mr. Nadella’s cash incentive are set forth below. Results are out of a possible 200% in each category.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2165"/>
        <w:gridCol w:w="60"/>
        <w:gridCol w:w="140"/>
        <w:gridCol w:w="240"/>
        <w:gridCol w:w="2435"/>
        <w:gridCol w:w="120"/>
        <w:gridCol w:w="140"/>
        <w:gridCol w:w="120"/>
        <w:gridCol w:w="1730"/>
      </w:tblGrid>
      <w:tr>
        <w:trPr/>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center"/>
              <w:rPr>
                <w:rFonts w:ascii="Arial" w:hAnsi="Arial"/>
                <w:b/>
                <w:sz w:val="24"/>
              </w:rPr>
            </w:pPr>
            <w:r>
              <w:rPr>
                <w:rFonts w:ascii="Arial" w:hAnsi="Arial"/>
                <w:b/>
                <w:sz w:val="24"/>
              </w:rPr>
              <w:t>Average Financial:</w:t>
            </w:r>
          </w:p>
          <w:p>
            <w:pPr>
              <w:pStyle w:val="TableContents"/>
              <w:bidi w:val="0"/>
              <w:spacing w:before="0" w:after="20"/>
              <w:jc w:val="center"/>
              <w:rPr>
                <w:rFonts w:ascii="Arial" w:hAnsi="Arial"/>
                <w:b/>
                <w:sz w:val="24"/>
              </w:rPr>
            </w:pPr>
            <w:r>
              <w:rPr>
                <w:rFonts w:ascii="Arial" w:hAnsi="Arial"/>
                <w:b/>
                <w:sz w:val="24"/>
              </w:rPr>
              <w:t>129.03%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right"/>
              <w:rPr>
                <w:rFonts w:ascii="Arial" w:hAnsi="Arial"/>
                <w:b/>
                <w:sz w:val="20"/>
              </w:rPr>
            </w:pPr>
            <w:r>
              <w:rPr>
                <w:rFonts w:ascii="Arial" w:hAnsi="Arial"/>
                <w:b/>
                <w:sz w:val="20"/>
              </w:rPr>
              <w:t>+</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jc w:val="center"/>
              <w:rPr>
                <w:rFonts w:ascii="Arial" w:hAnsi="Arial"/>
                <w:b/>
                <w:sz w:val="24"/>
              </w:rPr>
            </w:pPr>
            <w:r>
              <w:rPr>
                <w:rFonts w:ascii="Arial" w:hAnsi="Arial"/>
                <w:b/>
                <w:sz w:val="24"/>
              </w:rPr>
              <w:t>Average Operational:</w:t>
            </w:r>
          </w:p>
          <w:p>
            <w:pPr>
              <w:pStyle w:val="TableContents"/>
              <w:bidi w:val="0"/>
              <w:spacing w:before="0" w:after="20"/>
              <w:jc w:val="center"/>
              <w:rPr>
                <w:rFonts w:ascii="Arial" w:hAnsi="Arial"/>
                <w:b/>
                <w:sz w:val="24"/>
              </w:rPr>
            </w:pPr>
            <w:r>
              <w:rPr>
                <w:rFonts w:ascii="Arial" w:hAnsi="Arial"/>
                <w:b/>
                <w:sz w:val="24"/>
              </w:rPr>
              <w:t>156.67%</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right"/>
              <w:rPr>
                <w:rFonts w:ascii="Arial" w:hAnsi="Arial"/>
                <w:b/>
                <w:sz w:val="20"/>
              </w:rPr>
            </w:pPr>
            <w:r>
              <w:rPr>
                <w:rFonts w:ascii="Arial" w:hAnsi="Arial"/>
                <w:b/>
                <w:sz w:val="20"/>
              </w:rPr>
              <w:t>=</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rFonts w:ascii="Arial" w:hAnsi="Arial"/>
                <w:b/>
                <w:color w:val="0075C9"/>
                <w:sz w:val="24"/>
              </w:rPr>
            </w:pPr>
            <w:r>
              <w:rPr>
                <w:rFonts w:ascii="Arial" w:hAnsi="Arial"/>
                <w:b/>
                <w:color w:val="0075C9"/>
                <w:sz w:val="24"/>
              </w:rPr>
              <w:t>Overall Bonus:</w:t>
            </w:r>
          </w:p>
          <w:p>
            <w:pPr>
              <w:pStyle w:val="TableContents"/>
              <w:bidi w:val="0"/>
              <w:spacing w:before="0" w:after="20"/>
              <w:jc w:val="center"/>
              <w:rPr>
                <w:rFonts w:ascii="Arial" w:hAnsi="Arial"/>
                <w:b/>
                <w:color w:val="0075C9"/>
                <w:sz w:val="24"/>
              </w:rPr>
            </w:pPr>
            <w:r>
              <w:rPr>
                <w:rFonts w:ascii="Arial" w:hAnsi="Arial"/>
                <w:b/>
                <w:color w:val="0075C9"/>
                <w:sz w:val="24"/>
              </w:rPr>
              <w:t>137.32%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32"/>
        <w:gridCol w:w="282"/>
        <w:gridCol w:w="141"/>
        <w:gridCol w:w="611"/>
        <w:gridCol w:w="141"/>
        <w:gridCol w:w="282"/>
        <w:gridCol w:w="1316"/>
      </w:tblGrid>
      <w:tr>
        <w:trPr/>
        <w:tc>
          <w:tcPr>
            <w:tcW w:w="74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7432" w:type="dxa"/>
            <w:tcBorders>
              <w:top w:val="single" w:sz="6" w:space="0" w:color="0075C9"/>
            </w:tcBorders>
            <w:tcMar>
              <w:top w:w="28" w:type="dxa"/>
            </w:tcMar>
            <w:vAlign w:val="center"/>
          </w:tcPr>
          <w:p>
            <w:pPr>
              <w:pStyle w:val="TableContents"/>
              <w:bidi w:val="0"/>
              <w:spacing w:before="0" w:after="283"/>
              <w:jc w:val="left"/>
              <w:rPr/>
            </w:pPr>
            <w:r>
              <w:rPr/>
              <w:t> </w:t>
            </w:r>
          </w:p>
        </w:tc>
        <w:tc>
          <w:tcPr>
            <w:tcW w:w="1175" w:type="dxa"/>
            <w:gridSpan w:val="4"/>
            <w:tcBorders>
              <w:top w:val="single" w:sz="6" w:space="0" w:color="0075C9"/>
            </w:tcBorders>
            <w:tcMar>
              <w:top w:w="28" w:type="dxa"/>
            </w:tcMar>
            <w:vAlign w:val="center"/>
          </w:tcPr>
          <w:p>
            <w:pPr>
              <w:pStyle w:val="TableContents"/>
              <w:bidi w:val="0"/>
              <w:spacing w:before="0" w:after="283"/>
              <w:jc w:val="left"/>
              <w:rPr/>
            </w:pPr>
            <w:r>
              <w:rPr/>
              <w:t> </w:t>
            </w:r>
          </w:p>
        </w:tc>
        <w:tc>
          <w:tcPr>
            <w:tcW w:w="1598"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7432" w:type="dxa"/>
            <w:tcBorders/>
            <w:vAlign w:val="center"/>
          </w:tcPr>
          <w:p>
            <w:pPr>
              <w:pStyle w:val="TableContents"/>
              <w:bidi w:val="0"/>
              <w:spacing w:before="0" w:after="0"/>
              <w:jc w:val="left"/>
              <w:rPr>
                <w:rFonts w:ascii="Arial" w:hAnsi="Arial"/>
                <w:b/>
                <w:color w:val="0075C9"/>
                <w:sz w:val="20"/>
              </w:rPr>
            </w:pPr>
            <w:r>
              <w:rPr>
                <w:rFonts w:ascii="Arial" w:hAnsi="Arial"/>
                <w:b/>
                <w:color w:val="0075C9"/>
                <w:sz w:val="20"/>
              </w:rPr>
              <w:t>Security (10%)</w:t>
            </w:r>
          </w:p>
          <w:p>
            <w:pPr>
              <w:pStyle w:val="TableContents"/>
              <w:bidi w:val="0"/>
              <w:spacing w:before="0" w:after="20"/>
              <w:jc w:val="left"/>
              <w:rPr/>
            </w:pPr>
            <w:r>
              <w:rPr/>
              <w:t> </w:t>
            </w:r>
          </w:p>
        </w:tc>
        <w:tc>
          <w:tcPr>
            <w:tcW w:w="2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center"/>
              <w:rPr>
                <w:b/>
                <w:color w:val="0075C9"/>
              </w:rPr>
            </w:pPr>
            <w:r>
              <w:rPr>
                <w:b/>
                <w:color w:val="0075C9"/>
              </w:rPr>
              <w:t>160%</w:t>
            </w:r>
          </w:p>
        </w:tc>
      </w:tr>
      <w:tr>
        <w:trPr/>
        <w:tc>
          <w:tcPr>
            <w:tcW w:w="10205" w:type="dxa"/>
            <w:gridSpan w:val="7"/>
            <w:tcBorders/>
            <w:vAlign w:val="center"/>
          </w:tcPr>
          <w:p>
            <w:pPr>
              <w:pStyle w:val="TableContents"/>
              <w:bidi w:val="0"/>
              <w:spacing w:before="0" w:after="0"/>
              <w:jc w:val="left"/>
              <w:rPr>
                <w:rFonts w:ascii="Arial" w:hAnsi="Arial"/>
                <w:sz w:val="18"/>
              </w:rPr>
            </w:pPr>
            <w:r>
              <w:rPr>
                <w:rFonts w:ascii="Arial" w:hAnsi="Arial"/>
                <w:sz w:val="18"/>
              </w:rPr>
              <w:t>Mr. Nadella’s leadership has been central to elevating cybersecurity as a strategic priority for Microsoft, emphasizing a company-wide commitment to delivering products and services that meet the highest standards of security and quality.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Focused on helping customers both secure their AI deployments and use AI to strengthen their security.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Delivered market-leading innovations to help customers strengthen cybersecurity, including Agent 365 for AI governance and security, MDASH for AI-powered vulnerability discovery, and Project Perception, a multimodel agentic security system that uses agents to simulate attacks, identify threats, and implement fixes.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Embedded security across Microsoft’s culture, governance, and engineering practices through Secure Future Initiative.</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Improved resilience of systems customers rely on every day, remedying over 500,000 critical high-risk vulnerabilities.</w:t>
            </w:r>
          </w:p>
          <w:p>
            <w:pPr>
              <w:pStyle w:val="TableContents"/>
              <w:bidi w:val="0"/>
              <w:spacing w:before="0" w:after="20"/>
              <w:jc w:val="left"/>
              <w:rPr/>
            </w:pPr>
            <w:r>
              <w:rPr/>
              <w:t> </w:t>
            </w:r>
          </w:p>
        </w:tc>
      </w:tr>
      <w:tr>
        <w:trPr/>
        <w:tc>
          <w:tcPr>
            <w:tcW w:w="7432" w:type="dxa"/>
            <w:tcBorders>
              <w:top w:val="single" w:sz="6" w:space="0" w:color="0075C9"/>
            </w:tcBorders>
            <w:tcMar>
              <w:top w:w="28" w:type="dxa"/>
            </w:tcMar>
            <w:vAlign w:val="center"/>
          </w:tcPr>
          <w:p>
            <w:pPr>
              <w:pStyle w:val="TableContents"/>
              <w:bidi w:val="0"/>
              <w:spacing w:before="0" w:after="283"/>
              <w:jc w:val="left"/>
              <w:rPr/>
            </w:pPr>
            <w:r>
              <w:rPr/>
              <w:t> </w:t>
            </w:r>
          </w:p>
        </w:tc>
        <w:tc>
          <w:tcPr>
            <w:tcW w:w="1175" w:type="dxa"/>
            <w:gridSpan w:val="4"/>
            <w:tcBorders>
              <w:top w:val="single" w:sz="6" w:space="0" w:color="0075C9"/>
            </w:tcBorders>
            <w:tcMar>
              <w:top w:w="28" w:type="dxa"/>
            </w:tcMar>
            <w:vAlign w:val="center"/>
          </w:tcPr>
          <w:p>
            <w:pPr>
              <w:pStyle w:val="TableContents"/>
              <w:bidi w:val="0"/>
              <w:spacing w:before="0" w:after="283"/>
              <w:jc w:val="left"/>
              <w:rPr/>
            </w:pPr>
            <w:r>
              <w:rPr/>
              <w:t> </w:t>
            </w:r>
          </w:p>
        </w:tc>
        <w:tc>
          <w:tcPr>
            <w:tcW w:w="1598"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7432" w:type="dxa"/>
            <w:tcBorders/>
            <w:vAlign w:val="center"/>
          </w:tcPr>
          <w:p>
            <w:pPr>
              <w:pStyle w:val="TableContents"/>
              <w:bidi w:val="0"/>
              <w:spacing w:before="0" w:after="0"/>
              <w:jc w:val="left"/>
              <w:rPr>
                <w:rFonts w:ascii="Arial" w:hAnsi="Arial"/>
                <w:b/>
                <w:color w:val="0075C9"/>
                <w:sz w:val="20"/>
              </w:rPr>
            </w:pPr>
            <w:r>
              <w:rPr>
                <w:rFonts w:ascii="Arial" w:hAnsi="Arial"/>
                <w:b/>
                <w:color w:val="0075C9"/>
                <w:sz w:val="20"/>
              </w:rPr>
              <w:t>Product, Customers &amp; Stakeholders (10%)</w:t>
            </w:r>
          </w:p>
          <w:p>
            <w:pPr>
              <w:pStyle w:val="TableContents"/>
              <w:bidi w:val="0"/>
              <w:spacing w:before="0" w:after="20"/>
              <w:jc w:val="left"/>
              <w:rPr/>
            </w:pPr>
            <w:r>
              <w:rPr/>
              <w:t> </w:t>
            </w:r>
          </w:p>
        </w:tc>
        <w:tc>
          <w:tcPr>
            <w:tcW w:w="2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center"/>
              <w:rPr>
                <w:b/>
                <w:color w:val="0075C9"/>
              </w:rPr>
            </w:pPr>
            <w:r>
              <w:rPr>
                <w:b/>
                <w:color w:val="0075C9"/>
              </w:rPr>
              <w:t>170%</w:t>
            </w:r>
          </w:p>
        </w:tc>
      </w:tr>
      <w:tr>
        <w:trPr/>
        <w:tc>
          <w:tcPr>
            <w:tcW w:w="10205" w:type="dxa"/>
            <w:gridSpan w:val="7"/>
            <w:tcBorders/>
            <w:vAlign w:val="center"/>
          </w:tcPr>
          <w:p>
            <w:pPr>
              <w:pStyle w:val="TableContents"/>
              <w:bidi w:val="0"/>
              <w:spacing w:before="0" w:after="0"/>
              <w:jc w:val="left"/>
              <w:rPr>
                <w:rFonts w:ascii="Arial" w:hAnsi="Arial"/>
                <w:sz w:val="18"/>
              </w:rPr>
            </w:pPr>
            <w:r>
              <w:rPr>
                <w:rFonts w:ascii="Arial" w:hAnsi="Arial"/>
                <w:sz w:val="18"/>
              </w:rPr>
              <w:t>Mr. Nadella continued to directly lead Microsoft’s ongoing execution of our strategic transformation to meet the needs of our growing customer and stakeholder base, including through the launch of new products and services.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Delivered the next generation of products, scaling Microsoft 365 Copilot to more than 30 million paid seats.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Expanded Microsoft’s infrastructure and cloud capacity to support customer demand and AI workloads.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Accelerated internal model development, announcing more than a dozen new MAI models across image, voice, transcription, coding, and security.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Achieved strong Microsoft Cloud performance, with revenue growth of 27% year-over-year.</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Drove growth in Microsoft 365 Consumer cloud and search advertising, with revenue increasing 28% and 12% year-over-year respectively, excluding traffic acquisition costs for search advertising.</w:t>
            </w:r>
          </w:p>
          <w:p>
            <w:pPr>
              <w:pStyle w:val="TableContents"/>
              <w:bidi w:val="0"/>
              <w:spacing w:before="0" w:after="20"/>
              <w:jc w:val="left"/>
              <w:rPr/>
            </w:pPr>
            <w:r>
              <w:rPr/>
              <w:t> </w:t>
            </w:r>
          </w:p>
        </w:tc>
      </w:tr>
      <w:tr>
        <w:trPr/>
        <w:tc>
          <w:tcPr>
            <w:tcW w:w="7432" w:type="dxa"/>
            <w:tcBorders>
              <w:top w:val="single" w:sz="6" w:space="0" w:color="0075C9"/>
            </w:tcBorders>
            <w:tcMar>
              <w:top w:w="28" w:type="dxa"/>
            </w:tcMar>
            <w:vAlign w:val="center"/>
          </w:tcPr>
          <w:p>
            <w:pPr>
              <w:pStyle w:val="TableContents"/>
              <w:bidi w:val="0"/>
              <w:spacing w:before="0" w:after="283"/>
              <w:jc w:val="left"/>
              <w:rPr/>
            </w:pPr>
            <w:r>
              <w:rPr/>
              <w:t> </w:t>
            </w:r>
          </w:p>
        </w:tc>
        <w:tc>
          <w:tcPr>
            <w:tcW w:w="1175" w:type="dxa"/>
            <w:gridSpan w:val="4"/>
            <w:tcBorders>
              <w:top w:val="single" w:sz="6" w:space="0" w:color="0075C9"/>
            </w:tcBorders>
            <w:tcMar>
              <w:top w:w="28" w:type="dxa"/>
            </w:tcMar>
            <w:vAlign w:val="center"/>
          </w:tcPr>
          <w:p>
            <w:pPr>
              <w:pStyle w:val="TableContents"/>
              <w:bidi w:val="0"/>
              <w:spacing w:before="0" w:after="283"/>
              <w:jc w:val="left"/>
              <w:rPr/>
            </w:pPr>
            <w:r>
              <w:rPr/>
              <w:t> </w:t>
            </w:r>
          </w:p>
        </w:tc>
        <w:tc>
          <w:tcPr>
            <w:tcW w:w="1598" w:type="dxa"/>
            <w:gridSpan w:val="2"/>
            <w:tcBorders>
              <w:top w:val="single" w:sz="6" w:space="0" w:color="0075C9"/>
            </w:tcBorders>
            <w:tcMar>
              <w:top w:w="28" w:type="dxa"/>
            </w:tcMar>
            <w:vAlign w:val="center"/>
          </w:tcPr>
          <w:p>
            <w:pPr>
              <w:pStyle w:val="TableContents"/>
              <w:bidi w:val="0"/>
              <w:spacing w:before="0" w:after="283"/>
              <w:jc w:val="left"/>
              <w:rPr/>
            </w:pPr>
            <w:r>
              <w:rPr/>
              <w:t> </w:t>
            </w:r>
          </w:p>
        </w:tc>
      </w:tr>
      <w:tr>
        <w:trPr/>
        <w:tc>
          <w:tcPr>
            <w:tcW w:w="7432" w:type="dxa"/>
            <w:tcBorders/>
            <w:vAlign w:val="center"/>
          </w:tcPr>
          <w:p>
            <w:pPr>
              <w:pStyle w:val="TableContents"/>
              <w:bidi w:val="0"/>
              <w:spacing w:before="0" w:after="0"/>
              <w:jc w:val="left"/>
              <w:rPr>
                <w:rFonts w:ascii="Arial" w:hAnsi="Arial"/>
                <w:b/>
                <w:color w:val="0075C9"/>
                <w:sz w:val="20"/>
              </w:rPr>
            </w:pPr>
            <w:r>
              <w:rPr>
                <w:rFonts w:ascii="Arial" w:hAnsi="Arial"/>
                <w:b/>
                <w:color w:val="0075C9"/>
                <w:sz w:val="20"/>
              </w:rPr>
              <w:t>Culture (10%)</w:t>
            </w:r>
          </w:p>
          <w:p>
            <w:pPr>
              <w:pStyle w:val="TableContents"/>
              <w:bidi w:val="0"/>
              <w:spacing w:before="0" w:after="20"/>
              <w:jc w:val="left"/>
              <w:rPr/>
            </w:pPr>
            <w:r>
              <w:rPr/>
              <w:t> </w:t>
            </w:r>
          </w:p>
        </w:tc>
        <w:tc>
          <w:tcPr>
            <w:tcW w:w="2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center"/>
              <w:rPr>
                <w:b/>
                <w:color w:val="0075C9"/>
              </w:rPr>
            </w:pPr>
            <w:r>
              <w:rPr>
                <w:b/>
                <w:color w:val="0075C9"/>
              </w:rPr>
              <w:t>140%</w:t>
            </w:r>
          </w:p>
        </w:tc>
      </w:tr>
      <w:tr>
        <w:trPr/>
        <w:tc>
          <w:tcPr>
            <w:tcW w:w="10205" w:type="dxa"/>
            <w:gridSpan w:val="7"/>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Mr. Nadella continued to foster a high-performing culture while advancing responsible business practices and reinforcing accountability across the organization.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Restructured leadership team to drive greater focus, speed, and accountability in executing Microsoft’s strategic priorities.</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Enhanced succession planning across critical roles, strengthening the pipeline of talent and supporting long-term business continuity.</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Reinforced growth mindset and a culture of learning, curiosity, and reinvention.</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Maintained highly engaged workforce amid a period of organizational change and a rapidly changing business environment, with improvements in measures of employee empowerment and meaningful work.</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Raised expectation for performance, including speed and execution, while reinforcing accountability, compliance, and integrity across the organization.</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Other Named Executives </w:t>
      </w:r>
    </w:p>
    <w:p>
      <w:pPr>
        <w:pStyle w:val="TextBody"/>
        <w:bidi w:val="0"/>
        <w:spacing w:before="120" w:after="0"/>
        <w:jc w:val="left"/>
        <w:rPr>
          <w:rFonts w:ascii="Arial" w:hAnsi="Arial"/>
          <w:sz w:val="18"/>
        </w:rPr>
      </w:pPr>
      <w:r>
        <w:rPr>
          <w:rFonts w:ascii="Arial" w:hAnsi="Arial"/>
          <w:sz w:val="18"/>
        </w:rPr>
        <w:t xml:space="preserve">The key results influencing our Compensation Committee’s decisions on the operational performance category portion of the cash incentive for the other Named Executives are summarized below.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40" w:after="0"/>
        <w:jc w:val="left"/>
        <w:rPr>
          <w:rFonts w:ascii="Arial" w:hAnsi="Arial"/>
          <w:b/>
          <w:color w:val="0075C9"/>
          <w:sz w:val="18"/>
        </w:rPr>
      </w:pPr>
      <w:r>
        <w:rPr>
          <w:rFonts w:ascii="Arial" w:hAnsi="Arial"/>
          <w:b/>
          <w:color w:val="0075C9"/>
          <w:sz w:val="18"/>
        </w:rPr>
        <w:t xml:space="preserve">Amy E. Hood, Executive Vice President and Chief Financial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Maintained disciplined capital allocation and operating efficiency while supporting significant AI infrastructure investment and returned $43.8 billion to shareholders through dividends and share repurchases in fiscal year 2026.</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Delivered strong financial performance, with revenue and operating income increasing 18% and 21%, respectively, driven by continued Microsoft Cloud momentum.</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Directed effective communication with investors on the Company’s investment decisions to support our AI strategy and financial performance.</w:t>
            </w:r>
          </w:p>
        </w:tc>
      </w:tr>
    </w:tbl>
    <w:tbl>
      <w:tblPr>
        <w:tblW w:w="9055" w:type="dxa"/>
        <w:jc w:val="left"/>
        <w:tblInd w:w="0" w:type="dxa"/>
        <w:tblLayout w:type="fixed"/>
        <w:tblCellMar>
          <w:top w:w="0" w:type="dxa"/>
          <w:left w:w="0" w:type="dxa"/>
          <w:bottom w:w="0" w:type="dxa"/>
          <w:right w:w="0" w:type="dxa"/>
        </w:tblCellMar>
      </w:tblPr>
      <w:tblGrid>
        <w:gridCol w:w="125"/>
        <w:gridCol w:w="60"/>
        <w:gridCol w:w="88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Arial" w:hAnsi="Arial"/>
                <w:sz w:val="18"/>
              </w:rPr>
            </w:pPr>
            <w:r>
              <w:rPr>
                <w:rFonts w:ascii="Arial" w:hAnsi="Arial"/>
                <w:sz w:val="18"/>
              </w:rPr>
              <w:t>Led strategic AI partnerships to support AI infrastructure demand and create long-term revenue opportunities.</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Continued to strengthen the Finance organization by developing senior leaders and investing in culture, manager effectiveness, and career growth.</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40" w:after="0"/>
        <w:jc w:val="left"/>
        <w:rPr>
          <w:rFonts w:ascii="Arial" w:hAnsi="Arial"/>
          <w:b/>
          <w:color w:val="0075C9"/>
          <w:sz w:val="18"/>
        </w:rPr>
      </w:pPr>
      <w:r>
        <w:rPr>
          <w:rFonts w:ascii="Arial" w:hAnsi="Arial"/>
          <w:b/>
          <w:color w:val="0075C9"/>
          <w:sz w:val="18"/>
        </w:rPr>
        <w:t xml:space="preserve">Judson B. Althoff, Chief Executive Officer, Microsoft Commercial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Reshaped the commercial business organization and leadership team to increase agility, accelerate decision-making, simplify execution, and improve customer outcomes.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Led Microsoft’s commercial business to drive strong growth in commercial bookings, meeting broad customer demand through sustained execution across geographies and customer segments.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Developed and implemented a new governance model for cross-company collaboration; aligning teams around measurable business outcomes and enabling the integrated launch of the company’s next generation of AI-powered offerings.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Accelerated customer adoption of Microsoft’s AI portfolio, with Microsoft 365 Copilot reaching more than 30 million paid seats, and Agent 365 and Microsoft 365 E7 gaining early traction.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Strengthened the company’s foundation for long-term success through cross-company leadership of the Secure Future Initiative and Quality Excellence Initiative, embedding greater security, reliability, and operational excellence on a global scale.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40" w:after="0"/>
        <w:jc w:val="left"/>
        <w:rPr>
          <w:rFonts w:ascii="Arial" w:hAnsi="Arial"/>
          <w:b/>
          <w:color w:val="0075C9"/>
          <w:sz w:val="18"/>
        </w:rPr>
      </w:pPr>
      <w:r>
        <w:rPr>
          <w:rFonts w:ascii="Arial" w:hAnsi="Arial"/>
          <w:b/>
          <w:color w:val="0075C9"/>
          <w:sz w:val="18"/>
        </w:rPr>
        <w:t xml:space="preserve">Takeshi Numoto, Executive Vice President and Chief Marketing Officer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Drove Agent 365 and Microsoft 365 E7 from concept through launch, establishing an integrated offering for AI productivity, management, and security, with nearly 40 million agents registered in Agent 365 within two months.</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Advanced AI-era business models by introducing consumption-based monetization for Microsoft 365 Copilot and evolving GitHub Copilot toward usage-based billing, with the goal of better aligning customer usage with value.</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Developed Work IQ as a business-model concept for Microsoft 365 and contributed to its expansion into Microsoft IQ, a unified intelligence layer spanning Microsoft 365, Fabric, and Foundry.</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Improved marketing execution through event strategy, AI-enabled production capabilities, media measurement, and spending controls.</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Built a high-performing organization across functions by empowering leaders and developing talent through coaching and mentorship.</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40" w:after="0"/>
        <w:jc w:val="left"/>
        <w:rPr>
          <w:rFonts w:ascii="Arial" w:hAnsi="Arial"/>
          <w:b/>
          <w:color w:val="0075C9"/>
          <w:sz w:val="18"/>
        </w:rPr>
      </w:pPr>
      <w:r>
        <w:rPr>
          <w:rFonts w:ascii="Arial" w:hAnsi="Arial"/>
          <w:b/>
          <w:color w:val="0075C9"/>
          <w:sz w:val="18"/>
        </w:rPr>
        <w:t xml:space="preserve">Bradford L. Smith, Vice Chair and President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Led work to sustain customer and societal trust amid geopolitical volatility, including through global infrastructure investments, steps to protect the digital sovereignty of countries, and projects and partnerships to use AI to address community and national needs.</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Championed company-wide efforts to help accelerate innovation while maintaining high standards to protect AI safety, including by updating the company’s Responsible AI Standard, strengthening risk assessments and safety testing, and fostering faster decision-making.</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Launched the Community-First AI Infrastructure Initiative to ensure the Company’s datacenter investments address local concerns about electricity, water, jobs, taxes, and skills.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Advanced Microsoft’s global cybersecurity efforts, including Digital Crimes Unit actions that seized malicious domains through legal and technical measures and cooperation with law enforcement.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Expanded efforts to help prepare people and organizations for AI-driven economic change, including through Microsoft Elevate, which brings together support for nonprofits and K-14 education with AI skilling and public policy work.</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Set direction for transforming the Company’s Corporate, External, and Legal Affairs organization using AI to achieve higher standards of quality and productivity, while enhancing job experiences and career opportunities for employees.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44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4"/>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Fiscal Year 2026 Cash Incentive Payout Percentages </w:t>
      </w:r>
    </w:p>
    <w:p>
      <w:pPr>
        <w:pStyle w:val="TextBody"/>
        <w:bidi w:val="0"/>
        <w:spacing w:before="120" w:after="0"/>
        <w:jc w:val="left"/>
        <w:rPr>
          <w:rFonts w:ascii="Arial" w:hAnsi="Arial"/>
          <w:sz w:val="18"/>
        </w:rPr>
      </w:pPr>
      <w:r>
        <w:rPr>
          <w:rFonts w:ascii="Arial" w:hAnsi="Arial"/>
          <w:sz w:val="18"/>
        </w:rPr>
        <w:t xml:space="preserve">Final results under each portion of the cash incentive, and the resulting awards, were as follows: </w:t>
      </w:r>
    </w:p>
    <w:p>
      <w:pPr>
        <w:pStyle w:val="TextBody"/>
        <w:bidi w:val="0"/>
        <w:spacing w:before="0" w:after="0"/>
        <w:jc w:val="left"/>
        <w:rPr/>
      </w:pPr>
      <w:r>
        <w:rPr/>
        <w:t> </w:t>
      </w:r>
    </w:p>
    <w:tbl>
      <w:tblPr>
        <w:tblW w:w="10005" w:type="dxa"/>
        <w:jc w:val="left"/>
        <w:tblInd w:w="0" w:type="dxa"/>
        <w:tblLayout w:type="fixed"/>
        <w:tblCellMar>
          <w:top w:w="0" w:type="dxa"/>
          <w:left w:w="0" w:type="dxa"/>
          <w:bottom w:w="0" w:type="dxa"/>
          <w:right w:w="0" w:type="dxa"/>
        </w:tblCellMar>
      </w:tblPr>
      <w:tblGrid>
        <w:gridCol w:w="3170"/>
        <w:gridCol w:w="120"/>
        <w:gridCol w:w="60"/>
        <w:gridCol w:w="1220"/>
        <w:gridCol w:w="60"/>
        <w:gridCol w:w="120"/>
        <w:gridCol w:w="60"/>
        <w:gridCol w:w="1100"/>
        <w:gridCol w:w="60"/>
        <w:gridCol w:w="120"/>
        <w:gridCol w:w="60"/>
        <w:gridCol w:w="1100"/>
        <w:gridCol w:w="60"/>
        <w:gridCol w:w="120"/>
        <w:gridCol w:w="60"/>
        <w:gridCol w:w="1100"/>
        <w:gridCol w:w="60"/>
        <w:gridCol w:w="120"/>
        <w:gridCol w:w="60"/>
        <w:gridCol w:w="1100"/>
        <w:gridCol w:w="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center"/>
          </w:tcPr>
          <w:p>
            <w:pPr>
              <w:pStyle w:val="TableContents"/>
              <w:bidi w:val="0"/>
              <w:spacing w:before="0" w:after="283"/>
              <w:jc w:val="right"/>
              <w:rPr>
                <w:b/>
              </w:rPr>
            </w:pPr>
            <w:r>
              <w:rPr>
                <w:b/>
              </w:rPr>
              <w:t>Nadella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283"/>
              <w:jc w:val="right"/>
              <w:rPr>
                <w:b/>
              </w:rPr>
            </w:pPr>
            <w:r>
              <w:rPr>
                <w:b/>
              </w:rPr>
              <w:t>Hood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283"/>
              <w:jc w:val="right"/>
              <w:rPr>
                <w:b/>
              </w:rPr>
            </w:pPr>
            <w:r>
              <w:rPr>
                <w:b/>
              </w:rPr>
              <w:t>Althoff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283"/>
              <w:jc w:val="right"/>
              <w:rPr>
                <w:b/>
              </w:rPr>
            </w:pPr>
            <w:r>
              <w:rPr>
                <w:b/>
              </w:rPr>
              <w:t>Numoto</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283"/>
              <w:jc w:val="right"/>
              <w:rPr>
                <w:b/>
              </w:rPr>
            </w:pPr>
            <w:r>
              <w:rPr>
                <w:b/>
              </w:rPr>
              <w:t>Smith</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 xml:space="preserve">Financial results (% of target) </w:t>
              <w:br/>
              <w:t>(weight: 70% CEO / 50% other NEOs)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129.03%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129.03%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129.03%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129.03%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129.03%</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 xml:space="preserve">Operational results (% of target) </w:t>
              <w:br/>
              <w:t>(weight: 30% CEO / 50% other NEOs)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156.67%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140.00%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FY26 cash incentive (% of target)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137.32%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139.52%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139.52%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134.52%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139.52%</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FY26 cash incentive earned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$10,299,000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$3,488,000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$3,488,000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$2,547,473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$3,488,000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z w:val="24"/>
        </w:rPr>
      </w:pPr>
      <w:r>
        <w:rPr>
          <w:rFonts w:ascii="Arial" w:hAnsi="Arial"/>
          <w:b/>
          <w:sz w:val="24"/>
        </w:rPr>
        <w:t xml:space="preserve">Fiscal Year 2026 Stock Awards </w:t>
      </w:r>
    </w:p>
    <w:p>
      <w:pPr>
        <w:pStyle w:val="TextBody"/>
        <w:bidi w:val="0"/>
        <w:spacing w:before="120" w:after="0"/>
        <w:jc w:val="left"/>
        <w:rPr>
          <w:rFonts w:ascii="Arial" w:hAnsi="Arial"/>
          <w:sz w:val="18"/>
        </w:rPr>
      </w:pPr>
      <w:r>
        <w:rPr>
          <w:rFonts w:ascii="Arial" w:hAnsi="Arial"/>
          <w:sz w:val="18"/>
        </w:rPr>
        <w:t>The fiscal year 2026 PSAs and SAs granted to our Named Executives under the Incentive Plan are listed below. We did not increase our target award values for Mr. Nadella</w:t>
      </w:r>
      <w:r>
        <w:rPr>
          <w:rFonts w:ascii="Arial" w:hAnsi="Arial"/>
          <w:i/>
          <w:sz w:val="18"/>
        </w:rPr>
        <w:t xml:space="preserve">. </w:t>
      </w:r>
      <w:r>
        <w:rPr>
          <w:rFonts w:ascii="Arial" w:hAnsi="Arial"/>
          <w:sz w:val="18"/>
        </w:rPr>
        <w:t>We increased the target award values for Ms. Hood from $19.5 million to $26.5 million, Mr. Althoff from $19.5 million to $26.5 million, Mr. Numoto from $7.1 million to $11.7 million, and Mr. Smith from $19.5 million to $26.5 million, based on a competitive market review</w:t>
      </w:r>
      <w:r>
        <w:rPr>
          <w:rFonts w:ascii="Arial" w:hAnsi="Arial"/>
          <w:i/>
          <w:sz w:val="18"/>
        </w:rPr>
        <w:t>.</w:t>
      </w:r>
      <w:r>
        <w:rPr>
          <w:rFonts w:ascii="Arial" w:hAnsi="Arial"/>
          <w:sz w:val="18"/>
        </w:rPr>
        <w:t xml:space="preserve"> </w:t>
      </w:r>
    </w:p>
    <w:p>
      <w:pPr>
        <w:pStyle w:val="TextBody"/>
        <w:bidi w:val="0"/>
        <w:spacing w:before="0" w:after="0"/>
        <w:jc w:val="left"/>
        <w:rPr/>
      </w:pPr>
      <w:r>
        <w:rPr/>
        <w:t> </w:t>
      </w:r>
    </w:p>
    <w:tbl>
      <w:tblPr>
        <w:tblW w:w="5599" w:type="dxa"/>
        <w:jc w:val="left"/>
        <w:tblInd w:w="0" w:type="dxa"/>
        <w:tblLayout w:type="fixed"/>
        <w:tblCellMar>
          <w:top w:w="0" w:type="dxa"/>
          <w:left w:w="0" w:type="dxa"/>
          <w:bottom w:w="0" w:type="dxa"/>
          <w:right w:w="0" w:type="dxa"/>
        </w:tblCellMar>
      </w:tblPr>
      <w:tblGrid>
        <w:gridCol w:w="1550"/>
        <w:gridCol w:w="120"/>
        <w:gridCol w:w="111"/>
        <w:gridCol w:w="1259"/>
        <w:gridCol w:w="60"/>
        <w:gridCol w:w="120"/>
        <w:gridCol w:w="77"/>
        <w:gridCol w:w="887"/>
        <w:gridCol w:w="60"/>
        <w:gridCol w:w="120"/>
        <w:gridCol w:w="60"/>
        <w:gridCol w:w="1100"/>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PSAs</w:t>
            </w:r>
          </w:p>
          <w:p>
            <w:pPr>
              <w:pStyle w:val="TableContents"/>
              <w:bidi w:val="0"/>
              <w:spacing w:before="0" w:after="0"/>
              <w:jc w:val="right"/>
              <w:rPr>
                <w:rFonts w:ascii="Arial" w:hAnsi="Arial"/>
                <w:b/>
                <w:sz w:val="18"/>
              </w:rPr>
            </w:pPr>
            <w:r>
              <w:rPr>
                <w:rFonts w:ascii="Arial" w:hAnsi="Arial"/>
                <w:b/>
                <w:sz w:val="18"/>
              </w:rPr>
              <w:t>(Target Number</w:t>
            </w:r>
          </w:p>
          <w:p>
            <w:pPr>
              <w:pStyle w:val="TableContents"/>
              <w:bidi w:val="0"/>
              <w:spacing w:before="0" w:after="20"/>
              <w:jc w:val="right"/>
              <w:rPr>
                <w:rFonts w:ascii="Arial" w:hAnsi="Arial"/>
                <w:b/>
                <w:sz w:val="18"/>
              </w:rPr>
            </w:pPr>
            <w:r>
              <w:rPr>
                <w:rFonts w:ascii="Arial" w:hAnsi="Arial"/>
                <w:b/>
                <w:sz w:val="18"/>
              </w:rPr>
              <w:t>of Shares)¹</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SAs</w:t>
            </w:r>
          </w:p>
          <w:p>
            <w:pPr>
              <w:pStyle w:val="TableContents"/>
              <w:bidi w:val="0"/>
              <w:spacing w:before="0" w:after="0"/>
              <w:jc w:val="right"/>
              <w:rPr>
                <w:rFonts w:ascii="Arial" w:hAnsi="Arial"/>
                <w:b/>
                <w:sz w:val="18"/>
              </w:rPr>
            </w:pPr>
            <w:r>
              <w:rPr>
                <w:rFonts w:ascii="Arial" w:hAnsi="Arial"/>
                <w:b/>
                <w:sz w:val="18"/>
              </w:rPr>
              <w:t>(Number</w:t>
            </w:r>
          </w:p>
          <w:p>
            <w:pPr>
              <w:pStyle w:val="TableContents"/>
              <w:bidi w:val="0"/>
              <w:spacing w:before="0" w:after="20"/>
              <w:jc w:val="right"/>
              <w:rPr>
                <w:rFonts w:ascii="Arial" w:hAnsi="Arial"/>
                <w:b/>
                <w:sz w:val="18"/>
              </w:rPr>
            </w:pPr>
            <w:r>
              <w:rPr>
                <w:rFonts w:ascii="Arial" w:hAnsi="Arial"/>
                <w:b/>
                <w:sz w:val="18"/>
              </w:rPr>
              <w:t>of Shares)²</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Aggregate</w:t>
            </w:r>
          </w:p>
          <w:p>
            <w:pPr>
              <w:pStyle w:val="TableContents"/>
              <w:bidi w:val="0"/>
              <w:spacing w:before="0" w:after="0"/>
              <w:jc w:val="right"/>
              <w:rPr>
                <w:rFonts w:ascii="Arial" w:hAnsi="Arial"/>
                <w:b/>
                <w:sz w:val="18"/>
              </w:rPr>
            </w:pPr>
            <w:r>
              <w:rPr>
                <w:rFonts w:ascii="Arial" w:hAnsi="Arial"/>
                <w:b/>
                <w:sz w:val="18"/>
              </w:rPr>
              <w:t>Target</w:t>
            </w:r>
          </w:p>
          <w:p>
            <w:pPr>
              <w:pStyle w:val="TableContents"/>
              <w:bidi w:val="0"/>
              <w:spacing w:before="0" w:after="0"/>
              <w:jc w:val="right"/>
              <w:rPr>
                <w:rFonts w:ascii="Arial" w:hAnsi="Arial"/>
                <w:b/>
                <w:sz w:val="18"/>
              </w:rPr>
            </w:pPr>
            <w:r>
              <w:rPr>
                <w:rFonts w:ascii="Arial" w:hAnsi="Arial"/>
                <w:b/>
                <w:sz w:val="18"/>
              </w:rPr>
              <w:t>Award Value³</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144"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 w:type="dxa"/>
            <w:tcBorders>
              <w:bottom w:val="single" w:sz="6" w:space="0" w:color="0075C9"/>
            </w:tcBorders>
            <w:tcMar>
              <w:bottom w:w="40" w:type="dxa"/>
            </w:tcMar>
            <w:vAlign w:val="center"/>
          </w:tcPr>
          <w:p>
            <w:pPr>
              <w:pStyle w:val="TableContents"/>
              <w:bidi w:val="0"/>
              <w:spacing w:before="0" w:after="283"/>
              <w:jc w:val="left"/>
              <w:rPr/>
            </w:pPr>
            <w:r>
              <w:rPr/>
              <w:t> </w:t>
            </w:r>
          </w:p>
        </w:tc>
        <w:tc>
          <w:tcPr>
            <w:tcW w:w="1259" w:type="dxa"/>
            <w:tcBorders>
              <w:bottom w:val="single" w:sz="6" w:space="0" w:color="0075C9"/>
            </w:tcBorders>
            <w:tcMar>
              <w:bottom w:w="40" w:type="dxa"/>
            </w:tcMar>
            <w:vAlign w:val="center"/>
          </w:tcPr>
          <w:p>
            <w:pPr>
              <w:pStyle w:val="TableContents"/>
              <w:bidi w:val="0"/>
              <w:spacing w:before="0" w:after="283"/>
              <w:jc w:val="right"/>
              <w:rPr/>
            </w:pPr>
            <w:r>
              <w:rPr/>
              <w:t>98,680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c>
          <w:tcPr>
            <w:tcW w:w="887"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50,000,000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144"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 w:type="dxa"/>
            <w:tcBorders>
              <w:bottom w:val="single" w:sz="6" w:space="0" w:color="0075C9"/>
            </w:tcBorders>
            <w:tcMar>
              <w:bottom w:w="40" w:type="dxa"/>
            </w:tcMar>
            <w:vAlign w:val="center"/>
          </w:tcPr>
          <w:p>
            <w:pPr>
              <w:pStyle w:val="TableContents"/>
              <w:bidi w:val="0"/>
              <w:spacing w:before="0" w:after="283"/>
              <w:jc w:val="left"/>
              <w:rPr/>
            </w:pPr>
            <w:r>
              <w:rPr/>
              <w:t> </w:t>
            </w:r>
          </w:p>
        </w:tc>
        <w:tc>
          <w:tcPr>
            <w:tcW w:w="1259"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c>
          <w:tcPr>
            <w:tcW w:w="887"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26,500,000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144"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 w:type="dxa"/>
            <w:tcBorders>
              <w:bottom w:val="single" w:sz="6" w:space="0" w:color="0075C9"/>
            </w:tcBorders>
            <w:tcMar>
              <w:bottom w:w="40" w:type="dxa"/>
            </w:tcMar>
            <w:vAlign w:val="center"/>
          </w:tcPr>
          <w:p>
            <w:pPr>
              <w:pStyle w:val="TableContents"/>
              <w:bidi w:val="0"/>
              <w:spacing w:before="0" w:after="283"/>
              <w:jc w:val="left"/>
              <w:rPr/>
            </w:pPr>
            <w:r>
              <w:rPr/>
              <w:t> </w:t>
            </w:r>
          </w:p>
        </w:tc>
        <w:tc>
          <w:tcPr>
            <w:tcW w:w="1259"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c>
          <w:tcPr>
            <w:tcW w:w="887"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26,500,000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144"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 w:type="dxa"/>
            <w:tcBorders>
              <w:bottom w:val="single" w:sz="6" w:space="0" w:color="0075C9"/>
            </w:tcBorders>
            <w:tcMar>
              <w:bottom w:w="40" w:type="dxa"/>
            </w:tcMar>
            <w:vAlign w:val="center"/>
          </w:tcPr>
          <w:p>
            <w:pPr>
              <w:pStyle w:val="TableContents"/>
              <w:bidi w:val="0"/>
              <w:spacing w:before="0" w:after="283"/>
              <w:jc w:val="left"/>
              <w:rPr/>
            </w:pPr>
            <w:r>
              <w:rPr/>
              <w:t> </w:t>
            </w:r>
          </w:p>
        </w:tc>
        <w:tc>
          <w:tcPr>
            <w:tcW w:w="1259" w:type="dxa"/>
            <w:tcBorders>
              <w:bottom w:val="single" w:sz="6" w:space="0" w:color="0075C9"/>
            </w:tcBorders>
            <w:tcMar>
              <w:bottom w:w="40" w:type="dxa"/>
            </w:tcMar>
            <w:vAlign w:val="center"/>
          </w:tcPr>
          <w:p>
            <w:pPr>
              <w:pStyle w:val="TableContents"/>
              <w:bidi w:val="0"/>
              <w:spacing w:before="0" w:after="283"/>
              <w:jc w:val="right"/>
              <w:rPr/>
            </w:pPr>
            <w:r>
              <w:rPr/>
              <w:t>11,583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c>
          <w:tcPr>
            <w:tcW w:w="887" w:type="dxa"/>
            <w:tcBorders>
              <w:bottom w:val="single" w:sz="6" w:space="0" w:color="0075C9"/>
            </w:tcBorders>
            <w:tcMar>
              <w:bottom w:w="40" w:type="dxa"/>
            </w:tcMar>
            <w:vAlign w:val="center"/>
          </w:tcPr>
          <w:p>
            <w:pPr>
              <w:pStyle w:val="TableContents"/>
              <w:bidi w:val="0"/>
              <w:spacing w:before="0" w:after="283"/>
              <w:jc w:val="right"/>
              <w:rPr/>
            </w:pPr>
            <w:r>
              <w:rPr/>
              <w:t>11,583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11,737,500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144"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1" w:type="dxa"/>
            <w:tcBorders>
              <w:bottom w:val="single" w:sz="6" w:space="0" w:color="0075C9"/>
            </w:tcBorders>
            <w:tcMar>
              <w:bottom w:w="40" w:type="dxa"/>
            </w:tcMar>
            <w:vAlign w:val="center"/>
          </w:tcPr>
          <w:p>
            <w:pPr>
              <w:pStyle w:val="TableContents"/>
              <w:bidi w:val="0"/>
              <w:spacing w:before="0" w:after="283"/>
              <w:jc w:val="left"/>
              <w:rPr/>
            </w:pPr>
            <w:r>
              <w:rPr/>
              <w:t> </w:t>
            </w:r>
          </w:p>
        </w:tc>
        <w:tc>
          <w:tcPr>
            <w:tcW w:w="1259"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c>
          <w:tcPr>
            <w:tcW w:w="887"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26,500,000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Arial" w:hAnsi="Arial"/>
                <w:sz w:val="14"/>
              </w:rPr>
            </w:pPr>
            <w:r>
              <w:rPr>
                <w:rFonts w:ascii="Arial" w:hAnsi="Arial"/>
                <w:sz w:val="14"/>
              </w:rPr>
              <w:t xml:space="preserve">The PSAs vest in full following the end of the three-year performance period, with the number of shares earned determined based on performance against goals set for each year in the period and relative TSR results for the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0"/>
              <w:jc w:val="left"/>
              <w:rPr>
                <w:rFonts w:ascii="Arial" w:hAnsi="Arial"/>
                <w:sz w:val="14"/>
              </w:rPr>
            </w:pPr>
            <w:r>
              <w:rPr>
                <w:rFonts w:ascii="Arial" w:hAnsi="Arial"/>
                <w:sz w:val="14"/>
              </w:rPr>
              <w:t xml:space="preserve">The SAs vest 25% on August 31, 2026, and 12.5% each six months thereafter until fully vested. Vesting is subject to continued employment except as described on page 49 below.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305"/>
        <w:gridCol w:w="8330"/>
      </w:tblGrid>
      <w:tr>
        <w:trPr/>
        <w:tc>
          <w:tcPr>
            <w:tcW w:w="305" w:type="dxa"/>
            <w:tcBorders/>
            <w:vAlign w:val="center"/>
          </w:tcPr>
          <w:p>
            <w:pPr>
              <w:pStyle w:val="TableContents"/>
              <w:bidi w:val="0"/>
              <w:spacing w:before="0" w:after="283"/>
              <w:jc w:val="left"/>
              <w:rPr/>
            </w:pPr>
            <w:r>
              <w:rPr/>
              <w:t>(3)</w:t>
            </w:r>
          </w:p>
        </w:tc>
        <w:tc>
          <w:tcPr>
            <w:tcW w:w="8330" w:type="dxa"/>
            <w:tcBorders/>
            <w:vAlign w:val="center"/>
          </w:tcPr>
          <w:p>
            <w:pPr>
              <w:pStyle w:val="TableContents"/>
              <w:bidi w:val="0"/>
              <w:spacing w:before="0" w:after="0"/>
              <w:jc w:val="left"/>
              <w:rPr>
                <w:rFonts w:ascii="Arial" w:hAnsi="Arial"/>
                <w:sz w:val="14"/>
              </w:rPr>
            </w:pPr>
            <w:r>
              <w:rPr>
                <w:rFonts w:ascii="Arial" w:hAnsi="Arial"/>
                <w:sz w:val="14"/>
              </w:rPr>
              <w:t xml:space="preserve">Awarded value (in dollars) was converted to shares using the closing share price on August 29, 2025, rounded up to a whole number. </w:t>
            </w:r>
          </w:p>
        </w:tc>
      </w:tr>
    </w:tbl>
    <w:p>
      <w:pPr>
        <w:pStyle w:val="TextBody"/>
        <w:bidi w:val="0"/>
        <w:spacing w:before="80" w:after="0"/>
        <w:jc w:val="left"/>
        <w:rPr>
          <w:rFonts w:ascii="Arial" w:hAnsi="Arial"/>
          <w:sz w:val="18"/>
        </w:rPr>
      </w:pPr>
      <w:r>
        <w:rPr>
          <w:rFonts w:ascii="Arial" w:hAnsi="Arial"/>
          <w:sz w:val="18"/>
        </w:rPr>
        <w:t xml:space="preserve">The amounts listed in the table above for fiscal year 2026 PSAs do not match the amounts in the “Stock Awards” column in the Summary Compensation Table or the Grants of Plan-Based Awards table. Because the grant date of a PSA for financial reporting purposes occurs when the performance targets are set, and targets under our PSA awards are established annually, PSAs listed in the Summary Compensation Table and Grants of Plan-Based Awards table include portions of current and prior year PSA awards. In the Summary Compensation Table, the value of PSAs is calculated using a Monte-Carlo simulation valuation performed as of the date of grant for financial reporting purposes. For fiscal year 2026, the stock price appreciation and corresponding relative TSR outperformance resulted in a grant date fair value higher than target value. Changes in Microsoft’s stock price and other inputs in the Monte-Carlo simulation may cause awards to be above or below target in any given year.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Fiscal Year 2024 PSAs (Completed Performance Period) </w:t>
      </w:r>
    </w:p>
    <w:p>
      <w:pPr>
        <w:pStyle w:val="TextBody"/>
        <w:bidi w:val="0"/>
        <w:spacing w:before="120" w:after="0"/>
        <w:jc w:val="left"/>
        <w:rPr>
          <w:rFonts w:ascii="Arial" w:hAnsi="Arial"/>
          <w:sz w:val="18"/>
        </w:rPr>
      </w:pPr>
      <w:r>
        <w:rPr>
          <w:rFonts w:ascii="Arial" w:hAnsi="Arial"/>
          <w:sz w:val="18"/>
        </w:rPr>
        <w:t xml:space="preserve">Our Compensation Committee (and for Mr. Nadella, the independent members of our Board) granted PSAs in fiscal year 2024 that pay out based on specific pre-established, performance goals and strategic performance objectives tied to creating long-term shareholder value as well as our TSR performance relative to the S&amp;P 500. Performance was measured over the three-fiscal year performance period ending June 30, 2026. </w:t>
      </w:r>
    </w:p>
    <w:p>
      <w:pPr>
        <w:pStyle w:val="TextBody"/>
        <w:bidi w:val="0"/>
        <w:spacing w:before="0" w:after="0"/>
        <w:jc w:val="left"/>
        <w:rPr/>
      </w:pPr>
      <w:r>
        <w:rPr/>
        <w:t> </w:t>
      </w:r>
    </w:p>
    <w:tbl>
      <w:tblPr>
        <w:tblW w:w="8115" w:type="dxa"/>
        <w:jc w:val="left"/>
        <w:tblInd w:w="0" w:type="dxa"/>
        <w:tblLayout w:type="fixed"/>
        <w:tblCellMar>
          <w:top w:w="0" w:type="dxa"/>
          <w:left w:w="0" w:type="dxa"/>
          <w:bottom w:w="0" w:type="dxa"/>
          <w:right w:w="0" w:type="dxa"/>
        </w:tblCellMar>
      </w:tblPr>
      <w:tblGrid>
        <w:gridCol w:w="75"/>
        <w:gridCol w:w="60"/>
        <w:gridCol w:w="1205"/>
        <w:gridCol w:w="60"/>
        <w:gridCol w:w="755"/>
        <w:gridCol w:w="60"/>
        <w:gridCol w:w="260"/>
        <w:gridCol w:w="60"/>
        <w:gridCol w:w="755"/>
        <w:gridCol w:w="60"/>
        <w:gridCol w:w="260"/>
        <w:gridCol w:w="60"/>
        <w:gridCol w:w="755"/>
        <w:gridCol w:w="60"/>
        <w:gridCol w:w="260"/>
        <w:gridCol w:w="60"/>
        <w:gridCol w:w="875"/>
        <w:gridCol w:w="60"/>
        <w:gridCol w:w="260"/>
        <w:gridCol w:w="60"/>
        <w:gridCol w:w="905"/>
        <w:gridCol w:w="60"/>
        <w:gridCol w:w="260"/>
        <w:gridCol w:w="60"/>
        <w:gridCol w:w="7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3085" w:type="dxa"/>
            <w:gridSpan w:val="10"/>
            <w:tcBorders/>
            <w:shd w:fill="D8EAF6" w:val="clear"/>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2220" w:type="dxa"/>
            <w:gridSpan w:val="6"/>
            <w:tcBorders/>
            <w:shd w:fill="D8EAF6" w:val="clear"/>
            <w:vAlign w:val="center"/>
          </w:tcPr>
          <w:p>
            <w:pPr>
              <w:pStyle w:val="TableContents"/>
              <w:bidi w:val="0"/>
              <w:spacing w:before="0" w:after="283"/>
              <w:jc w:val="left"/>
              <w:rPr>
                <w:sz w:val="4"/>
                <w:szCs w:val="4"/>
              </w:rPr>
            </w:pPr>
            <w:r>
              <w:rPr>
                <w:sz w:val="4"/>
                <w:szCs w:val="4"/>
              </w:rPr>
            </w:r>
          </w:p>
        </w:tc>
        <w:tc>
          <w:tcPr>
            <w:tcW w:w="320" w:type="dxa"/>
            <w:gridSpan w:val="2"/>
            <w:tcBorders/>
            <w:shd w:fill="D8EAF6" w:val="clear"/>
            <w:vAlign w:val="center"/>
          </w:tcPr>
          <w:p>
            <w:pPr>
              <w:pStyle w:val="TableContents"/>
              <w:bidi w:val="0"/>
              <w:spacing w:before="0" w:after="283"/>
              <w:jc w:val="left"/>
              <w:rPr>
                <w:sz w:val="4"/>
                <w:szCs w:val="4"/>
              </w:rPr>
            </w:pPr>
            <w:r>
              <w:rPr>
                <w:sz w:val="4"/>
                <w:szCs w:val="4"/>
              </w:rPr>
            </w:r>
          </w:p>
        </w:tc>
        <w:tc>
          <w:tcPr>
            <w:tcW w:w="830" w:type="dxa"/>
            <w:gridSpan w:val="2"/>
            <w:tcBorders/>
            <w:shd w:fill="D8EAF6"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shd w:fill="D8EAF6" w:val="clear"/>
            <w:vAlign w:val="center"/>
          </w:tcPr>
          <w:p>
            <w:pPr>
              <w:pStyle w:val="TableContents"/>
              <w:bidi w:val="0"/>
              <w:spacing w:before="0" w:after="283"/>
              <w:jc w:val="left"/>
              <w:rPr/>
            </w:pPr>
            <w:r>
              <w:rPr/>
              <w:t> </w:t>
            </w:r>
          </w:p>
        </w:tc>
        <w:tc>
          <w:tcPr>
            <w:tcW w:w="3025" w:type="dxa"/>
            <w:gridSpan w:val="9"/>
            <w:tcBorders/>
            <w:shd w:fill="D8EAF6" w:val="clear"/>
            <w:vAlign w:val="center"/>
          </w:tcPr>
          <w:p>
            <w:pPr>
              <w:pStyle w:val="TableContents"/>
              <w:bidi w:val="0"/>
              <w:spacing w:before="0" w:after="283"/>
              <w:jc w:val="center"/>
              <w:rPr>
                <w:b/>
              </w:rPr>
            </w:pPr>
            <w:r>
              <w:rPr>
                <w:b/>
              </w:rPr>
              <w:t>Core Metric Year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shd w:fill="D8EAF6" w:val="clear"/>
            <w:vAlign w:val="center"/>
          </w:tcPr>
          <w:p>
            <w:pPr>
              <w:pStyle w:val="TableContents"/>
              <w:bidi w:val="0"/>
              <w:spacing w:before="0" w:after="283"/>
              <w:jc w:val="left"/>
              <w:rPr/>
            </w:pPr>
            <w:r>
              <w:rPr/>
              <w:t> </w:t>
            </w:r>
          </w:p>
        </w:tc>
        <w:tc>
          <w:tcPr>
            <w:tcW w:w="2160" w:type="dxa"/>
            <w:gridSpan w:val="5"/>
            <w:tcBorders/>
            <w:shd w:fill="D8EAF6" w:val="clear"/>
            <w:vAlign w:val="center"/>
          </w:tcPr>
          <w:p>
            <w:pPr>
              <w:pStyle w:val="TableContents"/>
              <w:bidi w:val="0"/>
              <w:spacing w:before="0" w:after="0"/>
              <w:jc w:val="center"/>
              <w:rPr>
                <w:rFonts w:ascii="Arial" w:hAnsi="Arial"/>
                <w:b/>
                <w:sz w:val="20"/>
              </w:rPr>
            </w:pPr>
            <w:r>
              <w:rPr>
                <w:rFonts w:ascii="Arial" w:hAnsi="Arial"/>
                <w:b/>
                <w:sz w:val="20"/>
              </w:rPr>
              <w:t>3-Year</w:t>
            </w:r>
          </w:p>
          <w:p>
            <w:pPr>
              <w:pStyle w:val="TableContents"/>
              <w:bidi w:val="0"/>
              <w:spacing w:before="0" w:after="20"/>
              <w:jc w:val="center"/>
              <w:rPr>
                <w:rFonts w:ascii="Arial" w:hAnsi="Arial"/>
                <w:b/>
                <w:sz w:val="20"/>
              </w:rPr>
            </w:pPr>
            <w:r>
              <w:rPr>
                <w:rFonts w:ascii="Arial" w:hAnsi="Arial"/>
                <w:b/>
                <w:sz w:val="20"/>
              </w:rPr>
              <w:t>Performance Period</w:t>
            </w:r>
          </w:p>
        </w:tc>
        <w:tc>
          <w:tcPr>
            <w:tcW w:w="60" w:type="dxa"/>
            <w:tcBorders/>
            <w:shd w:fill="D8EAF6" w:val="clear"/>
            <w:vAlign w:val="center"/>
          </w:tcPr>
          <w:p>
            <w:pPr>
              <w:pStyle w:val="TableContents"/>
              <w:bidi w:val="0"/>
              <w:spacing w:before="0" w:after="283"/>
              <w:jc w:val="left"/>
              <w:rPr/>
            </w:pPr>
            <w:r>
              <w:rPr/>
              <w:t> </w:t>
            </w:r>
          </w:p>
        </w:tc>
        <w:tc>
          <w:tcPr>
            <w:tcW w:w="260" w:type="dxa"/>
            <w:tcBorders/>
            <w:shd w:fill="D8EAF6" w:val="clear"/>
            <w:vAlign w:val="center"/>
          </w:tcPr>
          <w:p>
            <w:pPr>
              <w:pStyle w:val="TableContents"/>
              <w:bidi w:val="0"/>
              <w:spacing w:before="0" w:after="283"/>
              <w:jc w:val="left"/>
              <w:rPr/>
            </w:pPr>
            <w:r>
              <w:rPr/>
              <w:t> </w:t>
            </w:r>
          </w:p>
        </w:tc>
        <w:tc>
          <w:tcPr>
            <w:tcW w:w="60" w:type="dxa"/>
            <w:tcBorders/>
            <w:shd w:fill="D8EAF6" w:val="clear"/>
            <w:vAlign w:val="center"/>
          </w:tcPr>
          <w:p>
            <w:pPr>
              <w:pStyle w:val="TableContents"/>
              <w:bidi w:val="0"/>
              <w:spacing w:before="0" w:after="283"/>
              <w:jc w:val="left"/>
              <w:rPr/>
            </w:pPr>
            <w:r>
              <w:rPr/>
              <w:t> </w:t>
            </w:r>
          </w:p>
        </w:tc>
        <w:tc>
          <w:tcPr>
            <w:tcW w:w="770" w:type="dxa"/>
            <w:tcBorders/>
            <w:shd w:fill="D8EAF6"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D8EAF6" w:val="clear"/>
            <w:vAlign w:val="center"/>
          </w:tcPr>
          <w:p>
            <w:pPr>
              <w:pStyle w:val="TableContents"/>
              <w:bidi w:val="0"/>
              <w:spacing w:before="0" w:after="283"/>
              <w:jc w:val="left"/>
              <w:rPr/>
            </w:pPr>
            <w:r>
              <w:rPr/>
              <w:t> </w:t>
            </w:r>
          </w:p>
        </w:tc>
        <w:tc>
          <w:tcPr>
            <w:tcW w:w="755" w:type="dxa"/>
            <w:tcBorders/>
            <w:shd w:fill="D8EAF6" w:val="clear"/>
            <w:vAlign w:val="center"/>
          </w:tcPr>
          <w:p>
            <w:pPr>
              <w:pStyle w:val="TableContents"/>
              <w:bidi w:val="0"/>
              <w:spacing w:before="0" w:after="283"/>
              <w:jc w:val="center"/>
              <w:rPr>
                <w:b/>
              </w:rPr>
            </w:pPr>
            <w:r>
              <w:rPr>
                <w:b/>
              </w:rPr>
              <w:t>FY24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shd w:fill="D8EAF6" w:val="clear"/>
            <w:vAlign w:val="center"/>
          </w:tcPr>
          <w:p>
            <w:pPr>
              <w:pStyle w:val="TableContents"/>
              <w:bidi w:val="0"/>
              <w:spacing w:before="0" w:after="283"/>
              <w:jc w:val="left"/>
              <w:rPr/>
            </w:pPr>
            <w:r>
              <w:rPr/>
              <w:t> </w:t>
            </w:r>
          </w:p>
        </w:tc>
        <w:tc>
          <w:tcPr>
            <w:tcW w:w="755" w:type="dxa"/>
            <w:tcBorders/>
            <w:shd w:fill="D8EAF6" w:val="clear"/>
            <w:vAlign w:val="center"/>
          </w:tcPr>
          <w:p>
            <w:pPr>
              <w:pStyle w:val="TableContents"/>
              <w:bidi w:val="0"/>
              <w:spacing w:before="0" w:after="283"/>
              <w:jc w:val="center"/>
              <w:rPr>
                <w:b/>
              </w:rPr>
            </w:pPr>
            <w:r>
              <w:rPr>
                <w:b/>
              </w:rPr>
              <w:t>FY25</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shd w:fill="D8EAF6" w:val="clear"/>
            <w:vAlign w:val="center"/>
          </w:tcPr>
          <w:p>
            <w:pPr>
              <w:pStyle w:val="TableContents"/>
              <w:bidi w:val="0"/>
              <w:spacing w:before="0" w:after="283"/>
              <w:jc w:val="left"/>
              <w:rPr/>
            </w:pPr>
            <w:r>
              <w:rPr/>
              <w:t> </w:t>
            </w:r>
          </w:p>
        </w:tc>
        <w:tc>
          <w:tcPr>
            <w:tcW w:w="755" w:type="dxa"/>
            <w:tcBorders/>
            <w:shd w:fill="D8EAF6" w:val="clear"/>
            <w:vAlign w:val="center"/>
          </w:tcPr>
          <w:p>
            <w:pPr>
              <w:pStyle w:val="TableContents"/>
              <w:bidi w:val="0"/>
              <w:spacing w:before="0" w:after="283"/>
              <w:jc w:val="center"/>
              <w:rPr>
                <w:b/>
              </w:rPr>
            </w:pPr>
            <w:r>
              <w:rPr>
                <w:b/>
              </w:rPr>
              <w:t>FY26</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60" w:type="dxa"/>
            <w:tcBorders/>
            <w:shd w:fill="D8EAF6" w:val="clear"/>
            <w:vAlign w:val="center"/>
          </w:tcPr>
          <w:p>
            <w:pPr>
              <w:pStyle w:val="TableContents"/>
              <w:bidi w:val="0"/>
              <w:spacing w:before="0" w:after="283"/>
              <w:jc w:val="left"/>
              <w:rPr/>
            </w:pPr>
            <w:r>
              <w:rPr/>
              <w:t> </w:t>
            </w:r>
          </w:p>
        </w:tc>
        <w:tc>
          <w:tcPr>
            <w:tcW w:w="2160" w:type="dxa"/>
            <w:gridSpan w:val="5"/>
            <w:tcBorders/>
            <w:shd w:fill="D8EAF6" w:val="clear"/>
            <w:vAlign w:val="center"/>
          </w:tcPr>
          <w:p>
            <w:pPr>
              <w:pStyle w:val="TableContents"/>
              <w:bidi w:val="0"/>
              <w:spacing w:before="0" w:after="283"/>
              <w:jc w:val="center"/>
              <w:rPr>
                <w:b/>
              </w:rPr>
            </w:pPr>
            <w:r>
              <w:rPr>
                <w:b/>
              </w:rPr>
              <w:t>FY24 – FY26</w:t>
            </w:r>
          </w:p>
        </w:tc>
        <w:tc>
          <w:tcPr>
            <w:tcW w:w="60" w:type="dxa"/>
            <w:tcBorders/>
            <w:shd w:fill="D8EAF6" w:val="clear"/>
            <w:vAlign w:val="center"/>
          </w:tcPr>
          <w:p>
            <w:pPr>
              <w:pStyle w:val="TableContents"/>
              <w:bidi w:val="0"/>
              <w:spacing w:before="0" w:after="283"/>
              <w:jc w:val="left"/>
              <w:rPr/>
            </w:pPr>
            <w:r>
              <w:rPr/>
              <w:t> </w:t>
            </w:r>
          </w:p>
        </w:tc>
        <w:tc>
          <w:tcPr>
            <w:tcW w:w="260" w:type="dxa"/>
            <w:tcBorders/>
            <w:shd w:fill="D8EAF6"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D8EAF6" w:val="clear"/>
            <w:vAlign w:val="center"/>
          </w:tcPr>
          <w:p>
            <w:pPr>
              <w:pStyle w:val="TableContents"/>
              <w:bidi w:val="0"/>
              <w:spacing w:before="0" w:after="283"/>
              <w:jc w:val="left"/>
              <w:rPr/>
            </w:pPr>
            <w:r>
              <w:rPr/>
              <w:t> </w:t>
            </w:r>
          </w:p>
        </w:tc>
        <w:tc>
          <w:tcPr>
            <w:tcW w:w="770" w:type="dxa"/>
            <w:tcBorders/>
            <w:shd w:fill="D8EAF6" w:val="clear"/>
            <w:vAlign w:val="center"/>
          </w:tcPr>
          <w:p>
            <w:pPr>
              <w:pStyle w:val="TableContents"/>
              <w:bidi w:val="0"/>
              <w:jc w:val="left"/>
              <w:rPr/>
            </w:pPr>
            <w:r>
              <w:rPr/>
              <w:t> </w:t>
            </w:r>
          </w:p>
          <w:p>
            <w:pPr>
              <w:pStyle w:val="TableContents"/>
              <w:bidi w:val="0"/>
              <w:spacing w:before="0" w:after="0"/>
              <w:jc w:val="left"/>
              <w:rPr/>
            </w:pPr>
            <w:r>
              <w:rPr/>
              <w:t> </w:t>
            </w:r>
          </w:p>
        </w:tc>
      </w:tr>
      <w:tr>
        <w:trPr/>
        <w:tc>
          <w:tcPr>
            <w:tcW w:w="75" w:type="dxa"/>
            <w:tcBorders/>
            <w:shd w:fill="D8EAF6" w:val="clear"/>
            <w:vAlign w:val="center"/>
          </w:tcPr>
          <w:p>
            <w:pPr>
              <w:pStyle w:val="TableContents"/>
              <w:bidi w:val="0"/>
              <w:spacing w:before="0" w:after="283"/>
              <w:jc w:val="left"/>
              <w:rPr>
                <w:sz w:val="4"/>
                <w:szCs w:val="4"/>
              </w:rPr>
            </w:pPr>
            <w:r>
              <w:rPr>
                <w:sz w:val="4"/>
                <w:szCs w:val="4"/>
              </w:rPr>
            </w:r>
          </w:p>
        </w:tc>
        <w:tc>
          <w:tcPr>
            <w:tcW w:w="1265" w:type="dxa"/>
            <w:gridSpan w:val="2"/>
            <w:tcBorders/>
            <w:shd w:fill="D8EAF6" w:val="clear"/>
            <w:vAlign w:val="center"/>
          </w:tcPr>
          <w:p>
            <w:pPr>
              <w:pStyle w:val="TableContents"/>
              <w:bidi w:val="0"/>
              <w:spacing w:before="0" w:after="283"/>
              <w:jc w:val="left"/>
              <w:rPr>
                <w:sz w:val="4"/>
                <w:szCs w:val="4"/>
              </w:rPr>
            </w:pPr>
            <w:r>
              <w:rPr>
                <w:sz w:val="4"/>
                <w:szCs w:val="4"/>
              </w:rPr>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5" w:type="dxa"/>
            <w:tcBorders/>
            <w:shd w:fill="D8EAF6" w:val="clear"/>
            <w:vAlign w:val="center"/>
          </w:tcPr>
          <w:p>
            <w:pPr>
              <w:pStyle w:val="TableContents"/>
              <w:bidi w:val="0"/>
              <w:spacing w:before="0" w:after="283"/>
              <w:jc w:val="left"/>
              <w:rPr/>
            </w:pPr>
            <w:r>
              <w:rPr/>
              <w:t> </w:t>
            </w:r>
          </w:p>
        </w:tc>
        <w:tc>
          <w:tcPr>
            <w:tcW w:w="60" w:type="dxa"/>
            <w:tcBorders>
              <w:bottom w:val="single" w:sz="6" w:space="0" w:color="000000"/>
            </w:tcBorders>
            <w:shd w:fill="D8EAF6"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D8EAF6" w:val="clear"/>
            <w:tcMar>
              <w:bottom w:w="60" w:type="dxa"/>
            </w:tcMar>
            <w:vAlign w:val="center"/>
          </w:tcPr>
          <w:p>
            <w:pPr>
              <w:pStyle w:val="TableContents"/>
              <w:bidi w:val="0"/>
              <w:spacing w:before="0" w:after="0"/>
              <w:jc w:val="center"/>
              <w:rPr>
                <w:rFonts w:ascii="Arial" w:hAnsi="Arial"/>
                <w:b/>
                <w:sz w:val="20"/>
              </w:rPr>
            </w:pPr>
            <w:r>
              <w:rPr>
                <w:rFonts w:ascii="Arial" w:hAnsi="Arial"/>
                <w:b/>
                <w:sz w:val="20"/>
              </w:rPr>
              <w:t>FY24</w:t>
            </w:r>
          </w:p>
          <w:p>
            <w:pPr>
              <w:pStyle w:val="TableContents"/>
              <w:bidi w:val="0"/>
              <w:spacing w:before="0" w:after="20"/>
              <w:jc w:val="center"/>
              <w:rPr>
                <w:rFonts w:ascii="Arial" w:hAnsi="Arial"/>
                <w:b/>
                <w:sz w:val="20"/>
              </w:rPr>
            </w:pPr>
            <w:r>
              <w:rPr>
                <w:rFonts w:ascii="Arial" w:hAnsi="Arial"/>
                <w:b/>
                <w:sz w:val="20"/>
              </w:rPr>
              <w:t>PSA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5"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b/>
              </w:rPr>
            </w:pPr>
            <w:r>
              <w:rPr>
                <w:b/>
              </w:rPr>
              <w:t>Year 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5"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b/>
              </w:rPr>
            </w:pPr>
            <w:r>
              <w:rPr>
                <w:b/>
              </w:rPr>
              <w:t>Year 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5"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b/>
              </w:rPr>
            </w:pPr>
            <w:r>
              <w:rPr>
                <w:b/>
              </w:rPr>
              <w:t>Year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b/>
              </w:rPr>
            </w:pPr>
            <w:r>
              <w:rPr>
                <w:b/>
              </w:rPr>
              <w:t>3-Year</w:t>
              <w:br/>
              <w:t>Core</w:t>
              <w:br/>
              <w:t>Metric</w:t>
              <w:br/>
              <w:t>Average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60" w:type="dxa"/>
            </w:tcMar>
            <w:vAlign w:val="center"/>
          </w:tcPr>
          <w:p>
            <w:pPr>
              <w:pStyle w:val="TableContents"/>
              <w:bidi w:val="0"/>
              <w:spacing w:before="0" w:after="283"/>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b/>
              </w:rPr>
            </w:pPr>
            <w:r>
              <w:rPr>
                <w:b/>
              </w:rPr>
              <w:t>3-Year</w:t>
              <w:br/>
              <w:t>rTSR</w:t>
              <w:br/>
              <w:t>Modifier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60" w:type="dxa"/>
            </w:tcMar>
            <w:vAlign w:val="center"/>
          </w:tcPr>
          <w:p>
            <w:pPr>
              <w:pStyle w:val="TableContents"/>
              <w:bidi w:val="0"/>
              <w:spacing w:before="0" w:after="283"/>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70" w:type="dxa"/>
            <w:tcBorders>
              <w:bottom w:val="single" w:sz="6" w:space="0" w:color="000000"/>
              <w:right w:val="single" w:sz="6" w:space="0" w:color="000000"/>
            </w:tcBorders>
            <w:tcMar>
              <w:bottom w:w="60" w:type="dxa"/>
              <w:right w:w="40" w:type="dxa"/>
            </w:tcMar>
            <w:vAlign w:val="center"/>
          </w:tcPr>
          <w:p>
            <w:pPr>
              <w:pStyle w:val="TableContents"/>
              <w:bidi w:val="0"/>
              <w:spacing w:before="0" w:after="283"/>
              <w:jc w:val="center"/>
              <w:rPr>
                <w:b/>
              </w:rPr>
            </w:pPr>
            <w:r>
              <w:rPr>
                <w:b/>
              </w:rPr>
              <w:t>Final</w:t>
              <w:br/>
              <w:t>Payout</w:t>
            </w:r>
          </w:p>
        </w:tc>
      </w:tr>
      <w:tr>
        <w:trPr/>
        <w:tc>
          <w:tcPr>
            <w:tcW w:w="75" w:type="dxa"/>
            <w:tcBorders/>
            <w:shd w:fill="D8EAF6" w:val="clear"/>
            <w:vAlign w:val="center"/>
          </w:tcPr>
          <w:p>
            <w:pPr>
              <w:pStyle w:val="TableContents"/>
              <w:bidi w:val="0"/>
              <w:spacing w:before="0" w:after="283"/>
              <w:jc w:val="left"/>
              <w:rPr>
                <w:sz w:val="4"/>
                <w:szCs w:val="4"/>
              </w:rPr>
            </w:pPr>
            <w:r>
              <w:rPr>
                <w:sz w:val="4"/>
                <w:szCs w:val="4"/>
              </w:rPr>
            </w:r>
          </w:p>
        </w:tc>
        <w:tc>
          <w:tcPr>
            <w:tcW w:w="1265" w:type="dxa"/>
            <w:gridSpan w:val="2"/>
            <w:tcBorders/>
            <w:shd w:fill="D8EAF6" w:val="clear"/>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shd w:fill="D8EAF6" w:val="clear"/>
            <w:vAlign w:val="center"/>
          </w:tcPr>
          <w:p>
            <w:pPr>
              <w:pStyle w:val="TableContents"/>
              <w:bidi w:val="0"/>
              <w:spacing w:before="0" w:after="283"/>
              <w:jc w:val="left"/>
              <w:rPr>
                <w:sz w:val="4"/>
                <w:szCs w:val="4"/>
              </w:rPr>
            </w:pPr>
            <w:r>
              <w:rPr>
                <w:sz w:val="4"/>
                <w:szCs w:val="4"/>
              </w:rPr>
            </w:r>
          </w:p>
        </w:tc>
        <w:tc>
          <w:tcPr>
            <w:tcW w:w="60" w:type="dxa"/>
            <w:tcBorders/>
            <w:shd w:fill="D8EAF6" w:val="clear"/>
            <w:vAlign w:val="center"/>
          </w:tcPr>
          <w:p>
            <w:pPr>
              <w:pStyle w:val="TableContents"/>
              <w:bidi w:val="0"/>
              <w:spacing w:before="0" w:after="283"/>
              <w:jc w:val="left"/>
              <w:rPr/>
            </w:pPr>
            <w:r>
              <w:rPr/>
              <w:t> </w:t>
            </w:r>
          </w:p>
        </w:tc>
        <w:tc>
          <w:tcPr>
            <w:tcW w:w="1205" w:type="dxa"/>
            <w:tcBorders/>
            <w:shd w:fill="D8EAF6" w:val="clear"/>
            <w:vAlign w:val="center"/>
          </w:tcPr>
          <w:p>
            <w:pPr>
              <w:pStyle w:val="TableContents"/>
              <w:bidi w:val="0"/>
              <w:spacing w:lineRule="atLeast" w:line="142" w:before="0" w:after="0"/>
              <w:jc w:val="center"/>
              <w:rPr/>
            </w:pPr>
            <w:r>
              <w:rPr/>
              <w:t> </w:t>
            </w:r>
            <w:r>
              <w:rPr>
                <w:rFonts w:ascii="Arial" w:hAnsi="Arial"/>
                <w:sz w:val="18"/>
              </w:rPr>
              <w:t>Payout % 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42" w:before="0" w:after="0"/>
              <w:jc w:val="center"/>
              <w:rPr>
                <w:rFonts w:ascii="Arial" w:hAnsi="Arial"/>
                <w:sz w:val="18"/>
              </w:rPr>
            </w:pPr>
            <w:r>
              <w:rPr>
                <w:rFonts w:ascii="Arial" w:hAnsi="Arial"/>
                <w:sz w:val="18"/>
              </w:rPr>
              <w:t>119.69%</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42" w:before="0" w:after="0"/>
              <w:jc w:val="center"/>
              <w:rPr>
                <w:rFonts w:ascii="Arial" w:hAnsi="Arial"/>
                <w:sz w:val="18"/>
              </w:rPr>
            </w:pPr>
            <w:r>
              <w:rPr>
                <w:rFonts w:ascii="Arial" w:hAnsi="Arial"/>
                <w:sz w:val="18"/>
              </w:rPr>
              <w:t>103.69%</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42" w:before="0" w:after="0"/>
              <w:jc w:val="center"/>
              <w:rPr>
                <w:rFonts w:ascii="Arial" w:hAnsi="Arial"/>
                <w:sz w:val="18"/>
              </w:rPr>
            </w:pPr>
            <w:r>
              <w:rPr>
                <w:rFonts w:ascii="Arial" w:hAnsi="Arial"/>
                <w:sz w:val="18"/>
              </w:rPr>
              <w:t>127.88%</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tLeast" w:line="142" w:before="0" w:after="0"/>
              <w:jc w:val="center"/>
              <w:rPr>
                <w:rFonts w:ascii="Arial" w:hAnsi="Arial"/>
                <w:sz w:val="18"/>
              </w:rPr>
            </w:pPr>
            <w:r>
              <w:rPr>
                <w:rFonts w:ascii="Arial" w:hAnsi="Arial"/>
                <w:sz w:val="18"/>
              </w:rPr>
              <w:t>117.09%</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lineRule="atLeast" w:line="142" w:before="0" w:after="0"/>
              <w:jc w:val="center"/>
              <w:rPr>
                <w:rFonts w:ascii="Arial" w:hAnsi="Arial"/>
                <w:sz w:val="18"/>
              </w:rPr>
            </w:pPr>
            <w:r>
              <w:rPr>
                <w:rFonts w:ascii="Arial" w:hAnsi="Arial"/>
                <w:sz w:val="18"/>
              </w:rPr>
              <w:t>x</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lineRule="atLeast" w:line="142" w:before="0" w:after="0"/>
              <w:jc w:val="center"/>
              <w:rPr>
                <w:rFonts w:ascii="Arial" w:hAnsi="Arial"/>
                <w:sz w:val="18"/>
              </w:rPr>
            </w:pPr>
            <w:r>
              <w:rPr>
                <w:rFonts w:ascii="Arial" w:hAnsi="Arial"/>
                <w:sz w:val="18"/>
              </w:rPr>
              <w:t>100.00%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lineRule="atLeast" w:line="142"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lineRule="atLeast" w:line="142" w:before="0" w:after="0"/>
              <w:jc w:val="center"/>
              <w:rPr>
                <w:rFonts w:ascii="Arial" w:hAnsi="Arial"/>
                <w:b/>
                <w:sz w:val="18"/>
              </w:rPr>
            </w:pPr>
            <w:r>
              <w:rPr>
                <w:rFonts w:ascii="Arial" w:hAnsi="Arial"/>
                <w:b/>
                <w:sz w:val="18"/>
              </w:rPr>
              <w:t>117.09%</w:t>
            </w:r>
          </w:p>
        </w:tc>
      </w:tr>
    </w:tbl>
    <w:p>
      <w:pPr>
        <w:pStyle w:val="TextBody"/>
        <w:bidi w:val="0"/>
        <w:spacing w:before="120" w:after="0"/>
        <w:jc w:val="left"/>
        <w:rPr>
          <w:rFonts w:ascii="Arial" w:hAnsi="Arial"/>
          <w:sz w:val="18"/>
        </w:rPr>
      </w:pPr>
      <w:r>
        <w:rPr>
          <w:rFonts w:ascii="Arial" w:hAnsi="Arial"/>
          <w:sz w:val="18"/>
        </w:rPr>
        <w:t xml:space="preserve">The actual performance under the fiscal year 2024 PSAs reflected the strong business achievement on core metrics and Microsoft’s relative TSR during this period. Performance against the core metrics under these PSAs is shown in the following table: </w:t>
      </w:r>
    </w:p>
    <w:p>
      <w:pPr>
        <w:pStyle w:val="TextBody"/>
        <w:bidi w:val="0"/>
        <w:spacing w:before="360" w:after="0"/>
        <w:jc w:val="left"/>
        <w:rPr>
          <w:rFonts w:ascii="Arial" w:hAnsi="Arial"/>
          <w:b/>
          <w:sz w:val="24"/>
        </w:rPr>
      </w:pPr>
      <w:r>
        <w:rPr>
          <w:rFonts w:ascii="Arial" w:hAnsi="Arial"/>
          <w:b/>
          <w:sz w:val="24"/>
        </w:rPr>
        <w:t xml:space="preserve">Fiscal Year 2024 PSA Core Metric Performance and Payout Percentages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8"/>
        <w:gridCol w:w="60"/>
        <w:gridCol w:w="195"/>
        <w:gridCol w:w="650"/>
        <w:gridCol w:w="60"/>
        <w:gridCol w:w="60"/>
        <w:gridCol w:w="200"/>
        <w:gridCol w:w="870"/>
        <w:gridCol w:w="60"/>
        <w:gridCol w:w="60"/>
        <w:gridCol w:w="103"/>
        <w:gridCol w:w="967"/>
        <w:gridCol w:w="60"/>
        <w:gridCol w:w="60"/>
        <w:gridCol w:w="60"/>
        <w:gridCol w:w="691"/>
        <w:gridCol w:w="60"/>
        <w:gridCol w:w="60"/>
        <w:gridCol w:w="103"/>
        <w:gridCol w:w="967"/>
        <w:gridCol w:w="60"/>
        <w:gridCol w:w="60"/>
        <w:gridCol w:w="60"/>
        <w:gridCol w:w="649"/>
        <w:gridCol w:w="60"/>
        <w:gridCol w:w="60"/>
        <w:gridCol w:w="60"/>
        <w:gridCol w:w="775"/>
        <w:gridCol w:w="77"/>
      </w:tblGrid>
      <w:tr>
        <w:trPr/>
        <w:tc>
          <w:tcPr>
            <w:tcW w:w="2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PSA Core Metrics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Aggregate</w:t>
            </w:r>
          </w:p>
          <w:p>
            <w:pPr>
              <w:pStyle w:val="TableContents"/>
              <w:bidi w:val="0"/>
              <w:spacing w:before="0" w:after="20"/>
              <w:jc w:val="right"/>
              <w:rPr>
                <w:rFonts w:ascii="Arial" w:hAnsi="Arial"/>
                <w:b/>
                <w:sz w:val="16"/>
              </w:rPr>
            </w:pPr>
            <w:r>
              <w:rPr>
                <w:rFonts w:ascii="Arial" w:hAnsi="Arial"/>
                <w:b/>
                <w:sz w:val="16"/>
              </w:rPr>
              <w:t>Weighting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40" w:type="dxa"/>
            </w:tcMar>
            <w:vAlign w:val="center"/>
          </w:tcPr>
          <w:p>
            <w:pPr>
              <w:pStyle w:val="TableContents"/>
              <w:bidi w:val="0"/>
              <w:spacing w:before="0" w:after="283"/>
              <w:jc w:val="right"/>
              <w:rPr>
                <w:b/>
              </w:rPr>
            </w:pPr>
            <w:r>
              <w:rPr>
                <w:b/>
              </w:rPr>
              <w:t>Weighting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40" w:type="dxa"/>
            </w:tcMar>
            <w:vAlign w:val="center"/>
          </w:tcPr>
          <w:p>
            <w:pPr>
              <w:pStyle w:val="TableContents"/>
              <w:bidi w:val="0"/>
              <w:spacing w:before="0" w:after="283"/>
              <w:jc w:val="center"/>
              <w:rPr>
                <w:b/>
              </w:rPr>
            </w:pPr>
            <w:r>
              <w:rPr>
                <w:b/>
              </w:rPr>
              <w:t>Threshold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1" w:type="dxa"/>
            <w:gridSpan w:val="2"/>
            <w:tcBorders>
              <w:bottom w:val="single" w:sz="8" w:space="0" w:color="000000"/>
            </w:tcBorders>
            <w:tcMar>
              <w:bottom w:w="40" w:type="dxa"/>
            </w:tcMar>
            <w:vAlign w:val="center"/>
          </w:tcPr>
          <w:p>
            <w:pPr>
              <w:pStyle w:val="TableContents"/>
              <w:bidi w:val="0"/>
              <w:spacing w:before="0" w:after="283"/>
              <w:jc w:val="right"/>
              <w:rPr>
                <w:b/>
              </w:rPr>
            </w:pPr>
            <w:r>
              <w:rPr>
                <w:b/>
              </w:rPr>
              <w:t>Target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70" w:type="dxa"/>
            <w:gridSpan w:val="2"/>
            <w:tcBorders>
              <w:bottom w:val="single" w:sz="8" w:space="0" w:color="000000"/>
            </w:tcBorders>
            <w:tcMar>
              <w:bottom w:w="40" w:type="dxa"/>
            </w:tcMar>
            <w:vAlign w:val="center"/>
          </w:tcPr>
          <w:p>
            <w:pPr>
              <w:pStyle w:val="TableContents"/>
              <w:bidi w:val="0"/>
              <w:spacing w:before="0" w:after="283"/>
              <w:jc w:val="right"/>
              <w:rPr>
                <w:b/>
              </w:rPr>
            </w:pPr>
            <w:r>
              <w:rPr>
                <w:b/>
              </w:rPr>
              <w:t>Maximum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9"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Actual</w:t>
            </w:r>
          </w:p>
          <w:p>
            <w:pPr>
              <w:pStyle w:val="TableContents"/>
              <w:bidi w:val="0"/>
              <w:spacing w:before="0" w:after="20"/>
              <w:jc w:val="right"/>
              <w:rPr>
                <w:rFonts w:ascii="Arial" w:hAnsi="Arial"/>
                <w:b/>
                <w:sz w:val="16"/>
              </w:rPr>
            </w:pPr>
            <w:r>
              <w:rPr>
                <w:rFonts w:ascii="Arial" w:hAnsi="Arial"/>
                <w:b/>
                <w:sz w:val="16"/>
              </w:rPr>
              <w:t>Result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Final</w:t>
            </w:r>
          </w:p>
          <w:p>
            <w:pPr>
              <w:pStyle w:val="TableContents"/>
              <w:bidi w:val="0"/>
              <w:spacing w:before="0" w:after="20"/>
              <w:jc w:val="right"/>
              <w:rPr>
                <w:rFonts w:ascii="Arial" w:hAnsi="Arial"/>
                <w:b/>
                <w:sz w:val="16"/>
              </w:rPr>
            </w:pPr>
            <w:r>
              <w:rPr>
                <w:rFonts w:ascii="Arial" w:hAnsi="Arial"/>
                <w:b/>
                <w:sz w:val="16"/>
              </w:rPr>
              <w:t>Payout</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sz w:val="17"/>
              </w:rPr>
            </w:pPr>
            <w:r>
              <w:rPr>
                <w:rFonts w:ascii="Arial" w:hAnsi="Arial"/>
                <w:b/>
                <w:sz w:val="17"/>
              </w:rPr>
              <w:t>FY24 Core Metrics – Year 11</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40" w:type="dxa"/>
            </w:tcMar>
            <w:vAlign w:val="center"/>
          </w:tcPr>
          <w:p>
            <w:pPr>
              <w:pStyle w:val="TableContents"/>
              <w:bidi w:val="0"/>
              <w:spacing w:before="0" w:after="283"/>
              <w:jc w:val="left"/>
              <w:rPr/>
            </w:pPr>
            <w:r>
              <w:rPr/>
              <w:t> </w:t>
            </w:r>
          </w:p>
        </w:tc>
        <w:tc>
          <w:tcPr>
            <w:tcW w:w="650" w:type="dxa"/>
            <w:tcBorders>
              <w:bottom w:val="single" w:sz="6" w:space="0" w:color="0075C9"/>
            </w:tcBorders>
            <w:tcMar>
              <w:bottom w:w="40" w:type="dxa"/>
            </w:tcMar>
            <w:vAlign w:val="center"/>
          </w:tcPr>
          <w:p>
            <w:pPr>
              <w:pStyle w:val="TableContents"/>
              <w:bidi w:val="0"/>
              <w:spacing w:before="0" w:after="283"/>
              <w:jc w:val="right"/>
              <w:rPr>
                <w:b/>
              </w:rPr>
            </w:pPr>
            <w:r>
              <w:rPr>
                <w:b/>
              </w:rPr>
              <w:t>1/3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7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49"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b/>
              </w:rPr>
            </w:pPr>
            <w:r>
              <w:rPr>
                <w:b/>
              </w:rPr>
              <w:t>119.69%</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sz w:val="17"/>
              </w:rPr>
            </w:pPr>
            <w:r>
              <w:rPr>
                <w:rFonts w:ascii="Arial" w:hAnsi="Arial"/>
                <w:b/>
                <w:sz w:val="17"/>
              </w:rPr>
              <w:t>FY25 Core Metrics – Year 22</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40" w:type="dxa"/>
            </w:tcMar>
            <w:vAlign w:val="center"/>
          </w:tcPr>
          <w:p>
            <w:pPr>
              <w:pStyle w:val="TableContents"/>
              <w:bidi w:val="0"/>
              <w:spacing w:before="0" w:after="283"/>
              <w:jc w:val="left"/>
              <w:rPr/>
            </w:pPr>
            <w:r>
              <w:rPr/>
              <w:t> </w:t>
            </w:r>
          </w:p>
        </w:tc>
        <w:tc>
          <w:tcPr>
            <w:tcW w:w="650" w:type="dxa"/>
            <w:tcBorders>
              <w:bottom w:val="single" w:sz="6" w:space="0" w:color="0075C9"/>
            </w:tcBorders>
            <w:tcMar>
              <w:bottom w:w="40" w:type="dxa"/>
            </w:tcMar>
            <w:vAlign w:val="center"/>
          </w:tcPr>
          <w:p>
            <w:pPr>
              <w:pStyle w:val="TableContents"/>
              <w:bidi w:val="0"/>
              <w:spacing w:before="0" w:after="283"/>
              <w:jc w:val="right"/>
              <w:rPr>
                <w:b/>
              </w:rPr>
            </w:pPr>
            <w:r>
              <w:rPr>
                <w:b/>
              </w:rPr>
              <w:t>1/3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7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49"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b/>
              </w:rPr>
            </w:pPr>
            <w:r>
              <w:rPr>
                <w:b/>
              </w:rPr>
              <w:t>103.69%</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sz w:val="17"/>
              </w:rPr>
            </w:pPr>
            <w:r>
              <w:rPr>
                <w:rFonts w:ascii="Arial" w:hAnsi="Arial"/>
                <w:b/>
                <w:sz w:val="17"/>
              </w:rPr>
              <w:t>FY26 Core Metrics – Year 33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40" w:type="dxa"/>
            </w:tcMar>
            <w:vAlign w:val="center"/>
          </w:tcPr>
          <w:p>
            <w:pPr>
              <w:pStyle w:val="TableContents"/>
              <w:bidi w:val="0"/>
              <w:spacing w:before="0" w:after="283"/>
              <w:jc w:val="left"/>
              <w:rPr/>
            </w:pPr>
            <w:r>
              <w:rPr/>
              <w:t> </w:t>
            </w:r>
          </w:p>
        </w:tc>
        <w:tc>
          <w:tcPr>
            <w:tcW w:w="650" w:type="dxa"/>
            <w:tcBorders>
              <w:bottom w:val="single" w:sz="6" w:space="0" w:color="0075C9"/>
            </w:tcBorders>
            <w:tcMar>
              <w:bottom w:w="40" w:type="dxa"/>
            </w:tcMar>
            <w:vAlign w:val="center"/>
          </w:tcPr>
          <w:p>
            <w:pPr>
              <w:pStyle w:val="TableContents"/>
              <w:bidi w:val="0"/>
              <w:spacing w:before="0" w:after="283"/>
              <w:jc w:val="right"/>
              <w:rPr>
                <w:b/>
              </w:rPr>
            </w:pPr>
            <w:r>
              <w:rPr>
                <w:b/>
              </w:rPr>
              <w:t>1/3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7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49"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b/>
              </w:rPr>
            </w:pPr>
            <w:r>
              <w:rPr>
                <w:b/>
              </w:rPr>
              <w:t>127.88%</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7"/>
              </w:rPr>
            </w:pPr>
            <w:r>
              <w:rPr>
                <w:rFonts w:ascii="Arial" w:hAnsi="Arial"/>
                <w:b/>
                <w:color w:val="0075C9"/>
                <w:sz w:val="17"/>
              </w:rPr>
              <w:t>Azure and Other Cloud Services Revenue Growth4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40" w:type="dxa"/>
            </w:tcMar>
            <w:vAlign w:val="center"/>
          </w:tcPr>
          <w:p>
            <w:pPr>
              <w:pStyle w:val="TableContents"/>
              <w:bidi w:val="0"/>
              <w:spacing w:before="0" w:after="283"/>
              <w:jc w:val="left"/>
              <w:rPr/>
            </w:pPr>
            <w:r>
              <w:rPr/>
              <w:t> </w:t>
            </w:r>
          </w:p>
        </w:tc>
        <w:tc>
          <w:tcPr>
            <w:tcW w:w="870" w:type="dxa"/>
            <w:tcBorders>
              <w:bottom w:val="single" w:sz="6" w:space="0" w:color="0075C9"/>
            </w:tcBorders>
            <w:tcMar>
              <w:bottom w:w="40" w:type="dxa"/>
            </w:tcMar>
            <w:vAlign w:val="center"/>
          </w:tcPr>
          <w:p>
            <w:pPr>
              <w:pStyle w:val="TableContents"/>
              <w:bidi w:val="0"/>
              <w:spacing w:before="0" w:after="283"/>
              <w:jc w:val="right"/>
              <w:rPr/>
            </w:pPr>
            <w:r>
              <w:rPr/>
              <w:t>35%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27.27%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91" w:type="dxa"/>
            <w:tcBorders>
              <w:bottom w:val="single" w:sz="6" w:space="0" w:color="0075C9"/>
            </w:tcBorders>
            <w:tcMar>
              <w:bottom w:w="40" w:type="dxa"/>
            </w:tcMar>
            <w:vAlign w:val="center"/>
          </w:tcPr>
          <w:p>
            <w:pPr>
              <w:pStyle w:val="TableContents"/>
              <w:bidi w:val="0"/>
              <w:spacing w:before="0" w:after="283"/>
              <w:jc w:val="right"/>
              <w:rPr/>
            </w:pPr>
            <w:r>
              <w:rPr/>
              <w:t>33.97%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40.67%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49" w:type="dxa"/>
            <w:tcBorders>
              <w:bottom w:val="single" w:sz="6" w:space="0" w:color="0075C9"/>
            </w:tcBorders>
            <w:tcMar>
              <w:bottom w:w="40" w:type="dxa"/>
            </w:tcMar>
            <w:vAlign w:val="center"/>
          </w:tcPr>
          <w:p>
            <w:pPr>
              <w:pStyle w:val="TableContents"/>
              <w:bidi w:val="0"/>
              <w:spacing w:before="0" w:after="283"/>
              <w:jc w:val="right"/>
              <w:rPr/>
            </w:pPr>
            <w:r>
              <w:rPr/>
              <w:t>39.69%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pPr>
            <w:r>
              <w:rPr/>
              <w:t>185.37%</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7"/>
              </w:rPr>
            </w:pPr>
            <w:r>
              <w:rPr>
                <w:rFonts w:ascii="Arial" w:hAnsi="Arial"/>
                <w:b/>
                <w:color w:val="0075C9"/>
                <w:sz w:val="17"/>
              </w:rPr>
              <w:t>Microsoft Cloud Revenue Growth, excluding Azure and Other Cloud Services5</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40" w:type="dxa"/>
            </w:tcMar>
            <w:vAlign w:val="center"/>
          </w:tcPr>
          <w:p>
            <w:pPr>
              <w:pStyle w:val="TableContents"/>
              <w:bidi w:val="0"/>
              <w:spacing w:before="0" w:after="283"/>
              <w:jc w:val="left"/>
              <w:rPr/>
            </w:pPr>
            <w:r>
              <w:rPr/>
              <w:t> </w:t>
            </w:r>
          </w:p>
        </w:tc>
        <w:tc>
          <w:tcPr>
            <w:tcW w:w="870" w:type="dxa"/>
            <w:tcBorders>
              <w:bottom w:val="single" w:sz="6" w:space="0" w:color="0075C9"/>
            </w:tcBorders>
            <w:tcMar>
              <w:bottom w:w="40" w:type="dxa"/>
            </w:tcMar>
            <w:vAlign w:val="center"/>
          </w:tcPr>
          <w:p>
            <w:pPr>
              <w:pStyle w:val="TableContents"/>
              <w:bidi w:val="0"/>
              <w:spacing w:before="0" w:after="283"/>
              <w:jc w:val="right"/>
              <w:rPr/>
            </w:pPr>
            <w:r>
              <w:rPr/>
              <w:t>35%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7.10%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91" w:type="dxa"/>
            <w:tcBorders>
              <w:bottom w:val="single" w:sz="6" w:space="0" w:color="0075C9"/>
            </w:tcBorders>
            <w:tcMar>
              <w:bottom w:w="40" w:type="dxa"/>
            </w:tcMar>
            <w:vAlign w:val="center"/>
          </w:tcPr>
          <w:p>
            <w:pPr>
              <w:pStyle w:val="TableContents"/>
              <w:bidi w:val="0"/>
              <w:spacing w:before="0" w:after="283"/>
              <w:jc w:val="right"/>
              <w:rPr/>
            </w:pPr>
            <w:r>
              <w:rPr/>
              <w:t>12.73%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18.37%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49" w:type="dxa"/>
            <w:tcBorders>
              <w:bottom w:val="single" w:sz="6" w:space="0" w:color="0075C9"/>
            </w:tcBorders>
            <w:tcMar>
              <w:bottom w:w="40" w:type="dxa"/>
            </w:tcMar>
            <w:vAlign w:val="center"/>
          </w:tcPr>
          <w:p>
            <w:pPr>
              <w:pStyle w:val="TableContents"/>
              <w:bidi w:val="0"/>
              <w:spacing w:before="0" w:after="283"/>
              <w:jc w:val="right"/>
              <w:rPr/>
            </w:pPr>
            <w:r>
              <w:rPr/>
              <w:t>13.20%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pPr>
            <w:r>
              <w:rPr/>
              <w:t>108.33%</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7"/>
              </w:rPr>
            </w:pPr>
            <w:r>
              <w:rPr>
                <w:rFonts w:ascii="Arial" w:hAnsi="Arial"/>
                <w:b/>
                <w:color w:val="0075C9"/>
                <w:sz w:val="17"/>
              </w:rPr>
              <w:t>Consumer Services Revenue Growth6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00" w:type="dxa"/>
            <w:tcBorders>
              <w:bottom w:val="single" w:sz="6" w:space="0" w:color="0075C9"/>
            </w:tcBorders>
            <w:tcMar>
              <w:bottom w:w="40" w:type="dxa"/>
            </w:tcMar>
            <w:vAlign w:val="center"/>
          </w:tcPr>
          <w:p>
            <w:pPr>
              <w:pStyle w:val="TableContents"/>
              <w:bidi w:val="0"/>
              <w:spacing w:before="0" w:after="283"/>
              <w:jc w:val="left"/>
              <w:rPr/>
            </w:pPr>
            <w:r>
              <w:rPr/>
              <w:t> </w:t>
            </w:r>
          </w:p>
        </w:tc>
        <w:tc>
          <w:tcPr>
            <w:tcW w:w="870" w:type="dxa"/>
            <w:tcBorders>
              <w:bottom w:val="single" w:sz="6" w:space="0" w:color="0075C9"/>
            </w:tcBorders>
            <w:tcMar>
              <w:bottom w:w="40" w:type="dxa"/>
            </w:tcMar>
            <w:vAlign w:val="center"/>
          </w:tcPr>
          <w:p>
            <w:pPr>
              <w:pStyle w:val="TableContents"/>
              <w:bidi w:val="0"/>
              <w:spacing w:before="0" w:after="283"/>
              <w:jc w:val="right"/>
              <w:rPr/>
            </w:pPr>
            <w:r>
              <w:rPr/>
              <w:t>15%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2.39%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91" w:type="dxa"/>
            <w:tcBorders>
              <w:bottom w:val="single" w:sz="6" w:space="0" w:color="0075C9"/>
            </w:tcBorders>
            <w:tcMar>
              <w:bottom w:w="40" w:type="dxa"/>
            </w:tcMar>
            <w:vAlign w:val="center"/>
          </w:tcPr>
          <w:p>
            <w:pPr>
              <w:pStyle w:val="TableContents"/>
              <w:bidi w:val="0"/>
              <w:spacing w:before="0" w:after="283"/>
              <w:jc w:val="right"/>
              <w:rPr/>
            </w:pPr>
            <w:r>
              <w:rPr/>
              <w:t>13.77%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3" w:type="dxa"/>
            <w:tcBorders>
              <w:bottom w:val="single" w:sz="6" w:space="0" w:color="0075C9"/>
            </w:tcBorders>
            <w:tcMar>
              <w:bottom w:w="40" w:type="dxa"/>
            </w:tcMar>
            <w:vAlign w:val="center"/>
          </w:tcPr>
          <w:p>
            <w:pPr>
              <w:pStyle w:val="TableContents"/>
              <w:bidi w:val="0"/>
              <w:spacing w:before="0" w:after="283"/>
              <w:jc w:val="left"/>
              <w:rPr/>
            </w:pPr>
            <w:r>
              <w:rPr/>
              <w:t> </w:t>
            </w:r>
          </w:p>
        </w:tc>
        <w:tc>
          <w:tcPr>
            <w:tcW w:w="967" w:type="dxa"/>
            <w:tcBorders>
              <w:bottom w:val="single" w:sz="6" w:space="0" w:color="0075C9"/>
            </w:tcBorders>
            <w:tcMar>
              <w:bottom w:w="40" w:type="dxa"/>
            </w:tcMar>
            <w:vAlign w:val="center"/>
          </w:tcPr>
          <w:p>
            <w:pPr>
              <w:pStyle w:val="TableContents"/>
              <w:bidi w:val="0"/>
              <w:spacing w:before="0" w:after="283"/>
              <w:jc w:val="right"/>
              <w:rPr/>
            </w:pPr>
            <w:r>
              <w:rPr/>
              <w:t>25.14%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49" w:type="dxa"/>
            <w:tcBorders>
              <w:bottom w:val="single" w:sz="6" w:space="0" w:color="0075C9"/>
            </w:tcBorders>
            <w:tcMar>
              <w:bottom w:w="40" w:type="dxa"/>
            </w:tcMar>
            <w:vAlign w:val="center"/>
          </w:tcPr>
          <w:p>
            <w:pPr>
              <w:pStyle w:val="TableContents"/>
              <w:bidi w:val="0"/>
              <w:spacing w:before="0" w:after="283"/>
              <w:jc w:val="right"/>
              <w:rPr/>
            </w:pPr>
            <w:r>
              <w:rPr/>
              <w:t>15.66%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75" w:type="dxa"/>
            <w:tcBorders>
              <w:bottom w:val="single" w:sz="6" w:space="0" w:color="0075C9"/>
            </w:tcBorders>
            <w:tcMar>
              <w:bottom w:w="40" w:type="dxa"/>
            </w:tcMar>
            <w:vAlign w:val="center"/>
          </w:tcPr>
          <w:p>
            <w:pPr>
              <w:pStyle w:val="TableContents"/>
              <w:bidi w:val="0"/>
              <w:spacing w:before="0" w:after="283"/>
              <w:jc w:val="right"/>
              <w:rPr/>
            </w:pPr>
            <w:r>
              <w:rPr/>
              <w:t>116.62%</w:t>
            </w:r>
          </w:p>
        </w:tc>
        <w:tc>
          <w:tcPr>
            <w:tcW w:w="77"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2998" w:type="dxa"/>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829" w:type="dxa"/>
            <w:gridSpan w:val="4"/>
            <w:tcBorders/>
            <w:vAlign w:val="center"/>
          </w:tcPr>
          <w:p>
            <w:pPr>
              <w:pStyle w:val="TableContents"/>
              <w:bidi w:val="0"/>
              <w:spacing w:before="0" w:after="283"/>
              <w:jc w:val="left"/>
              <w:rPr>
                <w:sz w:val="4"/>
                <w:szCs w:val="4"/>
              </w:rPr>
            </w:pPr>
            <w:r>
              <w:rPr>
                <w:sz w:val="4"/>
                <w:szCs w:val="4"/>
              </w:rPr>
            </w:r>
          </w:p>
        </w:tc>
        <w:tc>
          <w:tcPr>
            <w:tcW w:w="972" w:type="dxa"/>
            <w:gridSpan w:val="4"/>
            <w:tcBorders/>
            <w:vAlign w:val="center"/>
          </w:tcPr>
          <w:p>
            <w:pPr>
              <w:pStyle w:val="TableContents"/>
              <w:bidi w:val="0"/>
              <w:spacing w:before="0" w:after="283"/>
              <w:jc w:val="left"/>
              <w:rPr>
                <w:sz w:val="4"/>
                <w:szCs w:val="4"/>
              </w:rPr>
            </w:pPr>
            <w:r>
              <w:rPr>
                <w:sz w:val="4"/>
                <w:szCs w:val="4"/>
              </w:rPr>
            </w:r>
          </w:p>
        </w:tc>
      </w:tr>
      <w:tr>
        <w:trPr/>
        <w:tc>
          <w:tcPr>
            <w:tcW w:w="2998" w:type="dxa"/>
            <w:tcBorders/>
            <w:vAlign w:val="center"/>
          </w:tcPr>
          <w:p>
            <w:pPr>
              <w:pStyle w:val="TableContents"/>
              <w:bidi w:val="0"/>
              <w:spacing w:before="0" w:after="0"/>
              <w:jc w:val="left"/>
              <w:rPr>
                <w:rFonts w:ascii="Arial" w:hAnsi="Arial"/>
                <w:b/>
                <w:color w:val="0075C9"/>
                <w:sz w:val="17"/>
              </w:rPr>
            </w:pPr>
            <w:r>
              <w:rPr>
                <w:rFonts w:ascii="Arial" w:hAnsi="Arial"/>
                <w:b/>
                <w:color w:val="0075C9"/>
                <w:sz w:val="17"/>
              </w:rPr>
              <w:t>XBOX Content and Services Revenue Growth7</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(6.15)%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4.28%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14.71%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right"/>
              <w:rPr/>
            </w:pPr>
            <w:r>
              <w:rPr/>
              <w:t>(6.03)%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right"/>
              <w:rPr/>
            </w:pPr>
            <w:r>
              <w:rPr/>
              <w:t>50.58%</w:t>
            </w:r>
          </w:p>
        </w:tc>
        <w:tc>
          <w:tcPr>
            <w:tcW w:w="77" w:type="dxa"/>
            <w:tcBorders/>
            <w:vAlign w:val="center"/>
          </w:tcPr>
          <w:p>
            <w:pPr>
              <w:pStyle w:val="TableContents"/>
              <w:bidi w:val="0"/>
              <w:spacing w:before="0" w:after="283"/>
              <w:jc w:val="left"/>
              <w:rPr/>
            </w:pPr>
            <w:r>
              <w:rPr/>
              <w:t> </w:t>
            </w:r>
          </w:p>
        </w:tc>
      </w:tr>
      <w:tr>
        <w:trPr/>
        <w:tc>
          <w:tcPr>
            <w:tcW w:w="7214" w:type="dxa"/>
            <w:gridSpan w:val="17"/>
            <w:tcBorders>
              <w:top w:val="single" w:sz="8" w:space="0" w:color="0075C9"/>
              <w:left w:val="single" w:sz="8" w:space="0" w:color="0075C9"/>
            </w:tcBorders>
            <w:tcMar>
              <w:top w:w="28" w:type="dxa"/>
              <w:left w:w="160" w:type="dxa"/>
            </w:tcMar>
            <w:vAlign w:val="center"/>
          </w:tcPr>
          <w:p>
            <w:pPr>
              <w:pStyle w:val="TableContents"/>
              <w:bidi w:val="0"/>
              <w:spacing w:before="0" w:after="283"/>
              <w:jc w:val="left"/>
              <w:rPr/>
            </w:pPr>
            <w:r>
              <w:rPr/>
              <w:t> </w:t>
            </w:r>
          </w:p>
        </w:tc>
        <w:tc>
          <w:tcPr>
            <w:tcW w:w="1190" w:type="dxa"/>
            <w:gridSpan w:val="4"/>
            <w:tcBorders>
              <w:top w:val="single" w:sz="8" w:space="0" w:color="0075C9"/>
            </w:tcBorders>
            <w:tcMar>
              <w:top w:w="28" w:type="dxa"/>
            </w:tcMar>
            <w:vAlign w:val="center"/>
          </w:tcPr>
          <w:p>
            <w:pPr>
              <w:pStyle w:val="TableContents"/>
              <w:bidi w:val="0"/>
              <w:spacing w:before="0" w:after="283"/>
              <w:jc w:val="left"/>
              <w:rPr/>
            </w:pPr>
            <w:r>
              <w:rPr/>
              <w:t> </w:t>
            </w:r>
          </w:p>
        </w:tc>
        <w:tc>
          <w:tcPr>
            <w:tcW w:w="829" w:type="dxa"/>
            <w:gridSpan w:val="4"/>
            <w:tcBorders>
              <w:top w:val="single" w:sz="8" w:space="0" w:color="0075C9"/>
            </w:tcBorders>
            <w:tcMar>
              <w:top w:w="28" w:type="dxa"/>
            </w:tcMar>
            <w:vAlign w:val="center"/>
          </w:tcPr>
          <w:p>
            <w:pPr>
              <w:pStyle w:val="TableContents"/>
              <w:bidi w:val="0"/>
              <w:spacing w:before="0" w:after="283"/>
              <w:jc w:val="left"/>
              <w:rPr/>
            </w:pPr>
            <w:r>
              <w:rPr/>
              <w:t> </w:t>
            </w:r>
          </w:p>
        </w:tc>
        <w:tc>
          <w:tcPr>
            <w:tcW w:w="972" w:type="dxa"/>
            <w:gridSpan w:val="4"/>
            <w:tcBorders>
              <w:top w:val="single" w:sz="8" w:space="0" w:color="0075C9"/>
              <w:right w:val="single" w:sz="8" w:space="0" w:color="0075C9"/>
            </w:tcBorders>
            <w:tcMar>
              <w:top w:w="28" w:type="dxa"/>
              <w:right w:w="28" w:type="dxa"/>
            </w:tcMar>
            <w:vAlign w:val="center"/>
          </w:tcPr>
          <w:p>
            <w:pPr>
              <w:pStyle w:val="TableContents"/>
              <w:bidi w:val="0"/>
              <w:spacing w:before="0" w:after="283"/>
              <w:jc w:val="left"/>
              <w:rPr/>
            </w:pPr>
            <w:r>
              <w:rPr/>
              <w:t> </w:t>
            </w:r>
          </w:p>
        </w:tc>
      </w:tr>
      <w:tr>
        <w:trPr/>
        <w:tc>
          <w:tcPr>
            <w:tcW w:w="7154" w:type="dxa"/>
            <w:gridSpan w:val="16"/>
            <w:tcBorders>
              <w:left w:val="single" w:sz="8" w:space="0" w:color="0075C9"/>
              <w:bottom w:val="single" w:sz="8" w:space="0" w:color="0075C9"/>
            </w:tcBorders>
            <w:tcMar>
              <w:left w:w="160" w:type="dxa"/>
              <w:bottom w:w="40" w:type="dxa"/>
            </w:tcMar>
            <w:vAlign w:val="center"/>
          </w:tcPr>
          <w:p>
            <w:pPr>
              <w:pStyle w:val="TableContents"/>
              <w:bidi w:val="0"/>
              <w:spacing w:before="0" w:after="0"/>
              <w:jc w:val="left"/>
              <w:rPr>
                <w:rFonts w:ascii="Arial" w:hAnsi="Arial"/>
                <w:b/>
                <w:sz w:val="17"/>
              </w:rPr>
            </w:pPr>
            <w:r>
              <w:rPr>
                <w:rFonts w:ascii="Arial" w:hAnsi="Arial"/>
                <w:b/>
                <w:sz w:val="17"/>
              </w:rPr>
              <w:t>FY24 PSA 3-Year Average Payout</w:t>
            </w:r>
          </w:p>
        </w:tc>
        <w:tc>
          <w:tcPr>
            <w:tcW w:w="60" w:type="dxa"/>
            <w:tcBorders>
              <w:bottom w:val="single" w:sz="8" w:space="0" w:color="0075C9"/>
            </w:tcBorders>
            <w:tcMar>
              <w:bottom w:w="40" w:type="dxa"/>
            </w:tcMar>
            <w:vAlign w:val="center"/>
          </w:tcPr>
          <w:p>
            <w:pPr>
              <w:pStyle w:val="TableContents"/>
              <w:bidi w:val="0"/>
              <w:spacing w:before="0" w:after="0"/>
              <w:jc w:val="left"/>
              <w:rPr/>
            </w:pPr>
            <w:r>
              <w:rPr/>
              <w:t> </w:t>
            </w:r>
          </w:p>
        </w:tc>
        <w:tc>
          <w:tcPr>
            <w:tcW w:w="60" w:type="dxa"/>
            <w:tcBorders>
              <w:bottom w:val="single" w:sz="8" w:space="0" w:color="0075C9"/>
            </w:tcBorders>
            <w:tcMar>
              <w:bottom w:w="28" w:type="dxa"/>
            </w:tcMar>
            <w:vAlign w:val="center"/>
          </w:tcPr>
          <w:p>
            <w:pPr>
              <w:pStyle w:val="TableContents"/>
              <w:bidi w:val="0"/>
              <w:spacing w:before="0" w:after="283"/>
              <w:jc w:val="left"/>
              <w:rPr/>
            </w:pPr>
            <w:r>
              <w:rPr/>
              <w:t> </w:t>
            </w:r>
          </w:p>
        </w:tc>
        <w:tc>
          <w:tcPr>
            <w:tcW w:w="103"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67"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75C9"/>
            </w:tcBorders>
            <w:tcMar>
              <w:bottom w:w="28" w:type="dxa"/>
            </w:tcMar>
            <w:vAlign w:val="center"/>
          </w:tcPr>
          <w:p>
            <w:pPr>
              <w:pStyle w:val="TableContents"/>
              <w:bidi w:val="0"/>
              <w:spacing w:before="0" w:after="283"/>
              <w:jc w:val="left"/>
              <w:rPr/>
            </w:pPr>
            <w:r>
              <w:rPr/>
              <w:t> </w:t>
            </w:r>
          </w:p>
        </w:tc>
        <w:tc>
          <w:tcPr>
            <w:tcW w:w="60"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49"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0075C9"/>
            </w:tcBorders>
            <w:tcMar>
              <w:bottom w:w="28" w:type="dxa"/>
            </w:tcMar>
            <w:vAlign w:val="center"/>
          </w:tcPr>
          <w:p>
            <w:pPr>
              <w:pStyle w:val="TableContents"/>
              <w:bidi w:val="0"/>
              <w:spacing w:before="0" w:after="283"/>
              <w:jc w:val="left"/>
              <w:rPr/>
            </w:pPr>
            <w:r>
              <w:rPr/>
              <w:t> </w:t>
            </w:r>
          </w:p>
        </w:tc>
        <w:tc>
          <w:tcPr>
            <w:tcW w:w="60" w:type="dxa"/>
            <w:tcBorders>
              <w:bottom w:val="single" w:sz="8" w:space="0" w:color="0075C9"/>
            </w:tcBorders>
            <w:tcMar>
              <w:bottom w:w="40" w:type="dxa"/>
            </w:tcMar>
            <w:vAlign w:val="center"/>
          </w:tcPr>
          <w:p>
            <w:pPr>
              <w:pStyle w:val="TableContents"/>
              <w:bidi w:val="0"/>
              <w:spacing w:before="0" w:after="283"/>
              <w:jc w:val="left"/>
              <w:rPr/>
            </w:pPr>
            <w:r>
              <w:rPr/>
              <w:t> </w:t>
            </w:r>
          </w:p>
        </w:tc>
        <w:tc>
          <w:tcPr>
            <w:tcW w:w="775" w:type="dxa"/>
            <w:tcBorders>
              <w:bottom w:val="single" w:sz="8" w:space="0" w:color="0075C9"/>
            </w:tcBorders>
            <w:tcMar>
              <w:bottom w:w="40" w:type="dxa"/>
            </w:tcMar>
            <w:vAlign w:val="center"/>
          </w:tcPr>
          <w:p>
            <w:pPr>
              <w:pStyle w:val="TableContents"/>
              <w:bidi w:val="0"/>
              <w:spacing w:before="0" w:after="283"/>
              <w:jc w:val="right"/>
              <w:rPr>
                <w:b/>
                <w:sz w:val="17"/>
              </w:rPr>
            </w:pPr>
            <w:r>
              <w:rPr>
                <w:b/>
                <w:sz w:val="17"/>
              </w:rPr>
              <w:t>117.09%</w:t>
            </w:r>
          </w:p>
        </w:tc>
        <w:tc>
          <w:tcPr>
            <w:tcW w:w="77" w:type="dxa"/>
            <w:tcBorders>
              <w:bottom w:val="single" w:sz="8" w:space="0" w:color="0075C9"/>
              <w:right w:val="single" w:sz="8" w:space="0" w:color="0075C9"/>
            </w:tcBorders>
            <w:tcMar>
              <w:bottom w:w="40"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Arial" w:hAnsi="Arial"/>
                <w:sz w:val="14"/>
              </w:rPr>
            </w:pPr>
            <w:r>
              <w:rPr>
                <w:rFonts w:ascii="Arial" w:hAnsi="Arial"/>
                <w:sz w:val="14"/>
              </w:rPr>
              <w:t xml:space="preserve">Fiscal Year 2024 Core Metric results related to Azure and Other Cloud Services Revenue Growth (weighted at 35%) with a resulting payout of 146.64%, Microsoft Cloud Revenue Growth, excluding Azure and Other Cloud Services (weighted at 35%) with a resulting payout of 104.72%, Search and News Advertising Revenue (ex TAC) Growth (weighted at 10%) with a resulting payout of 108.21%, XBOX Content and Services Revenue Growth (weighted at 10%) with a resulting payout of 84.56%, and LinkedIn Sessions (weighted at 10%) with a resulting payout of 124.39%.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Arial" w:hAnsi="Arial"/>
                <w:sz w:val="14"/>
              </w:rPr>
            </w:pPr>
            <w:r>
              <w:rPr>
                <w:rFonts w:ascii="Arial" w:hAnsi="Arial"/>
                <w:sz w:val="14"/>
              </w:rPr>
              <w:t xml:space="preserve">Fiscal Year 2025 Core Metric results related to Azure and Other Cloud Services Revenue Growth (weighted at 35%) with a resulting payout of 85.52%, Microsoft Cloud Revenue Growth, excluding Azure and Other Cloud Services (weighted at 35%) with a resulting payout of 106.20%, Consumer Services Revenue Growth (weighted at 15%) with a resulting payout of 140.50%, XBOX Content and Services Revenue Growth (weighted at 15%) with a resulting payout of 103.38%.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pPr>
            <w:r>
              <w:rPr/>
              <w:t>“</w:t>
            </w:r>
            <w:r>
              <w:rPr>
                <w:rFonts w:ascii="Arial" w:hAnsi="Arial"/>
                <w:sz w:val="14"/>
              </w:rPr>
              <w:t xml:space="preserve">Azure and Other Cloud Services Revenue Growth”, “Microsoft Cloud Revenue Growth, excluding Azure and Other Cloud Services”, “Consumer Services Revenue Growth”, and “XBOX Content and Services Revenue Growth”, when used as PSA metrics in this Compensation Discussion and Analysis are non-GAAP financial measures. For each of these measures, we exclude the effect of foreign currency rate fluctuations on a “constant dollar” basis by converting current period non-GAAP results for entities reporting in currencies other than U.S. dollars into U.S. dollars using constant exchange rates, which are determined at the outset of the fiscal year, rather than the actual exchange rates in effect during the respective periods. These financial metrics differ from the non-GAAP financial results we report in our quarterly earnings release materials. They should not be considered as a substitute for, or superior to, the measures of financial performance prepared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Arial" w:hAnsi="Arial"/>
                <w:sz w:val="14"/>
              </w:rPr>
            </w:pPr>
            <w:r>
              <w:rPr>
                <w:rFonts w:ascii="Arial" w:hAnsi="Arial"/>
                <w:sz w:val="14"/>
              </w:rPr>
              <w:t xml:space="preserve">We calculate Azure and Other Cloud Services Revenue Growth by adjusting as reported Azure and Other Cloud Services Revenue Growth calculated in accordance with GAAP for the effect of foreign currency rate fluctuations. The impact of this adjustment was (1.02) pts.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(5)</w:t>
            </w:r>
          </w:p>
        </w:tc>
        <w:tc>
          <w:tcPr>
            <w:tcW w:w="9940" w:type="dxa"/>
            <w:tcBorders/>
            <w:vAlign w:val="center"/>
          </w:tcPr>
          <w:p>
            <w:pPr>
              <w:pStyle w:val="TableContents"/>
              <w:bidi w:val="0"/>
              <w:spacing w:before="0" w:after="0"/>
              <w:jc w:val="left"/>
              <w:rPr>
                <w:rFonts w:ascii="Arial" w:hAnsi="Arial"/>
                <w:sz w:val="14"/>
              </w:rPr>
            </w:pPr>
            <w:r>
              <w:rPr>
                <w:rFonts w:ascii="Arial" w:hAnsi="Arial"/>
                <w:sz w:val="14"/>
              </w:rPr>
              <w:t xml:space="preserve">We calculate Microsoft Cloud Revenue Growth, excluding Azure and Other Cloud Services by adjusting as reported Microsoft Cloud Revenue Growth, excluding Azure and Other Cloud Services calculated in accordance with GAAP for the effect of foreign currency rate fluctuations. The impact of this adjustment was (2.59) pts.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(6)</w:t>
            </w:r>
          </w:p>
        </w:tc>
        <w:tc>
          <w:tcPr>
            <w:tcW w:w="9929" w:type="dxa"/>
            <w:tcBorders/>
            <w:vAlign w:val="center"/>
          </w:tcPr>
          <w:p>
            <w:pPr>
              <w:pStyle w:val="TableContents"/>
              <w:bidi w:val="0"/>
              <w:spacing w:before="0" w:after="0"/>
              <w:jc w:val="left"/>
              <w:rPr>
                <w:rFonts w:ascii="Arial" w:hAnsi="Arial"/>
                <w:sz w:val="14"/>
              </w:rPr>
            </w:pPr>
            <w:r>
              <w:rPr>
                <w:rFonts w:ascii="Arial" w:hAnsi="Arial"/>
                <w:sz w:val="14"/>
              </w:rPr>
              <w:t xml:space="preserve">We calculate Consumer Services Revenue Growth by adjusting as reported Consumer Services Revenue Growth calculated in accordance with GAAP the effect of foreign currency rate fluctuations. The net impact of this adjustment was (1.96) pts.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(7)</w:t>
            </w:r>
          </w:p>
        </w:tc>
        <w:tc>
          <w:tcPr>
            <w:tcW w:w="9932" w:type="dxa"/>
            <w:tcBorders/>
            <w:vAlign w:val="center"/>
          </w:tcPr>
          <w:p>
            <w:pPr>
              <w:pStyle w:val="TableContents"/>
              <w:bidi w:val="0"/>
              <w:spacing w:before="0" w:after="0"/>
              <w:jc w:val="left"/>
              <w:rPr>
                <w:rFonts w:ascii="Arial" w:hAnsi="Arial"/>
                <w:sz w:val="14"/>
              </w:rPr>
            </w:pPr>
            <w:r>
              <w:rPr>
                <w:rFonts w:ascii="Arial" w:hAnsi="Arial"/>
                <w:sz w:val="14"/>
              </w:rPr>
              <w:t xml:space="preserve">We calculate XBOX Content and Services Revenue Growth by adjusting as reported XBOX Content and Services Revenue Growth calculated in accordance with GAAP for the effect of foreign currency rate fluctuations. The net impact of this adjustment was (1.14) pts. </w:t>
            </w:r>
          </w:p>
        </w:tc>
      </w:tr>
    </w:tbl>
    <w:p>
      <w:pPr>
        <w:pStyle w:val="TextBody"/>
        <w:bidi w:val="0"/>
        <w:spacing w:before="0" w:after="0"/>
        <w:jc w:val="left"/>
        <w:rPr/>
      </w:pPr>
      <w:r>
        <w:rPr/>
        <w:t> </w:t>
      </w:r>
    </w:p>
    <w:p>
      <w:pPr>
        <w:pStyle w:val="TextBody"/>
        <w:bidi w:val="0"/>
        <w:spacing w:before="0" w:after="0"/>
        <w:jc w:val="left"/>
        <w:rPr/>
      </w:pPr>
      <w:r>
        <w:rPr/>
        <w:t> </w:t>
      </w:r>
    </w:p>
    <w:tbl>
      <w:tblPr>
        <w:tblW w:w="1354" w:type="dxa"/>
        <w:jc w:val="left"/>
        <w:tblInd w:w="0" w:type="dxa"/>
        <w:tblLayout w:type="fixed"/>
        <w:tblCellMar>
          <w:top w:w="0" w:type="dxa"/>
          <w:left w:w="0" w:type="dxa"/>
          <w:bottom w:w="0" w:type="dxa"/>
          <w:right w:w="0" w:type="dxa"/>
        </w:tblCellMar>
      </w:tblPr>
      <w:tblGrid>
        <w:gridCol w:w="275"/>
        <w:gridCol w:w="120"/>
        <w:gridCol w:w="959"/>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46</w:t>
            </w:r>
          </w:p>
        </w:tc>
        <w:tc>
          <w:tcPr>
            <w:tcW w:w="12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0"/>
              <w:jc w:val="left"/>
              <w:rPr/>
            </w:pPr>
            <w:r>
              <w:rPr/>
              <w:drawing>
                <wp:inline distT="0" distB="0" distL="0" distR="0">
                  <wp:extent cx="561340" cy="115570"/>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5"/>
                          <a:stretch>
                            <a:fillRect/>
                          </a:stretch>
                        </pic:blipFill>
                        <pic:spPr bwMode="auto">
                          <a:xfrm>
                            <a:off x="0" y="0"/>
                            <a:ext cx="561340" cy="115570"/>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Relative TSR Modifier </w:t>
      </w:r>
    </w:p>
    <w:p>
      <w:pPr>
        <w:pStyle w:val="TextBody"/>
        <w:bidi w:val="0"/>
        <w:spacing w:before="120" w:after="0"/>
        <w:jc w:val="left"/>
        <w:rPr>
          <w:rFonts w:ascii="Arial" w:hAnsi="Arial"/>
          <w:sz w:val="18"/>
        </w:rPr>
      </w:pPr>
      <w:r>
        <w:rPr>
          <w:rFonts w:ascii="Arial" w:hAnsi="Arial"/>
          <w:sz w:val="18"/>
        </w:rPr>
        <w:t xml:space="preserve">The core metric results for the fiscal year 2024 PSAs were then subject to adjustment based on the relative TSR performance modifier, which compares our TSR for the three-fiscal year performance period to the TSR of the S&amp;P 500. Our absolute TSR for the performance period satisfied the PSA payout requirement that TSR be positive. Our TSR relative to the S&amp;P 500 was at the 46th percentile of the S&amp;P 500, which meets the at least 40th percentile performance condition required to receive the 100.00% multiplier. </w:t>
      </w:r>
    </w:p>
    <w:p>
      <w:pPr>
        <w:pStyle w:val="TextBody"/>
        <w:bidi w:val="0"/>
        <w:spacing w:before="0" w:after="0"/>
        <w:jc w:val="left"/>
        <w:rPr/>
      </w:pPr>
      <w:r>
        <w:rPr/>
        <w:t> </w:t>
      </w:r>
    </w:p>
    <w:tbl>
      <w:tblPr>
        <w:tblW w:w="8735" w:type="dxa"/>
        <w:jc w:val="left"/>
        <w:tblInd w:w="0" w:type="dxa"/>
        <w:tblLayout w:type="fixed"/>
        <w:tblCellMar>
          <w:top w:w="0" w:type="dxa"/>
          <w:left w:w="0" w:type="dxa"/>
          <w:bottom w:w="0" w:type="dxa"/>
          <w:right w:w="0" w:type="dxa"/>
        </w:tblCellMar>
      </w:tblPr>
      <w:tblGrid>
        <w:gridCol w:w="1520"/>
        <w:gridCol w:w="120"/>
        <w:gridCol w:w="60"/>
        <w:gridCol w:w="2750"/>
        <w:gridCol w:w="60"/>
        <w:gridCol w:w="120"/>
        <w:gridCol w:w="88"/>
        <w:gridCol w:w="2077"/>
        <w:gridCol w:w="60"/>
        <w:gridCol w:w="120"/>
        <w:gridCol w:w="136"/>
        <w:gridCol w:w="1549"/>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Peer Group Index</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81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FY24 PSA</w:t>
            </w:r>
          </w:p>
          <w:p>
            <w:pPr>
              <w:pStyle w:val="TableContents"/>
              <w:bidi w:val="0"/>
              <w:spacing w:before="0" w:after="20"/>
              <w:jc w:val="right"/>
              <w:rPr>
                <w:rFonts w:ascii="Arial" w:hAnsi="Arial"/>
                <w:b/>
                <w:sz w:val="18"/>
              </w:rPr>
            </w:pPr>
            <w:r>
              <w:rPr>
                <w:rFonts w:ascii="Arial" w:hAnsi="Arial"/>
                <w:b/>
                <w:sz w:val="18"/>
              </w:rPr>
              <w:t>Performance Period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16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Relative</w:t>
            </w:r>
          </w:p>
          <w:p>
            <w:pPr>
              <w:pStyle w:val="TableContents"/>
              <w:bidi w:val="0"/>
              <w:spacing w:before="0" w:after="20"/>
              <w:jc w:val="right"/>
              <w:rPr>
                <w:rFonts w:ascii="Arial" w:hAnsi="Arial"/>
                <w:b/>
                <w:sz w:val="18"/>
              </w:rPr>
            </w:pPr>
            <w:r>
              <w:rPr>
                <w:rFonts w:ascii="Arial" w:hAnsi="Arial"/>
                <w:b/>
                <w:sz w:val="18"/>
              </w:rPr>
              <w:t>Total Shareholder Return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5" w:type="dxa"/>
            <w:gridSpan w:val="2"/>
            <w:tcBorders>
              <w:bottom w:val="single" w:sz="8" w:space="0" w:color="000000"/>
            </w:tcBorders>
            <w:tcMar>
              <w:bottom w:w="40" w:type="dxa"/>
            </w:tcMar>
            <w:vAlign w:val="center"/>
          </w:tcPr>
          <w:p>
            <w:pPr>
              <w:pStyle w:val="TableContents"/>
              <w:bidi w:val="0"/>
              <w:spacing w:before="0" w:after="283"/>
              <w:jc w:val="right"/>
              <w:rPr>
                <w:b/>
              </w:rPr>
            </w:pPr>
            <w:r>
              <w:rPr>
                <w:b/>
              </w:rPr>
              <w:t>Modifier Payout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990" w:type="dxa"/>
            <w:gridSpan w:val="4"/>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S&amp;P 500</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750" w:type="dxa"/>
            <w:tcBorders>
              <w:bottom w:val="single" w:sz="6" w:space="0" w:color="0075C9"/>
            </w:tcBorders>
            <w:tcMar>
              <w:bottom w:w="40" w:type="dxa"/>
            </w:tcMar>
            <w:vAlign w:val="center"/>
          </w:tcPr>
          <w:p>
            <w:pPr>
              <w:pStyle w:val="TableContents"/>
              <w:bidi w:val="0"/>
              <w:spacing w:before="0" w:after="283"/>
              <w:jc w:val="right"/>
              <w:rPr/>
            </w:pPr>
            <w:r>
              <w:rPr/>
              <w:t>July 1, 2023 – June 30, 2026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2077" w:type="dxa"/>
            <w:tcBorders>
              <w:bottom w:val="single" w:sz="6" w:space="0" w:color="0075C9"/>
            </w:tcBorders>
            <w:tcMar>
              <w:bottom w:w="40" w:type="dxa"/>
            </w:tcMar>
            <w:vAlign w:val="center"/>
          </w:tcPr>
          <w:p>
            <w:pPr>
              <w:pStyle w:val="TableContents"/>
              <w:bidi w:val="0"/>
              <w:spacing w:before="0" w:after="283"/>
              <w:jc w:val="right"/>
              <w:rPr/>
            </w:pPr>
            <w:r>
              <w:rPr/>
              <w:t>46th percentile</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6" w:type="dxa"/>
            <w:tcBorders>
              <w:bottom w:val="single" w:sz="6" w:space="0" w:color="0075C9"/>
            </w:tcBorders>
            <w:tcMar>
              <w:bottom w:w="40" w:type="dxa"/>
            </w:tcMar>
            <w:vAlign w:val="center"/>
          </w:tcPr>
          <w:p>
            <w:pPr>
              <w:pStyle w:val="TableContents"/>
              <w:bidi w:val="0"/>
              <w:spacing w:before="0" w:after="283"/>
              <w:jc w:val="left"/>
              <w:rPr/>
            </w:pPr>
            <w:r>
              <w:rPr/>
              <w:t> </w:t>
            </w:r>
          </w:p>
        </w:tc>
        <w:tc>
          <w:tcPr>
            <w:tcW w:w="1549" w:type="dxa"/>
            <w:tcBorders>
              <w:bottom w:val="single" w:sz="6" w:space="0" w:color="0075C9"/>
            </w:tcBorders>
            <w:tcMar>
              <w:bottom w:w="40" w:type="dxa"/>
            </w:tcMar>
            <w:vAlign w:val="center"/>
          </w:tcPr>
          <w:p>
            <w:pPr>
              <w:pStyle w:val="TableContents"/>
              <w:bidi w:val="0"/>
              <w:spacing w:before="0" w:after="283"/>
              <w:jc w:val="right"/>
              <w:rPr/>
            </w:pPr>
            <w:r>
              <w:rPr/>
              <w:t>100.00%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Based on this result, the total payment percentage for the fiscal year 2024 PSAs was not adjusted based on the relative TSR performance modifier, resulting in the payout to our Named Executives of 117.09% of the target fiscal 2024 PSA shares. </w:t>
      </w:r>
    </w:p>
    <w:p>
      <w:pPr>
        <w:pStyle w:val="TextBody"/>
        <w:bidi w:val="0"/>
        <w:spacing w:before="240" w:after="0"/>
        <w:jc w:val="left"/>
        <w:rPr>
          <w:rFonts w:ascii="Arial" w:hAnsi="Arial"/>
          <w:b/>
          <w:sz w:val="24"/>
        </w:rPr>
      </w:pPr>
      <w:r>
        <w:rPr>
          <w:rFonts w:ascii="Arial" w:hAnsi="Arial"/>
          <w:b/>
          <w:sz w:val="24"/>
        </w:rPr>
        <w:t xml:space="preserve">Fiscal Year 2025 and 2026 PSAs (Open Performance Periods) </w:t>
      </w:r>
    </w:p>
    <w:p>
      <w:pPr>
        <w:pStyle w:val="TextBody"/>
        <w:bidi w:val="0"/>
        <w:spacing w:before="120" w:after="0"/>
        <w:jc w:val="left"/>
        <w:rPr>
          <w:rFonts w:ascii="Arial" w:hAnsi="Arial"/>
          <w:sz w:val="18"/>
        </w:rPr>
      </w:pPr>
      <w:r>
        <w:rPr>
          <w:rFonts w:ascii="Arial" w:hAnsi="Arial"/>
          <w:sz w:val="18"/>
        </w:rPr>
        <w:t xml:space="preserve">Performance under the fiscal year 2025 and 2026 PSAs will be determined following the end of the three-year performance periods ending June 30, 2027 and 2028, respectively. The number of shares of common stock to be earned will be based on an assessment of (1) performance against the metric goals during the applicable performance period, and (2) Microsoft’s relative TSR during the period. Microsoft’s relative TSR will not increase the shares earned for a performance period unless Microsoft’s absolute TSR for the performance period is positive. The metrics and relative weights under the fiscal year 2025 and 2026 PSAs are set forth on page 46 in the table labeled Fiscal Year 2024 PSA Core Metric Performance and Payout Percentages.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19" w:name="toc61756_16a"/>
      <w:bookmarkEnd w:id="19"/>
      <w:r>
        <w:rPr>
          <w:rFonts w:ascii="Arial" w:hAnsi="Arial"/>
          <w:b/>
          <w:color w:val="0075C9"/>
          <w:sz w:val="28"/>
        </w:rPr>
        <w:t xml:space="preserve">Section 6 – Fiscal Year 2027 Executive Compensation Program Changes </w:t>
      </w:r>
    </w:p>
    <w:p>
      <w:pPr>
        <w:pStyle w:val="TextBody"/>
        <w:bidi w:val="0"/>
        <w:spacing w:before="120" w:after="0"/>
        <w:jc w:val="left"/>
        <w:rPr>
          <w:rFonts w:ascii="Arial" w:hAnsi="Arial"/>
          <w:b/>
          <w:sz w:val="24"/>
        </w:rPr>
      </w:pPr>
      <w:r>
        <w:rPr>
          <w:rFonts w:ascii="Arial" w:hAnsi="Arial"/>
          <w:b/>
          <w:sz w:val="24"/>
        </w:rPr>
        <w:t xml:space="preserve">Changes to Fiscal Year 2027 Incentive Plan </w:t>
      </w:r>
    </w:p>
    <w:p>
      <w:pPr>
        <w:pStyle w:val="TextBody"/>
        <w:bidi w:val="0"/>
        <w:spacing w:before="120" w:after="0"/>
        <w:jc w:val="left"/>
        <w:rPr>
          <w:rFonts w:ascii="Arial" w:hAnsi="Arial"/>
          <w:sz w:val="18"/>
        </w:rPr>
      </w:pPr>
      <w:r>
        <w:rPr>
          <w:rFonts w:ascii="Arial" w:hAnsi="Arial"/>
          <w:sz w:val="18"/>
        </w:rPr>
        <w:t xml:space="preserve">We are evolving our business strategy and are building the infrastructure and capabilities to lead in the AI era. Recognizing Microsoft’s leadership in the ongoing AI platform shift and the related challenges and opportunities, we have simplified our compensation program to ensure that our executives are motivated to drive Microsoft’s success in this key strategic priority. </w:t>
      </w:r>
    </w:p>
    <w:p>
      <w:pPr>
        <w:pStyle w:val="TextBody"/>
        <w:bidi w:val="0"/>
        <w:spacing w:before="120" w:after="0"/>
        <w:jc w:val="left"/>
        <w:rPr>
          <w:rFonts w:ascii="Arial" w:hAnsi="Arial"/>
          <w:sz w:val="18"/>
        </w:rPr>
      </w:pPr>
      <w:r>
        <w:rPr>
          <w:rFonts w:ascii="Arial" w:hAnsi="Arial"/>
          <w:sz w:val="18"/>
        </w:rPr>
        <w:t xml:space="preserve">To emphasize the importance of this shift, we refined our fiscal year 2027 Incentive Plan to simplify the design while furthering alignment with market practice. In fiscal year 2027, the cash incentive metrics will be based solely on Company metrics, with an individual modifier. The individual modifier will be assessed holistically to reflect priorities based on role and will continue to include an assessment of the operational performance categories: security, product, customers &amp; stakeholders, and culture.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2"/>
        <w:gridCol w:w="120"/>
        <w:gridCol w:w="1357"/>
        <w:gridCol w:w="120"/>
        <w:gridCol w:w="60"/>
        <w:gridCol w:w="60"/>
        <w:gridCol w:w="2892"/>
        <w:gridCol w:w="120"/>
        <w:gridCol w:w="2544"/>
      </w:tblGrid>
      <w:tr>
        <w:trPr/>
        <w:tc>
          <w:tcPr>
            <w:tcW w:w="29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8" w:space="0" w:color="000000"/>
            </w:tcBorders>
            <w:tcMar>
              <w:bottom w:w="28" w:type="dxa"/>
            </w:tcMar>
            <w:vAlign w:val="center"/>
          </w:tcPr>
          <w:p>
            <w:pPr>
              <w:pStyle w:val="TableContents"/>
              <w:bidi w:val="0"/>
              <w:spacing w:before="0" w:after="283"/>
              <w:jc w:val="left"/>
              <w:rPr/>
            </w:pPr>
            <w:r>
              <w:rPr/>
              <w:t> </w:t>
            </w:r>
            <w:r>
              <w:rPr>
                <w:b/>
              </w:rPr>
              <w:t>FY26 Cash Incentive Metrics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7" w:type="dxa"/>
            <w:tcBorders>
              <w:bottom w:val="single" w:sz="8" w:space="0" w:color="000000"/>
            </w:tcBorders>
            <w:tcMar>
              <w:bottom w:w="28" w:type="dxa"/>
            </w:tcMar>
            <w:vAlign w:val="center"/>
          </w:tcPr>
          <w:p>
            <w:pPr>
              <w:pStyle w:val="TableContents"/>
              <w:bidi w:val="0"/>
              <w:spacing w:before="0" w:after="283"/>
              <w:jc w:val="right"/>
              <w:rPr>
                <w:b/>
              </w:rPr>
            </w:pPr>
            <w:r>
              <w:rPr>
                <w:b/>
              </w:rPr>
              <w:t>Weight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892" w:type="dxa"/>
            <w:tcBorders>
              <w:bottom w:val="single" w:sz="8" w:space="0" w:color="000000"/>
            </w:tcBorders>
            <w:tcMar>
              <w:bottom w:w="28" w:type="dxa"/>
            </w:tcMar>
            <w:vAlign w:val="center"/>
          </w:tcPr>
          <w:p>
            <w:pPr>
              <w:pStyle w:val="TableContents"/>
              <w:bidi w:val="0"/>
              <w:spacing w:before="0" w:after="283"/>
              <w:jc w:val="left"/>
              <w:rPr/>
            </w:pPr>
            <w:r>
              <w:rPr/>
              <w:t> </w:t>
            </w:r>
            <w:r>
              <w:rPr>
                <w:b/>
              </w:rPr>
              <w:t>FY27 Cash Incentive Metrics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4" w:type="dxa"/>
            <w:tcBorders>
              <w:bottom w:val="single" w:sz="8" w:space="0" w:color="000000"/>
            </w:tcBorders>
            <w:tcMar>
              <w:bottom w:w="28" w:type="dxa"/>
            </w:tcMar>
            <w:vAlign w:val="center"/>
          </w:tcPr>
          <w:p>
            <w:pPr>
              <w:pStyle w:val="TableContents"/>
              <w:bidi w:val="0"/>
              <w:spacing w:before="0" w:after="283"/>
              <w:jc w:val="right"/>
              <w:rPr>
                <w:b/>
              </w:rPr>
            </w:pPr>
            <w:r>
              <w:rPr>
                <w:b/>
              </w:rPr>
              <w:t>Weight</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616" w:type="dxa"/>
            <w:gridSpan w:val="4"/>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6" w:space="0" w:color="000000"/>
            </w:tcBorders>
            <w:tcMar>
              <w:bottom w:w="28" w:type="dxa"/>
            </w:tcMar>
            <w:vAlign w:val="center"/>
          </w:tcPr>
          <w:p>
            <w:pPr>
              <w:pStyle w:val="TableContents"/>
              <w:bidi w:val="0"/>
              <w:spacing w:before="0" w:after="283"/>
              <w:jc w:val="left"/>
              <w:rPr>
                <w:color w:val="0075C9"/>
              </w:rPr>
            </w:pPr>
            <w:r>
              <w:rPr>
                <w:color w:val="0075C9"/>
              </w:rPr>
              <w:t> </w:t>
            </w:r>
            <w:r>
              <w:rPr>
                <w:b/>
                <w:color w:val="0075C9"/>
              </w:rPr>
              <w:t>Financial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556" w:type="dxa"/>
            <w:gridSpan w:val="3"/>
            <w:tcBorders>
              <w:bottom w:val="single" w:sz="6" w:space="0" w:color="000000"/>
            </w:tcBorders>
            <w:tcMar>
              <w:bottom w:w="28" w:type="dxa"/>
            </w:tcMar>
            <w:vAlign w:val="center"/>
          </w:tcPr>
          <w:p>
            <w:pPr>
              <w:pStyle w:val="TableContents"/>
              <w:bidi w:val="0"/>
              <w:spacing w:before="0" w:after="283"/>
              <w:jc w:val="left"/>
              <w:rPr>
                <w:color w:val="0075C9"/>
              </w:rPr>
            </w:pPr>
            <w:r>
              <w:rPr>
                <w:color w:val="0075C9"/>
              </w:rPr>
              <w:t> </w:t>
            </w:r>
            <w:r>
              <w:rPr>
                <w:b/>
                <w:color w:val="0075C9"/>
              </w:rPr>
              <w:t>Financial</w:t>
            </w:r>
          </w:p>
        </w:tc>
      </w:tr>
      <w:tr>
        <w:trPr/>
        <w:tc>
          <w:tcPr>
            <w:tcW w:w="2932"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Incentive Plan Revenue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57" w:type="dxa"/>
            <w:tcBorders>
              <w:bottom w:val="single" w:sz="6" w:space="0" w:color="0075C9"/>
            </w:tcBorders>
            <w:tcMar>
              <w:bottom w:w="40" w:type="dxa"/>
            </w:tcMar>
            <w:vAlign w:val="center"/>
          </w:tcPr>
          <w:p>
            <w:pPr>
              <w:pStyle w:val="TableContents"/>
              <w:bidi w:val="0"/>
              <w:spacing w:before="0" w:after="0"/>
              <w:jc w:val="right"/>
              <w:rPr>
                <w:rFonts w:ascii="Arial" w:hAnsi="Arial"/>
                <w:sz w:val="18"/>
              </w:rPr>
            </w:pPr>
            <w:r>
              <w:rPr>
                <w:rFonts w:ascii="Arial" w:hAnsi="Arial"/>
                <w:sz w:val="18"/>
              </w:rPr>
              <w:t>35% for CEO</w:t>
            </w:r>
          </w:p>
          <w:p>
            <w:pPr>
              <w:pStyle w:val="TableContents"/>
              <w:bidi w:val="0"/>
              <w:spacing w:before="0" w:after="20"/>
              <w:jc w:val="right"/>
              <w:rPr>
                <w:rFonts w:ascii="Arial" w:hAnsi="Arial"/>
                <w:sz w:val="18"/>
              </w:rPr>
            </w:pPr>
            <w:r>
              <w:rPr>
                <w:rFonts w:ascii="Arial" w:hAnsi="Arial"/>
                <w:sz w:val="18"/>
              </w:rPr>
              <w:t>25% for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89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Incentive Plan Revenue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4" w:type="dxa"/>
            <w:tcBorders>
              <w:bottom w:val="single" w:sz="6" w:space="0" w:color="0075C9"/>
            </w:tcBorders>
            <w:tcMar>
              <w:bottom w:w="40" w:type="dxa"/>
            </w:tcMar>
            <w:vAlign w:val="center"/>
          </w:tcPr>
          <w:p>
            <w:pPr>
              <w:pStyle w:val="TableContents"/>
              <w:bidi w:val="0"/>
              <w:spacing w:before="0" w:after="283"/>
              <w:jc w:val="right"/>
              <w:rPr/>
            </w:pPr>
            <w:r>
              <w:rPr/>
              <w:t>50% for CEO and NEOs</w:t>
            </w:r>
          </w:p>
        </w:tc>
      </w:tr>
      <w:tr>
        <w:trPr/>
        <w:tc>
          <w:tcPr>
            <w:tcW w:w="2932"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Incentive Plan Operating Income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57" w:type="dxa"/>
            <w:tcBorders>
              <w:bottom w:val="single" w:sz="6" w:space="0" w:color="0075C9"/>
            </w:tcBorders>
            <w:tcMar>
              <w:bottom w:w="40" w:type="dxa"/>
            </w:tcMar>
            <w:vAlign w:val="center"/>
          </w:tcPr>
          <w:p>
            <w:pPr>
              <w:pStyle w:val="TableContents"/>
              <w:bidi w:val="0"/>
              <w:spacing w:before="0" w:after="0"/>
              <w:jc w:val="right"/>
              <w:rPr>
                <w:rFonts w:ascii="Arial" w:hAnsi="Arial"/>
                <w:sz w:val="18"/>
              </w:rPr>
            </w:pPr>
            <w:r>
              <w:rPr>
                <w:rFonts w:ascii="Arial" w:hAnsi="Arial"/>
                <w:sz w:val="18"/>
              </w:rPr>
              <w:t>35% for CEO</w:t>
            </w:r>
          </w:p>
          <w:p>
            <w:pPr>
              <w:pStyle w:val="TableContents"/>
              <w:bidi w:val="0"/>
              <w:spacing w:before="0" w:after="20"/>
              <w:jc w:val="right"/>
              <w:rPr>
                <w:rFonts w:ascii="Arial" w:hAnsi="Arial"/>
                <w:sz w:val="18"/>
              </w:rPr>
            </w:pPr>
            <w:r>
              <w:rPr>
                <w:rFonts w:ascii="Arial" w:hAnsi="Arial"/>
                <w:sz w:val="18"/>
              </w:rPr>
              <w:t>25% for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89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Incentive Plan Operating Income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4" w:type="dxa"/>
            <w:tcBorders>
              <w:bottom w:val="single" w:sz="6" w:space="0" w:color="0075C9"/>
            </w:tcBorders>
            <w:tcMar>
              <w:bottom w:w="40" w:type="dxa"/>
            </w:tcMar>
            <w:vAlign w:val="center"/>
          </w:tcPr>
          <w:p>
            <w:pPr>
              <w:pStyle w:val="TableContents"/>
              <w:bidi w:val="0"/>
              <w:spacing w:before="0" w:after="283"/>
              <w:jc w:val="right"/>
              <w:rPr/>
            </w:pPr>
            <w:r>
              <w:rPr/>
              <w:t>50% for CEO and NEOs</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616" w:type="dxa"/>
            <w:gridSpan w:val="4"/>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6" w:space="0" w:color="000000"/>
            </w:tcBorders>
            <w:tcMar>
              <w:bottom w:w="28" w:type="dxa"/>
            </w:tcMar>
            <w:vAlign w:val="center"/>
          </w:tcPr>
          <w:p>
            <w:pPr>
              <w:pStyle w:val="TableContents"/>
              <w:bidi w:val="0"/>
              <w:spacing w:before="0" w:after="283"/>
              <w:jc w:val="left"/>
              <w:rPr>
                <w:color w:val="0075C9"/>
              </w:rPr>
            </w:pPr>
            <w:r>
              <w:rPr>
                <w:color w:val="0075C9"/>
              </w:rPr>
              <w:t> </w:t>
            </w:r>
            <w:r>
              <w:rPr>
                <w:b/>
                <w:color w:val="0075C9"/>
              </w:rPr>
              <w:t>Operational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556" w:type="dxa"/>
            <w:gridSpan w:val="3"/>
            <w:tcBorders>
              <w:bottom w:val="single" w:sz="6" w:space="0" w:color="000000"/>
            </w:tcBorders>
            <w:tcMar>
              <w:bottom w:w="28" w:type="dxa"/>
            </w:tcMar>
            <w:vAlign w:val="center"/>
          </w:tcPr>
          <w:p>
            <w:pPr>
              <w:pStyle w:val="TableContents"/>
              <w:bidi w:val="0"/>
              <w:spacing w:before="0" w:after="283"/>
              <w:jc w:val="left"/>
              <w:rPr>
                <w:color w:val="0075C9"/>
              </w:rPr>
            </w:pPr>
            <w:r>
              <w:rPr>
                <w:color w:val="0075C9"/>
              </w:rPr>
              <w:t> </w:t>
            </w:r>
            <w:r>
              <w:rPr>
                <w:b/>
                <w:color w:val="0075C9"/>
              </w:rPr>
              <w:t>Individual Modifier</w:t>
            </w:r>
          </w:p>
        </w:tc>
      </w:tr>
      <w:tr>
        <w:trPr/>
        <w:tc>
          <w:tcPr>
            <w:tcW w:w="2932"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Security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57" w:type="dxa"/>
            <w:tcBorders>
              <w:bottom w:val="single" w:sz="6" w:space="0" w:color="0075C9"/>
            </w:tcBorders>
            <w:tcMar>
              <w:bottom w:w="40" w:type="dxa"/>
            </w:tcMar>
            <w:vAlign w:val="center"/>
          </w:tcPr>
          <w:p>
            <w:pPr>
              <w:pStyle w:val="TableContents"/>
              <w:bidi w:val="0"/>
              <w:spacing w:before="0" w:after="0"/>
              <w:jc w:val="right"/>
              <w:rPr>
                <w:rFonts w:ascii="Arial" w:hAnsi="Arial"/>
                <w:sz w:val="18"/>
              </w:rPr>
            </w:pPr>
            <w:r>
              <w:rPr>
                <w:rFonts w:ascii="Arial" w:hAnsi="Arial"/>
                <w:sz w:val="18"/>
              </w:rPr>
              <w:t>10% for CEO</w:t>
            </w:r>
          </w:p>
          <w:p>
            <w:pPr>
              <w:pStyle w:val="TableContents"/>
              <w:bidi w:val="0"/>
              <w:spacing w:before="0" w:after="20"/>
              <w:jc w:val="right"/>
              <w:rPr>
                <w:rFonts w:ascii="Arial" w:hAnsi="Arial"/>
                <w:sz w:val="18"/>
              </w:rPr>
            </w:pPr>
            <w:r>
              <w:rPr>
                <w:rFonts w:ascii="Arial" w:hAnsi="Arial"/>
                <w:sz w:val="18"/>
              </w:rPr>
              <w:t>16.67% for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89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Individual Performance*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4" w:type="dxa"/>
            <w:tcBorders>
              <w:bottom w:val="single" w:sz="6" w:space="0" w:color="0075C9"/>
            </w:tcBorders>
            <w:tcMar>
              <w:bottom w:w="40" w:type="dxa"/>
            </w:tcMar>
            <w:vAlign w:val="center"/>
          </w:tcPr>
          <w:p>
            <w:pPr>
              <w:pStyle w:val="TableContents"/>
              <w:bidi w:val="0"/>
              <w:spacing w:before="0" w:after="283"/>
              <w:jc w:val="right"/>
              <w:rPr/>
            </w:pPr>
            <w:r>
              <w:rPr/>
              <w:t>+/- 25% for CEO and NEOs</w:t>
            </w:r>
          </w:p>
        </w:tc>
      </w:tr>
      <w:tr>
        <w:trPr/>
        <w:tc>
          <w:tcPr>
            <w:tcW w:w="2932"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616" w:type="dxa"/>
            <w:gridSpan w:val="4"/>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Product, Customers &amp; Stakeholders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57" w:type="dxa"/>
            <w:tcBorders>
              <w:bottom w:val="single" w:sz="6" w:space="0" w:color="0075C9"/>
            </w:tcBorders>
            <w:tcMar>
              <w:bottom w:w="40" w:type="dxa"/>
            </w:tcMar>
            <w:vAlign w:val="center"/>
          </w:tcPr>
          <w:p>
            <w:pPr>
              <w:pStyle w:val="TableContents"/>
              <w:bidi w:val="0"/>
              <w:spacing w:before="0" w:after="0"/>
              <w:jc w:val="right"/>
              <w:rPr>
                <w:rFonts w:ascii="Arial" w:hAnsi="Arial"/>
                <w:sz w:val="18"/>
              </w:rPr>
            </w:pPr>
            <w:r>
              <w:rPr>
                <w:rFonts w:ascii="Arial" w:hAnsi="Arial"/>
                <w:sz w:val="18"/>
              </w:rPr>
              <w:t>10% for CEO</w:t>
            </w:r>
          </w:p>
          <w:p>
            <w:pPr>
              <w:pStyle w:val="TableContents"/>
              <w:bidi w:val="0"/>
              <w:spacing w:before="0" w:after="20"/>
              <w:jc w:val="right"/>
              <w:rPr>
                <w:rFonts w:ascii="Arial" w:hAnsi="Arial"/>
                <w:sz w:val="18"/>
              </w:rPr>
            </w:pPr>
            <w:r>
              <w:rPr>
                <w:rFonts w:ascii="Arial" w:hAnsi="Arial"/>
                <w:sz w:val="18"/>
              </w:rPr>
              <w:t>16.67% for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56" w:type="dxa"/>
            <w:gridSpan w:val="3"/>
            <w:tcBorders/>
            <w:vAlign w:val="center"/>
          </w:tcPr>
          <w:p>
            <w:pPr>
              <w:pStyle w:val="TableContents"/>
              <w:bidi w:val="0"/>
              <w:spacing w:before="0" w:after="0"/>
              <w:jc w:val="left"/>
              <w:rPr>
                <w:rFonts w:ascii="Arial" w:hAnsi="Arial"/>
                <w:sz w:val="14"/>
              </w:rPr>
            </w:pPr>
            <w:r>
              <w:rPr>
                <w:rFonts w:ascii="Arial" w:hAnsi="Arial"/>
                <w:sz w:val="14"/>
              </w:rPr>
              <w:t>* Cannot exceed 200% payout maximum including the individual performance modifier</w:t>
            </w:r>
          </w:p>
        </w:tc>
      </w:tr>
      <w:tr>
        <w:trPr/>
        <w:tc>
          <w:tcPr>
            <w:tcW w:w="2932"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952" w:type="dxa"/>
            <w:gridSpan w:val="2"/>
            <w:tcBorders/>
            <w:vAlign w:val="center"/>
          </w:tcPr>
          <w:p>
            <w:pPr>
              <w:pStyle w:val="TableContents"/>
              <w:bidi w:val="0"/>
              <w:spacing w:before="0" w:after="283"/>
              <w:jc w:val="left"/>
              <w:rPr>
                <w:sz w:val="4"/>
                <w:szCs w:val="4"/>
              </w:rPr>
            </w:pPr>
            <w:r>
              <w:rPr>
                <w:sz w:val="4"/>
                <w:szCs w:val="4"/>
              </w:rPr>
            </w:r>
          </w:p>
        </w:tc>
        <w:tc>
          <w:tcPr>
            <w:tcW w:w="2664" w:type="dxa"/>
            <w:gridSpan w:val="2"/>
            <w:tcBorders/>
            <w:vAlign w:val="center"/>
          </w:tcPr>
          <w:p>
            <w:pPr>
              <w:pStyle w:val="TableContents"/>
              <w:bidi w:val="0"/>
              <w:spacing w:before="0" w:after="283"/>
              <w:jc w:val="left"/>
              <w:rPr>
                <w:sz w:val="4"/>
                <w:szCs w:val="4"/>
              </w:rPr>
            </w:pPr>
            <w:r>
              <w:rPr>
                <w:sz w:val="4"/>
                <w:szCs w:val="4"/>
              </w:rPr>
            </w:r>
          </w:p>
        </w:tc>
      </w:tr>
      <w:tr>
        <w:trPr/>
        <w:tc>
          <w:tcPr>
            <w:tcW w:w="2932" w:type="dxa"/>
            <w:tcBorders>
              <w:bottom w:val="single" w:sz="6" w:space="0" w:color="0075C9"/>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Culture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57" w:type="dxa"/>
            <w:tcBorders>
              <w:bottom w:val="single" w:sz="6" w:space="0" w:color="0075C9"/>
            </w:tcBorders>
            <w:tcMar>
              <w:bottom w:w="40" w:type="dxa"/>
            </w:tcMar>
            <w:vAlign w:val="center"/>
          </w:tcPr>
          <w:p>
            <w:pPr>
              <w:pStyle w:val="TableContents"/>
              <w:bidi w:val="0"/>
              <w:spacing w:before="0" w:after="0"/>
              <w:jc w:val="right"/>
              <w:rPr>
                <w:rFonts w:ascii="Arial" w:hAnsi="Arial"/>
                <w:sz w:val="18"/>
              </w:rPr>
            </w:pPr>
            <w:r>
              <w:rPr>
                <w:rFonts w:ascii="Arial" w:hAnsi="Arial"/>
                <w:sz w:val="18"/>
              </w:rPr>
              <w:t>10% for CEO</w:t>
            </w:r>
          </w:p>
          <w:p>
            <w:pPr>
              <w:pStyle w:val="TableContents"/>
              <w:bidi w:val="0"/>
              <w:spacing w:before="0" w:after="20"/>
              <w:jc w:val="right"/>
              <w:rPr>
                <w:rFonts w:ascii="Arial" w:hAnsi="Arial"/>
                <w:sz w:val="18"/>
              </w:rPr>
            </w:pPr>
            <w:r>
              <w:rPr>
                <w:rFonts w:ascii="Arial" w:hAnsi="Arial"/>
                <w:sz w:val="18"/>
              </w:rPr>
              <w:t>16.66% for NEOs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9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44" w:type="dxa"/>
            <w:tcBorders/>
            <w:vAlign w:val="center"/>
          </w:tcPr>
          <w:p>
            <w:pPr>
              <w:pStyle w:val="TableContents"/>
              <w:bidi w:val="0"/>
              <w:spacing w:before="0" w:after="0"/>
              <w:jc w:val="left"/>
              <w:rPr/>
            </w:pPr>
            <w:r>
              <w:rPr/>
              <w:t> </w:t>
            </w:r>
          </w:p>
        </w:tc>
      </w:tr>
    </w:tbl>
    <w:p>
      <w:pPr>
        <w:pStyle w:val="TextBody"/>
        <w:bidi w:val="0"/>
        <w:spacing w:before="240" w:after="0"/>
        <w:jc w:val="left"/>
        <w:rPr>
          <w:rFonts w:ascii="Arial" w:hAnsi="Arial"/>
          <w:b/>
          <w:sz w:val="24"/>
        </w:rPr>
      </w:pPr>
      <w:r>
        <w:rPr>
          <w:rFonts w:ascii="Arial" w:hAnsi="Arial"/>
          <w:b/>
          <w:sz w:val="24"/>
        </w:rPr>
        <w:t xml:space="preserve">Changes to Fiscal Year 2027 PSA Program </w:t>
      </w:r>
    </w:p>
    <w:p>
      <w:pPr>
        <w:pStyle w:val="TextBody"/>
        <w:bidi w:val="0"/>
        <w:spacing w:before="120" w:after="0"/>
        <w:jc w:val="left"/>
        <w:rPr>
          <w:rFonts w:ascii="Arial" w:hAnsi="Arial"/>
          <w:sz w:val="18"/>
        </w:rPr>
      </w:pPr>
      <w:r>
        <w:rPr>
          <w:rFonts w:ascii="Arial" w:hAnsi="Arial"/>
          <w:sz w:val="18"/>
        </w:rPr>
        <w:t xml:space="preserve">We updated our 2027 PSA metrics to further align the program with our key strategic priorities by focusing on a narrower set of strategic growth drivers, and such metrics will continue to be subject to adjustment based on the relative TSR performance modifier described above.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20" w:name="toc61756_17"/>
      <w:bookmarkEnd w:id="20"/>
      <w:r>
        <w:rPr>
          <w:rFonts w:ascii="Arial" w:hAnsi="Arial"/>
          <w:b/>
          <w:color w:val="0075C9"/>
          <w:sz w:val="28"/>
        </w:rPr>
        <w:t xml:space="preserve">Section 7 – Other Compensation Policies and Information </w:t>
      </w:r>
    </w:p>
    <w:p>
      <w:pPr>
        <w:pStyle w:val="TextBody"/>
        <w:bidi w:val="0"/>
        <w:spacing w:before="120" w:after="0"/>
        <w:jc w:val="left"/>
        <w:rPr>
          <w:rFonts w:ascii="Arial" w:hAnsi="Arial"/>
          <w:b/>
          <w:sz w:val="24"/>
        </w:rPr>
      </w:pPr>
      <w:r>
        <w:rPr>
          <w:rFonts w:ascii="Arial" w:hAnsi="Arial"/>
          <w:b/>
          <w:sz w:val="24"/>
        </w:rPr>
        <w:t xml:space="preserve">No Extraordinary Perquisites </w:t>
      </w:r>
    </w:p>
    <w:p>
      <w:pPr>
        <w:pStyle w:val="TextBody"/>
        <w:bidi w:val="0"/>
        <w:spacing w:before="120" w:after="0"/>
        <w:jc w:val="left"/>
        <w:rPr>
          <w:rFonts w:ascii="Arial" w:hAnsi="Arial"/>
          <w:sz w:val="18"/>
        </w:rPr>
      </w:pPr>
      <w:r>
        <w:rPr>
          <w:rFonts w:ascii="Arial" w:hAnsi="Arial"/>
          <w:sz w:val="18"/>
        </w:rPr>
        <w:t xml:space="preserve">Our Named Executives are eligible for the same benefits available to our other full-time employees. In the U.S., our benefits include our section 401(k) plan, employee stock purchase plan, health care plan, life insurance plans, and other welfare benefit programs. In addition to the standard benefits offered to all U.S. employees, we maintain a nonqualified deferred compensation plan for our U.S. executive officers and senior managers. This deferred compensation plan is unfunded, and participation is voluntary. The deferred compensation plan allows our Named Executives to defer their base salary, the cash portion of their Incentive Plan awards, and certain on-hire bonuses. We do not contribute to the deferred compensation plan. Named Executives are eligible for matching gifts for charitable donations above the maximum for our other full-time employees. </w:t>
      </w:r>
    </w:p>
    <w:p>
      <w:pPr>
        <w:pStyle w:val="TextBody"/>
        <w:bidi w:val="0"/>
        <w:spacing w:before="120" w:after="0"/>
        <w:jc w:val="left"/>
        <w:rPr>
          <w:rFonts w:ascii="Arial" w:hAnsi="Arial"/>
          <w:sz w:val="18"/>
        </w:rPr>
      </w:pPr>
      <w:r>
        <w:rPr>
          <w:rFonts w:ascii="Arial" w:hAnsi="Arial"/>
          <w:sz w:val="18"/>
        </w:rPr>
        <w:t xml:space="preserve">We believe that the personal safety and security of our senior executives is of the utmost importance to Microsoft and its shareholders. Pursuant to our executive security program and based on our assessment and monitoring of security risks, we may provide security services to certain senior executives. Security services include personal security services, which may include protection of family members, private aviation, and driver services. The independent members of the Board decided that it was in the best interests of the Company and its stakeholders to provide personal security services to Mr. Nadella and Mr. Smith due to security considerations arising from their respective roles. We view the security services provided to Mr. Nadella and Mr. Smith as an integral part of our risk management program. We view these as necessary and appropriate business expenses that arise from the nature of their employment responsibilities. Personal security services enable Mr. Nadella and Mr. Smith to focus on their duties to Microsoft while reducing security threats, and therefore, mitigate risks to our business. In accordance with applicable regulations, we have reported the aggregate incremental costs of such services in the “All Other Compensation” column of the Summary Compensation Table as required by Item 402 of Regulation S-K. We have also implemented an annual process to provide oversight of the nature and cost of executive security measures. </w:t>
      </w:r>
    </w:p>
    <w:p>
      <w:pPr>
        <w:pStyle w:val="TextBody"/>
        <w:bidi w:val="0"/>
        <w:spacing w:before="120" w:after="0"/>
        <w:jc w:val="left"/>
        <w:rPr>
          <w:rFonts w:ascii="Arial" w:hAnsi="Arial"/>
          <w:sz w:val="18"/>
        </w:rPr>
      </w:pPr>
      <w:r>
        <w:rPr>
          <w:rFonts w:ascii="Arial" w:hAnsi="Arial"/>
          <w:sz w:val="18"/>
        </w:rPr>
        <w:t xml:space="preserve">During fiscal year 2026, we provided no other executive-only perquisites or other personal benefits to our Named Executives other than matching gifts made to charitable organizations.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48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Post-Employment Compensation </w:t>
      </w:r>
    </w:p>
    <w:p>
      <w:pPr>
        <w:pStyle w:val="TextBody"/>
        <w:bidi w:val="0"/>
        <w:spacing w:before="120" w:after="0"/>
        <w:jc w:val="left"/>
        <w:rPr>
          <w:rFonts w:ascii="Arial" w:hAnsi="Arial"/>
          <w:sz w:val="18"/>
        </w:rPr>
      </w:pPr>
      <w:r>
        <w:rPr>
          <w:rFonts w:ascii="Arial" w:hAnsi="Arial"/>
          <w:sz w:val="18"/>
        </w:rPr>
        <w:t xml:space="preserve">Our Named Executives do not have employment contracts. No Named Executive is entitled to any payments or benefits following a change in control of Microsoft. </w:t>
      </w:r>
    </w:p>
    <w:p>
      <w:pPr>
        <w:pStyle w:val="TextBody"/>
        <w:bidi w:val="0"/>
        <w:spacing w:before="120" w:after="0"/>
        <w:jc w:val="left"/>
        <w:rPr>
          <w:rFonts w:ascii="Arial" w:hAnsi="Arial"/>
          <w:sz w:val="18"/>
        </w:rPr>
      </w:pPr>
      <w:r>
        <w:rPr>
          <w:rFonts w:ascii="Arial" w:hAnsi="Arial"/>
          <w:sz w:val="18"/>
        </w:rPr>
        <w:t xml:space="preserve">Our Named Executives may be eligible for additional vesting of their outstanding SAs following termination of employment on the same terms as our other employees. Consistent with our policy for U.S. employees at all levels, our Named Executives who retire from Microsoft after age 65 or after age 55 with 15 years of continuous service and were hired prior to August 1, 2023, are eligible for the continuation of vesting of outstanding SAs granted at the time of the annual rewards period if the award was granted over one year before the date of retirement. A pro-rata portion of PSA shares will also continue vesting if the retirement occurs more than one year after the beginning of the performance period. As of June 30, 2026, of our Named Executives only Mr. Nadella, Mr. Numoto, and Mr. Smith were retirement eligible. All employees whose employment with Microsoft terminates due to death or total and permanent disability generally fully vest in their outstanding SAs. Our PSAs vest for the target number of shares upon death or total and permanent disability. The value of our Named Executives’ SAs and PSAs that would have vested assuming a June 30, 2026 termination of employment due to death or total and permanent disability, or due to retirement on that date, are set forth in the table at page 57. </w:t>
      </w:r>
    </w:p>
    <w:p>
      <w:pPr>
        <w:pStyle w:val="TextBody"/>
        <w:bidi w:val="0"/>
        <w:spacing w:before="120" w:after="0"/>
        <w:jc w:val="left"/>
        <w:rPr>
          <w:rFonts w:ascii="Arial" w:hAnsi="Arial"/>
          <w:sz w:val="18"/>
        </w:rPr>
      </w:pPr>
      <w:r>
        <w:rPr>
          <w:rFonts w:ascii="Arial" w:hAnsi="Arial"/>
          <w:sz w:val="18"/>
        </w:rPr>
        <w:t xml:space="preserve">In addition, our Named Executives are eligible to participate in the Microsoft Senior Executive Severance Benefit Plan (“Severance Plan”). The Severance Plan was adopted to help ensure continuity and focus of key leaders by providing designated executives severance payments and benefits if their employment is terminated without cause. For purposes of the Severance Plan, “cause” means: (i) a conviction or plea of guilty or no contest to a felony or certain misdemeanors; (ii) engaging in gross misconduct; (iii) repeated failure to substantially perform the duties of the Named Executive’s role; (iv) violation of any securities laws; or (v) violation of Microsoft’s policies designed to prevent violations of law. </w:t>
      </w:r>
    </w:p>
    <w:p>
      <w:pPr>
        <w:pStyle w:val="TextBody"/>
        <w:bidi w:val="0"/>
        <w:spacing w:before="120" w:after="0"/>
        <w:jc w:val="left"/>
        <w:rPr>
          <w:rFonts w:ascii="Arial" w:hAnsi="Arial"/>
          <w:sz w:val="18"/>
        </w:rPr>
      </w:pPr>
      <w:r>
        <w:rPr>
          <w:rFonts w:ascii="Arial" w:hAnsi="Arial"/>
          <w:sz w:val="18"/>
        </w:rPr>
        <w:t xml:space="preserve">The Severance Plan payments and benefits have four components – cash, stock vesting, continued health care, and outplacement assistance – all provided by Microsoft. Cash payments consist of: (i) a severance payment equal to 12 months’ base salary plus target annual cash incentive award, payable in a lump sum within 60 days after termination of employment; and (ii) a pro-rata payment of the Named Executive’s target annual cash incentive award for the partial year of work, payable in a lump sum at the same time other Incentive Plan cash awards for the year are paid. Stock vesting applies to SAs and PSAs. SAs that otherwise would vest in the 12-month period after employment terminates continue to vest. After the first year of the PSA performance period is completed, a pro-rata portion of any PSA shares will also vest, and the number of shares subject to pro-ration is the lesser of the target award shares or the shares that are otherwise earned and payable after the end of the performance period. Continued contributions to premiums for COBRA health care continuation coverage and outplacement assistance will be provided on the same terms as are available to other employees whose employment is terminated without cause. There is no change-in-control provision in the Severance Plan. To receive the Severance Plan payments and benefits, the Named Executive must execute a separation agreement that includes a release of claims in favor of Microsoft, confidentiality and non-disparagement provisions, and 12-month non-compete/non-solicitation restrictions. Our Named Executives’ Severance Plan benefits assuming a termination of employment without cause on June 30, 2026, are set forth in the table at page 57. </w:t>
      </w:r>
    </w:p>
    <w:p>
      <w:pPr>
        <w:pStyle w:val="TextBody"/>
        <w:bidi w:val="0"/>
        <w:spacing w:before="120" w:after="0"/>
        <w:jc w:val="left"/>
        <w:rPr>
          <w:rFonts w:ascii="Arial" w:hAnsi="Arial"/>
          <w:sz w:val="18"/>
        </w:rPr>
      </w:pPr>
      <w:r>
        <w:rPr>
          <w:rFonts w:ascii="Arial" w:hAnsi="Arial"/>
          <w:sz w:val="18"/>
        </w:rPr>
        <w:t xml:space="preserve">Mr. Nadella participates in the Severance Plan on the same terms as our other executive officers. </w:t>
      </w:r>
    </w:p>
    <w:p>
      <w:pPr>
        <w:pStyle w:val="TextBody"/>
        <w:bidi w:val="0"/>
        <w:spacing w:before="240" w:after="0"/>
        <w:jc w:val="left"/>
        <w:rPr>
          <w:rFonts w:ascii="Arial" w:hAnsi="Arial"/>
          <w:b/>
          <w:sz w:val="24"/>
        </w:rPr>
      </w:pPr>
      <w:r>
        <w:rPr>
          <w:rFonts w:ascii="Arial" w:hAnsi="Arial"/>
          <w:b/>
          <w:sz w:val="24"/>
        </w:rPr>
        <w:t xml:space="preserve">Comprehensive Clawback Policy </w:t>
      </w:r>
    </w:p>
    <w:p>
      <w:pPr>
        <w:pStyle w:val="TextBody"/>
        <w:bidi w:val="0"/>
        <w:spacing w:before="120" w:after="0"/>
        <w:jc w:val="left"/>
        <w:rPr>
          <w:rFonts w:ascii="Arial" w:hAnsi="Arial"/>
          <w:sz w:val="18"/>
        </w:rPr>
      </w:pPr>
      <w:r>
        <w:rPr>
          <w:rFonts w:ascii="Arial" w:hAnsi="Arial"/>
          <w:sz w:val="18"/>
        </w:rPr>
        <w:t xml:space="preserve">Accountability is a fundamental value of Microsoft. To reinforce this value through our executive compensation program, our executive officers, other senior officers, and our Chief Accounting Officer are subject to a comprehensive ‘no fault’ executive compensation recovery (“clawback”) policy. Under this policy, our Compensation Committee may seek to recover payments of incentive compensation in the event of a restatement, as defined under the incentive-based compensation recovery provisions of the Dodd-Frank Act and the Nasdaq listing rules. Our Compensation Committee may also seek recovery of cash and equity incentive compensation whether time-based or performance-based, awarded during a period where a covered executive committed or was aware of or willfully blind to a significant legal or compliance violation, irrespective of whether such violation occurred in connection with a restatement. Our executive compensation recovery policy is available on our website at </w:t>
      </w:r>
      <w:r>
        <w:rPr>
          <w:rFonts w:ascii="Arial" w:hAnsi="Arial"/>
          <w:sz w:val="18"/>
          <w:u w:val="single"/>
        </w:rPr>
        <w:t>aka.ms/policiesandguidelines</w:t>
      </w:r>
      <w:r>
        <w:rPr>
          <w:rFonts w:ascii="Arial" w:hAnsi="Arial"/>
          <w:sz w:val="18"/>
        </w:rPr>
        <w:t xml:space="preserv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Robust Stock Ownership Policy </w:t>
      </w:r>
    </w:p>
    <w:p>
      <w:pPr>
        <w:pStyle w:val="TextBody"/>
        <w:bidi w:val="0"/>
        <w:spacing w:before="120" w:after="0"/>
        <w:jc w:val="left"/>
        <w:rPr>
          <w:rFonts w:ascii="Arial" w:hAnsi="Arial"/>
          <w:sz w:val="18"/>
        </w:rPr>
      </w:pPr>
      <w:r>
        <w:rPr>
          <w:rFonts w:ascii="Arial" w:hAnsi="Arial"/>
          <w:sz w:val="18"/>
        </w:rPr>
        <w:t xml:space="preserve">Our executive officers and certain other senior executives are required to maintain a minimum equity stake in Microsoft. This policy embodies our Compensation Committee’s belief that our most senior executives should maintain a significant personal financial stake in Microsoft to promote a long-term perspective in managing our business. In addition, the policy helps align executive and shareholder interests, which reduces incentive for excessive short-term risk taking. Each covered executive is required to acquire and maintain ownership of shares of Microsoft common stock equal to a specified multiple of his or her base salary, which for our Named Executives ranges from 8 to 15 times base salary, as shown in the table below. Each covered executive must retain 50% of all net shares (post-tax) that vest until achieving his or her minimum share ownership requirement.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550"/>
        <w:gridCol w:w="120"/>
        <w:gridCol w:w="1610"/>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610" w:type="dxa"/>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Share Ownership</w:t>
            </w:r>
          </w:p>
          <w:p>
            <w:pPr>
              <w:pStyle w:val="TableContents"/>
              <w:bidi w:val="0"/>
              <w:spacing w:before="0" w:after="0"/>
              <w:jc w:val="right"/>
              <w:rPr>
                <w:rFonts w:ascii="Arial" w:hAnsi="Arial"/>
                <w:b/>
                <w:sz w:val="18"/>
              </w:rPr>
            </w:pPr>
            <w:r>
              <w:rPr>
                <w:rFonts w:ascii="Arial" w:hAnsi="Arial"/>
                <w:b/>
                <w:sz w:val="18"/>
              </w:rPr>
              <w:t>Requirement as of</w:t>
            </w:r>
          </w:p>
          <w:p>
            <w:pPr>
              <w:pStyle w:val="TableContents"/>
              <w:bidi w:val="0"/>
              <w:spacing w:before="0" w:after="20"/>
              <w:jc w:val="right"/>
              <w:rPr>
                <w:rFonts w:ascii="Arial" w:hAnsi="Arial"/>
                <w:b/>
                <w:sz w:val="18"/>
              </w:rPr>
            </w:pPr>
            <w:r>
              <w:rPr>
                <w:rFonts w:ascii="Arial" w:hAnsi="Arial"/>
                <w:b/>
                <w:sz w:val="18"/>
              </w:rPr>
              <w:t>June 30, 2026</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610" w:type="dxa"/>
            <w:tcBorders>
              <w:bottom w:val="single" w:sz="6" w:space="0" w:color="0075C9"/>
            </w:tcBorders>
            <w:tcMar>
              <w:bottom w:w="40" w:type="dxa"/>
            </w:tcMar>
            <w:vAlign w:val="center"/>
          </w:tcPr>
          <w:p>
            <w:pPr>
              <w:pStyle w:val="TableContents"/>
              <w:bidi w:val="0"/>
              <w:spacing w:before="0" w:after="283"/>
              <w:jc w:val="right"/>
              <w:rPr/>
            </w:pPr>
            <w:r>
              <w:rPr/>
              <w:t>15x base salary</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610" w:type="dxa"/>
            <w:tcBorders>
              <w:bottom w:val="single" w:sz="6" w:space="0" w:color="0075C9"/>
            </w:tcBorders>
            <w:tcMar>
              <w:bottom w:w="40" w:type="dxa"/>
            </w:tcMar>
            <w:vAlign w:val="center"/>
          </w:tcPr>
          <w:p>
            <w:pPr>
              <w:pStyle w:val="TableContents"/>
              <w:bidi w:val="0"/>
              <w:spacing w:before="0" w:after="283"/>
              <w:jc w:val="right"/>
              <w:rPr/>
            </w:pPr>
            <w:r>
              <w:rPr/>
              <w:t>8x base salary</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610" w:type="dxa"/>
            <w:tcBorders>
              <w:bottom w:val="single" w:sz="6" w:space="0" w:color="0075C9"/>
            </w:tcBorders>
            <w:tcMar>
              <w:bottom w:w="40" w:type="dxa"/>
            </w:tcMar>
            <w:vAlign w:val="center"/>
          </w:tcPr>
          <w:p>
            <w:pPr>
              <w:pStyle w:val="TableContents"/>
              <w:bidi w:val="0"/>
              <w:spacing w:before="0" w:after="283"/>
              <w:jc w:val="right"/>
              <w:rPr/>
            </w:pPr>
            <w:r>
              <w:rPr/>
              <w:t>8x base salary</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610" w:type="dxa"/>
            <w:tcBorders>
              <w:bottom w:val="single" w:sz="6" w:space="0" w:color="0075C9"/>
            </w:tcBorders>
            <w:tcMar>
              <w:bottom w:w="40" w:type="dxa"/>
            </w:tcMar>
            <w:vAlign w:val="center"/>
          </w:tcPr>
          <w:p>
            <w:pPr>
              <w:pStyle w:val="TableContents"/>
              <w:bidi w:val="0"/>
              <w:spacing w:before="0" w:after="283"/>
              <w:jc w:val="right"/>
              <w:rPr/>
            </w:pPr>
            <w:r>
              <w:rPr/>
              <w:t>8x base salary</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73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610" w:type="dxa"/>
            <w:tcBorders>
              <w:bottom w:val="single" w:sz="6" w:space="0" w:color="0075C9"/>
            </w:tcBorders>
            <w:tcMar>
              <w:bottom w:w="40" w:type="dxa"/>
            </w:tcMar>
            <w:vAlign w:val="center"/>
          </w:tcPr>
          <w:p>
            <w:pPr>
              <w:pStyle w:val="TableContents"/>
              <w:bidi w:val="0"/>
              <w:spacing w:before="0" w:after="283"/>
              <w:jc w:val="right"/>
              <w:rPr/>
            </w:pPr>
            <w:r>
              <w:rPr/>
              <w:t>8x base salary</w:t>
            </w:r>
          </w:p>
        </w:tc>
      </w:tr>
    </w:tbl>
    <w:p>
      <w:pPr>
        <w:pStyle w:val="TextBody"/>
        <w:bidi w:val="0"/>
        <w:spacing w:before="120" w:after="0"/>
        <w:jc w:val="left"/>
        <w:rPr>
          <w:rFonts w:ascii="Arial" w:hAnsi="Arial"/>
          <w:sz w:val="18"/>
        </w:rPr>
      </w:pPr>
      <w:r>
        <w:rPr>
          <w:rFonts w:ascii="Arial" w:hAnsi="Arial"/>
          <w:sz w:val="18"/>
        </w:rPr>
        <w:t xml:space="preserve">In fiscal year 2026, each of our Named Executives complied with our stock ownership policy. Our stock ownership policy is available on our website at </w:t>
      </w:r>
      <w:r>
        <w:rPr>
          <w:rFonts w:ascii="Arial" w:hAnsi="Arial"/>
          <w:sz w:val="18"/>
          <w:u w:val="single"/>
        </w:rPr>
        <w:t>aka.ms/policiesandguidelines</w:t>
      </w:r>
      <w:r>
        <w:rPr>
          <w:rFonts w:ascii="Arial" w:hAnsi="Arial"/>
          <w:sz w:val="18"/>
        </w:rPr>
        <w:t xml:space="preserve">. </w:t>
      </w:r>
    </w:p>
    <w:p>
      <w:pPr>
        <w:pStyle w:val="TextBody"/>
        <w:bidi w:val="0"/>
        <w:spacing w:before="240" w:after="0"/>
        <w:jc w:val="left"/>
        <w:rPr>
          <w:rFonts w:ascii="Arial" w:hAnsi="Arial"/>
          <w:b/>
          <w:sz w:val="24"/>
        </w:rPr>
      </w:pPr>
      <w:r>
        <w:rPr>
          <w:rFonts w:ascii="Arial" w:hAnsi="Arial"/>
          <w:b/>
          <w:sz w:val="24"/>
        </w:rPr>
        <w:t xml:space="preserve">Hedging and Pledging Policy </w:t>
      </w:r>
    </w:p>
    <w:p>
      <w:pPr>
        <w:pStyle w:val="TextBody"/>
        <w:bidi w:val="0"/>
        <w:spacing w:before="120" w:after="0"/>
        <w:jc w:val="left"/>
        <w:rPr>
          <w:rFonts w:ascii="Arial" w:hAnsi="Arial"/>
          <w:sz w:val="18"/>
        </w:rPr>
      </w:pPr>
      <w:r>
        <w:rPr>
          <w:rFonts w:ascii="Arial" w:hAnsi="Arial"/>
          <w:sz w:val="18"/>
        </w:rPr>
        <w:t xml:space="preserve">Our Named Executives are subject to our Derivatives Trading, Hedging, and Pledging policy described on page 12. </w:t>
      </w:r>
    </w:p>
    <w:p>
      <w:pPr>
        <w:pStyle w:val="TextBody"/>
        <w:bidi w:val="0"/>
        <w:spacing w:before="240" w:after="0"/>
        <w:jc w:val="left"/>
        <w:rPr>
          <w:rFonts w:ascii="Arial" w:hAnsi="Arial"/>
          <w:b/>
          <w:sz w:val="24"/>
        </w:rPr>
      </w:pPr>
      <w:r>
        <w:rPr>
          <w:rFonts w:ascii="Arial" w:hAnsi="Arial"/>
          <w:b/>
          <w:sz w:val="24"/>
        </w:rPr>
        <w:t xml:space="preserve">Deductibility of Executive Compensation </w:t>
      </w:r>
    </w:p>
    <w:p>
      <w:pPr>
        <w:pStyle w:val="TextBody"/>
        <w:bidi w:val="0"/>
        <w:spacing w:before="120" w:after="0"/>
        <w:jc w:val="left"/>
        <w:rPr>
          <w:rFonts w:ascii="Arial" w:hAnsi="Arial"/>
          <w:sz w:val="18"/>
        </w:rPr>
      </w:pPr>
      <w:r>
        <w:rPr>
          <w:rFonts w:ascii="Arial" w:hAnsi="Arial"/>
          <w:sz w:val="18"/>
        </w:rPr>
        <w:t xml:space="preserve">Section 162(m) of the Internal Revenue Code (“Section 162(m)”) imposes an annual deduction limit of $1 million on the amount of compensation paid to each of the CEO, the CFO, and certain other current or former named executive officers (together, “covered employees”). Compensation to our Named Executives over this limit is nondeductible. </w:t>
      </w:r>
    </w:p>
    <w:p>
      <w:pPr>
        <w:pStyle w:val="TextBody"/>
        <w:bidi w:val="0"/>
        <w:spacing w:before="240" w:after="0"/>
        <w:jc w:val="left"/>
        <w:rPr>
          <w:rFonts w:ascii="Arial" w:hAnsi="Arial"/>
          <w:b/>
          <w:sz w:val="24"/>
        </w:rPr>
      </w:pPr>
      <w:r>
        <w:rPr>
          <w:rFonts w:ascii="Arial" w:hAnsi="Arial"/>
          <w:b/>
          <w:sz w:val="24"/>
        </w:rPr>
        <w:t xml:space="preserve">Annual Compensation Risk Assessment </w:t>
      </w:r>
    </w:p>
    <w:p>
      <w:pPr>
        <w:pStyle w:val="TextBody"/>
        <w:bidi w:val="0"/>
        <w:spacing w:before="120" w:after="0"/>
        <w:jc w:val="left"/>
        <w:rPr>
          <w:rFonts w:ascii="Arial" w:hAnsi="Arial"/>
          <w:sz w:val="18"/>
        </w:rPr>
      </w:pPr>
      <w:r>
        <w:rPr>
          <w:rFonts w:ascii="Arial" w:hAnsi="Arial"/>
          <w:sz w:val="18"/>
        </w:rPr>
        <w:t xml:space="preserve">We performed an annual assessment for our Compensation and Audit and Finance Committees of our Board of Directors to determine whether the risks arising from our fiscal year 2026 compensation policies and practices were reasonably likely to have a material adverse effect on Microsoft. Our assessment reviewed the material elements of executive and non-executive employee compensation. We concluded these policies and practices do not create risk that is reasonably likely to have a material adverse effect on Microsoft.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50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7"/>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structure of our compensation program for our executive officers does not incentivize unnecessary or excessive risk-taking. The base salary component of compensation does not encourage risk-taking because it is a fixed amount. The Incentive Plan awards have these risk-limiting characteristics: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10"/>
        <w:gridCol w:w="120"/>
        <w:gridCol w:w="51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7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sz w:val="4"/>
                <w:szCs w:val="4"/>
              </w:rPr>
            </w:pPr>
            <w:r>
              <w:rPr>
                <w:sz w:val="4"/>
                <w:szCs w:val="4"/>
              </w:rPr>
            </w:r>
          </w:p>
        </w:tc>
        <w:tc>
          <w:tcPr>
            <w:tcW w:w="5295" w:type="dxa"/>
            <w:gridSpan w:val="2"/>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Cash incentive awards under the Incentive Plan are limited to 200% of a target cash incentive award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Cash incentive awards are structured 50% (70% for CEO) based on pre-established goals (balance of growth and profitability goals) and 50% (30% for CEO) based on operational performance as assessed across three performance categories, diversifying the risk associated with any single aspect of performance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The majority of Incentive Plan award value is delivered in awards for shares of Microsoft common stock with multi-year vesting schedules or performance periods, which aligns the interests of our executive officers to long-term shareholder interests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We maintain robust executive stock ownership requirements ranging from 5x to 15x annual salary, which reduces incentive for excessive short-term risk taking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PSA metrics further diversify the elements of the program to minimize the incentive to produce any particular outcome</w:t>
            </w:r>
          </w:p>
        </w:tc>
        <w:tc>
          <w:tcPr>
            <w:tcW w:w="120" w:type="dxa"/>
            <w:tcBorders/>
            <w:vAlign w:val="center"/>
          </w:tcPr>
          <w:p>
            <w:pPr>
              <w:pStyle w:val="TableContents"/>
              <w:bidi w:val="0"/>
              <w:spacing w:before="0" w:after="283"/>
              <w:jc w:val="left"/>
              <w:rPr/>
            </w:pPr>
            <w:r>
              <w:rPr/>
              <w:t>  </w:t>
            </w:r>
          </w:p>
        </w:tc>
        <w:tc>
          <w:tcPr>
            <w:tcW w:w="5175" w:type="dxa"/>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PSAs use Company-wide measures that are not specific to any one executive officer’s sphere of responsibility and that apply equally to all participants to encourage a unified and responsible approach to achieving financial and strategic goals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Overlapping performance periods for PSAs limit the impact of short-term business performance or share price fluctuations on final outcomes</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Equity awards are not made in the form of stock options, which may provide an asymmetrical incentive to take unnecessary or excessive risks to increase the market price of Microsoft common stock</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Members of our Compensation Committee (or for Mr. Nadella, the independent members of our Board of Directors) approve all Incentive Plan awards to executive officers, including performance achievement levels that determine final payout outcomes, and have the opportunity to reduce payments and use negative discretion, if appropriate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Awards are subject to the Company’s Executive Compensation Recovery policy, which provides for recoupment in the event of a restatement or misconduct</w:t>
            </w:r>
          </w:p>
          <w:p>
            <w:pPr>
              <w:pStyle w:val="TableContents"/>
              <w:bidi w:val="0"/>
              <w:spacing w:before="0" w:after="20"/>
              <w:jc w:val="left"/>
              <w:rPr/>
            </w:pPr>
            <w:r>
              <w:rPr/>
              <w:t> </w:t>
            </w:r>
          </w:p>
        </w:tc>
      </w:tr>
    </w:tbl>
    <w:p>
      <w:pPr>
        <w:pStyle w:val="TextBody"/>
        <w:bidi w:val="0"/>
        <w:spacing w:before="120" w:after="0"/>
        <w:jc w:val="left"/>
        <w:rPr>
          <w:rFonts w:ascii="Arial" w:hAnsi="Arial"/>
          <w:sz w:val="18"/>
        </w:rPr>
      </w:pPr>
      <w:r>
        <w:rPr>
          <w:rFonts w:ascii="Arial" w:hAnsi="Arial"/>
          <w:sz w:val="18"/>
        </w:rPr>
        <w:t xml:space="preserve">Awards are subject to our Executive Compensation Recovery Policy, described in this Section 7 – Other Compensation Policies and Information – Comprehensive Clawback Policy. </w:t>
      </w:r>
    </w:p>
    <w:p>
      <w:pPr>
        <w:pStyle w:val="TextBody"/>
        <w:bidi w:val="0"/>
        <w:spacing w:before="120" w:after="0"/>
        <w:jc w:val="left"/>
        <w:rPr>
          <w:rFonts w:ascii="Arial" w:hAnsi="Arial"/>
          <w:sz w:val="18"/>
        </w:rPr>
      </w:pPr>
      <w:r>
        <w:rPr>
          <w:rFonts w:ascii="Arial" w:hAnsi="Arial"/>
          <w:sz w:val="18"/>
        </w:rPr>
        <w:t xml:space="preserve">Executive officers are subject to our executive stock ownership requirements, described in this Section 7 – Other Compensation Policies and Information – Robust Stock Ownership Policy.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21" w:name="toc61756_18"/>
      <w:bookmarkEnd w:id="21"/>
      <w:r>
        <w:rPr>
          <w:rFonts w:ascii="Arial" w:hAnsi="Arial"/>
          <w:b/>
          <w:color w:val="0075C9"/>
          <w:sz w:val="28"/>
        </w:rPr>
        <w:t xml:space="preserve">Compensation Committee Report </w:t>
      </w:r>
    </w:p>
    <w:p>
      <w:pPr>
        <w:pStyle w:val="TextBody"/>
        <w:bidi w:val="0"/>
        <w:spacing w:before="120" w:after="0"/>
        <w:jc w:val="left"/>
        <w:rPr>
          <w:rFonts w:ascii="Arial" w:hAnsi="Arial"/>
          <w:sz w:val="18"/>
        </w:rPr>
      </w:pPr>
      <w:r>
        <w:rPr>
          <w:rFonts w:ascii="Arial" w:hAnsi="Arial"/>
          <w:sz w:val="18"/>
        </w:rPr>
        <w:t xml:space="preserve">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w:t>
      </w:r>
    </w:p>
    <w:p>
      <w:pPr>
        <w:pStyle w:val="TextBody"/>
        <w:bidi w:val="0"/>
        <w:spacing w:before="120" w:after="0"/>
        <w:jc w:val="left"/>
        <w:rPr>
          <w:rFonts w:ascii="Arial" w:hAnsi="Arial"/>
          <w:b/>
          <w:sz w:val="18"/>
        </w:rPr>
      </w:pPr>
      <w:r>
        <w:rPr>
          <w:rFonts w:ascii="Arial" w:hAnsi="Arial"/>
          <w:b/>
          <w:sz w:val="18"/>
        </w:rPr>
        <w:t xml:space="preserve">Compensation Committee </w:t>
      </w:r>
    </w:p>
    <w:p>
      <w:pPr>
        <w:pStyle w:val="TextBody"/>
        <w:bidi w:val="0"/>
        <w:spacing w:before="0" w:after="0"/>
        <w:jc w:val="left"/>
        <w:rPr>
          <w:rFonts w:ascii="Arial" w:hAnsi="Arial"/>
          <w:sz w:val="18"/>
        </w:rPr>
      </w:pPr>
      <w:r>
        <w:rPr>
          <w:rFonts w:ascii="Arial" w:hAnsi="Arial"/>
          <w:sz w:val="18"/>
        </w:rPr>
        <w:t xml:space="preserve">Catherine MacGregor (Chair) </w:t>
      </w:r>
    </w:p>
    <w:p>
      <w:pPr>
        <w:pStyle w:val="TextBody"/>
        <w:bidi w:val="0"/>
        <w:spacing w:before="0" w:after="0"/>
        <w:jc w:val="left"/>
        <w:rPr>
          <w:rFonts w:ascii="Arial" w:hAnsi="Arial"/>
          <w:sz w:val="18"/>
        </w:rPr>
      </w:pPr>
      <w:r>
        <w:rPr>
          <w:rFonts w:ascii="Arial" w:hAnsi="Arial"/>
          <w:sz w:val="18"/>
        </w:rPr>
        <w:t xml:space="preserve">Carmine Di Sibio </w:t>
      </w:r>
    </w:p>
    <w:p>
      <w:pPr>
        <w:pStyle w:val="TextBody"/>
        <w:bidi w:val="0"/>
        <w:spacing w:before="0" w:after="0"/>
        <w:jc w:val="left"/>
        <w:rPr>
          <w:rFonts w:ascii="Arial" w:hAnsi="Arial"/>
          <w:sz w:val="18"/>
        </w:rPr>
      </w:pPr>
      <w:r>
        <w:rPr>
          <w:rFonts w:ascii="Arial" w:hAnsi="Arial"/>
          <w:sz w:val="18"/>
        </w:rPr>
        <w:t xml:space="preserve">Sandra E. Peterson </w:t>
      </w:r>
    </w:p>
    <w:p>
      <w:pPr>
        <w:pStyle w:val="TextBody"/>
        <w:bidi w:val="0"/>
        <w:spacing w:before="0" w:after="0"/>
        <w:jc w:val="left"/>
        <w:rPr>
          <w:rFonts w:ascii="Arial" w:hAnsi="Arial"/>
          <w:sz w:val="18"/>
        </w:rPr>
      </w:pPr>
      <w:r>
        <w:rPr>
          <w:rFonts w:ascii="Arial" w:hAnsi="Arial"/>
          <w:sz w:val="18"/>
        </w:rPr>
        <w:t xml:space="preserve">Charles W. Scharf </w:t>
      </w:r>
    </w:p>
    <w:p>
      <w:pPr>
        <w:pStyle w:val="TextBody"/>
        <w:bidi w:val="0"/>
        <w:spacing w:before="0" w:after="0"/>
        <w:jc w:val="left"/>
        <w:rPr>
          <w:rFonts w:ascii="Arial" w:hAnsi="Arial"/>
          <w:sz w:val="18"/>
        </w:rPr>
      </w:pPr>
      <w:r>
        <w:rPr>
          <w:rFonts w:ascii="Arial" w:hAnsi="Arial"/>
          <w:sz w:val="18"/>
        </w:rPr>
        <w:t xml:space="preserve">Emma N. Walmsley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8"/>
        </w:rPr>
      </w:pPr>
      <w:bookmarkStart w:id="22" w:name="toc61756_19"/>
      <w:bookmarkEnd w:id="22"/>
      <w:r>
        <w:rPr>
          <w:rFonts w:ascii="Arial" w:hAnsi="Arial"/>
          <w:b/>
          <w:color w:val="0075C9"/>
          <w:sz w:val="28"/>
        </w:rPr>
        <w:t xml:space="preserve">Fiscal Year 2026 Compensation Tables </w:t>
      </w:r>
    </w:p>
    <w:p>
      <w:pPr>
        <w:pStyle w:val="TextBody"/>
        <w:bidi w:val="0"/>
        <w:spacing w:before="120" w:after="0"/>
        <w:jc w:val="left"/>
        <w:rPr>
          <w:rFonts w:ascii="Arial" w:hAnsi="Arial"/>
          <w:b/>
          <w:sz w:val="24"/>
        </w:rPr>
      </w:pPr>
      <w:bookmarkStart w:id="23" w:name="toc61756_20"/>
      <w:bookmarkEnd w:id="23"/>
      <w:r>
        <w:rPr>
          <w:rFonts w:ascii="Arial" w:hAnsi="Arial"/>
          <w:b/>
          <w:sz w:val="24"/>
        </w:rPr>
        <w:t xml:space="preserve">Summary Compensation Table </w:t>
      </w:r>
    </w:p>
    <w:p>
      <w:pPr>
        <w:pStyle w:val="TextBody"/>
        <w:bidi w:val="0"/>
        <w:spacing w:before="120" w:after="0"/>
        <w:jc w:val="left"/>
        <w:rPr>
          <w:rFonts w:ascii="Arial" w:hAnsi="Arial"/>
          <w:sz w:val="18"/>
        </w:rPr>
      </w:pPr>
      <w:r>
        <w:rPr>
          <w:rFonts w:ascii="Arial" w:hAnsi="Arial"/>
          <w:sz w:val="18"/>
        </w:rPr>
        <w:t xml:space="preserve">This table contains information about compensation awarded to our Named Executives for the fiscal years ended June 30, 2026, 2025, and 2024. None of our Named Executives received stock options, reimbursements for relocation expenses, or tax-gross-up payments, during those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0"/>
        <w:gridCol w:w="60"/>
        <w:gridCol w:w="60"/>
        <w:gridCol w:w="500"/>
        <w:gridCol w:w="60"/>
        <w:gridCol w:w="60"/>
        <w:gridCol w:w="60"/>
        <w:gridCol w:w="845"/>
        <w:gridCol w:w="60"/>
        <w:gridCol w:w="60"/>
        <w:gridCol w:w="172"/>
        <w:gridCol w:w="403"/>
        <w:gridCol w:w="60"/>
        <w:gridCol w:w="60"/>
        <w:gridCol w:w="60"/>
        <w:gridCol w:w="950"/>
        <w:gridCol w:w="60"/>
        <w:gridCol w:w="60"/>
        <w:gridCol w:w="81"/>
        <w:gridCol w:w="1289"/>
        <w:gridCol w:w="60"/>
        <w:gridCol w:w="60"/>
        <w:gridCol w:w="108"/>
        <w:gridCol w:w="1262"/>
        <w:gridCol w:w="60"/>
        <w:gridCol w:w="60"/>
        <w:gridCol w:w="60"/>
        <w:gridCol w:w="950"/>
        <w:gridCol w:w="75"/>
      </w:tblGrid>
      <w:tr>
        <w:trPr/>
        <w:tc>
          <w:tcPr>
            <w:tcW w:w="2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50" w:type="dxa"/>
            <w:tcBorders>
              <w:bottom w:val="single" w:sz="8"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Named Executive and</w:t>
            </w:r>
          </w:p>
          <w:p>
            <w:pPr>
              <w:pStyle w:val="TableContents"/>
              <w:bidi w:val="0"/>
              <w:spacing w:before="0" w:after="20"/>
              <w:jc w:val="left"/>
              <w:rPr>
                <w:rFonts w:ascii="Arial" w:hAnsi="Arial"/>
                <w:b/>
                <w:sz w:val="18"/>
              </w:rPr>
            </w:pPr>
            <w:r>
              <w:rPr>
                <w:rFonts w:ascii="Arial" w:hAnsi="Arial"/>
                <w:b/>
                <w:sz w:val="18"/>
              </w:rPr>
              <w:t>Principal Position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right"/>
              <w:rPr>
                <w:b/>
              </w:rPr>
            </w:pPr>
            <w:r>
              <w:rPr>
                <w:b/>
              </w:rPr>
              <w:t>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Salary</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Bonus</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Stock</w:t>
            </w:r>
          </w:p>
          <w:p>
            <w:pPr>
              <w:pStyle w:val="TableContents"/>
              <w:bidi w:val="0"/>
              <w:spacing w:before="0" w:after="0"/>
              <w:jc w:val="right"/>
              <w:rPr>
                <w:rFonts w:ascii="Arial" w:hAnsi="Arial"/>
                <w:b/>
                <w:sz w:val="18"/>
              </w:rPr>
            </w:pPr>
            <w:r>
              <w:rPr>
                <w:rFonts w:ascii="Arial" w:hAnsi="Arial"/>
                <w:b/>
                <w:sz w:val="18"/>
              </w:rPr>
              <w:t>Awards1</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Non-equity</w:t>
            </w:r>
          </w:p>
          <w:p>
            <w:pPr>
              <w:pStyle w:val="TableContents"/>
              <w:bidi w:val="0"/>
              <w:spacing w:before="0" w:after="0"/>
              <w:jc w:val="right"/>
              <w:rPr>
                <w:rFonts w:ascii="Arial" w:hAnsi="Arial"/>
                <w:b/>
                <w:sz w:val="18"/>
              </w:rPr>
            </w:pPr>
            <w:r>
              <w:rPr>
                <w:rFonts w:ascii="Arial" w:hAnsi="Arial"/>
                <w:b/>
                <w:sz w:val="18"/>
              </w:rPr>
              <w:t>Incentive Plan</w:t>
            </w:r>
          </w:p>
          <w:p>
            <w:pPr>
              <w:pStyle w:val="TableContents"/>
              <w:bidi w:val="0"/>
              <w:spacing w:before="0" w:after="0"/>
              <w:jc w:val="right"/>
              <w:rPr>
                <w:rFonts w:ascii="Arial" w:hAnsi="Arial"/>
                <w:b/>
                <w:sz w:val="18"/>
              </w:rPr>
            </w:pPr>
            <w:r>
              <w:rPr>
                <w:rFonts w:ascii="Arial" w:hAnsi="Arial"/>
                <w:b/>
                <w:sz w:val="18"/>
              </w:rPr>
              <w:t>Compensation2</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All Other</w:t>
            </w:r>
          </w:p>
          <w:p>
            <w:pPr>
              <w:pStyle w:val="TableContents"/>
              <w:bidi w:val="0"/>
              <w:spacing w:before="0" w:after="0"/>
              <w:jc w:val="right"/>
              <w:rPr>
                <w:rFonts w:ascii="Arial" w:hAnsi="Arial"/>
                <w:b/>
                <w:sz w:val="18"/>
              </w:rPr>
            </w:pPr>
            <w:r>
              <w:rPr>
                <w:rFonts w:ascii="Arial" w:hAnsi="Arial"/>
                <w:b/>
                <w:sz w:val="18"/>
              </w:rPr>
              <w:t>Compensation3</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Total</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55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r>
      <w:tr>
        <w:trPr/>
        <w:tc>
          <w:tcPr>
            <w:tcW w:w="2550" w:type="dxa"/>
            <w:vMerge w:val="restart"/>
            <w:tcBorders>
              <w:bottom w:val="single" w:sz="6"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Satya Nadella</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Chairman and Chief</w:t>
            </w:r>
          </w:p>
          <w:p>
            <w:pPr>
              <w:pStyle w:val="TableContents"/>
              <w:bidi w:val="0"/>
              <w:spacing w:before="0" w:after="20"/>
              <w:jc w:val="left"/>
              <w:rPr>
                <w:rFonts w:ascii="Arial" w:hAnsi="Arial"/>
                <w:i/>
                <w:sz w:val="18"/>
              </w:rPr>
            </w:pPr>
            <w:r>
              <w:rPr>
                <w:rFonts w:ascii="Arial" w:hAnsi="Arial"/>
                <w:i/>
                <w:sz w:val="18"/>
              </w:rPr>
              <w:t>Executive Officer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0" w:type="dxa"/>
            <w:tcBorders>
              <w:bottom w:val="single" w:sz="6" w:space="0" w:color="000000"/>
            </w:tcBorders>
            <w:tcMar>
              <w:bottom w:w="28" w:type="dxa"/>
            </w:tcMar>
            <w:vAlign w:val="center"/>
          </w:tcPr>
          <w:p>
            <w:pPr>
              <w:pStyle w:val="TableContents"/>
              <w:bidi w:val="0"/>
              <w:spacing w:before="0" w:after="283"/>
              <w:jc w:val="right"/>
              <w:rPr/>
            </w:pPr>
            <w:r>
              <w:rPr/>
              <w:t>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845"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2,500,000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bottom w:val="single" w:sz="6" w:space="0" w:color="000000"/>
            </w:tcBorders>
            <w:tcMar>
              <w:bottom w:w="28" w:type="dxa"/>
            </w:tcMar>
            <w:vAlign w:val="center"/>
          </w:tcPr>
          <w:p>
            <w:pPr>
              <w:pStyle w:val="TableContents"/>
              <w:bidi w:val="0"/>
              <w:spacing w:before="0" w:after="283"/>
              <w:jc w:val="left"/>
              <w:rPr/>
            </w:pPr>
            <w:r>
              <w:rPr/>
              <w:t> </w:t>
            </w:r>
          </w:p>
        </w:tc>
        <w:tc>
          <w:tcPr>
            <w:tcW w:w="403" w:type="dxa"/>
            <w:tcBorders>
              <w:bottom w:val="single" w:sz="6" w:space="0" w:color="000000"/>
            </w:tcBorders>
            <w:tcMar>
              <w:bottom w:w="28" w:type="dxa"/>
            </w:tcMar>
            <w:vAlign w:val="center"/>
          </w:tcPr>
          <w:p>
            <w:pPr>
              <w:pStyle w:val="TableContents"/>
              <w:bidi w:val="0"/>
              <w:spacing w:before="0" w:after="283"/>
              <w:jc w:val="right"/>
              <w:rPr/>
            </w:pPr>
            <w:r>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77,570,774</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89"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10,299,000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259,203</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90,628,977</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84,245,496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9,555,000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196,294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96,496,790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2,500,000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71,236,392</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5,200,000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169,791</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79,106,183</w:t>
            </w:r>
          </w:p>
        </w:tc>
        <w:tc>
          <w:tcPr>
            <w:tcW w:w="75" w:type="dxa"/>
            <w:tcBorders>
              <w:bottom w:val="single" w:sz="6" w:space="0" w:color="0075C9"/>
            </w:tcBorders>
            <w:tcMar>
              <w:bottom w:w="28" w:type="dxa"/>
            </w:tcMar>
            <w:vAlign w:val="center"/>
          </w:tcPr>
          <w:p>
            <w:pPr>
              <w:pStyle w:val="TableContents"/>
              <w:bidi w:val="0"/>
              <w:spacing w:before="0" w:after="283"/>
              <w:jc w:val="left"/>
              <w:rPr/>
            </w:pPr>
            <w:r>
              <w:rPr/>
              <w:t> </w:t>
            </w:r>
          </w:p>
        </w:tc>
      </w:tr>
      <w:tr>
        <w:trPr/>
        <w:tc>
          <w:tcPr>
            <w:tcW w:w="2550" w:type="dxa"/>
            <w:vMerge w:val="restart"/>
            <w:tcBorders>
              <w:bottom w:val="single" w:sz="6"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Amy E. Hood</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Executive Vice President and</w:t>
            </w:r>
          </w:p>
          <w:p>
            <w:pPr>
              <w:pStyle w:val="TableContents"/>
              <w:bidi w:val="0"/>
              <w:spacing w:before="0" w:after="20"/>
              <w:jc w:val="left"/>
              <w:rPr>
                <w:rFonts w:ascii="Arial" w:hAnsi="Arial"/>
                <w:i/>
                <w:sz w:val="18"/>
              </w:rPr>
            </w:pPr>
            <w:r>
              <w:rPr>
                <w:rFonts w:ascii="Arial" w:hAnsi="Arial"/>
                <w:i/>
                <w:sz w:val="18"/>
              </w:rPr>
              <w:t>Chief Financial Officer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50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2026</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845"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403"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29,136,390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89"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3,488,000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92,399</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33,716,789</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25,037,360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3,421,000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23,191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29,481,551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21,094,956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3,642,750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61,500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25,799,206</w:t>
            </w:r>
          </w:p>
        </w:tc>
        <w:tc>
          <w:tcPr>
            <w:tcW w:w="75" w:type="dxa"/>
            <w:tcBorders>
              <w:bottom w:val="single" w:sz="6" w:space="0" w:color="0075C9"/>
            </w:tcBorders>
            <w:tcMar>
              <w:bottom w:w="28" w:type="dxa"/>
            </w:tcMar>
            <w:vAlign w:val="center"/>
          </w:tcPr>
          <w:p>
            <w:pPr>
              <w:pStyle w:val="TableContents"/>
              <w:bidi w:val="0"/>
              <w:spacing w:before="0" w:after="283"/>
              <w:jc w:val="left"/>
              <w:rPr/>
            </w:pPr>
            <w:r>
              <w:rPr/>
              <w:t> </w:t>
            </w:r>
          </w:p>
        </w:tc>
      </w:tr>
      <w:tr>
        <w:trPr/>
        <w:tc>
          <w:tcPr>
            <w:tcW w:w="2550" w:type="dxa"/>
            <w:vMerge w:val="restart"/>
            <w:tcBorders>
              <w:bottom w:val="single" w:sz="6"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Judson B. Althoff</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Chief Executive Officer, Microsoft Commercial Business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50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2026</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845"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403"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28,847,960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89"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3,488,000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101,467</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33,437,427</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993,333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23,708,619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3,398,194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98,588</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28,198,734</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960,000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18,515,353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3,497,040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77,934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23,050,327</w:t>
            </w:r>
          </w:p>
        </w:tc>
        <w:tc>
          <w:tcPr>
            <w:tcW w:w="75" w:type="dxa"/>
            <w:tcBorders>
              <w:bottom w:val="single" w:sz="6" w:space="0" w:color="0075C9"/>
            </w:tcBorders>
            <w:tcMar>
              <w:bottom w:w="28" w:type="dxa"/>
            </w:tcMar>
            <w:vAlign w:val="center"/>
          </w:tcPr>
          <w:p>
            <w:pPr>
              <w:pStyle w:val="TableContents"/>
              <w:bidi w:val="0"/>
              <w:spacing w:before="0" w:after="283"/>
              <w:jc w:val="left"/>
              <w:rPr/>
            </w:pPr>
            <w:r>
              <w:rPr/>
              <w:t> </w:t>
            </w:r>
          </w:p>
        </w:tc>
      </w:tr>
      <w:tr>
        <w:trPr/>
        <w:tc>
          <w:tcPr>
            <w:tcW w:w="2550" w:type="dxa"/>
            <w:vMerge w:val="restart"/>
            <w:tcBorders>
              <w:bottom w:val="single" w:sz="6"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Takeshi Numoto</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 xml:space="preserve">Executive Vice President and </w:t>
              <w:br/>
              <w:t>Chief Marketing Officer</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50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2026</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845"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841,667</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403"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12,320,346</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89"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2,547,473</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14,750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15,724,236</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2025</w:t>
            </w:r>
          </w:p>
          <w:p>
            <w:pPr>
              <w:pStyle w:val="TableContents"/>
              <w:bidi w:val="0"/>
              <w:spacing w:before="0" w:after="2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800,000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9,005,380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2,056,000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15,250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11,876,630</w:t>
            </w:r>
          </w:p>
        </w:tc>
        <w:tc>
          <w:tcPr>
            <w:tcW w:w="75" w:type="dxa"/>
            <w:tcBorders>
              <w:bottom w:val="single" w:sz="6" w:space="0" w:color="0075C9"/>
            </w:tcBorders>
            <w:tcMar>
              <w:bottom w:w="28" w:type="dxa"/>
            </w:tcMar>
            <w:vAlign w:val="center"/>
          </w:tcPr>
          <w:p>
            <w:pPr>
              <w:pStyle w:val="TableContents"/>
              <w:bidi w:val="0"/>
              <w:spacing w:before="0" w:after="283"/>
              <w:jc w:val="left"/>
              <w:rPr/>
            </w:pPr>
            <w:r>
              <w:rPr/>
              <w:t> </w:t>
            </w:r>
          </w:p>
        </w:tc>
      </w:tr>
      <w:tr>
        <w:trPr/>
        <w:tc>
          <w:tcPr>
            <w:tcW w:w="2550" w:type="dxa"/>
            <w:vMerge w:val="restart"/>
            <w:tcBorders>
              <w:bottom w:val="single" w:sz="6" w:space="0" w:color="0075C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75C9"/>
                <w:sz w:val="18"/>
              </w:rPr>
            </w:pPr>
            <w:r>
              <w:rPr>
                <w:rFonts w:ascii="Arial" w:hAnsi="Arial"/>
                <w:b/>
                <w:color w:val="0075C9"/>
                <w:sz w:val="18"/>
              </w:rPr>
              <w:t>Bradford L. Smith</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Vice Chair and President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50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2026</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845"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403"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28,465,658</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1"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89"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3,488,000</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115,755</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0"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33,069,413</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23,734,545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3,421,000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111,750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28,267,295</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550" w:type="dxa"/>
            <w:vMerge w:val="continue"/>
            <w:tcBorders>
              <w:bottom w:val="single" w:sz="6" w:space="0" w:color="0075C9"/>
            </w:tcBorders>
            <w:tcMar>
              <w:bottom w:w="28" w:type="dxa"/>
            </w:tcMar>
            <w:vAlign w:val="center"/>
          </w:tcPr>
          <w:p>
            <w:pPr>
              <w:pStyle w:val="Normal"/>
              <w:bidi w:val="0"/>
              <w:jc w:val="left"/>
              <w:rPr/>
            </w:pPr>
            <w:r>
              <w:rPr/>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2024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1,000,000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575"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18,684,175</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3,642,750</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37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112,868</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010" w:type="dxa"/>
            <w:gridSpan w:val="2"/>
            <w:tcBorders>
              <w:bottom w:val="single" w:sz="6" w:space="0" w:color="0075C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23,439,793</w:t>
            </w:r>
          </w:p>
        </w:tc>
        <w:tc>
          <w:tcPr>
            <w:tcW w:w="75" w:type="dxa"/>
            <w:tcBorders>
              <w:bottom w:val="single" w:sz="6" w:space="0" w:color="0075C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Arial" w:hAnsi="Arial"/>
                <w:sz w:val="14"/>
              </w:rPr>
            </w:pPr>
            <w:r>
              <w:rPr>
                <w:rFonts w:ascii="Arial" w:hAnsi="Arial"/>
                <w:sz w:val="14"/>
              </w:rPr>
              <w:t xml:space="preserve">Includes the grant date fair values for SAs and PSAs calculated in accordance with Financial Accounting Standards Board (“FASB”) Accounting Standards Codification (“ASC”) Topic 718 based on the market price of the shares subject to the award on the date of grant. The value of SAs is reduced by the present value of estimated future dividends because dividends are not paid on SA shares until vesting. The value of PSAs is calculated using a Monte-Carlo simulation valuation performed as of the date of grant by an independent third party. Because the grant date for a PSA occurs when performance targets are approved, and we approved performance targets in each of fiscal years 2026, 2025, and 2024, PSA values in this column include: (i) for fiscal year 2026 – 33.33% of each of the fiscal year 2026 PSAs, the fiscal year 2025 PSAs, and the fiscal year 2024 PSAs; (ii) for fiscal year 2025 – 33.33% of each of the fiscal year 2025 PSAs, the fiscal year 2024 PSAs, and the fiscal year 2023 PSAs; and (iii) for fiscal year 2024 – 33.33% of each of the fiscal year 2024 PSAs, the fiscal year 2023 PSAs, and the fiscal year 2022 PSAs.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395"/>
        <w:gridCol w:w="864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The</w:t>
            </w:r>
          </w:p>
        </w:tc>
        <w:tc>
          <w:tcPr>
            <w:tcW w:w="8645" w:type="dxa"/>
            <w:tcBorders/>
            <w:vAlign w:val="center"/>
          </w:tcPr>
          <w:p>
            <w:pPr>
              <w:pStyle w:val="TableContents"/>
              <w:bidi w:val="0"/>
              <w:spacing w:before="0" w:after="0"/>
              <w:jc w:val="left"/>
              <w:rPr>
                <w:rFonts w:ascii="Arial" w:hAnsi="Arial"/>
                <w:sz w:val="14"/>
              </w:rPr>
            </w:pPr>
            <w:r>
              <w:rPr>
                <w:rFonts w:ascii="Arial" w:hAnsi="Arial"/>
                <w:sz w:val="14"/>
              </w:rPr>
              <w:t xml:space="preserve">following table includes the assumptions used to calculate the grant date fair value of SAs reported for fiscal years 2026, 2025, and 2024. </w:t>
            </w:r>
          </w:p>
        </w:tc>
      </w:tr>
    </w:tbl>
    <w:p>
      <w:pPr>
        <w:pStyle w:val="TextBody"/>
        <w:bidi w:val="0"/>
        <w:spacing w:before="0" w:after="0"/>
        <w:jc w:val="left"/>
        <w:rPr/>
      </w:pPr>
      <w:r>
        <w:rPr/>
        <w:t> </w:t>
      </w:r>
    </w:p>
    <w:tbl>
      <w:tblPr>
        <w:tblW w:w="7505" w:type="dxa"/>
        <w:jc w:val="left"/>
        <w:tblInd w:w="0" w:type="dxa"/>
        <w:tblLayout w:type="fixed"/>
        <w:tblCellMar>
          <w:top w:w="0" w:type="dxa"/>
          <w:left w:w="0" w:type="dxa"/>
          <w:bottom w:w="0" w:type="dxa"/>
          <w:right w:w="0" w:type="dxa"/>
        </w:tblCellMar>
      </w:tblPr>
      <w:tblGrid>
        <w:gridCol w:w="1280"/>
        <w:gridCol w:w="120"/>
        <w:gridCol w:w="60"/>
        <w:gridCol w:w="1880"/>
        <w:gridCol w:w="60"/>
        <w:gridCol w:w="120"/>
        <w:gridCol w:w="205"/>
        <w:gridCol w:w="1915"/>
        <w:gridCol w:w="60"/>
        <w:gridCol w:w="120"/>
        <w:gridCol w:w="60"/>
        <w:gridCol w:w="1550"/>
        <w:gridCol w:w="75"/>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910" w:type="dxa"/>
            <w:gridSpan w:val="6"/>
            <w:tcBorders>
              <w:bottom w:val="single" w:sz="6" w:space="0" w:color="000000"/>
            </w:tcBorders>
            <w:tcMar>
              <w:bottom w:w="40" w:type="dxa"/>
            </w:tcMar>
            <w:vAlign w:val="center"/>
          </w:tcPr>
          <w:p>
            <w:pPr>
              <w:pStyle w:val="TableContents"/>
              <w:bidi w:val="0"/>
              <w:spacing w:before="0" w:after="283"/>
              <w:jc w:val="center"/>
              <w:rPr>
                <w:b/>
              </w:rPr>
            </w:pPr>
            <w:r>
              <w:rPr>
                <w:b/>
              </w:rPr>
              <w:t>Assumptions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280" w:type="dxa"/>
            <w:tcBorders>
              <w:bottom w:val="single" w:sz="6" w:space="0" w:color="000000"/>
            </w:tcBorders>
            <w:tcMar>
              <w:bottom w:w="40" w:type="dxa"/>
            </w:tcMar>
            <w:vAlign w:val="center"/>
          </w:tcPr>
          <w:p>
            <w:pPr>
              <w:pStyle w:val="TableContents"/>
              <w:bidi w:val="0"/>
              <w:spacing w:before="0" w:after="0"/>
              <w:jc w:val="left"/>
              <w:rPr>
                <w:rFonts w:ascii="Arial" w:hAnsi="Arial"/>
                <w:b/>
                <w:sz w:val="15"/>
              </w:rPr>
            </w:pPr>
            <w:r>
              <w:rPr>
                <w:rFonts w:ascii="Arial" w:hAnsi="Arial"/>
                <w:b/>
                <w:sz w:val="15"/>
              </w:rPr>
              <w:t>SA Award</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40" w:type="dxa"/>
            <w:gridSpan w:val="2"/>
            <w:tcBorders>
              <w:bottom w:val="single" w:sz="6" w:space="0" w:color="000000"/>
            </w:tcBorders>
            <w:tcMar>
              <w:bottom w:w="40" w:type="dxa"/>
            </w:tcMar>
            <w:vAlign w:val="center"/>
          </w:tcPr>
          <w:p>
            <w:pPr>
              <w:pStyle w:val="TableContents"/>
              <w:bidi w:val="0"/>
              <w:spacing w:before="0" w:after="283"/>
              <w:jc w:val="right"/>
              <w:rPr>
                <w:b/>
              </w:rPr>
            </w:pPr>
            <w:r>
              <w:rPr>
                <w:b/>
              </w:rPr>
              <w:t>Fair Value 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120" w:type="dxa"/>
            <w:gridSpan w:val="2"/>
            <w:tcBorders>
              <w:bottom w:val="single" w:sz="6" w:space="0" w:color="000000"/>
            </w:tcBorders>
            <w:tcMar>
              <w:bottom w:w="40" w:type="dxa"/>
            </w:tcMar>
            <w:vAlign w:val="center"/>
          </w:tcPr>
          <w:p>
            <w:pPr>
              <w:pStyle w:val="TableContents"/>
              <w:bidi w:val="0"/>
              <w:spacing w:before="0" w:after="283"/>
              <w:jc w:val="right"/>
              <w:rPr>
                <w:b/>
              </w:rPr>
            </w:pPr>
            <w:r>
              <w:rPr>
                <w:b/>
              </w:rPr>
              <w:t>Dividends Per Share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0" w:type="dxa"/>
            <w:gridSpan w:val="2"/>
            <w:tcBorders>
              <w:bottom w:val="single" w:sz="6" w:space="0" w:color="000000"/>
            </w:tcBorders>
            <w:tcMar>
              <w:bottom w:w="40" w:type="dxa"/>
            </w:tcMar>
            <w:vAlign w:val="center"/>
          </w:tcPr>
          <w:p>
            <w:pPr>
              <w:pStyle w:val="TableContents"/>
              <w:bidi w:val="0"/>
              <w:spacing w:before="0" w:after="283"/>
              <w:jc w:val="right"/>
              <w:rPr>
                <w:b/>
              </w:rPr>
            </w:pPr>
            <w:r>
              <w:rPr>
                <w:b/>
              </w:rPr>
              <w:t>Interest Rate 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2026</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880" w:type="dxa"/>
            <w:tcBorders>
              <w:bottom w:val="single" w:sz="6" w:space="0" w:color="0075C9"/>
            </w:tcBorders>
            <w:tcMar>
              <w:bottom w:w="40" w:type="dxa"/>
            </w:tcMar>
            <w:vAlign w:val="center"/>
          </w:tcPr>
          <w:p>
            <w:pPr>
              <w:pStyle w:val="TableContents"/>
              <w:bidi w:val="0"/>
              <w:spacing w:before="0" w:after="283"/>
              <w:jc w:val="right"/>
              <w:rPr/>
            </w:pPr>
            <w:r>
              <w:rPr/>
              <w:t>$501.83 to $511.80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5" w:type="dxa"/>
            <w:tcBorders>
              <w:bottom w:val="single" w:sz="6" w:space="0" w:color="0075C9"/>
            </w:tcBorders>
            <w:tcMar>
              <w:bottom w:w="40" w:type="dxa"/>
            </w:tcMar>
            <w:vAlign w:val="center"/>
          </w:tcPr>
          <w:p>
            <w:pPr>
              <w:pStyle w:val="TableContents"/>
              <w:bidi w:val="0"/>
              <w:spacing w:before="0" w:after="283"/>
              <w:jc w:val="left"/>
              <w:rPr/>
            </w:pPr>
            <w:r>
              <w:rPr/>
              <w:t> </w:t>
            </w:r>
          </w:p>
        </w:tc>
        <w:tc>
          <w:tcPr>
            <w:tcW w:w="1915" w:type="dxa"/>
            <w:tcBorders>
              <w:bottom w:val="single" w:sz="6" w:space="0" w:color="0075C9"/>
            </w:tcBorders>
            <w:tcMar>
              <w:bottom w:w="40" w:type="dxa"/>
            </w:tcMar>
            <w:vAlign w:val="center"/>
          </w:tcPr>
          <w:p>
            <w:pPr>
              <w:pStyle w:val="TableContents"/>
              <w:bidi w:val="0"/>
              <w:spacing w:before="0" w:after="283"/>
              <w:jc w:val="right"/>
              <w:rPr/>
            </w:pPr>
            <w:r>
              <w:rPr/>
              <w:t>$0.91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550" w:type="dxa"/>
            <w:tcBorders>
              <w:bottom w:val="single" w:sz="6" w:space="0" w:color="0075C9"/>
            </w:tcBorders>
            <w:tcMar>
              <w:bottom w:w="40" w:type="dxa"/>
            </w:tcMar>
            <w:vAlign w:val="center"/>
          </w:tcPr>
          <w:p>
            <w:pPr>
              <w:pStyle w:val="TableContents"/>
              <w:bidi w:val="0"/>
              <w:spacing w:before="0" w:after="283"/>
              <w:jc w:val="right"/>
              <w:rPr/>
            </w:pPr>
            <w:r>
              <w:rPr/>
              <w:t>3.49% to 3.57%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880" w:type="dxa"/>
            <w:tcBorders>
              <w:bottom w:val="single" w:sz="6" w:space="0" w:color="0075C9"/>
            </w:tcBorders>
            <w:tcMar>
              <w:bottom w:w="40" w:type="dxa"/>
            </w:tcMar>
            <w:vAlign w:val="center"/>
          </w:tcPr>
          <w:p>
            <w:pPr>
              <w:pStyle w:val="TableContents"/>
              <w:bidi w:val="0"/>
              <w:spacing w:before="0" w:after="283"/>
              <w:jc w:val="right"/>
              <w:rPr/>
            </w:pPr>
            <w:r>
              <w:rPr/>
              <w:t>$419.00 to $428.11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5" w:type="dxa"/>
            <w:tcBorders>
              <w:bottom w:val="single" w:sz="6" w:space="0" w:color="0075C9"/>
            </w:tcBorders>
            <w:tcMar>
              <w:bottom w:w="40" w:type="dxa"/>
            </w:tcMar>
            <w:vAlign w:val="center"/>
          </w:tcPr>
          <w:p>
            <w:pPr>
              <w:pStyle w:val="TableContents"/>
              <w:bidi w:val="0"/>
              <w:spacing w:before="0" w:after="283"/>
              <w:jc w:val="left"/>
              <w:rPr/>
            </w:pPr>
            <w:r>
              <w:rPr/>
              <w:t> </w:t>
            </w:r>
          </w:p>
        </w:tc>
        <w:tc>
          <w:tcPr>
            <w:tcW w:w="1915" w:type="dxa"/>
            <w:tcBorders>
              <w:bottom w:val="single" w:sz="6" w:space="0" w:color="0075C9"/>
            </w:tcBorders>
            <w:tcMar>
              <w:bottom w:w="40" w:type="dxa"/>
            </w:tcMar>
            <w:vAlign w:val="center"/>
          </w:tcPr>
          <w:p>
            <w:pPr>
              <w:pStyle w:val="TableContents"/>
              <w:bidi w:val="0"/>
              <w:spacing w:before="0" w:after="283"/>
              <w:jc w:val="right"/>
              <w:rPr/>
            </w:pPr>
            <w:r>
              <w:rPr/>
              <w:t>$0.83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550" w:type="dxa"/>
            <w:tcBorders>
              <w:bottom w:val="single" w:sz="6" w:space="0" w:color="0075C9"/>
            </w:tcBorders>
            <w:tcMar>
              <w:bottom w:w="40" w:type="dxa"/>
            </w:tcMar>
            <w:vAlign w:val="center"/>
          </w:tcPr>
          <w:p>
            <w:pPr>
              <w:pStyle w:val="TableContents"/>
              <w:bidi w:val="0"/>
              <w:spacing w:before="0" w:after="283"/>
              <w:jc w:val="right"/>
              <w:rPr/>
            </w:pPr>
            <w:r>
              <w:rPr/>
              <w:t>3.35% to 3.88%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0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2024</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880" w:type="dxa"/>
            <w:tcBorders>
              <w:bottom w:val="single" w:sz="6" w:space="0" w:color="0075C9"/>
            </w:tcBorders>
            <w:tcMar>
              <w:bottom w:w="40" w:type="dxa"/>
            </w:tcMar>
            <w:vAlign w:val="center"/>
          </w:tcPr>
          <w:p>
            <w:pPr>
              <w:pStyle w:val="TableContents"/>
              <w:bidi w:val="0"/>
              <w:spacing w:before="0" w:after="283"/>
              <w:jc w:val="right"/>
              <w:rPr/>
            </w:pPr>
            <w:r>
              <w:rPr/>
              <w:t>$318.20 to $326.16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5" w:type="dxa"/>
            <w:tcBorders>
              <w:bottom w:val="single" w:sz="6" w:space="0" w:color="0075C9"/>
            </w:tcBorders>
            <w:tcMar>
              <w:bottom w:w="40" w:type="dxa"/>
            </w:tcMar>
            <w:vAlign w:val="center"/>
          </w:tcPr>
          <w:p>
            <w:pPr>
              <w:pStyle w:val="TableContents"/>
              <w:bidi w:val="0"/>
              <w:spacing w:before="0" w:after="283"/>
              <w:jc w:val="left"/>
              <w:rPr/>
            </w:pPr>
            <w:r>
              <w:rPr/>
              <w:t> </w:t>
            </w:r>
          </w:p>
        </w:tc>
        <w:tc>
          <w:tcPr>
            <w:tcW w:w="1915" w:type="dxa"/>
            <w:tcBorders>
              <w:bottom w:val="single" w:sz="6" w:space="0" w:color="0075C9"/>
            </w:tcBorders>
            <w:tcMar>
              <w:bottom w:w="40" w:type="dxa"/>
            </w:tcMar>
            <w:vAlign w:val="center"/>
          </w:tcPr>
          <w:p>
            <w:pPr>
              <w:pStyle w:val="TableContents"/>
              <w:bidi w:val="0"/>
              <w:spacing w:before="0" w:after="283"/>
              <w:jc w:val="right"/>
              <w:rPr/>
            </w:pPr>
            <w:r>
              <w:rPr/>
              <w:t>$0.75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550" w:type="dxa"/>
            <w:tcBorders>
              <w:bottom w:val="single" w:sz="6" w:space="0" w:color="0075C9"/>
            </w:tcBorders>
            <w:tcMar>
              <w:bottom w:w="40" w:type="dxa"/>
            </w:tcMar>
            <w:vAlign w:val="center"/>
          </w:tcPr>
          <w:p>
            <w:pPr>
              <w:pStyle w:val="TableContents"/>
              <w:bidi w:val="0"/>
              <w:spacing w:before="0" w:after="283"/>
              <w:jc w:val="right"/>
              <w:rPr/>
            </w:pPr>
            <w:r>
              <w:rPr/>
              <w:t>4.47% to 5.30%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52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88"/>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4"/>
        </w:rPr>
      </w:pPr>
      <w:r>
        <w:rPr>
          <w:rFonts w:ascii="Arial" w:hAnsi="Arial"/>
          <w:sz w:val="14"/>
        </w:rPr>
        <w:t xml:space="preserve">The following table includes the assumptions used to calculate the grant date fair value of PSAs reported for fiscal years 2026, 2025, and 2024. </w:t>
      </w:r>
    </w:p>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1535"/>
        <w:gridCol w:w="120"/>
        <w:gridCol w:w="133"/>
        <w:gridCol w:w="847"/>
        <w:gridCol w:w="60"/>
        <w:gridCol w:w="60"/>
        <w:gridCol w:w="60"/>
        <w:gridCol w:w="800"/>
        <w:gridCol w:w="60"/>
        <w:gridCol w:w="120"/>
        <w:gridCol w:w="60"/>
        <w:gridCol w:w="800"/>
        <w:gridCol w:w="60"/>
        <w:gridCol w:w="120"/>
        <w:gridCol w:w="60"/>
        <w:gridCol w:w="635"/>
        <w:gridCol w:w="60"/>
        <w:gridCol w:w="120"/>
        <w:gridCol w:w="60"/>
        <w:gridCol w:w="635"/>
        <w:gridCol w:w="60"/>
        <w:gridCol w:w="120"/>
        <w:gridCol w:w="60"/>
        <w:gridCol w:w="755"/>
        <w:gridCol w:w="60"/>
        <w:gridCol w:w="120"/>
        <w:gridCol w:w="115"/>
        <w:gridCol w:w="850"/>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Assumptions</w:t>
            </w:r>
          </w:p>
          <w:p>
            <w:pPr>
              <w:pStyle w:val="TableContents"/>
              <w:bidi w:val="0"/>
              <w:spacing w:before="0" w:after="0"/>
              <w:jc w:val="right"/>
              <w:rPr>
                <w:rFonts w:ascii="Arial" w:hAnsi="Arial"/>
                <w:b/>
                <w:sz w:val="15"/>
              </w:rPr>
            </w:pPr>
            <w:r>
              <w:rPr>
                <w:rFonts w:ascii="Arial" w:hAnsi="Arial"/>
                <w:b/>
                <w:sz w:val="15"/>
              </w:rPr>
              <w:t>(Operating</w:t>
            </w:r>
          </w:p>
          <w:p>
            <w:pPr>
              <w:pStyle w:val="TableContents"/>
              <w:bidi w:val="0"/>
              <w:spacing w:before="0" w:after="20"/>
              <w:jc w:val="right"/>
              <w:rPr>
                <w:rFonts w:ascii="Arial" w:hAnsi="Arial"/>
                <w:b/>
                <w:sz w:val="16"/>
              </w:rPr>
            </w:pPr>
            <w:r>
              <w:rPr>
                <w:rFonts w:ascii="Arial" w:hAnsi="Arial"/>
                <w:b/>
                <w:sz w:val="16"/>
              </w:rPr>
              <w:t>Goals)</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90" w:type="dxa"/>
            <w:gridSpan w:val="22"/>
            <w:tcBorders>
              <w:bottom w:val="single" w:sz="6" w:space="0" w:color="000000"/>
            </w:tcBorders>
            <w:tcMar>
              <w:bottom w:w="40" w:type="dxa"/>
            </w:tcMar>
            <w:vAlign w:val="center"/>
          </w:tcPr>
          <w:p>
            <w:pPr>
              <w:pStyle w:val="TableContents"/>
              <w:bidi w:val="0"/>
              <w:spacing w:before="0" w:after="0"/>
              <w:jc w:val="center"/>
              <w:rPr>
                <w:rFonts w:ascii="Arial" w:hAnsi="Arial"/>
                <w:b/>
                <w:sz w:val="15"/>
              </w:rPr>
            </w:pPr>
            <w:r>
              <w:rPr>
                <w:rFonts w:ascii="Arial" w:hAnsi="Arial"/>
                <w:b/>
                <w:sz w:val="15"/>
              </w:rPr>
              <w:t>Assumptions</w:t>
            </w:r>
          </w:p>
          <w:p>
            <w:pPr>
              <w:pStyle w:val="TableContents"/>
              <w:bidi w:val="0"/>
              <w:spacing w:before="0" w:after="20"/>
              <w:jc w:val="center"/>
              <w:rPr>
                <w:rFonts w:ascii="Arial" w:hAnsi="Arial"/>
                <w:b/>
                <w:sz w:val="15"/>
              </w:rPr>
            </w:pPr>
            <w:r>
              <w:rPr>
                <w:rFonts w:ascii="Arial" w:hAnsi="Arial"/>
                <w:b/>
                <w:sz w:val="15"/>
              </w:rPr>
              <w:t>(TSR Goal)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35" w:type="dxa"/>
            <w:tcBorders>
              <w:bottom w:val="single" w:sz="8" w:space="0" w:color="000000"/>
            </w:tcBorders>
            <w:tcMar>
              <w:bottom w:w="40" w:type="dxa"/>
            </w:tcMar>
            <w:vAlign w:val="center"/>
          </w:tcPr>
          <w:p>
            <w:pPr>
              <w:pStyle w:val="TableContents"/>
              <w:bidi w:val="0"/>
              <w:spacing w:before="0" w:after="0"/>
              <w:jc w:val="left"/>
              <w:rPr>
                <w:rFonts w:ascii="Arial" w:hAnsi="Arial"/>
                <w:b/>
                <w:sz w:val="15"/>
              </w:rPr>
            </w:pPr>
            <w:r>
              <w:rPr>
                <w:rFonts w:ascii="Arial" w:hAnsi="Arial"/>
                <w:b/>
                <w:sz w:val="15"/>
              </w:rPr>
              <w:t>PSU Award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Expected</w:t>
            </w:r>
          </w:p>
          <w:p>
            <w:pPr>
              <w:pStyle w:val="TableContents"/>
              <w:bidi w:val="0"/>
              <w:spacing w:before="0" w:after="20"/>
              <w:jc w:val="right"/>
              <w:rPr>
                <w:rFonts w:ascii="Arial" w:hAnsi="Arial"/>
                <w:b/>
                <w:sz w:val="15"/>
              </w:rPr>
            </w:pPr>
            <w:r>
              <w:rPr>
                <w:rFonts w:ascii="Arial" w:hAnsi="Arial"/>
                <w:b/>
                <w:sz w:val="15"/>
              </w:rPr>
              <w:t>Payout</w:t>
            </w:r>
          </w:p>
        </w:tc>
        <w:tc>
          <w:tcPr>
            <w:tcW w:w="60" w:type="dxa"/>
            <w:tcBorders>
              <w:bottom w:val="single" w:sz="8"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CEO</w:t>
              <w:br/>
              <w:t>Fair</w:t>
            </w:r>
          </w:p>
          <w:p>
            <w:pPr>
              <w:pStyle w:val="TableContents"/>
              <w:bidi w:val="0"/>
              <w:spacing w:before="0" w:after="20"/>
              <w:jc w:val="right"/>
              <w:rPr>
                <w:rFonts w:ascii="Arial" w:hAnsi="Arial"/>
                <w:b/>
                <w:sz w:val="15"/>
              </w:rPr>
            </w:pPr>
            <w:r>
              <w:rPr>
                <w:rFonts w:ascii="Arial" w:hAnsi="Arial"/>
                <w:b/>
                <w:sz w:val="15"/>
              </w:rPr>
              <w:t>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Non-CEO</w:t>
            </w:r>
          </w:p>
          <w:p>
            <w:pPr>
              <w:pStyle w:val="TableContents"/>
              <w:bidi w:val="0"/>
              <w:spacing w:before="0" w:after="0"/>
              <w:jc w:val="right"/>
              <w:rPr>
                <w:rFonts w:ascii="Arial" w:hAnsi="Arial"/>
                <w:b/>
                <w:sz w:val="15"/>
              </w:rPr>
            </w:pPr>
            <w:r>
              <w:rPr>
                <w:rFonts w:ascii="Arial" w:hAnsi="Arial"/>
                <w:b/>
                <w:sz w:val="15"/>
              </w:rPr>
              <w:t>Fair</w:t>
            </w:r>
          </w:p>
          <w:p>
            <w:pPr>
              <w:pStyle w:val="TableContents"/>
              <w:bidi w:val="0"/>
              <w:spacing w:before="0" w:after="20"/>
              <w:jc w:val="right"/>
              <w:rPr>
                <w:rFonts w:ascii="Arial" w:hAnsi="Arial"/>
                <w:b/>
                <w:sz w:val="15"/>
              </w:rPr>
            </w:pPr>
            <w:r>
              <w:rPr>
                <w:rFonts w:ascii="Arial" w:hAnsi="Arial"/>
                <w:b/>
                <w:sz w:val="15"/>
              </w:rPr>
              <w:t>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Dividend</w:t>
            </w:r>
          </w:p>
          <w:p>
            <w:pPr>
              <w:pStyle w:val="TableContents"/>
              <w:bidi w:val="0"/>
              <w:spacing w:before="0" w:after="20"/>
              <w:jc w:val="right"/>
              <w:rPr>
                <w:rFonts w:ascii="Arial" w:hAnsi="Arial"/>
                <w:b/>
                <w:sz w:val="15"/>
              </w:rPr>
            </w:pPr>
            <w:r>
              <w:rPr>
                <w:rFonts w:ascii="Arial" w:hAnsi="Arial"/>
                <w:b/>
                <w:sz w:val="15"/>
              </w:rPr>
              <w:t>Yield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Interest</w:t>
            </w:r>
          </w:p>
          <w:p>
            <w:pPr>
              <w:pStyle w:val="TableContents"/>
              <w:bidi w:val="0"/>
              <w:spacing w:before="0" w:after="20"/>
              <w:jc w:val="right"/>
              <w:rPr>
                <w:rFonts w:ascii="Arial" w:hAnsi="Arial"/>
                <w:b/>
                <w:sz w:val="15"/>
              </w:rPr>
            </w:pPr>
            <w:r>
              <w:rPr>
                <w:rFonts w:ascii="Arial" w:hAnsi="Arial"/>
                <w:b/>
                <w:sz w:val="15"/>
              </w:rPr>
              <w:t>Rate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Historical</w:t>
            </w:r>
          </w:p>
          <w:p>
            <w:pPr>
              <w:pStyle w:val="TableContents"/>
              <w:bidi w:val="0"/>
              <w:spacing w:before="0" w:after="20"/>
              <w:jc w:val="right"/>
              <w:rPr>
                <w:rFonts w:ascii="Arial" w:hAnsi="Arial"/>
                <w:b/>
                <w:sz w:val="15"/>
              </w:rPr>
            </w:pPr>
            <w:r>
              <w:rPr>
                <w:rFonts w:ascii="Arial" w:hAnsi="Arial"/>
                <w:b/>
                <w:sz w:val="15"/>
              </w:rPr>
              <w:t>Volatility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Remaining</w:t>
            </w:r>
          </w:p>
          <w:p>
            <w:pPr>
              <w:pStyle w:val="TableContents"/>
              <w:bidi w:val="0"/>
              <w:spacing w:before="0" w:after="0"/>
              <w:jc w:val="right"/>
              <w:rPr>
                <w:rFonts w:ascii="Arial" w:hAnsi="Arial"/>
                <w:b/>
                <w:sz w:val="15"/>
              </w:rPr>
            </w:pPr>
            <w:r>
              <w:rPr>
                <w:rFonts w:ascii="Arial" w:hAnsi="Arial"/>
                <w:b/>
                <w:sz w:val="15"/>
              </w:rPr>
              <w:t>Performance</w:t>
            </w:r>
          </w:p>
          <w:p>
            <w:pPr>
              <w:pStyle w:val="TableContents"/>
              <w:bidi w:val="0"/>
              <w:spacing w:before="0" w:after="0"/>
              <w:jc w:val="right"/>
              <w:rPr>
                <w:rFonts w:ascii="Arial" w:hAnsi="Arial"/>
                <w:b/>
                <w:sz w:val="15"/>
              </w:rPr>
            </w:pPr>
            <w:r>
              <w:rPr>
                <w:rFonts w:ascii="Arial" w:hAnsi="Arial"/>
                <w:b/>
                <w:sz w:val="15"/>
              </w:rPr>
              <w:t>Period on</w:t>
            </w:r>
          </w:p>
          <w:p>
            <w:pPr>
              <w:pStyle w:val="TableContents"/>
              <w:bidi w:val="0"/>
              <w:spacing w:before="0" w:after="0"/>
              <w:jc w:val="right"/>
              <w:rPr>
                <w:rFonts w:ascii="Arial" w:hAnsi="Arial"/>
                <w:b/>
                <w:sz w:val="15"/>
              </w:rPr>
            </w:pPr>
            <w:r>
              <w:rPr>
                <w:rFonts w:ascii="Arial" w:hAnsi="Arial"/>
                <w:b/>
                <w:sz w:val="15"/>
              </w:rPr>
              <w:t>the Grant</w:t>
            </w:r>
          </w:p>
          <w:p>
            <w:pPr>
              <w:pStyle w:val="TableContents"/>
              <w:bidi w:val="0"/>
              <w:spacing w:before="0" w:after="20"/>
              <w:jc w:val="right"/>
              <w:rPr>
                <w:rFonts w:ascii="Arial" w:hAnsi="Arial"/>
                <w:b/>
                <w:sz w:val="15"/>
              </w:rPr>
            </w:pPr>
            <w:r>
              <w:rPr>
                <w:rFonts w:ascii="Arial" w:hAnsi="Arial"/>
                <w:b/>
                <w:sz w:val="15"/>
              </w:rPr>
              <w:t>Date (Years)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2026</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60"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1 of FY26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$613.25</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$613.25</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0.72%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3.42%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23.69%</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2.79</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2 of FY25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$597.23</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$597.23</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0.72%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3.50%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22.44%</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1.79</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0075C9"/>
            </w:tcBorders>
            <w:tcMar>
              <w:bottom w:w="40" w:type="dxa"/>
            </w:tcMar>
            <w:vAlign w:val="center"/>
          </w:tcPr>
          <w:p>
            <w:pPr>
              <w:pStyle w:val="TableContents"/>
              <w:bidi w:val="0"/>
              <w:spacing w:before="0" w:after="0"/>
              <w:jc w:val="left"/>
              <w:rPr>
                <w:rFonts w:ascii="Arial" w:hAnsi="Arial"/>
                <w:sz w:val="15"/>
              </w:rPr>
            </w:pPr>
            <w:r>
              <w:rPr>
                <w:rFonts w:ascii="Arial" w:hAnsi="Arial"/>
                <w:sz w:val="15"/>
              </w:rPr>
              <w:t>Year 3 of FY24 PSAs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3" w:type="dxa"/>
            <w:tcBorders>
              <w:bottom w:val="single" w:sz="6" w:space="0" w:color="0075C9"/>
            </w:tcBorders>
            <w:tcMar>
              <w:bottom w:w="40" w:type="dxa"/>
            </w:tcMar>
            <w:vAlign w:val="center"/>
          </w:tcPr>
          <w:p>
            <w:pPr>
              <w:pStyle w:val="TableContents"/>
              <w:bidi w:val="0"/>
              <w:spacing w:before="0" w:after="283"/>
              <w:jc w:val="left"/>
              <w:rPr/>
            </w:pPr>
            <w:r>
              <w:rPr/>
              <w:t> </w:t>
            </w:r>
          </w:p>
        </w:tc>
        <w:tc>
          <w:tcPr>
            <w:tcW w:w="847" w:type="dxa"/>
            <w:tcBorders>
              <w:bottom w:val="single" w:sz="6" w:space="0" w:color="0075C9"/>
            </w:tcBorders>
            <w:tcMar>
              <w:bottom w:w="40" w:type="dxa"/>
            </w:tcMar>
            <w:vAlign w:val="center"/>
          </w:tcPr>
          <w:p>
            <w:pPr>
              <w:pStyle w:val="TableContents"/>
              <w:bidi w:val="0"/>
              <w:spacing w:before="0" w:after="283"/>
              <w:jc w:val="right"/>
              <w:rPr/>
            </w:pPr>
            <w:r>
              <w:rPr/>
              <w:t>100%</w:t>
            </w:r>
          </w:p>
        </w:tc>
        <w:tc>
          <w:tcPr>
            <w:tcW w:w="60" w:type="dxa"/>
            <w:tcBorders>
              <w:bottom w:val="single" w:sz="6" w:space="0" w:color="0075C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$659.52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$659.52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0.72%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3.66%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55" w:type="dxa"/>
            <w:tcBorders>
              <w:bottom w:val="single" w:sz="6" w:space="0" w:color="0075C9"/>
            </w:tcBorders>
            <w:tcMar>
              <w:bottom w:w="40" w:type="dxa"/>
            </w:tcMar>
            <w:vAlign w:val="center"/>
          </w:tcPr>
          <w:p>
            <w:pPr>
              <w:pStyle w:val="TableContents"/>
              <w:bidi w:val="0"/>
              <w:spacing w:before="0" w:after="283"/>
              <w:jc w:val="right"/>
              <w:rPr/>
            </w:pPr>
            <w:r>
              <w:rPr/>
              <w:t>25.59%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5" w:type="dxa"/>
            <w:tcBorders>
              <w:bottom w:val="single" w:sz="6" w:space="0" w:color="0075C9"/>
            </w:tcBorders>
            <w:tcMar>
              <w:bottom w:w="40" w:type="dxa"/>
            </w:tcMar>
            <w:vAlign w:val="center"/>
          </w:tcPr>
          <w:p>
            <w:pPr>
              <w:pStyle w:val="TableContents"/>
              <w:bidi w:val="0"/>
              <w:spacing w:before="0" w:after="283"/>
              <w:jc w:val="left"/>
              <w:rPr/>
            </w:pPr>
            <w:r>
              <w:rPr/>
              <w:t> </w:t>
            </w:r>
          </w:p>
        </w:tc>
        <w:tc>
          <w:tcPr>
            <w:tcW w:w="850" w:type="dxa"/>
            <w:tcBorders>
              <w:bottom w:val="single" w:sz="6" w:space="0" w:color="0075C9"/>
            </w:tcBorders>
            <w:tcMar>
              <w:bottom w:w="40" w:type="dxa"/>
            </w:tcMar>
            <w:vAlign w:val="center"/>
          </w:tcPr>
          <w:p>
            <w:pPr>
              <w:pStyle w:val="TableContents"/>
              <w:bidi w:val="0"/>
              <w:spacing w:before="0" w:after="283"/>
              <w:jc w:val="right"/>
              <w:rPr/>
            </w:pPr>
            <w:r>
              <w:rPr/>
              <w:t>0.79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2025</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60"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1 of FY25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$478.02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$478.02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0.77%</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3.41%</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28.26%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2.79</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2 of FY24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$525.50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$525.50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0.77%</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3.65%</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23.21%</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1.79</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0075C9"/>
            </w:tcBorders>
            <w:tcMar>
              <w:bottom w:w="40" w:type="dxa"/>
            </w:tcMar>
            <w:vAlign w:val="center"/>
          </w:tcPr>
          <w:p>
            <w:pPr>
              <w:pStyle w:val="TableContents"/>
              <w:bidi w:val="0"/>
              <w:spacing w:before="0" w:after="0"/>
              <w:jc w:val="left"/>
              <w:rPr>
                <w:rFonts w:ascii="Arial" w:hAnsi="Arial"/>
                <w:sz w:val="15"/>
              </w:rPr>
            </w:pPr>
            <w:r>
              <w:rPr>
                <w:rFonts w:ascii="Arial" w:hAnsi="Arial"/>
                <w:sz w:val="15"/>
              </w:rPr>
              <w:t>Year 3 of FY23 PSAs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3" w:type="dxa"/>
            <w:tcBorders>
              <w:bottom w:val="single" w:sz="6" w:space="0" w:color="0075C9"/>
            </w:tcBorders>
            <w:tcMar>
              <w:bottom w:w="40" w:type="dxa"/>
            </w:tcMar>
            <w:vAlign w:val="center"/>
          </w:tcPr>
          <w:p>
            <w:pPr>
              <w:pStyle w:val="TableContents"/>
              <w:bidi w:val="0"/>
              <w:spacing w:before="0" w:after="283"/>
              <w:jc w:val="left"/>
              <w:rPr/>
            </w:pPr>
            <w:r>
              <w:rPr/>
              <w:t> </w:t>
            </w:r>
          </w:p>
        </w:tc>
        <w:tc>
          <w:tcPr>
            <w:tcW w:w="847" w:type="dxa"/>
            <w:tcBorders>
              <w:bottom w:val="single" w:sz="6" w:space="0" w:color="0075C9"/>
            </w:tcBorders>
            <w:tcMar>
              <w:bottom w:w="40" w:type="dxa"/>
            </w:tcMar>
            <w:vAlign w:val="center"/>
          </w:tcPr>
          <w:p>
            <w:pPr>
              <w:pStyle w:val="TableContents"/>
              <w:bidi w:val="0"/>
              <w:spacing w:before="0" w:after="283"/>
              <w:jc w:val="right"/>
              <w:rPr/>
            </w:pPr>
            <w:r>
              <w:rPr/>
              <w:t>100%</w:t>
            </w:r>
          </w:p>
        </w:tc>
        <w:tc>
          <w:tcPr>
            <w:tcW w:w="60" w:type="dxa"/>
            <w:tcBorders>
              <w:bottom w:val="single" w:sz="6" w:space="0" w:color="0075C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$602.81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$602.81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0.77%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4.28%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55" w:type="dxa"/>
            <w:tcBorders>
              <w:bottom w:val="single" w:sz="6" w:space="0" w:color="0075C9"/>
            </w:tcBorders>
            <w:tcMar>
              <w:bottom w:w="40" w:type="dxa"/>
            </w:tcMar>
            <w:vAlign w:val="center"/>
          </w:tcPr>
          <w:p>
            <w:pPr>
              <w:pStyle w:val="TableContents"/>
              <w:bidi w:val="0"/>
              <w:spacing w:before="0" w:after="283"/>
              <w:jc w:val="right"/>
              <w:rPr/>
            </w:pPr>
            <w:r>
              <w:rPr/>
              <w:t>19.42%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5" w:type="dxa"/>
            <w:tcBorders>
              <w:bottom w:val="single" w:sz="6" w:space="0" w:color="0075C9"/>
            </w:tcBorders>
            <w:tcMar>
              <w:bottom w:w="40" w:type="dxa"/>
            </w:tcMar>
            <w:vAlign w:val="center"/>
          </w:tcPr>
          <w:p>
            <w:pPr>
              <w:pStyle w:val="TableContents"/>
              <w:bidi w:val="0"/>
              <w:spacing w:before="0" w:after="283"/>
              <w:jc w:val="left"/>
              <w:rPr/>
            </w:pPr>
            <w:r>
              <w:rPr/>
              <w:t> </w:t>
            </w:r>
          </w:p>
        </w:tc>
        <w:tc>
          <w:tcPr>
            <w:tcW w:w="850" w:type="dxa"/>
            <w:tcBorders>
              <w:bottom w:val="single" w:sz="6" w:space="0" w:color="0075C9"/>
            </w:tcBorders>
            <w:tcMar>
              <w:bottom w:w="40" w:type="dxa"/>
            </w:tcMar>
            <w:vAlign w:val="center"/>
          </w:tcPr>
          <w:p>
            <w:pPr>
              <w:pStyle w:val="TableContents"/>
              <w:bidi w:val="0"/>
              <w:spacing w:before="0" w:after="283"/>
              <w:jc w:val="right"/>
              <w:rPr/>
            </w:pPr>
            <w:r>
              <w:rPr/>
              <w:t>0.79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b/>
                <w:color w:val="0075C9"/>
                <w:sz w:val="15"/>
              </w:rPr>
            </w:pPr>
            <w:r>
              <w:rPr>
                <w:rFonts w:ascii="Arial" w:hAnsi="Arial"/>
                <w:b/>
                <w:color w:val="0075C9"/>
                <w:sz w:val="15"/>
              </w:rPr>
              <w:t>Fiscal Year 2024</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0"/>
              <w:jc w:val="left"/>
              <w:rPr/>
            </w:pPr>
            <w:r>
              <w:rPr/>
              <w:t> </w:t>
            </w:r>
          </w:p>
        </w:tc>
        <w:tc>
          <w:tcPr>
            <w:tcW w:w="60" w:type="dxa"/>
            <w:tcBorders>
              <w:right w:val="single" w:sz="6" w:space="0" w:color="000000"/>
            </w:tcBorders>
            <w:tcMar>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1 of FY24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$385.77</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$386.25</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0.90%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4.58%</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28.30%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2.78</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rFonts w:ascii="Arial" w:hAnsi="Arial"/>
                <w:sz w:val="15"/>
              </w:rPr>
            </w:pPr>
            <w:r>
              <w:rPr>
                <w:rFonts w:ascii="Arial" w:hAnsi="Arial"/>
                <w:sz w:val="15"/>
              </w:rPr>
              <w:t>Year 2 of FY23 PSAs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33" w:type="dxa"/>
            <w:tcBorders>
              <w:bottom w:val="single" w:sz="6" w:space="0" w:color="595959"/>
            </w:tcBorders>
            <w:tcMar>
              <w:bottom w:w="40" w:type="dxa"/>
            </w:tcMar>
            <w:vAlign w:val="center"/>
          </w:tcPr>
          <w:p>
            <w:pPr>
              <w:pStyle w:val="TableContents"/>
              <w:bidi w:val="0"/>
              <w:spacing w:before="0" w:after="283"/>
              <w:jc w:val="left"/>
              <w:rPr/>
            </w:pPr>
            <w:r>
              <w:rPr/>
              <w:t> </w:t>
            </w:r>
          </w:p>
        </w:tc>
        <w:tc>
          <w:tcPr>
            <w:tcW w:w="847" w:type="dxa"/>
            <w:tcBorders>
              <w:bottom w:val="single" w:sz="6" w:space="0" w:color="595959"/>
            </w:tcBorders>
            <w:tcMar>
              <w:bottom w:w="40" w:type="dxa"/>
            </w:tcMar>
            <w:vAlign w:val="center"/>
          </w:tcPr>
          <w:p>
            <w:pPr>
              <w:pStyle w:val="TableContents"/>
              <w:bidi w:val="0"/>
              <w:spacing w:before="0" w:after="283"/>
              <w:jc w:val="right"/>
              <w:rPr/>
            </w:pPr>
            <w:r>
              <w:rPr/>
              <w:t>100%</w:t>
            </w:r>
          </w:p>
        </w:tc>
        <w:tc>
          <w:tcPr>
            <w:tcW w:w="60" w:type="dxa"/>
            <w:tcBorders>
              <w:bottom w:val="single" w:sz="6" w:space="0" w:color="59595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$418.69</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800" w:type="dxa"/>
            <w:tcBorders>
              <w:bottom w:val="single" w:sz="6" w:space="0" w:color="595959"/>
            </w:tcBorders>
            <w:tcMar>
              <w:bottom w:w="40" w:type="dxa"/>
            </w:tcMar>
            <w:vAlign w:val="center"/>
          </w:tcPr>
          <w:p>
            <w:pPr>
              <w:pStyle w:val="TableContents"/>
              <w:bidi w:val="0"/>
              <w:spacing w:before="0" w:after="283"/>
              <w:jc w:val="right"/>
              <w:rPr/>
            </w:pPr>
            <w:r>
              <w:rPr/>
              <w:t>$419.21</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0.90%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635" w:type="dxa"/>
            <w:tcBorders>
              <w:bottom w:val="single" w:sz="6" w:space="0" w:color="595959"/>
            </w:tcBorders>
            <w:tcMar>
              <w:bottom w:w="40" w:type="dxa"/>
            </w:tcMar>
            <w:vAlign w:val="center"/>
          </w:tcPr>
          <w:p>
            <w:pPr>
              <w:pStyle w:val="TableContents"/>
              <w:bidi w:val="0"/>
              <w:spacing w:before="0" w:after="283"/>
              <w:jc w:val="right"/>
              <w:rPr/>
            </w:pPr>
            <w:r>
              <w:rPr/>
              <w:t>4.93%</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755" w:type="dxa"/>
            <w:tcBorders>
              <w:bottom w:val="single" w:sz="6" w:space="0" w:color="595959"/>
            </w:tcBorders>
            <w:tcMar>
              <w:bottom w:w="40" w:type="dxa"/>
            </w:tcMar>
            <w:vAlign w:val="center"/>
          </w:tcPr>
          <w:p>
            <w:pPr>
              <w:pStyle w:val="TableContents"/>
              <w:bidi w:val="0"/>
              <w:spacing w:before="0" w:after="283"/>
              <w:jc w:val="right"/>
              <w:rPr/>
            </w:pPr>
            <w:r>
              <w:rPr/>
              <w:t>31.97%</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15" w:type="dxa"/>
            <w:tcBorders>
              <w:bottom w:val="single" w:sz="6" w:space="0" w:color="595959"/>
            </w:tcBorders>
            <w:tcMar>
              <w:bottom w:w="40" w:type="dxa"/>
            </w:tcMar>
            <w:vAlign w:val="center"/>
          </w:tcPr>
          <w:p>
            <w:pPr>
              <w:pStyle w:val="TableContents"/>
              <w:bidi w:val="0"/>
              <w:spacing w:before="0" w:after="283"/>
              <w:jc w:val="left"/>
              <w:rPr/>
            </w:pPr>
            <w:r>
              <w:rPr/>
              <w:t> </w:t>
            </w:r>
          </w:p>
        </w:tc>
        <w:tc>
          <w:tcPr>
            <w:tcW w:w="850" w:type="dxa"/>
            <w:tcBorders>
              <w:bottom w:val="single" w:sz="6" w:space="0" w:color="595959"/>
            </w:tcBorders>
            <w:tcMar>
              <w:bottom w:w="40" w:type="dxa"/>
            </w:tcMar>
            <w:vAlign w:val="center"/>
          </w:tcPr>
          <w:p>
            <w:pPr>
              <w:pStyle w:val="TableContents"/>
              <w:bidi w:val="0"/>
              <w:spacing w:before="0" w:after="283"/>
              <w:jc w:val="right"/>
              <w:rPr/>
            </w:pPr>
            <w:r>
              <w:rPr/>
              <w:t>1.78</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16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6" w:space="0" w:color="0075C9"/>
            </w:tcBorders>
            <w:tcMar>
              <w:bottom w:w="40" w:type="dxa"/>
            </w:tcMar>
            <w:vAlign w:val="center"/>
          </w:tcPr>
          <w:p>
            <w:pPr>
              <w:pStyle w:val="TableContents"/>
              <w:bidi w:val="0"/>
              <w:spacing w:before="0" w:after="0"/>
              <w:jc w:val="left"/>
              <w:rPr>
                <w:rFonts w:ascii="Arial" w:hAnsi="Arial"/>
                <w:sz w:val="15"/>
              </w:rPr>
            </w:pPr>
            <w:r>
              <w:rPr>
                <w:rFonts w:ascii="Arial" w:hAnsi="Arial"/>
                <w:sz w:val="15"/>
              </w:rPr>
              <w:t>Year 3 of FY22 PSAs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3" w:type="dxa"/>
            <w:tcBorders>
              <w:bottom w:val="single" w:sz="6" w:space="0" w:color="0075C9"/>
            </w:tcBorders>
            <w:tcMar>
              <w:bottom w:w="40" w:type="dxa"/>
            </w:tcMar>
            <w:vAlign w:val="center"/>
          </w:tcPr>
          <w:p>
            <w:pPr>
              <w:pStyle w:val="TableContents"/>
              <w:bidi w:val="0"/>
              <w:spacing w:before="0" w:after="283"/>
              <w:jc w:val="left"/>
              <w:rPr/>
            </w:pPr>
            <w:r>
              <w:rPr/>
              <w:t> </w:t>
            </w:r>
          </w:p>
        </w:tc>
        <w:tc>
          <w:tcPr>
            <w:tcW w:w="847" w:type="dxa"/>
            <w:tcBorders>
              <w:bottom w:val="single" w:sz="6" w:space="0" w:color="0075C9"/>
            </w:tcBorders>
            <w:tcMar>
              <w:bottom w:w="40" w:type="dxa"/>
            </w:tcMar>
            <w:vAlign w:val="center"/>
          </w:tcPr>
          <w:p>
            <w:pPr>
              <w:pStyle w:val="TableContents"/>
              <w:bidi w:val="0"/>
              <w:spacing w:before="0" w:after="283"/>
              <w:jc w:val="right"/>
              <w:rPr/>
            </w:pPr>
            <w:r>
              <w:rPr/>
              <w:t>100%</w:t>
            </w:r>
          </w:p>
        </w:tc>
        <w:tc>
          <w:tcPr>
            <w:tcW w:w="60" w:type="dxa"/>
            <w:tcBorders>
              <w:bottom w:val="single" w:sz="6" w:space="0" w:color="0075C9"/>
              <w:right w:val="single" w:sz="6" w:space="0" w:color="000000"/>
            </w:tcBorders>
            <w:tcMar>
              <w:bottom w:w="40" w:type="dxa"/>
              <w:right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$451.58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$452.14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0.90%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35" w:type="dxa"/>
            <w:tcBorders>
              <w:bottom w:val="single" w:sz="6" w:space="0" w:color="0075C9"/>
            </w:tcBorders>
            <w:tcMar>
              <w:bottom w:w="40" w:type="dxa"/>
            </w:tcMar>
            <w:vAlign w:val="center"/>
          </w:tcPr>
          <w:p>
            <w:pPr>
              <w:pStyle w:val="TableContents"/>
              <w:bidi w:val="0"/>
              <w:spacing w:before="0" w:after="283"/>
              <w:jc w:val="right"/>
              <w:rPr/>
            </w:pPr>
            <w:r>
              <w:rPr/>
              <w:t>5.31%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755" w:type="dxa"/>
            <w:tcBorders>
              <w:bottom w:val="single" w:sz="6" w:space="0" w:color="0075C9"/>
            </w:tcBorders>
            <w:tcMar>
              <w:bottom w:w="40" w:type="dxa"/>
            </w:tcMar>
            <w:vAlign w:val="center"/>
          </w:tcPr>
          <w:p>
            <w:pPr>
              <w:pStyle w:val="TableContents"/>
              <w:bidi w:val="0"/>
              <w:spacing w:before="0" w:after="283"/>
              <w:jc w:val="right"/>
              <w:rPr/>
            </w:pPr>
            <w:r>
              <w:rPr/>
              <w:t>26.71%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5" w:type="dxa"/>
            <w:tcBorders>
              <w:bottom w:val="single" w:sz="6" w:space="0" w:color="0075C9"/>
            </w:tcBorders>
            <w:tcMar>
              <w:bottom w:w="40" w:type="dxa"/>
            </w:tcMar>
            <w:vAlign w:val="center"/>
          </w:tcPr>
          <w:p>
            <w:pPr>
              <w:pStyle w:val="TableContents"/>
              <w:bidi w:val="0"/>
              <w:spacing w:before="0" w:after="283"/>
              <w:jc w:val="left"/>
              <w:rPr/>
            </w:pPr>
            <w:r>
              <w:rPr/>
              <w:t> </w:t>
            </w:r>
          </w:p>
        </w:tc>
        <w:tc>
          <w:tcPr>
            <w:tcW w:w="850" w:type="dxa"/>
            <w:tcBorders>
              <w:bottom w:val="single" w:sz="6" w:space="0" w:color="0075C9"/>
            </w:tcBorders>
            <w:tcMar>
              <w:bottom w:w="40" w:type="dxa"/>
            </w:tcMar>
            <w:vAlign w:val="center"/>
          </w:tcPr>
          <w:p>
            <w:pPr>
              <w:pStyle w:val="TableContents"/>
              <w:bidi w:val="0"/>
              <w:spacing w:before="0" w:after="283"/>
              <w:jc w:val="right"/>
              <w:rPr/>
            </w:pPr>
            <w:r>
              <w:rPr/>
              <w:t>0.78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283"/>
              <w:jc w:val="left"/>
              <w:rPr/>
            </w:pPr>
            <w:r>
              <w:rPr/>
              <w:t> </w:t>
            </w:r>
          </w:p>
        </w:tc>
        <w:tc>
          <w:tcPr>
            <w:tcW w:w="10125" w:type="dxa"/>
            <w:tcBorders/>
            <w:vAlign w:val="center"/>
          </w:tcPr>
          <w:p>
            <w:pPr>
              <w:pStyle w:val="TableContents"/>
              <w:bidi w:val="0"/>
              <w:spacing w:before="0" w:after="0"/>
              <w:jc w:val="left"/>
              <w:rPr>
                <w:rFonts w:ascii="Arial" w:hAnsi="Arial"/>
                <w:sz w:val="14"/>
              </w:rPr>
            </w:pPr>
            <w:r>
              <w:rPr>
                <w:rFonts w:ascii="Arial" w:hAnsi="Arial"/>
                <w:sz w:val="14"/>
              </w:rPr>
              <w:t xml:space="preserve">The grant date fair values of included PSAs, assuming at the grant date that the highest level of performance conditions will be achieved for each PSA are: (i) for fiscal year 2026, Mr. Nadella, $155,141,548; Ms. Hood, $31,735,973; Mr. Althoff, $31,159,113; Mr. Numoto, $12,886,813; and Mr. Smith, $30,394,510. (ii) for fiscal year 2025, Mr. Nadella, $168,490,992; Ms. Hood, $30,250,366; Mr. Althoff, $27,592,884; Mr. Numoto, $10,792,272; and Mr. Smith, $27,644,736. (iii) for fiscal year 2024, Mr. Nadella, $142,472,784; Ms. Hood, $24,964,206; Mr. Althoff, $20,651,547; and Mr. Smith, $22,111,241.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305"/>
        <w:gridCol w:w="2780"/>
      </w:tblGrid>
      <w:tr>
        <w:trPr/>
        <w:tc>
          <w:tcPr>
            <w:tcW w:w="305" w:type="dxa"/>
            <w:tcBorders/>
            <w:vAlign w:val="center"/>
          </w:tcPr>
          <w:p>
            <w:pPr>
              <w:pStyle w:val="TableContents"/>
              <w:bidi w:val="0"/>
              <w:spacing w:before="0" w:after="283"/>
              <w:jc w:val="left"/>
              <w:rPr/>
            </w:pPr>
            <w:r>
              <w:rPr/>
              <w:t>(2)</w:t>
            </w:r>
          </w:p>
        </w:tc>
        <w:tc>
          <w:tcPr>
            <w:tcW w:w="2780" w:type="dxa"/>
            <w:tcBorders/>
            <w:vAlign w:val="center"/>
          </w:tcPr>
          <w:p>
            <w:pPr>
              <w:pStyle w:val="TableContents"/>
              <w:bidi w:val="0"/>
              <w:spacing w:before="0" w:after="0"/>
              <w:jc w:val="left"/>
              <w:rPr>
                <w:rFonts w:ascii="Arial" w:hAnsi="Arial"/>
                <w:sz w:val="14"/>
              </w:rPr>
            </w:pPr>
            <w:r>
              <w:rPr>
                <w:rFonts w:ascii="Arial" w:hAnsi="Arial"/>
                <w:sz w:val="14"/>
              </w:rPr>
              <w:t xml:space="preserve">Consists of Incentive Plan cash incentives.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pPr>
            <w:r>
              <w:rPr/>
              <w:t>(3)</w:t>
            </w:r>
          </w:p>
        </w:tc>
        <w:tc>
          <w:tcPr>
            <w:tcW w:w="7385" w:type="dxa"/>
            <w:tcBorders/>
            <w:vAlign w:val="center"/>
          </w:tcPr>
          <w:p>
            <w:pPr>
              <w:pStyle w:val="TableContents"/>
              <w:bidi w:val="0"/>
              <w:spacing w:before="0" w:after="0"/>
              <w:jc w:val="left"/>
              <w:rPr>
                <w:rFonts w:ascii="Arial" w:hAnsi="Arial"/>
                <w:sz w:val="14"/>
              </w:rPr>
            </w:pPr>
            <w:r>
              <w:rPr>
                <w:rFonts w:ascii="Arial" w:hAnsi="Arial"/>
                <w:sz w:val="14"/>
              </w:rPr>
              <w:t xml:space="preserve">Details about the amounts in the “All Other Compensation” column for fiscal year 2026 are set forth in the table below. </w:t>
            </w:r>
          </w:p>
        </w:tc>
      </w:tr>
    </w:tbl>
    <w:p>
      <w:pPr>
        <w:pStyle w:val="TextBody"/>
        <w:bidi w:val="0"/>
        <w:spacing w:before="120" w:after="0"/>
        <w:jc w:val="left"/>
        <w:rPr>
          <w:rFonts w:ascii="Arial" w:hAnsi="Arial"/>
          <w:b/>
          <w:sz w:val="14"/>
        </w:rPr>
      </w:pPr>
      <w:r>
        <w:rPr>
          <w:rFonts w:ascii="Arial" w:hAnsi="Arial"/>
          <w:b/>
          <w:sz w:val="14"/>
        </w:rPr>
        <w:t xml:space="preserve">All other compensation details </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1325"/>
        <w:gridCol w:w="120"/>
        <w:gridCol w:w="96"/>
        <w:gridCol w:w="1094"/>
        <w:gridCol w:w="60"/>
        <w:gridCol w:w="120"/>
        <w:gridCol w:w="106"/>
        <w:gridCol w:w="994"/>
        <w:gridCol w:w="60"/>
        <w:gridCol w:w="120"/>
        <w:gridCol w:w="60"/>
        <w:gridCol w:w="800"/>
        <w:gridCol w:w="60"/>
        <w:gridCol w:w="120"/>
        <w:gridCol w:w="90"/>
        <w:gridCol w:w="1205"/>
        <w:gridCol w:w="60"/>
        <w:gridCol w:w="120"/>
        <w:gridCol w:w="60"/>
        <w:gridCol w:w="80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8" w:space="0" w:color="000000"/>
            </w:tcBorders>
            <w:tcMar>
              <w:bottom w:w="40" w:type="dxa"/>
            </w:tcMar>
            <w:vAlign w:val="center"/>
          </w:tcPr>
          <w:p>
            <w:pPr>
              <w:pStyle w:val="TableContents"/>
              <w:bidi w:val="0"/>
              <w:spacing w:before="0" w:after="0"/>
              <w:jc w:val="left"/>
              <w:rPr>
                <w:rFonts w:ascii="Arial" w:hAnsi="Arial"/>
                <w:b/>
                <w:sz w:val="15"/>
              </w:rPr>
            </w:pPr>
            <w:r>
              <w:rPr>
                <w:rFonts w:ascii="Arial" w:hAnsi="Arial"/>
                <w:b/>
                <w:sz w:val="15"/>
              </w:rPr>
              <w:t>Named Executive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Retirement Plan</w:t>
            </w:r>
          </w:p>
          <w:p>
            <w:pPr>
              <w:pStyle w:val="TableContents"/>
              <w:bidi w:val="0"/>
              <w:spacing w:before="0" w:after="0"/>
              <w:jc w:val="right"/>
              <w:rPr>
                <w:rFonts w:ascii="Arial" w:hAnsi="Arial"/>
                <w:b/>
                <w:sz w:val="15"/>
              </w:rPr>
            </w:pPr>
            <w:r>
              <w:rPr>
                <w:rFonts w:ascii="Arial" w:hAnsi="Arial"/>
                <w:b/>
                <w:sz w:val="15"/>
              </w:rPr>
              <w:t>ContributionsA</w:t>
            </w:r>
          </w:p>
          <w:p>
            <w:pPr>
              <w:pStyle w:val="TableContents"/>
              <w:bidi w:val="0"/>
              <w:spacing w:before="0" w:after="20"/>
              <w:jc w:val="right"/>
              <w:rPr>
                <w:rFonts w:ascii="Arial" w:hAnsi="Arial"/>
                <w:b/>
                <w:sz w:val="15"/>
              </w:rPr>
            </w:pPr>
            <w:r>
              <w:rPr>
                <w:rFonts w:ascii="Arial" w:hAnsi="Arial"/>
                <w:b/>
                <w:sz w:val="15"/>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Broad-Based</w:t>
            </w:r>
          </w:p>
          <w:p>
            <w:pPr>
              <w:pStyle w:val="TableContents"/>
              <w:bidi w:val="0"/>
              <w:spacing w:before="0" w:after="0"/>
              <w:jc w:val="right"/>
              <w:rPr>
                <w:rFonts w:ascii="Arial" w:hAnsi="Arial"/>
                <w:b/>
                <w:sz w:val="15"/>
              </w:rPr>
            </w:pPr>
            <w:r>
              <w:rPr>
                <w:rFonts w:ascii="Arial" w:hAnsi="Arial"/>
                <w:b/>
                <w:sz w:val="15"/>
              </w:rPr>
              <w:t>Plan BenefitsB</w:t>
            </w:r>
          </w:p>
          <w:p>
            <w:pPr>
              <w:pStyle w:val="TableContents"/>
              <w:bidi w:val="0"/>
              <w:spacing w:before="0" w:after="20"/>
              <w:jc w:val="right"/>
              <w:rPr>
                <w:rFonts w:ascii="Arial" w:hAnsi="Arial"/>
                <w:b/>
                <w:sz w:val="15"/>
              </w:rPr>
            </w:pPr>
            <w:r>
              <w:rPr>
                <w:rFonts w:ascii="Arial" w:hAnsi="Arial"/>
                <w:b/>
                <w:sz w:val="15"/>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Charitable</w:t>
            </w:r>
          </w:p>
          <w:p>
            <w:pPr>
              <w:pStyle w:val="TableContents"/>
              <w:bidi w:val="0"/>
              <w:spacing w:before="0" w:after="0"/>
              <w:jc w:val="right"/>
              <w:rPr>
                <w:rFonts w:ascii="Arial" w:hAnsi="Arial"/>
                <w:b/>
                <w:sz w:val="15"/>
              </w:rPr>
            </w:pPr>
            <w:r>
              <w:rPr>
                <w:rFonts w:ascii="Arial" w:hAnsi="Arial"/>
                <w:b/>
                <w:sz w:val="15"/>
              </w:rPr>
              <w:t>GiftsC</w:t>
            </w:r>
          </w:p>
          <w:p>
            <w:pPr>
              <w:pStyle w:val="TableContents"/>
              <w:bidi w:val="0"/>
              <w:spacing w:before="0" w:after="20"/>
              <w:jc w:val="right"/>
              <w:rPr>
                <w:rFonts w:ascii="Arial" w:hAnsi="Arial"/>
                <w:b/>
                <w:sz w:val="15"/>
              </w:rPr>
            </w:pPr>
            <w:r>
              <w:rPr>
                <w:rFonts w:ascii="Arial" w:hAnsi="Arial"/>
                <w:b/>
                <w:sz w:val="15"/>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9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Security for</w:t>
            </w:r>
          </w:p>
          <w:p>
            <w:pPr>
              <w:pStyle w:val="TableContents"/>
              <w:bidi w:val="0"/>
              <w:spacing w:before="0" w:after="0"/>
              <w:jc w:val="right"/>
              <w:rPr>
                <w:rFonts w:ascii="Arial" w:hAnsi="Arial"/>
                <w:b/>
                <w:sz w:val="15"/>
              </w:rPr>
            </w:pPr>
            <w:r>
              <w:rPr>
                <w:rFonts w:ascii="Arial" w:hAnsi="Arial"/>
                <w:b/>
                <w:sz w:val="15"/>
              </w:rPr>
              <w:t>Personal TravelD</w:t>
            </w:r>
          </w:p>
          <w:p>
            <w:pPr>
              <w:pStyle w:val="TableContents"/>
              <w:bidi w:val="0"/>
              <w:spacing w:before="0" w:after="20"/>
              <w:jc w:val="right"/>
              <w:rPr>
                <w:rFonts w:ascii="Arial" w:hAnsi="Arial"/>
                <w:b/>
                <w:sz w:val="15"/>
              </w:rPr>
            </w:pPr>
            <w:r>
              <w:rPr>
                <w:rFonts w:ascii="Arial" w:hAnsi="Arial"/>
                <w:b/>
                <w:sz w:val="15"/>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5"/>
              </w:rPr>
            </w:pPr>
            <w:r>
              <w:rPr>
                <w:rFonts w:ascii="Arial" w:hAnsi="Arial"/>
                <w:b/>
                <w:sz w:val="15"/>
              </w:rPr>
              <w:t>Total</w:t>
            </w:r>
          </w:p>
          <w:p>
            <w:pPr>
              <w:pStyle w:val="TableContents"/>
              <w:bidi w:val="0"/>
              <w:spacing w:before="0" w:after="20"/>
              <w:jc w:val="right"/>
              <w:rPr>
                <w:rFonts w:ascii="Arial" w:hAnsi="Arial"/>
                <w:b/>
                <w:sz w:val="15"/>
              </w:rPr>
            </w:pPr>
            <w:r>
              <w:rPr>
                <w:rFonts w:ascii="Arial" w:hAnsi="Arial"/>
                <w:b/>
                <w:sz w:val="15"/>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6" w:type="dxa"/>
            <w:tcBorders>
              <w:bottom w:val="single" w:sz="6" w:space="0" w:color="0075C9"/>
            </w:tcBorders>
            <w:tcMar>
              <w:bottom w:w="40" w:type="dxa"/>
            </w:tcMar>
            <w:vAlign w:val="center"/>
          </w:tcPr>
          <w:p>
            <w:pPr>
              <w:pStyle w:val="TableContents"/>
              <w:bidi w:val="0"/>
              <w:spacing w:before="0" w:after="283"/>
              <w:jc w:val="left"/>
              <w:rPr/>
            </w:pPr>
            <w:r>
              <w:rPr/>
              <w:t> </w:t>
            </w:r>
          </w:p>
        </w:tc>
        <w:tc>
          <w:tcPr>
            <w:tcW w:w="1094" w:type="dxa"/>
            <w:tcBorders>
              <w:bottom w:val="single" w:sz="6" w:space="0" w:color="0075C9"/>
            </w:tcBorders>
            <w:tcMar>
              <w:bottom w:w="40" w:type="dxa"/>
            </w:tcMar>
            <w:vAlign w:val="center"/>
          </w:tcPr>
          <w:p>
            <w:pPr>
              <w:pStyle w:val="TableContents"/>
              <w:bidi w:val="0"/>
              <w:spacing w:before="0" w:after="283"/>
              <w:jc w:val="right"/>
              <w:rPr/>
            </w:pPr>
            <w:r>
              <w:rPr/>
              <w:t>12,250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6" w:type="dxa"/>
            <w:tcBorders>
              <w:bottom w:val="single" w:sz="6" w:space="0" w:color="0075C9"/>
            </w:tcBorders>
            <w:tcMar>
              <w:bottom w:w="40" w:type="dxa"/>
            </w:tcMar>
            <w:vAlign w:val="center"/>
          </w:tcPr>
          <w:p>
            <w:pPr>
              <w:pStyle w:val="TableContents"/>
              <w:bidi w:val="0"/>
              <w:spacing w:before="0" w:after="283"/>
              <w:jc w:val="left"/>
              <w:rPr/>
            </w:pPr>
            <w:r>
              <w:rPr/>
              <w:t> </w:t>
            </w:r>
          </w:p>
        </w:tc>
        <w:tc>
          <w:tcPr>
            <w:tcW w:w="994"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100,000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5" w:type="dxa"/>
            <w:tcBorders>
              <w:bottom w:val="single" w:sz="6" w:space="0" w:color="0075C9"/>
            </w:tcBorders>
            <w:tcMar>
              <w:bottom w:w="40" w:type="dxa"/>
            </w:tcMar>
            <w:vAlign w:val="center"/>
          </w:tcPr>
          <w:p>
            <w:pPr>
              <w:pStyle w:val="TableContents"/>
              <w:bidi w:val="0"/>
              <w:spacing w:before="0" w:after="283"/>
              <w:jc w:val="right"/>
              <w:rPr/>
            </w:pPr>
            <w:r>
              <w:rPr/>
              <w:t>146,953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259,203</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6" w:type="dxa"/>
            <w:tcBorders>
              <w:bottom w:val="single" w:sz="6" w:space="0" w:color="0075C9"/>
            </w:tcBorders>
            <w:tcMar>
              <w:bottom w:w="40" w:type="dxa"/>
            </w:tcMar>
            <w:vAlign w:val="center"/>
          </w:tcPr>
          <w:p>
            <w:pPr>
              <w:pStyle w:val="TableContents"/>
              <w:bidi w:val="0"/>
              <w:spacing w:before="0" w:after="283"/>
              <w:jc w:val="left"/>
              <w:rPr/>
            </w:pPr>
            <w:r>
              <w:rPr/>
              <w:t> </w:t>
            </w:r>
          </w:p>
        </w:tc>
        <w:tc>
          <w:tcPr>
            <w:tcW w:w="1094" w:type="dxa"/>
            <w:tcBorders>
              <w:bottom w:val="single" w:sz="6" w:space="0" w:color="0075C9"/>
            </w:tcBorders>
            <w:tcMar>
              <w:bottom w:w="40" w:type="dxa"/>
            </w:tcMar>
            <w:vAlign w:val="center"/>
          </w:tcPr>
          <w:p>
            <w:pPr>
              <w:pStyle w:val="TableContents"/>
              <w:bidi w:val="0"/>
              <w:spacing w:before="0" w:after="283"/>
              <w:jc w:val="right"/>
              <w:rPr/>
            </w:pPr>
            <w:r>
              <w:rPr/>
              <w:t>12,250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6" w:type="dxa"/>
            <w:tcBorders>
              <w:bottom w:val="single" w:sz="6" w:space="0" w:color="0075C9"/>
            </w:tcBorders>
            <w:tcMar>
              <w:bottom w:w="40" w:type="dxa"/>
            </w:tcMar>
            <w:vAlign w:val="center"/>
          </w:tcPr>
          <w:p>
            <w:pPr>
              <w:pStyle w:val="TableContents"/>
              <w:bidi w:val="0"/>
              <w:spacing w:before="0" w:after="283"/>
              <w:jc w:val="left"/>
              <w:rPr/>
            </w:pPr>
            <w:r>
              <w:rPr/>
              <w:t> </w:t>
            </w:r>
          </w:p>
        </w:tc>
        <w:tc>
          <w:tcPr>
            <w:tcW w:w="994"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80,149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92,399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6" w:type="dxa"/>
            <w:tcBorders>
              <w:bottom w:val="single" w:sz="6" w:space="0" w:color="0075C9"/>
            </w:tcBorders>
            <w:tcMar>
              <w:bottom w:w="40" w:type="dxa"/>
            </w:tcMar>
            <w:vAlign w:val="center"/>
          </w:tcPr>
          <w:p>
            <w:pPr>
              <w:pStyle w:val="TableContents"/>
              <w:bidi w:val="0"/>
              <w:spacing w:before="0" w:after="283"/>
              <w:jc w:val="left"/>
              <w:rPr/>
            </w:pPr>
            <w:r>
              <w:rPr/>
              <w:t> </w:t>
            </w:r>
          </w:p>
        </w:tc>
        <w:tc>
          <w:tcPr>
            <w:tcW w:w="1094" w:type="dxa"/>
            <w:tcBorders>
              <w:bottom w:val="single" w:sz="6" w:space="0" w:color="0075C9"/>
            </w:tcBorders>
            <w:tcMar>
              <w:bottom w:w="40" w:type="dxa"/>
            </w:tcMar>
            <w:vAlign w:val="center"/>
          </w:tcPr>
          <w:p>
            <w:pPr>
              <w:pStyle w:val="TableContents"/>
              <w:bidi w:val="0"/>
              <w:spacing w:before="0" w:after="283"/>
              <w:jc w:val="right"/>
              <w:rPr/>
            </w:pPr>
            <w:r>
              <w:rPr/>
              <w:t>11,750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6" w:type="dxa"/>
            <w:tcBorders>
              <w:bottom w:val="single" w:sz="6" w:space="0" w:color="0075C9"/>
            </w:tcBorders>
            <w:tcMar>
              <w:bottom w:w="40" w:type="dxa"/>
            </w:tcMar>
            <w:vAlign w:val="center"/>
          </w:tcPr>
          <w:p>
            <w:pPr>
              <w:pStyle w:val="TableContents"/>
              <w:bidi w:val="0"/>
              <w:spacing w:before="0" w:after="283"/>
              <w:jc w:val="left"/>
              <w:rPr/>
            </w:pPr>
            <w:r>
              <w:rPr/>
              <w:t> </w:t>
            </w:r>
          </w:p>
        </w:tc>
        <w:tc>
          <w:tcPr>
            <w:tcW w:w="994" w:type="dxa"/>
            <w:tcBorders>
              <w:bottom w:val="single" w:sz="6" w:space="0" w:color="0075C9"/>
            </w:tcBorders>
            <w:tcMar>
              <w:bottom w:w="40" w:type="dxa"/>
            </w:tcMar>
            <w:vAlign w:val="center"/>
          </w:tcPr>
          <w:p>
            <w:pPr>
              <w:pStyle w:val="TableContents"/>
              <w:bidi w:val="0"/>
              <w:spacing w:before="0" w:after="283"/>
              <w:jc w:val="right"/>
              <w:rPr/>
            </w:pPr>
            <w:r>
              <w:rPr/>
              <w:t>1,692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88,025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101,467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6" w:type="dxa"/>
            <w:tcBorders>
              <w:bottom w:val="single" w:sz="6" w:space="0" w:color="0075C9"/>
            </w:tcBorders>
            <w:tcMar>
              <w:bottom w:w="40" w:type="dxa"/>
            </w:tcMar>
            <w:vAlign w:val="center"/>
          </w:tcPr>
          <w:p>
            <w:pPr>
              <w:pStyle w:val="TableContents"/>
              <w:bidi w:val="0"/>
              <w:spacing w:before="0" w:after="283"/>
              <w:jc w:val="left"/>
              <w:rPr/>
            </w:pPr>
            <w:r>
              <w:rPr/>
              <w:t> </w:t>
            </w:r>
          </w:p>
        </w:tc>
        <w:tc>
          <w:tcPr>
            <w:tcW w:w="1094" w:type="dxa"/>
            <w:tcBorders>
              <w:bottom w:val="single" w:sz="6" w:space="0" w:color="0075C9"/>
            </w:tcBorders>
            <w:tcMar>
              <w:bottom w:w="40" w:type="dxa"/>
            </w:tcMar>
            <w:vAlign w:val="center"/>
          </w:tcPr>
          <w:p>
            <w:pPr>
              <w:pStyle w:val="TableContents"/>
              <w:bidi w:val="0"/>
              <w:spacing w:before="0" w:after="283"/>
              <w:jc w:val="right"/>
              <w:rPr/>
            </w:pPr>
            <w:r>
              <w:rPr/>
              <w:t>12,250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6" w:type="dxa"/>
            <w:tcBorders>
              <w:bottom w:val="single" w:sz="6" w:space="0" w:color="0075C9"/>
            </w:tcBorders>
            <w:tcMar>
              <w:bottom w:w="40" w:type="dxa"/>
            </w:tcMar>
            <w:vAlign w:val="center"/>
          </w:tcPr>
          <w:p>
            <w:pPr>
              <w:pStyle w:val="TableContents"/>
              <w:bidi w:val="0"/>
              <w:spacing w:before="0" w:after="283"/>
              <w:jc w:val="left"/>
              <w:rPr/>
            </w:pPr>
            <w:r>
              <w:rPr/>
              <w:t> </w:t>
            </w:r>
          </w:p>
        </w:tc>
        <w:tc>
          <w:tcPr>
            <w:tcW w:w="994" w:type="dxa"/>
            <w:tcBorders>
              <w:bottom w:val="single" w:sz="6" w:space="0" w:color="0075C9"/>
            </w:tcBorders>
            <w:tcMar>
              <w:bottom w:w="40" w:type="dxa"/>
            </w:tcMar>
            <w:vAlign w:val="center"/>
          </w:tcPr>
          <w:p>
            <w:pPr>
              <w:pStyle w:val="TableContents"/>
              <w:bidi w:val="0"/>
              <w:spacing w:before="0" w:after="283"/>
              <w:jc w:val="right"/>
              <w:rPr/>
            </w:pPr>
            <w:r>
              <w:rPr/>
              <w:t>1,500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14,750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5"/>
              </w:rPr>
            </w:pPr>
            <w:r>
              <w:rPr>
                <w:rFonts w:ascii="Arial" w:hAnsi="Arial"/>
                <w:b/>
                <w:color w:val="0075C9"/>
                <w:sz w:val="15"/>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6" w:type="dxa"/>
            <w:tcBorders>
              <w:bottom w:val="single" w:sz="6" w:space="0" w:color="0075C9"/>
            </w:tcBorders>
            <w:tcMar>
              <w:bottom w:w="40" w:type="dxa"/>
            </w:tcMar>
            <w:vAlign w:val="center"/>
          </w:tcPr>
          <w:p>
            <w:pPr>
              <w:pStyle w:val="TableContents"/>
              <w:bidi w:val="0"/>
              <w:spacing w:before="0" w:after="283"/>
              <w:jc w:val="left"/>
              <w:rPr/>
            </w:pPr>
            <w:r>
              <w:rPr/>
              <w:t> </w:t>
            </w:r>
          </w:p>
        </w:tc>
        <w:tc>
          <w:tcPr>
            <w:tcW w:w="1094" w:type="dxa"/>
            <w:tcBorders>
              <w:bottom w:val="single" w:sz="6" w:space="0" w:color="0075C9"/>
            </w:tcBorders>
            <w:tcMar>
              <w:bottom w:w="40" w:type="dxa"/>
            </w:tcMar>
            <w:vAlign w:val="center"/>
          </w:tcPr>
          <w:p>
            <w:pPr>
              <w:pStyle w:val="TableContents"/>
              <w:bidi w:val="0"/>
              <w:spacing w:before="0" w:after="283"/>
              <w:jc w:val="right"/>
              <w:rPr/>
            </w:pPr>
            <w:r>
              <w:rPr/>
              <w:t>12,250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6" w:type="dxa"/>
            <w:tcBorders>
              <w:bottom w:val="single" w:sz="6" w:space="0" w:color="0075C9"/>
            </w:tcBorders>
            <w:tcMar>
              <w:bottom w:w="40" w:type="dxa"/>
            </w:tcMar>
            <w:vAlign w:val="center"/>
          </w:tcPr>
          <w:p>
            <w:pPr>
              <w:pStyle w:val="TableContents"/>
              <w:bidi w:val="0"/>
              <w:spacing w:before="0" w:after="283"/>
              <w:jc w:val="left"/>
              <w:rPr/>
            </w:pPr>
            <w:r>
              <w:rPr/>
              <w:t> </w:t>
            </w:r>
          </w:p>
        </w:tc>
        <w:tc>
          <w:tcPr>
            <w:tcW w:w="994"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100,000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5" w:type="dxa"/>
            <w:tcBorders>
              <w:bottom w:val="single" w:sz="6" w:space="0" w:color="0075C9"/>
            </w:tcBorders>
            <w:tcMar>
              <w:bottom w:w="40" w:type="dxa"/>
            </w:tcMar>
            <w:vAlign w:val="center"/>
          </w:tcPr>
          <w:p>
            <w:pPr>
              <w:pStyle w:val="TableContents"/>
              <w:bidi w:val="0"/>
              <w:spacing w:before="0" w:after="283"/>
              <w:jc w:val="right"/>
              <w:rPr/>
            </w:pPr>
            <w:r>
              <w:rPr/>
              <w:t>3,505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115,755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350"/>
        <w:gridCol w:w="282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(A)</w:t>
            </w:r>
          </w:p>
        </w:tc>
        <w:tc>
          <w:tcPr>
            <w:tcW w:w="2825" w:type="dxa"/>
            <w:tcBorders/>
            <w:vAlign w:val="center"/>
          </w:tcPr>
          <w:p>
            <w:pPr>
              <w:pStyle w:val="TableContents"/>
              <w:bidi w:val="0"/>
              <w:spacing w:before="0" w:after="0"/>
              <w:jc w:val="left"/>
              <w:rPr>
                <w:rFonts w:ascii="Arial" w:hAnsi="Arial"/>
                <w:sz w:val="14"/>
              </w:rPr>
            </w:pPr>
            <w:r>
              <w:rPr>
                <w:rFonts w:ascii="Arial" w:hAnsi="Arial"/>
                <w:sz w:val="14"/>
              </w:rPr>
              <w:t xml:space="preserve">Includes 401(k) plan matching contributions.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4"/>
        <w:gridCol w:w="9806"/>
      </w:tblGrid>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(B)</w:t>
            </w:r>
          </w:p>
        </w:tc>
        <w:tc>
          <w:tcPr>
            <w:tcW w:w="9806" w:type="dxa"/>
            <w:tcBorders/>
            <w:vAlign w:val="center"/>
          </w:tcPr>
          <w:p>
            <w:pPr>
              <w:pStyle w:val="TableContents"/>
              <w:bidi w:val="0"/>
              <w:spacing w:before="0" w:after="0"/>
              <w:jc w:val="left"/>
              <w:rPr>
                <w:rFonts w:ascii="Arial" w:hAnsi="Arial"/>
                <w:sz w:val="14"/>
              </w:rPr>
            </w:pPr>
            <w:r>
              <w:rPr>
                <w:rFonts w:ascii="Arial" w:hAnsi="Arial"/>
                <w:sz w:val="14"/>
              </w:rPr>
              <w:t xml:space="preserve">Includes payments in lieu of athletic club membership and credits for waived life insurance coverage under programs that are available to substantially all our U.S.-based employees.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335"/>
        <w:gridCol w:w="4940"/>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w:t>
            </w:r>
          </w:p>
        </w:tc>
        <w:tc>
          <w:tcPr>
            <w:tcW w:w="4940" w:type="dxa"/>
            <w:tcBorders/>
            <w:vAlign w:val="center"/>
          </w:tcPr>
          <w:p>
            <w:pPr>
              <w:pStyle w:val="TableContents"/>
              <w:bidi w:val="0"/>
              <w:spacing w:before="0" w:after="0"/>
              <w:jc w:val="left"/>
              <w:rPr>
                <w:rFonts w:ascii="Arial" w:hAnsi="Arial"/>
                <w:sz w:val="14"/>
              </w:rPr>
            </w:pPr>
            <w:r>
              <w:rPr>
                <w:rFonts w:ascii="Arial" w:hAnsi="Arial"/>
                <w:sz w:val="14"/>
              </w:rPr>
              <w:t xml:space="preserve">Includes matching charitable contributions under our corporate giving program.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350"/>
        <w:gridCol w:w="54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w:t>
            </w:r>
          </w:p>
        </w:tc>
        <w:tc>
          <w:tcPr>
            <w:tcW w:w="5495" w:type="dxa"/>
            <w:tcBorders/>
            <w:vAlign w:val="center"/>
          </w:tcPr>
          <w:p>
            <w:pPr>
              <w:pStyle w:val="TableContents"/>
              <w:bidi w:val="0"/>
              <w:spacing w:before="0" w:after="0"/>
              <w:jc w:val="left"/>
              <w:rPr>
                <w:rFonts w:ascii="Arial" w:hAnsi="Arial"/>
                <w:sz w:val="14"/>
              </w:rPr>
            </w:pPr>
            <w:r>
              <w:rPr>
                <w:rFonts w:ascii="Arial" w:hAnsi="Arial"/>
                <w:sz w:val="14"/>
              </w:rPr>
              <w:t xml:space="preserve">Includes personal security-related costs and expenses associated with personal travel.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4" w:name="toc61756_21"/>
      <w:bookmarkEnd w:id="24"/>
      <w:r>
        <w:rPr>
          <w:rFonts w:ascii="Arial" w:hAnsi="Arial"/>
          <w:b/>
          <w:sz w:val="24"/>
        </w:rPr>
        <w:t xml:space="preserve">Grants of Plan-Based Awards </w:t>
      </w:r>
    </w:p>
    <w:p>
      <w:pPr>
        <w:pStyle w:val="TextBody"/>
        <w:bidi w:val="0"/>
        <w:spacing w:before="180" w:after="0"/>
        <w:jc w:val="left"/>
        <w:rPr>
          <w:rFonts w:ascii="Arial" w:hAnsi="Arial"/>
          <w:sz w:val="16"/>
        </w:rPr>
      </w:pPr>
      <w:r>
        <w:rPr>
          <w:rFonts w:ascii="Arial" w:hAnsi="Arial"/>
          <w:sz w:val="16"/>
        </w:rPr>
        <w:t xml:space="preserve">This table provides information on grants of awards under any plan to the Named Executives in the fiscal year ended June 30, 2026. </w:t>
      </w:r>
    </w:p>
    <w:p>
      <w:pPr>
        <w:pStyle w:val="TextBody"/>
        <w:bidi w:val="0"/>
        <w:spacing w:before="0" w:after="0"/>
        <w:jc w:val="left"/>
        <w:rPr/>
      </w:pPr>
      <w:r>
        <w:rPr/>
        <w:t> </w:t>
      </w:r>
    </w:p>
    <w:tbl>
      <w:tblPr>
        <w:tblW w:w="13653" w:type="dxa"/>
        <w:jc w:val="left"/>
        <w:tblInd w:w="0" w:type="dxa"/>
        <w:tblLayout w:type="fixed"/>
        <w:tblCellMar>
          <w:top w:w="0" w:type="dxa"/>
          <w:left w:w="0" w:type="dxa"/>
          <w:bottom w:w="0" w:type="dxa"/>
          <w:right w:w="0" w:type="dxa"/>
        </w:tblCellMar>
      </w:tblPr>
      <w:tblGrid>
        <w:gridCol w:w="1445"/>
        <w:gridCol w:w="60"/>
        <w:gridCol w:w="1970"/>
        <w:gridCol w:w="60"/>
        <w:gridCol w:w="60"/>
        <w:gridCol w:w="815"/>
        <w:gridCol w:w="60"/>
        <w:gridCol w:w="60"/>
        <w:gridCol w:w="248"/>
        <w:gridCol w:w="582"/>
        <w:gridCol w:w="78"/>
        <w:gridCol w:w="78"/>
        <w:gridCol w:w="78"/>
        <w:gridCol w:w="1282"/>
        <w:gridCol w:w="78"/>
        <w:gridCol w:w="78"/>
        <w:gridCol w:w="78"/>
        <w:gridCol w:w="1444"/>
        <w:gridCol w:w="60"/>
        <w:gridCol w:w="60"/>
        <w:gridCol w:w="80"/>
        <w:gridCol w:w="750"/>
        <w:gridCol w:w="63"/>
        <w:gridCol w:w="63"/>
        <w:gridCol w:w="63"/>
        <w:gridCol w:w="714"/>
        <w:gridCol w:w="63"/>
        <w:gridCol w:w="63"/>
        <w:gridCol w:w="63"/>
        <w:gridCol w:w="842"/>
        <w:gridCol w:w="60"/>
        <w:gridCol w:w="60"/>
        <w:gridCol w:w="60"/>
        <w:gridCol w:w="680"/>
        <w:gridCol w:w="60"/>
        <w:gridCol w:w="60"/>
        <w:gridCol w:w="60"/>
        <w:gridCol w:w="110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vMerge w:val="restart"/>
            <w:tcBorders>
              <w:bottom w:val="single" w:sz="8" w:space="0" w:color="000000"/>
            </w:tcBorders>
            <w:tcMar>
              <w:bottom w:w="40" w:type="dxa"/>
            </w:tcMar>
            <w:vAlign w:val="center"/>
          </w:tcPr>
          <w:p>
            <w:pPr>
              <w:pStyle w:val="TableContents"/>
              <w:bidi w:val="0"/>
              <w:jc w:val="left"/>
              <w:rPr/>
            </w:pPr>
            <w:r>
              <w:rPr>
                <w:b/>
              </w:rPr>
              <w:t>Named</w:t>
            </w:r>
            <w:r>
              <w:rPr/>
              <w:br/>
            </w:r>
            <w:r>
              <w:rPr>
                <w:b/>
              </w:rPr>
              <w:t>Executive</w:t>
            </w:r>
            <w:r>
              <w:rPr/>
              <w:t xml:space="preserve"> </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970" w:type="dxa"/>
            <w:vMerge w:val="restart"/>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Award1</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2"/>
            <w:vMerge w:val="restart"/>
            <w:tcBorders>
              <w:bottom w:val="single" w:sz="8" w:space="0" w:color="000000"/>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Grant Date</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4" w:type="dxa"/>
            <w:gridSpan w:val="10"/>
            <w:tcBorders>
              <w:bottom w:val="single" w:sz="2" w:space="0" w:color="000000"/>
            </w:tcBorders>
            <w:tcMar>
              <w:bottom w:w="40" w:type="dxa"/>
            </w:tcMar>
            <w:vAlign w:val="center"/>
          </w:tcPr>
          <w:p>
            <w:pPr>
              <w:pStyle w:val="TableContents"/>
              <w:bidi w:val="0"/>
              <w:jc w:val="center"/>
              <w:rPr/>
            </w:pPr>
            <w:r>
              <w:rPr>
                <w:b/>
              </w:rPr>
              <w:t>Estimated Possible Payouts under</w:t>
              <w:br/>
              <w:t>Non-Equity</w:t>
              <w:br/>
              <w:t>Incentive Plan Awards2</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4" w:type="dxa"/>
            <w:gridSpan w:val="10"/>
            <w:tcBorders>
              <w:bottom w:val="single" w:sz="2" w:space="0" w:color="000000"/>
            </w:tcBorders>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6"/>
              </w:rPr>
            </w:pPr>
            <w:r>
              <w:rPr>
                <w:rFonts w:ascii="Arial" w:hAnsi="Arial"/>
                <w:b/>
                <w:sz w:val="16"/>
              </w:rPr>
              <w:t>Estimated Future Payouts under</w:t>
            </w:r>
          </w:p>
          <w:p>
            <w:pPr>
              <w:pStyle w:val="TableContents"/>
              <w:bidi w:val="0"/>
              <w:spacing w:before="0" w:after="0"/>
              <w:jc w:val="center"/>
              <w:rPr>
                <w:rFonts w:ascii="Arial" w:hAnsi="Arial"/>
                <w:b/>
                <w:sz w:val="16"/>
              </w:rPr>
            </w:pPr>
            <w:r>
              <w:rPr>
                <w:rFonts w:ascii="Arial" w:hAnsi="Arial"/>
                <w:b/>
                <w:sz w:val="16"/>
              </w:rPr>
              <w:t>Equity Incentive Plan Awards3</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All</w:t>
              <w:br/>
              <w:t>Other</w:t>
              <w:br/>
              <w:t>Stock</w:t>
              <w:br/>
              <w:t>Awards</w:t>
              <w:br/>
              <w:t>(#)</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Grant Date</w:t>
              <w:br/>
              <w:t>Fair Value</w:t>
              <w:br/>
              <w:t>of Stock</w:t>
              <w:br/>
              <w:t>Awards4</w:t>
              <w:br/>
              <w:t>($)</w:t>
            </w:r>
          </w:p>
          <w:p>
            <w:pPr>
              <w:pStyle w:val="TableContents"/>
              <w:bidi w:val="0"/>
              <w:spacing w:before="0" w:after="20"/>
              <w:jc w:val="left"/>
              <w:rPr/>
            </w:pPr>
            <w:r>
              <w:rPr/>
              <w:t> </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45" w:type="dxa"/>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970" w:type="dxa"/>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875"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Threshold</w:t>
            </w:r>
          </w:p>
          <w:p>
            <w:pPr>
              <w:pStyle w:val="TableContents"/>
              <w:bidi w:val="0"/>
              <w:spacing w:before="0" w:after="20"/>
              <w:jc w:val="right"/>
              <w:rPr>
                <w:rFonts w:ascii="Arial" w:hAnsi="Arial"/>
                <w:b/>
                <w:sz w:val="16"/>
              </w:rPr>
            </w:pPr>
            <w:r>
              <w:rPr>
                <w:rFonts w:ascii="Arial" w:hAnsi="Arial"/>
                <w:b/>
                <w:sz w:val="16"/>
              </w:rPr>
              <w:t>($)</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360"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Target</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20"/>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c>
          <w:tcPr>
            <w:tcW w:w="1522"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Maximum</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Threshold</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20"/>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777"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Target</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20"/>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00000"/>
            </w:tcBorders>
            <w:tcMar>
              <w:bottom w:w="60"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sz w:val="16"/>
              </w:rPr>
            </w:pPr>
            <w:r>
              <w:rPr>
                <w:rFonts w:ascii="Arial" w:hAnsi="Arial"/>
                <w:b/>
                <w:sz w:val="16"/>
              </w:rPr>
              <w:t>Maximum</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74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40" w:type="dxa"/>
            </w:tcMar>
            <w:vAlign w:val="center"/>
          </w:tcPr>
          <w:p>
            <w:pPr>
              <w:pStyle w:val="Normal"/>
              <w:bidi w:val="0"/>
              <w:jc w:val="left"/>
              <w:rPr/>
            </w:pPr>
            <w:r>
              <w:rPr/>
            </w:r>
          </w:p>
        </w:tc>
        <w:tc>
          <w:tcPr>
            <w:tcW w:w="116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Satya Nadella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Cash Incentive</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1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60" w:type="dxa"/>
            </w:tcMar>
            <w:vAlign w:val="center"/>
          </w:tcPr>
          <w:p>
            <w:pPr>
              <w:pStyle w:val="TableContents"/>
              <w:bidi w:val="0"/>
              <w:spacing w:before="0" w:after="283"/>
              <w:jc w:val="left"/>
              <w:rPr/>
            </w:pPr>
            <w:r>
              <w:rPr/>
              <w:t> </w:t>
            </w:r>
          </w:p>
        </w:tc>
        <w:tc>
          <w:tcPr>
            <w:tcW w:w="582" w:type="dxa"/>
            <w:tcBorders>
              <w:bottom w:val="single" w:sz="6" w:space="0" w:color="595959"/>
            </w:tcBorders>
            <w:tcMar>
              <w:bottom w:w="60" w:type="dxa"/>
            </w:tcMar>
            <w:vAlign w:val="center"/>
          </w:tcPr>
          <w:p>
            <w:pPr>
              <w:pStyle w:val="TableContents"/>
              <w:bidi w:val="0"/>
              <w:spacing w:before="0" w:after="283"/>
              <w:jc w:val="right"/>
              <w:rPr/>
            </w:pPr>
            <w:r>
              <w:rPr/>
              <w:t>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282" w:type="dxa"/>
            <w:tcBorders>
              <w:bottom w:val="single" w:sz="6" w:space="0" w:color="595959"/>
            </w:tcBorders>
            <w:tcMar>
              <w:bottom w:w="60" w:type="dxa"/>
            </w:tcMar>
            <w:vAlign w:val="center"/>
          </w:tcPr>
          <w:p>
            <w:pPr>
              <w:pStyle w:val="TableContents"/>
              <w:bidi w:val="0"/>
              <w:spacing w:before="0" w:after="283"/>
              <w:jc w:val="right"/>
              <w:rPr/>
            </w:pPr>
            <w:r>
              <w:rPr/>
              <w:t>7,500,000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444" w:type="dxa"/>
            <w:tcBorders>
              <w:bottom w:val="single" w:sz="6" w:space="0" w:color="595959"/>
            </w:tcBorders>
            <w:tcMar>
              <w:bottom w:w="60" w:type="dxa"/>
            </w:tcMar>
            <w:vAlign w:val="center"/>
          </w:tcPr>
          <w:p>
            <w:pPr>
              <w:pStyle w:val="TableContents"/>
              <w:bidi w:val="0"/>
              <w:spacing w:before="0" w:after="283"/>
              <w:jc w:val="right"/>
              <w:rPr/>
            </w:pPr>
            <w:r>
              <w:rPr/>
              <w:t>15,000,000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1,850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32,893</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98,679</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20,171,837</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2025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2,247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39,955</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119,865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23,862,126</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70" w:type="dxa"/>
            <w:tcBorders>
              <w:bottom w:val="single" w:sz="6" w:space="0" w:color="0075C9"/>
            </w:tcBorders>
            <w:tcMar>
              <w:bottom w:w="60" w:type="dxa"/>
            </w:tcMar>
            <w:vAlign w:val="center"/>
          </w:tcPr>
          <w:p>
            <w:pPr>
              <w:pStyle w:val="TableContents"/>
              <w:bidi w:val="0"/>
              <w:spacing w:before="0" w:after="283"/>
              <w:jc w:val="left"/>
              <w:rPr/>
            </w:pPr>
            <w:r>
              <w:rPr/>
              <w:t>2024 PSA</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815" w:type="dxa"/>
            <w:tcBorders>
              <w:bottom w:val="single" w:sz="6" w:space="0" w:color="0075C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4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0" w:type="dxa"/>
            <w:tcBorders>
              <w:bottom w:val="single" w:sz="6" w:space="0" w:color="0075C9"/>
            </w:tcBorders>
            <w:tcMar>
              <w:bottom w:w="60" w:type="dxa"/>
            </w:tcMar>
            <w:vAlign w:val="center"/>
          </w:tcPr>
          <w:p>
            <w:pPr>
              <w:pStyle w:val="TableContents"/>
              <w:bidi w:val="0"/>
              <w:spacing w:before="0" w:after="283"/>
              <w:jc w:val="left"/>
              <w:rPr/>
            </w:pPr>
            <w:r>
              <w:rPr/>
              <w:t> </w:t>
            </w:r>
          </w:p>
        </w:tc>
        <w:tc>
          <w:tcPr>
            <w:tcW w:w="750" w:type="dxa"/>
            <w:tcBorders>
              <w:bottom w:val="single" w:sz="6" w:space="0" w:color="0075C9"/>
            </w:tcBorders>
            <w:tcMar>
              <w:bottom w:w="60" w:type="dxa"/>
            </w:tcMar>
            <w:vAlign w:val="center"/>
          </w:tcPr>
          <w:p>
            <w:pPr>
              <w:pStyle w:val="TableContents"/>
              <w:bidi w:val="0"/>
              <w:spacing w:before="0" w:after="283"/>
              <w:jc w:val="right"/>
              <w:rPr/>
            </w:pPr>
            <w:r>
              <w:rPr/>
              <w:t>2,860</w:t>
            </w:r>
          </w:p>
        </w:tc>
        <w:tc>
          <w:tcPr>
            <w:tcW w:w="63" w:type="dxa"/>
            <w:tcBorders>
              <w:bottom w:val="single" w:sz="6" w:space="0" w:color="0075C9"/>
            </w:tcBorders>
            <w:tcMar>
              <w:bottom w:w="60"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60" w:type="dxa"/>
            </w:tcMar>
            <w:vAlign w:val="center"/>
          </w:tcPr>
          <w:p>
            <w:pPr>
              <w:pStyle w:val="TableContents"/>
              <w:bidi w:val="0"/>
              <w:spacing w:before="0" w:after="283"/>
              <w:jc w:val="left"/>
              <w:rPr/>
            </w:pPr>
            <w:r>
              <w:rPr/>
              <w:t> </w:t>
            </w:r>
          </w:p>
        </w:tc>
        <w:tc>
          <w:tcPr>
            <w:tcW w:w="714" w:type="dxa"/>
            <w:tcBorders>
              <w:bottom w:val="single" w:sz="6" w:space="0" w:color="0075C9"/>
            </w:tcBorders>
            <w:tcMar>
              <w:bottom w:w="60" w:type="dxa"/>
            </w:tcMar>
            <w:vAlign w:val="center"/>
          </w:tcPr>
          <w:p>
            <w:pPr>
              <w:pStyle w:val="TableContents"/>
              <w:bidi w:val="0"/>
              <w:spacing w:before="0" w:after="283"/>
              <w:jc w:val="right"/>
              <w:rPr/>
            </w:pPr>
            <w:r>
              <w:rPr/>
              <w:t>50,851</w:t>
            </w:r>
          </w:p>
        </w:tc>
        <w:tc>
          <w:tcPr>
            <w:tcW w:w="63" w:type="dxa"/>
            <w:tcBorders>
              <w:bottom w:val="single" w:sz="6" w:space="0" w:color="0075C9"/>
            </w:tcBorders>
            <w:tcMar>
              <w:bottom w:w="60"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60" w:type="dxa"/>
            </w:tcMar>
            <w:vAlign w:val="center"/>
          </w:tcPr>
          <w:p>
            <w:pPr>
              <w:pStyle w:val="TableContents"/>
              <w:bidi w:val="0"/>
              <w:spacing w:before="0" w:after="283"/>
              <w:jc w:val="left"/>
              <w:rPr/>
            </w:pPr>
            <w:r>
              <w:rPr/>
              <w:t> </w:t>
            </w:r>
          </w:p>
        </w:tc>
        <w:tc>
          <w:tcPr>
            <w:tcW w:w="842" w:type="dxa"/>
            <w:tcBorders>
              <w:bottom w:val="single" w:sz="6" w:space="0" w:color="0075C9"/>
            </w:tcBorders>
            <w:tcMar>
              <w:bottom w:w="60" w:type="dxa"/>
            </w:tcMar>
            <w:vAlign w:val="center"/>
          </w:tcPr>
          <w:p>
            <w:pPr>
              <w:pStyle w:val="TableContents"/>
              <w:bidi w:val="0"/>
              <w:spacing w:before="0" w:after="283"/>
              <w:jc w:val="right"/>
              <w:rPr/>
            </w:pPr>
            <w:r>
              <w:rPr/>
              <w:t>152,553</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1100" w:type="dxa"/>
            <w:tcBorders>
              <w:bottom w:val="single" w:sz="6" w:space="0" w:color="0075C9"/>
            </w:tcBorders>
            <w:tcMar>
              <w:bottom w:w="60" w:type="dxa"/>
            </w:tcMar>
            <w:vAlign w:val="center"/>
          </w:tcPr>
          <w:p>
            <w:pPr>
              <w:pStyle w:val="TableContents"/>
              <w:bidi w:val="0"/>
              <w:spacing w:before="0" w:after="283"/>
              <w:jc w:val="right"/>
              <w:rPr/>
            </w:pPr>
            <w:r>
              <w:rPr/>
              <w:t>33,536,812</w:t>
            </w:r>
          </w:p>
        </w:tc>
        <w:tc>
          <w:tcPr>
            <w:tcW w:w="75" w:type="dxa"/>
            <w:tcBorders>
              <w:bottom w:val="single" w:sz="6" w:space="0" w:color="0075C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Amy E. Hood</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Cash Incentive</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1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60" w:type="dxa"/>
            </w:tcMar>
            <w:vAlign w:val="center"/>
          </w:tcPr>
          <w:p>
            <w:pPr>
              <w:pStyle w:val="TableContents"/>
              <w:bidi w:val="0"/>
              <w:spacing w:before="0" w:after="283"/>
              <w:jc w:val="left"/>
              <w:rPr/>
            </w:pPr>
            <w:r>
              <w:rPr/>
              <w:t> </w:t>
            </w:r>
          </w:p>
        </w:tc>
        <w:tc>
          <w:tcPr>
            <w:tcW w:w="582" w:type="dxa"/>
            <w:tcBorders>
              <w:bottom w:val="single" w:sz="6" w:space="0" w:color="595959"/>
            </w:tcBorders>
            <w:tcMar>
              <w:bottom w:w="60" w:type="dxa"/>
            </w:tcMar>
            <w:vAlign w:val="center"/>
          </w:tcPr>
          <w:p>
            <w:pPr>
              <w:pStyle w:val="TableContents"/>
              <w:bidi w:val="0"/>
              <w:spacing w:before="0" w:after="283"/>
              <w:jc w:val="right"/>
              <w:rPr/>
            </w:pPr>
            <w:r>
              <w:rPr/>
              <w:t>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282" w:type="dxa"/>
            <w:tcBorders>
              <w:bottom w:val="single" w:sz="6" w:space="0" w:color="595959"/>
            </w:tcBorders>
            <w:tcMar>
              <w:bottom w:w="60" w:type="dxa"/>
            </w:tcMar>
            <w:vAlign w:val="center"/>
          </w:tcPr>
          <w:p>
            <w:pPr>
              <w:pStyle w:val="TableContents"/>
              <w:bidi w:val="0"/>
              <w:spacing w:before="0" w:after="283"/>
              <w:jc w:val="right"/>
              <w:rPr/>
            </w:pPr>
            <w:r>
              <w:rPr/>
              <w:t>2,500,000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444" w:type="dxa"/>
            <w:tcBorders>
              <w:bottom w:val="single" w:sz="6" w:space="0" w:color="595959"/>
            </w:tcBorders>
            <w:tcMar>
              <w:bottom w:w="60" w:type="dxa"/>
            </w:tcMar>
            <w:vAlign w:val="center"/>
          </w:tcPr>
          <w:p>
            <w:pPr>
              <w:pStyle w:val="TableContents"/>
              <w:bidi w:val="0"/>
              <w:spacing w:before="0" w:after="283"/>
              <w:jc w:val="right"/>
              <w:rPr/>
            </w:pPr>
            <w:r>
              <w:rPr/>
              <w:t>5,000,000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490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8,717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26,151</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5,345,700</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2025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438</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7,791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23,373</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4,653,218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2024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501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8,899</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26,697</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5,869,068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70" w:type="dxa"/>
            <w:tcBorders>
              <w:bottom w:val="single" w:sz="6" w:space="0" w:color="0075C9"/>
            </w:tcBorders>
            <w:tcMar>
              <w:bottom w:w="60" w:type="dxa"/>
            </w:tcMar>
            <w:vAlign w:val="center"/>
          </w:tcPr>
          <w:p>
            <w:pPr>
              <w:pStyle w:val="TableContents"/>
              <w:bidi w:val="0"/>
              <w:spacing w:before="0" w:after="283"/>
              <w:jc w:val="left"/>
              <w:rPr/>
            </w:pPr>
            <w:r>
              <w:rPr/>
              <w:t>2026 Stock Award</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815" w:type="dxa"/>
            <w:tcBorders>
              <w:bottom w:val="single" w:sz="6" w:space="0" w:color="0075C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4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80" w:type="dxa"/>
            <w:tcBorders>
              <w:bottom w:val="single" w:sz="6" w:space="0" w:color="0075C9"/>
            </w:tcBorders>
            <w:tcMar>
              <w:bottom w:w="6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1100" w:type="dxa"/>
            <w:tcBorders>
              <w:bottom w:val="single" w:sz="6" w:space="0" w:color="0075C9"/>
            </w:tcBorders>
            <w:tcMar>
              <w:bottom w:w="60" w:type="dxa"/>
            </w:tcMar>
            <w:vAlign w:val="center"/>
          </w:tcPr>
          <w:p>
            <w:pPr>
              <w:pStyle w:val="TableContents"/>
              <w:bidi w:val="0"/>
              <w:spacing w:before="0" w:after="283"/>
              <w:jc w:val="right"/>
              <w:rPr/>
            </w:pPr>
            <w:r>
              <w:rPr/>
              <w:t>13,268,403</w:t>
            </w:r>
          </w:p>
        </w:tc>
        <w:tc>
          <w:tcPr>
            <w:tcW w:w="75" w:type="dxa"/>
            <w:tcBorders>
              <w:bottom w:val="single" w:sz="6" w:space="0" w:color="0075C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Judson B. Althoff</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Cash Incentive</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1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60" w:type="dxa"/>
            </w:tcMar>
            <w:vAlign w:val="center"/>
          </w:tcPr>
          <w:p>
            <w:pPr>
              <w:pStyle w:val="TableContents"/>
              <w:bidi w:val="0"/>
              <w:spacing w:before="0" w:after="283"/>
              <w:jc w:val="left"/>
              <w:rPr/>
            </w:pPr>
            <w:r>
              <w:rPr/>
              <w:t> </w:t>
            </w:r>
          </w:p>
        </w:tc>
        <w:tc>
          <w:tcPr>
            <w:tcW w:w="582" w:type="dxa"/>
            <w:tcBorders>
              <w:bottom w:val="single" w:sz="6" w:space="0" w:color="595959"/>
            </w:tcBorders>
            <w:tcMar>
              <w:bottom w:w="60" w:type="dxa"/>
            </w:tcMar>
            <w:vAlign w:val="center"/>
          </w:tcPr>
          <w:p>
            <w:pPr>
              <w:pStyle w:val="TableContents"/>
              <w:bidi w:val="0"/>
              <w:spacing w:before="0" w:after="283"/>
              <w:jc w:val="right"/>
              <w:rPr/>
            </w:pPr>
            <w:r>
              <w:rPr/>
              <w:t>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282" w:type="dxa"/>
            <w:tcBorders>
              <w:bottom w:val="single" w:sz="6" w:space="0" w:color="595959"/>
            </w:tcBorders>
            <w:tcMar>
              <w:bottom w:w="60" w:type="dxa"/>
            </w:tcMar>
            <w:vAlign w:val="center"/>
          </w:tcPr>
          <w:p>
            <w:pPr>
              <w:pStyle w:val="TableContents"/>
              <w:bidi w:val="0"/>
              <w:spacing w:before="0" w:after="283"/>
              <w:jc w:val="right"/>
              <w:rPr/>
            </w:pPr>
            <w:r>
              <w:rPr/>
              <w:t>2,500,000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444" w:type="dxa"/>
            <w:tcBorders>
              <w:bottom w:val="single" w:sz="6" w:space="0" w:color="595959"/>
            </w:tcBorders>
            <w:tcMar>
              <w:bottom w:w="60" w:type="dxa"/>
            </w:tcMar>
            <w:vAlign w:val="center"/>
          </w:tcPr>
          <w:p>
            <w:pPr>
              <w:pStyle w:val="TableContents"/>
              <w:bidi w:val="0"/>
              <w:spacing w:before="0" w:after="283"/>
              <w:jc w:val="right"/>
              <w:rPr/>
            </w:pPr>
            <w:r>
              <w:rPr/>
              <w:t>5,000,000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490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8,717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26,151</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5,345,700</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2025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438</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7,791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23,373</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4,653,218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2024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476</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8,461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25,383</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5,580,638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70" w:type="dxa"/>
            <w:tcBorders>
              <w:bottom w:val="single" w:sz="6" w:space="0" w:color="0075C9"/>
            </w:tcBorders>
            <w:tcMar>
              <w:bottom w:w="60" w:type="dxa"/>
            </w:tcMar>
            <w:vAlign w:val="center"/>
          </w:tcPr>
          <w:p>
            <w:pPr>
              <w:pStyle w:val="TableContents"/>
              <w:bidi w:val="0"/>
              <w:spacing w:before="0" w:after="283"/>
              <w:jc w:val="left"/>
              <w:rPr/>
            </w:pPr>
            <w:r>
              <w:rPr/>
              <w:t>2026 Stock Award</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815" w:type="dxa"/>
            <w:tcBorders>
              <w:bottom w:val="single" w:sz="6" w:space="0" w:color="0075C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4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80" w:type="dxa"/>
            <w:tcBorders>
              <w:bottom w:val="single" w:sz="6" w:space="0" w:color="0075C9"/>
            </w:tcBorders>
            <w:tcMar>
              <w:bottom w:w="6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1100" w:type="dxa"/>
            <w:tcBorders>
              <w:bottom w:val="single" w:sz="6" w:space="0" w:color="0075C9"/>
            </w:tcBorders>
            <w:tcMar>
              <w:bottom w:w="60" w:type="dxa"/>
            </w:tcMar>
            <w:vAlign w:val="center"/>
          </w:tcPr>
          <w:p>
            <w:pPr>
              <w:pStyle w:val="TableContents"/>
              <w:bidi w:val="0"/>
              <w:spacing w:before="0" w:after="283"/>
              <w:jc w:val="right"/>
              <w:rPr/>
            </w:pPr>
            <w:r>
              <w:rPr/>
              <w:t>13,268,403</w:t>
            </w:r>
          </w:p>
        </w:tc>
        <w:tc>
          <w:tcPr>
            <w:tcW w:w="75" w:type="dxa"/>
            <w:tcBorders>
              <w:bottom w:val="single" w:sz="6" w:space="0" w:color="0075C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Takeshi Numoto</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Cash Incentive</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1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60" w:type="dxa"/>
            </w:tcMar>
            <w:vAlign w:val="center"/>
          </w:tcPr>
          <w:p>
            <w:pPr>
              <w:pStyle w:val="TableContents"/>
              <w:bidi w:val="0"/>
              <w:spacing w:before="0" w:after="283"/>
              <w:jc w:val="left"/>
              <w:rPr/>
            </w:pPr>
            <w:r>
              <w:rPr/>
              <w:t> </w:t>
            </w:r>
          </w:p>
        </w:tc>
        <w:tc>
          <w:tcPr>
            <w:tcW w:w="582" w:type="dxa"/>
            <w:tcBorders>
              <w:bottom w:val="single" w:sz="6" w:space="0" w:color="595959"/>
            </w:tcBorders>
            <w:tcMar>
              <w:bottom w:w="60" w:type="dxa"/>
            </w:tcMar>
            <w:vAlign w:val="center"/>
          </w:tcPr>
          <w:p>
            <w:pPr>
              <w:pStyle w:val="TableContents"/>
              <w:bidi w:val="0"/>
              <w:spacing w:before="0" w:after="283"/>
              <w:jc w:val="right"/>
              <w:rPr/>
            </w:pPr>
            <w:r>
              <w:rPr/>
              <w:t>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282" w:type="dxa"/>
            <w:tcBorders>
              <w:bottom w:val="single" w:sz="6" w:space="0" w:color="595959"/>
            </w:tcBorders>
            <w:tcMar>
              <w:bottom w:w="60" w:type="dxa"/>
            </w:tcMar>
            <w:vAlign w:val="center"/>
          </w:tcPr>
          <w:p>
            <w:pPr>
              <w:pStyle w:val="TableContents"/>
              <w:bidi w:val="0"/>
              <w:spacing w:before="0" w:after="283"/>
              <w:jc w:val="right"/>
              <w:rPr/>
            </w:pPr>
            <w:r>
              <w:rPr/>
              <w:t>1,893,750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444" w:type="dxa"/>
            <w:tcBorders>
              <w:bottom w:val="single" w:sz="6" w:space="0" w:color="595959"/>
            </w:tcBorders>
            <w:tcMar>
              <w:bottom w:w="60" w:type="dxa"/>
            </w:tcMar>
            <w:vAlign w:val="center"/>
          </w:tcPr>
          <w:p>
            <w:pPr>
              <w:pStyle w:val="TableContents"/>
              <w:bidi w:val="0"/>
              <w:spacing w:before="0" w:after="283"/>
              <w:jc w:val="right"/>
              <w:rPr/>
            </w:pPr>
            <w:r>
              <w:rPr/>
              <w:t>3,787,500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217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3,861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11,583</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2,367,758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2025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160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2,837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8,511</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1,694,342</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2024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203</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3,610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10,830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2,381,307</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70" w:type="dxa"/>
            <w:tcBorders>
              <w:bottom w:val="single" w:sz="6" w:space="0" w:color="0075C9"/>
            </w:tcBorders>
            <w:tcMar>
              <w:bottom w:w="60" w:type="dxa"/>
            </w:tcMar>
            <w:vAlign w:val="center"/>
          </w:tcPr>
          <w:p>
            <w:pPr>
              <w:pStyle w:val="TableContents"/>
              <w:bidi w:val="0"/>
              <w:spacing w:before="0" w:after="283"/>
              <w:jc w:val="left"/>
              <w:rPr/>
            </w:pPr>
            <w:r>
              <w:rPr/>
              <w:t>2026 Stock Award</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815" w:type="dxa"/>
            <w:tcBorders>
              <w:bottom w:val="single" w:sz="6" w:space="0" w:color="0075C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4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80" w:type="dxa"/>
            <w:tcBorders>
              <w:bottom w:val="single" w:sz="6" w:space="0" w:color="0075C9"/>
            </w:tcBorders>
            <w:tcMar>
              <w:bottom w:w="60" w:type="dxa"/>
            </w:tcMar>
            <w:vAlign w:val="center"/>
          </w:tcPr>
          <w:p>
            <w:pPr>
              <w:pStyle w:val="TableContents"/>
              <w:bidi w:val="0"/>
              <w:spacing w:before="0" w:after="283"/>
              <w:jc w:val="right"/>
              <w:rPr/>
            </w:pPr>
            <w:r>
              <w:rPr/>
              <w:t>11,583</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1100" w:type="dxa"/>
            <w:tcBorders>
              <w:bottom w:val="single" w:sz="6" w:space="0" w:color="0075C9"/>
            </w:tcBorders>
            <w:tcMar>
              <w:bottom w:w="60" w:type="dxa"/>
            </w:tcMar>
            <w:vAlign w:val="center"/>
          </w:tcPr>
          <w:p>
            <w:pPr>
              <w:pStyle w:val="TableContents"/>
              <w:bidi w:val="0"/>
              <w:spacing w:before="0" w:after="283"/>
              <w:jc w:val="right"/>
              <w:rPr/>
            </w:pPr>
            <w:r>
              <w:rPr/>
              <w:t>5,876,940</w:t>
            </w:r>
          </w:p>
        </w:tc>
        <w:tc>
          <w:tcPr>
            <w:tcW w:w="75" w:type="dxa"/>
            <w:tcBorders>
              <w:bottom w:val="single" w:sz="6" w:space="0" w:color="0075C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Bradford L. Smith</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Cash Incentive</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1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60" w:type="dxa"/>
            </w:tcMar>
            <w:vAlign w:val="center"/>
          </w:tcPr>
          <w:p>
            <w:pPr>
              <w:pStyle w:val="TableContents"/>
              <w:bidi w:val="0"/>
              <w:spacing w:before="0" w:after="283"/>
              <w:jc w:val="left"/>
              <w:rPr/>
            </w:pPr>
            <w:r>
              <w:rPr/>
              <w:t> </w:t>
            </w:r>
          </w:p>
        </w:tc>
        <w:tc>
          <w:tcPr>
            <w:tcW w:w="582" w:type="dxa"/>
            <w:tcBorders>
              <w:bottom w:val="single" w:sz="6" w:space="0" w:color="595959"/>
            </w:tcBorders>
            <w:tcMar>
              <w:bottom w:w="60" w:type="dxa"/>
            </w:tcMar>
            <w:vAlign w:val="center"/>
          </w:tcPr>
          <w:p>
            <w:pPr>
              <w:pStyle w:val="TableContents"/>
              <w:bidi w:val="0"/>
              <w:spacing w:before="0" w:after="283"/>
              <w:jc w:val="right"/>
              <w:rPr/>
            </w:pPr>
            <w:r>
              <w:rPr/>
              <w:t>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282" w:type="dxa"/>
            <w:tcBorders>
              <w:bottom w:val="single" w:sz="6" w:space="0" w:color="595959"/>
            </w:tcBorders>
            <w:tcMar>
              <w:bottom w:w="60" w:type="dxa"/>
            </w:tcMar>
            <w:vAlign w:val="center"/>
          </w:tcPr>
          <w:p>
            <w:pPr>
              <w:pStyle w:val="TableContents"/>
              <w:bidi w:val="0"/>
              <w:spacing w:before="0" w:after="283"/>
              <w:jc w:val="right"/>
              <w:rPr/>
            </w:pPr>
            <w:r>
              <w:rPr/>
              <w:t>2,500,000</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60" w:type="dxa"/>
            </w:tcMar>
            <w:vAlign w:val="center"/>
          </w:tcPr>
          <w:p>
            <w:pPr>
              <w:pStyle w:val="TableContents"/>
              <w:bidi w:val="0"/>
              <w:spacing w:before="0" w:after="283"/>
              <w:jc w:val="left"/>
              <w:rPr/>
            </w:pPr>
            <w:r>
              <w:rPr/>
              <w:t> </w:t>
            </w:r>
          </w:p>
        </w:tc>
        <w:tc>
          <w:tcPr>
            <w:tcW w:w="1444" w:type="dxa"/>
            <w:tcBorders>
              <w:bottom w:val="single" w:sz="6" w:space="0" w:color="595959"/>
            </w:tcBorders>
            <w:tcMar>
              <w:bottom w:w="60" w:type="dxa"/>
            </w:tcMar>
            <w:vAlign w:val="center"/>
          </w:tcPr>
          <w:p>
            <w:pPr>
              <w:pStyle w:val="TableContents"/>
              <w:bidi w:val="0"/>
              <w:spacing w:before="0" w:after="283"/>
              <w:jc w:val="right"/>
              <w:rPr/>
            </w:pPr>
            <w:r>
              <w:rPr/>
              <w:t>5,000,000</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2026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490</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8,717</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26,151</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5,345,700</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2025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438</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7,791</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23,373</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4,653,218</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1970" w:type="dxa"/>
            <w:tcBorders>
              <w:bottom w:val="single" w:sz="6" w:space="0" w:color="595959"/>
            </w:tcBorders>
            <w:tcMar>
              <w:bottom w:w="60" w:type="dxa"/>
            </w:tcMar>
            <w:vAlign w:val="center"/>
          </w:tcPr>
          <w:p>
            <w:pPr>
              <w:pStyle w:val="TableContents"/>
              <w:bidi w:val="0"/>
              <w:spacing w:before="0" w:after="283"/>
              <w:jc w:val="left"/>
              <w:rPr/>
            </w:pPr>
            <w:r>
              <w:rPr/>
              <w:t>2024 PSA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815" w:type="dxa"/>
            <w:tcBorders>
              <w:bottom w:val="single" w:sz="6" w:space="0" w:color="59595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24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595959"/>
            </w:tcBorders>
            <w:tcMar>
              <w:bottom w:w="28" w:type="dxa"/>
            </w:tcMar>
            <w:vAlign w:val="center"/>
          </w:tcPr>
          <w:p>
            <w:pPr>
              <w:pStyle w:val="TableContents"/>
              <w:bidi w:val="0"/>
              <w:spacing w:before="0" w:after="283"/>
              <w:jc w:val="left"/>
              <w:rPr/>
            </w:pPr>
            <w:r>
              <w:rPr/>
              <w:t> </w:t>
            </w:r>
          </w:p>
        </w:tc>
        <w:tc>
          <w:tcPr>
            <w:tcW w:w="78"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80" w:type="dxa"/>
            <w:tcBorders>
              <w:bottom w:val="single" w:sz="6" w:space="0" w:color="595959"/>
            </w:tcBorders>
            <w:tcMar>
              <w:bottom w:w="60" w:type="dxa"/>
            </w:tcMar>
            <w:vAlign w:val="center"/>
          </w:tcPr>
          <w:p>
            <w:pPr>
              <w:pStyle w:val="TableContents"/>
              <w:bidi w:val="0"/>
              <w:spacing w:before="0" w:after="283"/>
              <w:jc w:val="left"/>
              <w:rPr/>
            </w:pPr>
            <w:r>
              <w:rPr/>
              <w:t> </w:t>
            </w:r>
          </w:p>
        </w:tc>
        <w:tc>
          <w:tcPr>
            <w:tcW w:w="750" w:type="dxa"/>
            <w:tcBorders>
              <w:bottom w:val="single" w:sz="6" w:space="0" w:color="595959"/>
            </w:tcBorders>
            <w:tcMar>
              <w:bottom w:w="60" w:type="dxa"/>
            </w:tcMar>
            <w:vAlign w:val="center"/>
          </w:tcPr>
          <w:p>
            <w:pPr>
              <w:pStyle w:val="TableContents"/>
              <w:bidi w:val="0"/>
              <w:spacing w:before="0" w:after="283"/>
              <w:jc w:val="right"/>
              <w:rPr/>
            </w:pPr>
            <w:r>
              <w:rPr/>
              <w:t>443</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714" w:type="dxa"/>
            <w:tcBorders>
              <w:bottom w:val="single" w:sz="6" w:space="0" w:color="595959"/>
            </w:tcBorders>
            <w:tcMar>
              <w:bottom w:w="60" w:type="dxa"/>
            </w:tcMar>
            <w:vAlign w:val="center"/>
          </w:tcPr>
          <w:p>
            <w:pPr>
              <w:pStyle w:val="TableContents"/>
              <w:bidi w:val="0"/>
              <w:spacing w:before="0" w:after="283"/>
              <w:jc w:val="right"/>
              <w:rPr/>
            </w:pPr>
            <w:r>
              <w:rPr/>
              <w:t>7,882</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60" w:type="dxa"/>
            </w:tcMar>
            <w:vAlign w:val="center"/>
          </w:tcPr>
          <w:p>
            <w:pPr>
              <w:pStyle w:val="TableContents"/>
              <w:bidi w:val="0"/>
              <w:spacing w:before="0" w:after="283"/>
              <w:jc w:val="left"/>
              <w:rPr/>
            </w:pPr>
            <w:r>
              <w:rPr/>
              <w:t> </w:t>
            </w:r>
          </w:p>
        </w:tc>
        <w:tc>
          <w:tcPr>
            <w:tcW w:w="842" w:type="dxa"/>
            <w:tcBorders>
              <w:bottom w:val="single" w:sz="6" w:space="0" w:color="595959"/>
            </w:tcBorders>
            <w:tcMar>
              <w:bottom w:w="60" w:type="dxa"/>
            </w:tcMar>
            <w:vAlign w:val="center"/>
          </w:tcPr>
          <w:p>
            <w:pPr>
              <w:pStyle w:val="TableContents"/>
              <w:bidi w:val="0"/>
              <w:spacing w:before="0" w:after="283"/>
              <w:jc w:val="right"/>
              <w:rPr/>
            </w:pPr>
            <w:r>
              <w:rPr/>
              <w:t>23,646</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60" w:type="dxa"/>
            <w:tcBorders>
              <w:bottom w:val="single" w:sz="6" w:space="0" w:color="595959"/>
            </w:tcBorders>
            <w:tcMar>
              <w:bottom w:w="60" w:type="dxa"/>
            </w:tcMar>
            <w:vAlign w:val="center"/>
          </w:tcPr>
          <w:p>
            <w:pPr>
              <w:pStyle w:val="TableContents"/>
              <w:bidi w:val="0"/>
              <w:spacing w:before="0" w:after="283"/>
              <w:jc w:val="left"/>
              <w:rPr/>
            </w:pPr>
            <w:r>
              <w:rPr/>
              <w:t> </w:t>
            </w:r>
          </w:p>
        </w:tc>
        <w:tc>
          <w:tcPr>
            <w:tcW w:w="1100" w:type="dxa"/>
            <w:tcBorders>
              <w:bottom w:val="single" w:sz="6" w:space="0" w:color="595959"/>
            </w:tcBorders>
            <w:tcMar>
              <w:bottom w:w="60" w:type="dxa"/>
            </w:tcMar>
            <w:vAlign w:val="center"/>
          </w:tcPr>
          <w:p>
            <w:pPr>
              <w:pStyle w:val="TableContents"/>
              <w:bidi w:val="0"/>
              <w:spacing w:before="0" w:after="283"/>
              <w:jc w:val="right"/>
              <w:rPr/>
            </w:pPr>
            <w:r>
              <w:rPr/>
              <w:t>5,198,337</w:t>
            </w:r>
          </w:p>
        </w:tc>
        <w:tc>
          <w:tcPr>
            <w:tcW w:w="75" w:type="dxa"/>
            <w:tcBorders>
              <w:bottom w:val="single" w:sz="6" w:space="0" w:color="595959"/>
            </w:tcBorders>
            <w:tcMar>
              <w:bottom w:w="60" w:type="dxa"/>
            </w:tcM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2030" w:type="dxa"/>
            <w:gridSpan w:val="2"/>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968" w:type="dxa"/>
            <w:gridSpan w:val="4"/>
            <w:tcBorders/>
            <w:vAlign w:val="center"/>
          </w:tcPr>
          <w:p>
            <w:pPr>
              <w:pStyle w:val="TableContents"/>
              <w:bidi w:val="0"/>
              <w:spacing w:before="0" w:after="283"/>
              <w:jc w:val="left"/>
              <w:rPr>
                <w:sz w:val="4"/>
                <w:szCs w:val="4"/>
              </w:rPr>
            </w:pPr>
            <w:r>
              <w:rPr>
                <w:sz w:val="4"/>
                <w:szCs w:val="4"/>
              </w:rPr>
            </w:r>
          </w:p>
        </w:tc>
        <w:tc>
          <w:tcPr>
            <w:tcW w:w="1516" w:type="dxa"/>
            <w:gridSpan w:val="4"/>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953" w:type="dxa"/>
            <w:gridSpan w:val="4"/>
            <w:tcBorders/>
            <w:vAlign w:val="center"/>
          </w:tcPr>
          <w:p>
            <w:pPr>
              <w:pStyle w:val="TableContents"/>
              <w:bidi w:val="0"/>
              <w:spacing w:before="0" w:after="283"/>
              <w:jc w:val="left"/>
              <w:rPr>
                <w:sz w:val="4"/>
                <w:szCs w:val="4"/>
              </w:rPr>
            </w:pPr>
            <w:r>
              <w:rPr>
                <w:sz w:val="4"/>
                <w:szCs w:val="4"/>
              </w:rPr>
            </w:r>
          </w:p>
        </w:tc>
        <w:tc>
          <w:tcPr>
            <w:tcW w:w="903" w:type="dxa"/>
            <w:gridSpan w:val="4"/>
            <w:tcBorders/>
            <w:vAlign w:val="center"/>
          </w:tcPr>
          <w:p>
            <w:pPr>
              <w:pStyle w:val="TableContents"/>
              <w:bidi w:val="0"/>
              <w:spacing w:before="0" w:after="283"/>
              <w:jc w:val="left"/>
              <w:rPr>
                <w:sz w:val="4"/>
                <w:szCs w:val="4"/>
              </w:rPr>
            </w:pPr>
            <w:r>
              <w:rPr>
                <w:sz w:val="4"/>
                <w:szCs w:val="4"/>
              </w:rPr>
            </w:r>
          </w:p>
        </w:tc>
        <w:tc>
          <w:tcPr>
            <w:tcW w:w="1028"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1970" w:type="dxa"/>
            <w:tcBorders>
              <w:bottom w:val="single" w:sz="6" w:space="0" w:color="0075C9"/>
            </w:tcBorders>
            <w:tcMar>
              <w:bottom w:w="60" w:type="dxa"/>
            </w:tcMar>
            <w:vAlign w:val="center"/>
          </w:tcPr>
          <w:p>
            <w:pPr>
              <w:pStyle w:val="TableContents"/>
              <w:bidi w:val="0"/>
              <w:spacing w:before="0" w:after="283"/>
              <w:jc w:val="left"/>
              <w:rPr/>
            </w:pPr>
            <w:r>
              <w:rPr/>
              <w:t>2026 Stock Award</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815" w:type="dxa"/>
            <w:tcBorders>
              <w:bottom w:val="single" w:sz="6" w:space="0" w:color="0075C9"/>
            </w:tcBorders>
            <w:tcMar>
              <w:bottom w:w="60" w:type="dxa"/>
            </w:tcMar>
            <w:vAlign w:val="center"/>
          </w:tcPr>
          <w:p>
            <w:pPr>
              <w:pStyle w:val="TableContents"/>
              <w:bidi w:val="0"/>
              <w:spacing w:before="0" w:after="283"/>
              <w:jc w:val="right"/>
              <w:rPr/>
            </w:pPr>
            <w:r>
              <w:rPr/>
              <w:t>9/15/2025</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24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5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8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8" w:type="dxa"/>
            <w:tcBorders>
              <w:bottom w:val="single" w:sz="6" w:space="0" w:color="0075C9"/>
            </w:tcBorders>
            <w:tcMar>
              <w:bottom w:w="28" w:type="dxa"/>
            </w:tcMar>
            <w:vAlign w:val="center"/>
          </w:tcPr>
          <w:p>
            <w:pPr>
              <w:pStyle w:val="TableContents"/>
              <w:bidi w:val="0"/>
              <w:spacing w:before="0" w:after="283"/>
              <w:jc w:val="left"/>
              <w:rPr/>
            </w:pPr>
            <w:r>
              <w:rPr/>
              <w:t> </w:t>
            </w:r>
          </w:p>
        </w:tc>
        <w:tc>
          <w:tcPr>
            <w:tcW w:w="78"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4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8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1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3"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2"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80" w:type="dxa"/>
            <w:tcBorders>
              <w:bottom w:val="single" w:sz="6" w:space="0" w:color="0075C9"/>
            </w:tcBorders>
            <w:tcMar>
              <w:bottom w:w="6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60" w:type="dxa"/>
            </w:tcMar>
            <w:vAlign w:val="center"/>
          </w:tcPr>
          <w:p>
            <w:pPr>
              <w:pStyle w:val="TableContents"/>
              <w:bidi w:val="0"/>
              <w:spacing w:before="0" w:after="283"/>
              <w:jc w:val="left"/>
              <w:rPr/>
            </w:pPr>
            <w:r>
              <w:rPr/>
              <w:t> </w:t>
            </w:r>
          </w:p>
        </w:tc>
        <w:tc>
          <w:tcPr>
            <w:tcW w:w="1100" w:type="dxa"/>
            <w:tcBorders>
              <w:bottom w:val="single" w:sz="6" w:space="0" w:color="0075C9"/>
            </w:tcBorders>
            <w:tcMar>
              <w:bottom w:w="60" w:type="dxa"/>
            </w:tcMar>
            <w:vAlign w:val="center"/>
          </w:tcPr>
          <w:p>
            <w:pPr>
              <w:pStyle w:val="TableContents"/>
              <w:bidi w:val="0"/>
              <w:spacing w:before="0" w:after="283"/>
              <w:jc w:val="right"/>
              <w:rPr/>
            </w:pPr>
            <w:r>
              <w:rPr/>
              <w:t>13,268,403</w:t>
            </w:r>
          </w:p>
        </w:tc>
        <w:tc>
          <w:tcPr>
            <w:tcW w:w="75" w:type="dxa"/>
            <w:tcBorders>
              <w:bottom w:val="single" w:sz="6" w:space="0" w:color="0075C9"/>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305"/>
        <w:gridCol w:w="7265"/>
      </w:tblGrid>
      <w:tr>
        <w:trPr/>
        <w:tc>
          <w:tcPr>
            <w:tcW w:w="305" w:type="dxa"/>
            <w:tcBorders/>
            <w:vAlign w:val="center"/>
          </w:tcPr>
          <w:p>
            <w:pPr>
              <w:pStyle w:val="TableContents"/>
              <w:bidi w:val="0"/>
              <w:spacing w:before="0" w:after="283"/>
              <w:jc w:val="left"/>
              <w:rPr/>
            </w:pPr>
            <w:r>
              <w:rPr/>
              <w:t>(1)</w:t>
            </w:r>
          </w:p>
        </w:tc>
        <w:tc>
          <w:tcPr>
            <w:tcW w:w="7265" w:type="dxa"/>
            <w:tcBorders/>
            <w:vAlign w:val="center"/>
          </w:tcPr>
          <w:p>
            <w:pPr>
              <w:pStyle w:val="TableContents"/>
              <w:bidi w:val="0"/>
              <w:spacing w:before="0" w:after="0"/>
              <w:jc w:val="left"/>
              <w:rPr>
                <w:rFonts w:ascii="Arial" w:hAnsi="Arial"/>
                <w:sz w:val="14"/>
              </w:rPr>
            </w:pPr>
            <w:r>
              <w:rPr>
                <w:rFonts w:ascii="Arial" w:hAnsi="Arial"/>
                <w:sz w:val="14"/>
              </w:rPr>
              <w:t xml:space="preserve">All awards are granted under the Executive Incentive Plan. SAs and PSAs were granted under the 2017 Stock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Arial" w:hAnsi="Arial"/>
                <w:sz w:val="14"/>
              </w:rPr>
            </w:pPr>
            <w:r>
              <w:rPr>
                <w:rFonts w:ascii="Arial" w:hAnsi="Arial"/>
                <w:sz w:val="14"/>
              </w:rPr>
              <w:t xml:space="preserve">This column represents fiscal year 2026 cash incentives. Please see the section titled “Fiscal Year 2026 Cash Incentive Awards” in the Compensation Discussion and Analysis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Arial" w:hAnsi="Arial"/>
                <w:sz w:val="14"/>
              </w:rPr>
            </w:pPr>
            <w:r>
              <w:rPr>
                <w:rFonts w:ascii="Arial" w:hAnsi="Arial"/>
                <w:sz w:val="14"/>
              </w:rPr>
              <w:t xml:space="preserve">These columns represent the threshold, target, and maximum shares for the PSAs with a grant date in fiscal year 2026. Because the grant date for a PSA occurs when PSA performance targets are approved, the reported number of shares is calculated as the target shares for the portion of the PSAs for which performance targets were set in fiscal year 2026 (33.33% of each of the 2026, 2025, and 2024 PSAs). The threshold is calculated as if the threshold of only the least weighted metric (15% weight for fiscal year 2026) is met, and this amount is then reduced by 25% based on assumption that the maximum adjustment for Microsoft’s total shareholder return underperforming the S&amp;P 500 is applied. The maximum is calculated assuming all maximum targets were met and the relative TSR multiplier was fully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Includes the grant date fair values for SAs and PSAs calculated in accordance with FASB ASC Topic 718 based on the market price of the shares subject to the award on the date of grant. The value of SAs is reduced by the present value of estimated future dividends because dividends are not paid on SA shares until vesting. Values for PSAs in this column are calculated using a Monte Carlo simulation valuation performed as of the date of grant by an independent third party. Because the grant date for a PSA occurs when PSA performance targets are approved, the grant date fair value is calculated for the portion of the PSA for which performance targets were set in fiscal year 2026 (33.33% of each of the 2026, 2025, and 2024 PSAs).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54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89"/>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5" w:name="toc61756_22"/>
      <w:bookmarkEnd w:id="25"/>
      <w:r>
        <w:rPr>
          <w:rFonts w:ascii="Arial" w:hAnsi="Arial"/>
          <w:b/>
          <w:sz w:val="24"/>
        </w:rPr>
        <w:t xml:space="preserve">Outstanding Equity Awards at June 30, 2026 </w:t>
      </w:r>
    </w:p>
    <w:p>
      <w:pPr>
        <w:pStyle w:val="TextBody"/>
        <w:bidi w:val="0"/>
        <w:spacing w:before="120" w:after="0"/>
        <w:jc w:val="left"/>
        <w:rPr>
          <w:rFonts w:ascii="Arial" w:hAnsi="Arial"/>
          <w:sz w:val="18"/>
        </w:rPr>
      </w:pPr>
      <w:r>
        <w:rPr>
          <w:rFonts w:ascii="Arial" w:hAnsi="Arial"/>
          <w:sz w:val="18"/>
        </w:rPr>
        <w:t xml:space="preserve">This table provides information about unvested SAs and PSAs held by the Named Executives on June 30, 2026. </w:t>
      </w:r>
    </w:p>
    <w:p>
      <w:pPr>
        <w:pStyle w:val="TextBody"/>
        <w:bidi w:val="0"/>
        <w:spacing w:before="0" w:after="0"/>
        <w:jc w:val="left"/>
        <w:rPr/>
      </w:pPr>
      <w:r>
        <w:rPr/>
        <w:t> </w:t>
      </w:r>
    </w:p>
    <w:tbl>
      <w:tblPr>
        <w:tblW w:w="9440" w:type="dxa"/>
        <w:jc w:val="left"/>
        <w:tblInd w:w="0" w:type="dxa"/>
        <w:tblLayout w:type="fixed"/>
        <w:tblCellMar>
          <w:top w:w="0" w:type="dxa"/>
          <w:left w:w="0" w:type="dxa"/>
          <w:bottom w:w="0" w:type="dxa"/>
          <w:right w:w="0" w:type="dxa"/>
        </w:tblCellMar>
      </w:tblPr>
      <w:tblGrid>
        <w:gridCol w:w="1550"/>
        <w:gridCol w:w="60"/>
        <w:gridCol w:w="980"/>
        <w:gridCol w:w="120"/>
        <w:gridCol w:w="94"/>
        <w:gridCol w:w="1261"/>
        <w:gridCol w:w="200"/>
        <w:gridCol w:w="120"/>
        <w:gridCol w:w="63"/>
        <w:gridCol w:w="1157"/>
        <w:gridCol w:w="60"/>
        <w:gridCol w:w="120"/>
        <w:gridCol w:w="125"/>
        <w:gridCol w:w="1680"/>
        <w:gridCol w:w="60"/>
        <w:gridCol w:w="120"/>
        <w:gridCol w:w="82"/>
        <w:gridCol w:w="1513"/>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55" w:type="dxa"/>
            <w:gridSpan w:val="16"/>
            <w:tcBorders>
              <w:bottom w:val="single" w:sz="6"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50"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Award</w:t>
            </w:r>
          </w:p>
          <w:p>
            <w:pPr>
              <w:pStyle w:val="TableContents"/>
              <w:bidi w:val="0"/>
              <w:spacing w:before="0" w:after="20"/>
              <w:jc w:val="left"/>
              <w:rPr>
                <w:rFonts w:ascii="Arial" w:hAnsi="Arial"/>
                <w:b/>
                <w:sz w:val="18"/>
              </w:rPr>
            </w:pPr>
            <w:r>
              <w:rPr>
                <w:rFonts w:ascii="Arial" w:hAnsi="Arial"/>
                <w:b/>
                <w:sz w:val="18"/>
              </w:rPr>
              <w:t>Date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Number of</w:t>
            </w:r>
          </w:p>
          <w:p>
            <w:pPr>
              <w:pStyle w:val="TableContents"/>
              <w:bidi w:val="0"/>
              <w:spacing w:before="0" w:after="0"/>
              <w:jc w:val="right"/>
              <w:rPr>
                <w:rFonts w:ascii="Arial" w:hAnsi="Arial"/>
                <w:b/>
                <w:sz w:val="18"/>
              </w:rPr>
            </w:pPr>
            <w:r>
              <w:rPr>
                <w:rFonts w:ascii="Arial" w:hAnsi="Arial"/>
                <w:b/>
                <w:sz w:val="18"/>
              </w:rPr>
              <w:t>Shares or Units</w:t>
            </w:r>
          </w:p>
          <w:p>
            <w:pPr>
              <w:pStyle w:val="TableContents"/>
              <w:bidi w:val="0"/>
              <w:spacing w:before="0" w:after="0"/>
              <w:jc w:val="right"/>
              <w:rPr>
                <w:rFonts w:ascii="Arial" w:hAnsi="Arial"/>
                <w:b/>
                <w:sz w:val="18"/>
              </w:rPr>
            </w:pPr>
            <w:r>
              <w:rPr>
                <w:rFonts w:ascii="Arial" w:hAnsi="Arial"/>
                <w:b/>
                <w:sz w:val="18"/>
              </w:rPr>
              <w:t>of Stock That</w:t>
            </w:r>
          </w:p>
          <w:p>
            <w:pPr>
              <w:pStyle w:val="TableContents"/>
              <w:bidi w:val="0"/>
              <w:spacing w:before="0" w:after="0"/>
              <w:jc w:val="right"/>
              <w:rPr>
                <w:rFonts w:ascii="Arial" w:hAnsi="Arial"/>
                <w:b/>
                <w:sz w:val="18"/>
              </w:rPr>
            </w:pPr>
            <w:r>
              <w:rPr>
                <w:rFonts w:ascii="Arial" w:hAnsi="Arial"/>
                <w:b/>
                <w:sz w:val="18"/>
              </w:rPr>
              <w:t>Have Not</w:t>
            </w:r>
          </w:p>
          <w:p>
            <w:pPr>
              <w:pStyle w:val="TableContents"/>
              <w:bidi w:val="0"/>
              <w:spacing w:before="0" w:after="0"/>
              <w:jc w:val="right"/>
              <w:rPr>
                <w:rFonts w:ascii="Arial" w:hAnsi="Arial"/>
                <w:b/>
                <w:sz w:val="18"/>
              </w:rPr>
            </w:pPr>
            <w:r>
              <w:rPr>
                <w:rFonts w:ascii="Arial" w:hAnsi="Arial"/>
                <w:b/>
                <w:sz w:val="18"/>
              </w:rPr>
              <w:t>Vested1</w:t>
            </w:r>
          </w:p>
          <w:p>
            <w:pPr>
              <w:pStyle w:val="TableContents"/>
              <w:bidi w:val="0"/>
              <w:spacing w:before="0" w:after="20"/>
              <w:jc w:val="right"/>
              <w:rPr>
                <w:rFonts w:ascii="Arial" w:hAnsi="Arial"/>
                <w:b/>
                <w:sz w:val="18"/>
              </w:rPr>
            </w:pPr>
            <w:r>
              <w:rPr>
                <w:rFonts w:ascii="Arial" w:hAnsi="Arial"/>
                <w:b/>
                <w:sz w:val="18"/>
              </w:rPr>
              <w:t>(#)</w:t>
            </w:r>
          </w:p>
        </w:tc>
        <w:tc>
          <w:tcPr>
            <w:tcW w:w="20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Market Value</w:t>
            </w:r>
          </w:p>
          <w:p>
            <w:pPr>
              <w:pStyle w:val="TableContents"/>
              <w:bidi w:val="0"/>
              <w:spacing w:before="0" w:after="0"/>
              <w:jc w:val="right"/>
              <w:rPr>
                <w:rFonts w:ascii="Arial" w:hAnsi="Arial"/>
                <w:b/>
                <w:sz w:val="18"/>
              </w:rPr>
            </w:pPr>
            <w:r>
              <w:rPr>
                <w:rFonts w:ascii="Arial" w:hAnsi="Arial"/>
                <w:b/>
                <w:sz w:val="18"/>
              </w:rPr>
              <w:t>of Shares or</w:t>
            </w:r>
          </w:p>
          <w:p>
            <w:pPr>
              <w:pStyle w:val="TableContents"/>
              <w:bidi w:val="0"/>
              <w:spacing w:before="0" w:after="0"/>
              <w:jc w:val="right"/>
              <w:rPr>
                <w:rFonts w:ascii="Arial" w:hAnsi="Arial"/>
                <w:b/>
                <w:sz w:val="18"/>
              </w:rPr>
            </w:pPr>
            <w:r>
              <w:rPr>
                <w:rFonts w:ascii="Arial" w:hAnsi="Arial"/>
                <w:b/>
                <w:sz w:val="18"/>
              </w:rPr>
              <w:t>Units of Stock</w:t>
            </w:r>
          </w:p>
          <w:p>
            <w:pPr>
              <w:pStyle w:val="TableContents"/>
              <w:bidi w:val="0"/>
              <w:spacing w:before="0" w:after="0"/>
              <w:jc w:val="right"/>
              <w:rPr>
                <w:rFonts w:ascii="Arial" w:hAnsi="Arial"/>
                <w:b/>
                <w:sz w:val="18"/>
              </w:rPr>
            </w:pPr>
            <w:r>
              <w:rPr>
                <w:rFonts w:ascii="Arial" w:hAnsi="Arial"/>
                <w:b/>
                <w:sz w:val="18"/>
              </w:rPr>
              <w:t>That Have</w:t>
            </w:r>
          </w:p>
          <w:p>
            <w:pPr>
              <w:pStyle w:val="TableContents"/>
              <w:bidi w:val="0"/>
              <w:spacing w:before="0" w:after="0"/>
              <w:jc w:val="right"/>
              <w:rPr>
                <w:rFonts w:ascii="Arial" w:hAnsi="Arial"/>
                <w:b/>
                <w:sz w:val="18"/>
              </w:rPr>
            </w:pPr>
            <w:r>
              <w:rPr>
                <w:rFonts w:ascii="Arial" w:hAnsi="Arial"/>
                <w:b/>
                <w:sz w:val="18"/>
              </w:rPr>
              <w:t>Not Vested2</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Equity Incentive Plan</w:t>
            </w:r>
          </w:p>
          <w:p>
            <w:pPr>
              <w:pStyle w:val="TableContents"/>
              <w:bidi w:val="0"/>
              <w:spacing w:before="0" w:after="0"/>
              <w:jc w:val="right"/>
              <w:rPr>
                <w:rFonts w:ascii="Arial" w:hAnsi="Arial"/>
                <w:b/>
                <w:sz w:val="18"/>
              </w:rPr>
            </w:pPr>
            <w:r>
              <w:rPr>
                <w:rFonts w:ascii="Arial" w:hAnsi="Arial"/>
                <w:b/>
                <w:sz w:val="18"/>
              </w:rPr>
              <w:t>Awards:</w:t>
            </w:r>
          </w:p>
          <w:p>
            <w:pPr>
              <w:pStyle w:val="TableContents"/>
              <w:bidi w:val="0"/>
              <w:spacing w:before="0" w:after="0"/>
              <w:jc w:val="right"/>
              <w:rPr>
                <w:rFonts w:ascii="Arial" w:hAnsi="Arial"/>
                <w:b/>
                <w:sz w:val="18"/>
              </w:rPr>
            </w:pPr>
            <w:r>
              <w:rPr>
                <w:rFonts w:ascii="Arial" w:hAnsi="Arial"/>
                <w:b/>
                <w:sz w:val="18"/>
              </w:rPr>
              <w:t>Number of Unearned</w:t>
            </w:r>
          </w:p>
          <w:p>
            <w:pPr>
              <w:pStyle w:val="TableContents"/>
              <w:bidi w:val="0"/>
              <w:spacing w:before="0" w:after="0"/>
              <w:jc w:val="right"/>
              <w:rPr>
                <w:rFonts w:ascii="Arial" w:hAnsi="Arial"/>
                <w:b/>
                <w:sz w:val="18"/>
              </w:rPr>
            </w:pPr>
            <w:r>
              <w:rPr>
                <w:rFonts w:ascii="Arial" w:hAnsi="Arial"/>
                <w:b/>
                <w:sz w:val="18"/>
              </w:rPr>
              <w:t>Shares, Units or</w:t>
            </w:r>
          </w:p>
          <w:p>
            <w:pPr>
              <w:pStyle w:val="TableContents"/>
              <w:bidi w:val="0"/>
              <w:spacing w:before="0" w:after="0"/>
              <w:jc w:val="right"/>
              <w:rPr>
                <w:rFonts w:ascii="Arial" w:hAnsi="Arial"/>
                <w:b/>
                <w:sz w:val="18"/>
              </w:rPr>
            </w:pPr>
            <w:r>
              <w:rPr>
                <w:rFonts w:ascii="Arial" w:hAnsi="Arial"/>
                <w:b/>
                <w:sz w:val="18"/>
              </w:rPr>
              <w:t>Other Rights That</w:t>
            </w:r>
          </w:p>
          <w:p>
            <w:pPr>
              <w:pStyle w:val="TableContents"/>
              <w:bidi w:val="0"/>
              <w:spacing w:before="0" w:after="0"/>
              <w:jc w:val="right"/>
              <w:rPr>
                <w:rFonts w:ascii="Arial" w:hAnsi="Arial"/>
                <w:b/>
                <w:sz w:val="18"/>
              </w:rPr>
            </w:pPr>
            <w:r>
              <w:rPr>
                <w:rFonts w:ascii="Arial" w:hAnsi="Arial"/>
                <w:b/>
                <w:sz w:val="18"/>
              </w:rPr>
              <w:t>Have Not Vested3</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6" w:space="0" w:color="000000"/>
            </w:tcBorders>
            <w:tcMar>
              <w:bottom w:w="28" w:type="dxa"/>
            </w:tcMar>
            <w:vAlign w:val="center"/>
          </w:tcPr>
          <w:p>
            <w:pPr>
              <w:pStyle w:val="TableContents"/>
              <w:bidi w:val="0"/>
              <w:spacing w:before="0" w:after="0"/>
              <w:jc w:val="right"/>
              <w:rPr>
                <w:rFonts w:ascii="Arial" w:hAnsi="Arial"/>
                <w:b/>
                <w:sz w:val="18"/>
              </w:rPr>
            </w:pPr>
            <w:r>
              <w:rPr>
                <w:rFonts w:ascii="Arial" w:hAnsi="Arial"/>
                <w:b/>
                <w:sz w:val="18"/>
              </w:rPr>
              <w:t>Equity Incentive</w:t>
            </w:r>
          </w:p>
          <w:p>
            <w:pPr>
              <w:pStyle w:val="TableContents"/>
              <w:bidi w:val="0"/>
              <w:spacing w:before="0" w:after="0"/>
              <w:jc w:val="right"/>
              <w:rPr>
                <w:rFonts w:ascii="Arial" w:hAnsi="Arial"/>
                <w:b/>
                <w:sz w:val="18"/>
              </w:rPr>
            </w:pPr>
            <w:r>
              <w:rPr>
                <w:rFonts w:ascii="Arial" w:hAnsi="Arial"/>
                <w:b/>
                <w:sz w:val="18"/>
              </w:rPr>
              <w:t>Plan Awards:</w:t>
            </w:r>
          </w:p>
          <w:p>
            <w:pPr>
              <w:pStyle w:val="TableContents"/>
              <w:bidi w:val="0"/>
              <w:spacing w:before="0" w:after="0"/>
              <w:jc w:val="right"/>
              <w:rPr>
                <w:rFonts w:ascii="Arial" w:hAnsi="Arial"/>
                <w:b/>
                <w:sz w:val="18"/>
              </w:rPr>
            </w:pPr>
            <w:r>
              <w:rPr>
                <w:rFonts w:ascii="Arial" w:hAnsi="Arial"/>
                <w:b/>
                <w:sz w:val="18"/>
              </w:rPr>
              <w:t>Market or Payout</w:t>
            </w:r>
          </w:p>
          <w:p>
            <w:pPr>
              <w:pStyle w:val="TableContents"/>
              <w:bidi w:val="0"/>
              <w:spacing w:before="0" w:after="0"/>
              <w:jc w:val="right"/>
              <w:rPr>
                <w:rFonts w:ascii="Arial" w:hAnsi="Arial"/>
                <w:b/>
                <w:sz w:val="18"/>
              </w:rPr>
            </w:pPr>
            <w:r>
              <w:rPr>
                <w:rFonts w:ascii="Arial" w:hAnsi="Arial"/>
                <w:b/>
                <w:sz w:val="18"/>
              </w:rPr>
              <w:t>Value of Unearned</w:t>
            </w:r>
          </w:p>
          <w:p>
            <w:pPr>
              <w:pStyle w:val="TableContents"/>
              <w:bidi w:val="0"/>
              <w:spacing w:before="0" w:after="0"/>
              <w:jc w:val="right"/>
              <w:rPr>
                <w:rFonts w:ascii="Arial" w:hAnsi="Arial"/>
                <w:b/>
                <w:sz w:val="18"/>
              </w:rPr>
            </w:pPr>
            <w:r>
              <w:rPr>
                <w:rFonts w:ascii="Arial" w:hAnsi="Arial"/>
                <w:b/>
                <w:sz w:val="18"/>
              </w:rPr>
              <w:t>Shares, Units, or</w:t>
            </w:r>
          </w:p>
          <w:p>
            <w:pPr>
              <w:pStyle w:val="TableContents"/>
              <w:bidi w:val="0"/>
              <w:spacing w:before="0" w:after="0"/>
              <w:jc w:val="right"/>
              <w:rPr>
                <w:rFonts w:ascii="Arial" w:hAnsi="Arial"/>
                <w:b/>
                <w:sz w:val="18"/>
              </w:rPr>
            </w:pPr>
            <w:r>
              <w:rPr>
                <w:rFonts w:ascii="Arial" w:hAnsi="Arial"/>
                <w:b/>
                <w:sz w:val="18"/>
              </w:rPr>
              <w:t>Other Rights That</w:t>
            </w:r>
          </w:p>
          <w:p>
            <w:pPr>
              <w:pStyle w:val="TableContents"/>
              <w:bidi w:val="0"/>
              <w:spacing w:before="0" w:after="0"/>
              <w:jc w:val="right"/>
              <w:rPr>
                <w:rFonts w:ascii="Arial" w:hAnsi="Arial"/>
                <w:b/>
                <w:sz w:val="18"/>
              </w:rPr>
            </w:pPr>
            <w:r>
              <w:rPr>
                <w:rFonts w:ascii="Arial" w:hAnsi="Arial"/>
                <w:b/>
                <w:sz w:val="18"/>
              </w:rPr>
              <w:t>Have Not Vested2</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Satya Nadella</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9/19/2023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178,622</w:t>
            </w:r>
          </w:p>
        </w:tc>
        <w:tc>
          <w:tcPr>
            <w:tcW w:w="200" w:type="dxa"/>
            <w:tcBorders>
              <w:bottom w:val="single" w:sz="6" w:space="0" w:color="595959"/>
            </w:tcBorders>
            <w:tcMar>
              <w:bottom w:w="40" w:type="dxa"/>
            </w:tcMar>
            <w:vAlign w:val="center"/>
          </w:tcPr>
          <w:p>
            <w:pPr>
              <w:pStyle w:val="TableContents"/>
              <w:bidi w:val="0"/>
              <w:spacing w:before="0" w:after="283"/>
              <w:jc w:val="left"/>
              <w:rPr/>
            </w:pPr>
            <w:r>
              <w:rPr/>
              <w:t>4 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66,629,578</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40" w:type="dxa"/>
            </w:tcMar>
            <w:vAlign w:val="center"/>
          </w:tcPr>
          <w:p>
            <w:pPr>
              <w:pStyle w:val="TableContents"/>
              <w:bidi w:val="0"/>
              <w:spacing w:before="0" w:after="283"/>
              <w:jc w:val="left"/>
              <w:rPr/>
            </w:pPr>
            <w:r>
              <w:rPr/>
              <w:t> </w:t>
            </w:r>
          </w:p>
        </w:tc>
        <w:tc>
          <w:tcPr>
            <w:tcW w:w="1680" w:type="dxa"/>
            <w:tcBorders>
              <w:bottom w:val="single" w:sz="6" w:space="0" w:color="595959"/>
            </w:tcBorders>
            <w:tcMar>
              <w:bottom w:w="40" w:type="dxa"/>
            </w:tcMar>
            <w:vAlign w:val="center"/>
          </w:tcPr>
          <w:p>
            <w:pPr>
              <w:pStyle w:val="TableContents"/>
              <w:bidi w:val="0"/>
              <w:spacing w:before="0" w:after="283"/>
              <w:jc w:val="right"/>
              <w:rPr/>
            </w:pPr>
            <w:r>
              <w:rPr/>
              <w:t>239,730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40" w:type="dxa"/>
            </w:tcMar>
            <w:vAlign w:val="center"/>
          </w:tcPr>
          <w:p>
            <w:pPr>
              <w:pStyle w:val="TableContents"/>
              <w:bidi w:val="0"/>
              <w:spacing w:before="0" w:after="283"/>
              <w:jc w:val="left"/>
              <w:rPr/>
            </w:pPr>
            <w:r>
              <w:rPr/>
              <w:t> </w:t>
            </w:r>
          </w:p>
        </w:tc>
        <w:tc>
          <w:tcPr>
            <w:tcW w:w="1513" w:type="dxa"/>
            <w:tcBorders>
              <w:bottom w:val="single" w:sz="6" w:space="0" w:color="595959"/>
            </w:tcBorders>
            <w:tcMar>
              <w:bottom w:w="40" w:type="dxa"/>
            </w:tcMar>
            <w:vAlign w:val="center"/>
          </w:tcPr>
          <w:p>
            <w:pPr>
              <w:pStyle w:val="TableContents"/>
              <w:bidi w:val="0"/>
              <w:spacing w:before="0" w:after="283"/>
              <w:jc w:val="right"/>
              <w:rPr/>
            </w:pPr>
            <w:r>
              <w:rPr/>
              <w:t>89,424,085</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5" w:type="dxa"/>
            <w:tcBorders>
              <w:bottom w:val="single" w:sz="6" w:space="0" w:color="0075C9"/>
            </w:tcBorders>
            <w:tcMar>
              <w:bottom w:w="40" w:type="dxa"/>
            </w:tcMar>
            <w:vAlign w:val="center"/>
          </w:tcPr>
          <w:p>
            <w:pPr>
              <w:pStyle w:val="TableContents"/>
              <w:bidi w:val="0"/>
              <w:spacing w:before="0" w:after="283"/>
              <w:jc w:val="left"/>
              <w:rPr/>
            </w:pPr>
            <w:r>
              <w:rPr/>
              <w:t> </w:t>
            </w:r>
          </w:p>
        </w:tc>
        <w:tc>
          <w:tcPr>
            <w:tcW w:w="1680" w:type="dxa"/>
            <w:tcBorders>
              <w:bottom w:val="single" w:sz="6" w:space="0" w:color="0075C9"/>
            </w:tcBorders>
            <w:tcMar>
              <w:bottom w:w="40" w:type="dxa"/>
            </w:tcMar>
            <w:vAlign w:val="center"/>
          </w:tcPr>
          <w:p>
            <w:pPr>
              <w:pStyle w:val="TableContents"/>
              <w:bidi w:val="0"/>
              <w:spacing w:before="0" w:after="283"/>
              <w:jc w:val="right"/>
              <w:rPr/>
            </w:pPr>
            <w:r>
              <w:rPr/>
              <w:t>98,679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2" w:type="dxa"/>
            <w:tcBorders>
              <w:bottom w:val="single" w:sz="6" w:space="0" w:color="0075C9"/>
            </w:tcBorders>
            <w:tcMar>
              <w:bottom w:w="40" w:type="dxa"/>
            </w:tcMar>
            <w:vAlign w:val="center"/>
          </w:tcPr>
          <w:p>
            <w:pPr>
              <w:pStyle w:val="TableContents"/>
              <w:bidi w:val="0"/>
              <w:spacing w:before="0" w:after="283"/>
              <w:jc w:val="left"/>
              <w:rPr/>
            </w:pPr>
            <w:r>
              <w:rPr/>
              <w:t> </w:t>
            </w:r>
          </w:p>
        </w:tc>
        <w:tc>
          <w:tcPr>
            <w:tcW w:w="1513" w:type="dxa"/>
            <w:tcBorders>
              <w:bottom w:val="single" w:sz="6" w:space="0" w:color="0075C9"/>
            </w:tcBorders>
            <w:tcMar>
              <w:bottom w:w="40" w:type="dxa"/>
            </w:tcMar>
            <w:vAlign w:val="center"/>
          </w:tcPr>
          <w:p>
            <w:pPr>
              <w:pStyle w:val="TableContents"/>
              <w:bidi w:val="0"/>
              <w:spacing w:before="0" w:after="283"/>
              <w:jc w:val="right"/>
              <w:rPr/>
            </w:pPr>
            <w:r>
              <w:rPr/>
              <w:t>36,809,241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Amy E. Hood</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9/19/2022</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4,184</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1,560,716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10,012</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3,734,676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31,260</w:t>
            </w:r>
          </w:p>
        </w:tc>
        <w:tc>
          <w:tcPr>
            <w:tcW w:w="200" w:type="dxa"/>
            <w:tcBorders>
              <w:bottom w:val="single" w:sz="6" w:space="0" w:color="595959"/>
            </w:tcBorders>
            <w:tcMar>
              <w:bottom w:w="40" w:type="dxa"/>
            </w:tcMar>
            <w:vAlign w:val="center"/>
          </w:tcPr>
          <w:p>
            <w:pPr>
              <w:pStyle w:val="TableContents"/>
              <w:bidi w:val="0"/>
              <w:spacing w:before="0" w:after="283"/>
              <w:jc w:val="left"/>
              <w:rPr/>
            </w:pPr>
            <w:r>
              <w:rPr/>
              <w:t>4 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11,660,605</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14,609</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5,449,449</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40" w:type="dxa"/>
            </w:tcMar>
            <w:vAlign w:val="center"/>
          </w:tcPr>
          <w:p>
            <w:pPr>
              <w:pStyle w:val="TableContents"/>
              <w:bidi w:val="0"/>
              <w:spacing w:before="0" w:after="283"/>
              <w:jc w:val="left"/>
              <w:rPr/>
            </w:pPr>
            <w:r>
              <w:rPr/>
              <w:t> </w:t>
            </w:r>
          </w:p>
        </w:tc>
        <w:tc>
          <w:tcPr>
            <w:tcW w:w="1680" w:type="dxa"/>
            <w:tcBorders>
              <w:bottom w:val="single" w:sz="6" w:space="0" w:color="595959"/>
            </w:tcBorders>
            <w:tcMar>
              <w:bottom w:w="40" w:type="dxa"/>
            </w:tcMar>
            <w:vAlign w:val="center"/>
          </w:tcPr>
          <w:p>
            <w:pPr>
              <w:pStyle w:val="TableContents"/>
              <w:bidi w:val="0"/>
              <w:spacing w:before="0" w:after="283"/>
              <w:jc w:val="right"/>
              <w:rPr/>
            </w:pPr>
            <w:r>
              <w:rPr/>
              <w:t>46,746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40" w:type="dxa"/>
            </w:tcMar>
            <w:vAlign w:val="center"/>
          </w:tcPr>
          <w:p>
            <w:pPr>
              <w:pStyle w:val="TableContents"/>
              <w:bidi w:val="0"/>
              <w:spacing w:before="0" w:after="283"/>
              <w:jc w:val="left"/>
              <w:rPr/>
            </w:pPr>
            <w:r>
              <w:rPr/>
              <w:t> </w:t>
            </w:r>
          </w:p>
        </w:tc>
        <w:tc>
          <w:tcPr>
            <w:tcW w:w="1513" w:type="dxa"/>
            <w:tcBorders>
              <w:bottom w:val="single" w:sz="6" w:space="0" w:color="595959"/>
            </w:tcBorders>
            <w:tcMar>
              <w:bottom w:w="40" w:type="dxa"/>
            </w:tcMar>
            <w:vAlign w:val="center"/>
          </w:tcPr>
          <w:p>
            <w:pPr>
              <w:pStyle w:val="TableContents"/>
              <w:bidi w:val="0"/>
              <w:spacing w:before="0" w:after="283"/>
              <w:jc w:val="right"/>
              <w:rPr/>
            </w:pPr>
            <w:r>
              <w:rPr/>
              <w:t>17,437,193</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26,151</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9,754,846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5" w:type="dxa"/>
            <w:tcBorders>
              <w:bottom w:val="single" w:sz="6" w:space="0" w:color="0075C9"/>
            </w:tcBorders>
            <w:tcMar>
              <w:bottom w:w="40" w:type="dxa"/>
            </w:tcMar>
            <w:vAlign w:val="center"/>
          </w:tcPr>
          <w:p>
            <w:pPr>
              <w:pStyle w:val="TableContents"/>
              <w:bidi w:val="0"/>
              <w:spacing w:before="0" w:after="283"/>
              <w:jc w:val="left"/>
              <w:rPr/>
            </w:pPr>
            <w:r>
              <w:rPr/>
              <w:t> </w:t>
            </w:r>
          </w:p>
        </w:tc>
        <w:tc>
          <w:tcPr>
            <w:tcW w:w="1680"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2" w:type="dxa"/>
            <w:tcBorders>
              <w:bottom w:val="single" w:sz="6" w:space="0" w:color="0075C9"/>
            </w:tcBorders>
            <w:tcMar>
              <w:bottom w:w="40" w:type="dxa"/>
            </w:tcMar>
            <w:vAlign w:val="center"/>
          </w:tcPr>
          <w:p>
            <w:pPr>
              <w:pStyle w:val="TableContents"/>
              <w:bidi w:val="0"/>
              <w:spacing w:before="0" w:after="283"/>
              <w:jc w:val="left"/>
              <w:rPr/>
            </w:pPr>
            <w:r>
              <w:rPr/>
              <w:t> </w:t>
            </w:r>
          </w:p>
        </w:tc>
        <w:tc>
          <w:tcPr>
            <w:tcW w:w="1513" w:type="dxa"/>
            <w:tcBorders>
              <w:bottom w:val="single" w:sz="6" w:space="0" w:color="0075C9"/>
            </w:tcBorders>
            <w:tcMar>
              <w:bottom w:w="40" w:type="dxa"/>
            </w:tcMar>
            <w:vAlign w:val="center"/>
          </w:tcPr>
          <w:p>
            <w:pPr>
              <w:pStyle w:val="TableContents"/>
              <w:bidi w:val="0"/>
              <w:spacing w:before="0" w:after="283"/>
              <w:jc w:val="right"/>
              <w:rPr/>
            </w:pPr>
            <w:r>
              <w:rPr/>
              <w:t>9,754,846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Judson B. Althoff</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9/19/2022</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3,500</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1,305,570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9,520</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3,551,150</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29,724</w:t>
            </w:r>
          </w:p>
        </w:tc>
        <w:tc>
          <w:tcPr>
            <w:tcW w:w="200" w:type="dxa"/>
            <w:tcBorders>
              <w:bottom w:val="single" w:sz="6" w:space="0" w:color="595959"/>
            </w:tcBorders>
            <w:tcMar>
              <w:bottom w:w="40" w:type="dxa"/>
            </w:tcMar>
            <w:vAlign w:val="center"/>
          </w:tcPr>
          <w:p>
            <w:pPr>
              <w:pStyle w:val="TableContents"/>
              <w:bidi w:val="0"/>
              <w:spacing w:before="0" w:after="283"/>
              <w:jc w:val="left"/>
              <w:rPr/>
            </w:pPr>
            <w:r>
              <w:rPr/>
              <w:t>4 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11,087,646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14,609</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5,449,449</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40" w:type="dxa"/>
            </w:tcMar>
            <w:vAlign w:val="center"/>
          </w:tcPr>
          <w:p>
            <w:pPr>
              <w:pStyle w:val="TableContents"/>
              <w:bidi w:val="0"/>
              <w:spacing w:before="0" w:after="283"/>
              <w:jc w:val="left"/>
              <w:rPr/>
            </w:pPr>
            <w:r>
              <w:rPr/>
              <w:t> </w:t>
            </w:r>
          </w:p>
        </w:tc>
        <w:tc>
          <w:tcPr>
            <w:tcW w:w="1680" w:type="dxa"/>
            <w:tcBorders>
              <w:bottom w:val="single" w:sz="6" w:space="0" w:color="595959"/>
            </w:tcBorders>
            <w:tcMar>
              <w:bottom w:w="40" w:type="dxa"/>
            </w:tcMar>
            <w:vAlign w:val="center"/>
          </w:tcPr>
          <w:p>
            <w:pPr>
              <w:pStyle w:val="TableContents"/>
              <w:bidi w:val="0"/>
              <w:spacing w:before="0" w:after="283"/>
              <w:jc w:val="right"/>
              <w:rPr/>
            </w:pPr>
            <w:r>
              <w:rPr/>
              <w:t>46,746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40" w:type="dxa"/>
            </w:tcMar>
            <w:vAlign w:val="center"/>
          </w:tcPr>
          <w:p>
            <w:pPr>
              <w:pStyle w:val="TableContents"/>
              <w:bidi w:val="0"/>
              <w:spacing w:before="0" w:after="283"/>
              <w:jc w:val="left"/>
              <w:rPr/>
            </w:pPr>
            <w:r>
              <w:rPr/>
              <w:t> </w:t>
            </w:r>
          </w:p>
        </w:tc>
        <w:tc>
          <w:tcPr>
            <w:tcW w:w="1513" w:type="dxa"/>
            <w:tcBorders>
              <w:bottom w:val="single" w:sz="6" w:space="0" w:color="595959"/>
            </w:tcBorders>
            <w:tcMar>
              <w:bottom w:w="40" w:type="dxa"/>
            </w:tcMar>
            <w:vAlign w:val="center"/>
          </w:tcPr>
          <w:p>
            <w:pPr>
              <w:pStyle w:val="TableContents"/>
              <w:bidi w:val="0"/>
              <w:spacing w:before="0" w:after="283"/>
              <w:jc w:val="right"/>
              <w:rPr/>
            </w:pPr>
            <w:r>
              <w:rPr/>
              <w:t>17,437,193</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26,151</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9,754,846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5" w:type="dxa"/>
            <w:tcBorders>
              <w:bottom w:val="single" w:sz="6" w:space="0" w:color="0075C9"/>
            </w:tcBorders>
            <w:tcMar>
              <w:bottom w:w="40" w:type="dxa"/>
            </w:tcMar>
            <w:vAlign w:val="center"/>
          </w:tcPr>
          <w:p>
            <w:pPr>
              <w:pStyle w:val="TableContents"/>
              <w:bidi w:val="0"/>
              <w:spacing w:before="0" w:after="283"/>
              <w:jc w:val="left"/>
              <w:rPr/>
            </w:pPr>
            <w:r>
              <w:rPr/>
              <w:t> </w:t>
            </w:r>
          </w:p>
        </w:tc>
        <w:tc>
          <w:tcPr>
            <w:tcW w:w="1680"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2" w:type="dxa"/>
            <w:tcBorders>
              <w:bottom w:val="single" w:sz="6" w:space="0" w:color="0075C9"/>
            </w:tcBorders>
            <w:tcMar>
              <w:bottom w:w="40" w:type="dxa"/>
            </w:tcMar>
            <w:vAlign w:val="center"/>
          </w:tcPr>
          <w:p>
            <w:pPr>
              <w:pStyle w:val="TableContents"/>
              <w:bidi w:val="0"/>
              <w:spacing w:before="0" w:after="283"/>
              <w:jc w:val="left"/>
              <w:rPr/>
            </w:pPr>
            <w:r>
              <w:rPr/>
              <w:t> </w:t>
            </w:r>
          </w:p>
        </w:tc>
        <w:tc>
          <w:tcPr>
            <w:tcW w:w="1513" w:type="dxa"/>
            <w:tcBorders>
              <w:bottom w:val="single" w:sz="6" w:space="0" w:color="0075C9"/>
            </w:tcBorders>
            <w:tcMar>
              <w:bottom w:w="40" w:type="dxa"/>
            </w:tcMar>
            <w:vAlign w:val="center"/>
          </w:tcPr>
          <w:p>
            <w:pPr>
              <w:pStyle w:val="TableContents"/>
              <w:bidi w:val="0"/>
              <w:spacing w:before="0" w:after="283"/>
              <w:jc w:val="right"/>
              <w:rPr/>
            </w:pPr>
            <w:r>
              <w:rPr/>
              <w:t>9,754,846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Takeshi Numoto</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9/19/2022</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1,333</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497,236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4,062</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1,515,207</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12,684</w:t>
            </w:r>
          </w:p>
        </w:tc>
        <w:tc>
          <w:tcPr>
            <w:tcW w:w="200" w:type="dxa"/>
            <w:tcBorders>
              <w:bottom w:val="single" w:sz="6" w:space="0" w:color="595959"/>
            </w:tcBorders>
            <w:tcMar>
              <w:bottom w:w="40" w:type="dxa"/>
            </w:tcMar>
            <w:vAlign w:val="center"/>
          </w:tcPr>
          <w:p>
            <w:pPr>
              <w:pStyle w:val="TableContents"/>
              <w:bidi w:val="0"/>
              <w:spacing w:before="0" w:after="283"/>
              <w:jc w:val="left"/>
              <w:rPr/>
            </w:pPr>
            <w:r>
              <w:rPr/>
              <w:t>4 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4,731,386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5,320</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1,984,466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40" w:type="dxa"/>
            </w:tcMar>
            <w:vAlign w:val="center"/>
          </w:tcPr>
          <w:p>
            <w:pPr>
              <w:pStyle w:val="TableContents"/>
              <w:bidi w:val="0"/>
              <w:spacing w:before="0" w:after="283"/>
              <w:jc w:val="left"/>
              <w:rPr/>
            </w:pPr>
            <w:r>
              <w:rPr/>
              <w:t> </w:t>
            </w:r>
          </w:p>
        </w:tc>
        <w:tc>
          <w:tcPr>
            <w:tcW w:w="1680" w:type="dxa"/>
            <w:tcBorders>
              <w:bottom w:val="single" w:sz="6" w:space="0" w:color="595959"/>
            </w:tcBorders>
            <w:tcMar>
              <w:bottom w:w="40" w:type="dxa"/>
            </w:tcMar>
            <w:vAlign w:val="center"/>
          </w:tcPr>
          <w:p>
            <w:pPr>
              <w:pStyle w:val="TableContents"/>
              <w:bidi w:val="0"/>
              <w:spacing w:before="0" w:after="283"/>
              <w:jc w:val="right"/>
              <w:rPr/>
            </w:pPr>
            <w:r>
              <w:rPr/>
              <w:t>17,022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40" w:type="dxa"/>
            </w:tcMar>
            <w:vAlign w:val="center"/>
          </w:tcPr>
          <w:p>
            <w:pPr>
              <w:pStyle w:val="TableContents"/>
              <w:bidi w:val="0"/>
              <w:spacing w:before="0" w:after="283"/>
              <w:jc w:val="left"/>
              <w:rPr/>
            </w:pPr>
            <w:r>
              <w:rPr/>
              <w:t> </w:t>
            </w:r>
          </w:p>
        </w:tc>
        <w:tc>
          <w:tcPr>
            <w:tcW w:w="1513" w:type="dxa"/>
            <w:tcBorders>
              <w:bottom w:val="single" w:sz="6" w:space="0" w:color="595959"/>
            </w:tcBorders>
            <w:tcMar>
              <w:bottom w:w="40" w:type="dxa"/>
            </w:tcMar>
            <w:vAlign w:val="center"/>
          </w:tcPr>
          <w:p>
            <w:pPr>
              <w:pStyle w:val="TableContents"/>
              <w:bidi w:val="0"/>
              <w:spacing w:before="0" w:after="283"/>
              <w:jc w:val="right"/>
              <w:rPr/>
            </w:pPr>
            <w:r>
              <w:rPr/>
              <w:t>6,349,546</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11,583</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4,320,691</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5" w:type="dxa"/>
            <w:tcBorders>
              <w:bottom w:val="single" w:sz="6" w:space="0" w:color="0075C9"/>
            </w:tcBorders>
            <w:tcMar>
              <w:bottom w:w="40" w:type="dxa"/>
            </w:tcMar>
            <w:vAlign w:val="center"/>
          </w:tcPr>
          <w:p>
            <w:pPr>
              <w:pStyle w:val="TableContents"/>
              <w:bidi w:val="0"/>
              <w:spacing w:before="0" w:after="283"/>
              <w:jc w:val="left"/>
              <w:rPr/>
            </w:pPr>
            <w:r>
              <w:rPr/>
              <w:t> </w:t>
            </w:r>
          </w:p>
        </w:tc>
        <w:tc>
          <w:tcPr>
            <w:tcW w:w="1680" w:type="dxa"/>
            <w:tcBorders>
              <w:bottom w:val="single" w:sz="6" w:space="0" w:color="0075C9"/>
            </w:tcBorders>
            <w:tcMar>
              <w:bottom w:w="40" w:type="dxa"/>
            </w:tcMar>
            <w:vAlign w:val="center"/>
          </w:tcPr>
          <w:p>
            <w:pPr>
              <w:pStyle w:val="TableContents"/>
              <w:bidi w:val="0"/>
              <w:spacing w:before="0" w:after="283"/>
              <w:jc w:val="right"/>
              <w:rPr/>
            </w:pPr>
            <w:r>
              <w:rPr/>
              <w:t>11,583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2" w:type="dxa"/>
            <w:tcBorders>
              <w:bottom w:val="single" w:sz="6" w:space="0" w:color="0075C9"/>
            </w:tcBorders>
            <w:tcMar>
              <w:bottom w:w="40" w:type="dxa"/>
            </w:tcMar>
            <w:vAlign w:val="center"/>
          </w:tcPr>
          <w:p>
            <w:pPr>
              <w:pStyle w:val="TableContents"/>
              <w:bidi w:val="0"/>
              <w:spacing w:before="0" w:after="283"/>
              <w:jc w:val="left"/>
              <w:rPr/>
            </w:pPr>
            <w:r>
              <w:rPr/>
              <w:t> </w:t>
            </w:r>
          </w:p>
        </w:tc>
        <w:tc>
          <w:tcPr>
            <w:tcW w:w="1513" w:type="dxa"/>
            <w:tcBorders>
              <w:bottom w:val="single" w:sz="6" w:space="0" w:color="0075C9"/>
            </w:tcBorders>
            <w:tcMar>
              <w:bottom w:w="40" w:type="dxa"/>
            </w:tcMar>
            <w:vAlign w:val="center"/>
          </w:tcPr>
          <w:p>
            <w:pPr>
              <w:pStyle w:val="TableContents"/>
              <w:bidi w:val="0"/>
              <w:spacing w:before="0" w:after="283"/>
              <w:jc w:val="right"/>
              <w:rPr/>
            </w:pPr>
            <w:r>
              <w:rPr/>
              <w:t>4,320,691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75C9"/>
                <w:sz w:val="16"/>
              </w:rPr>
            </w:pPr>
            <w:r>
              <w:rPr>
                <w:rFonts w:ascii="Arial" w:hAnsi="Arial"/>
                <w:b/>
                <w:color w:val="0075C9"/>
                <w:sz w:val="16"/>
              </w:rPr>
              <w:t>Bradford L. Smith</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9/19/2022</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3,706</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1,382,412</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8,868</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3,307,941</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9/18/2023</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27,688</w:t>
            </w:r>
          </w:p>
        </w:tc>
        <w:tc>
          <w:tcPr>
            <w:tcW w:w="200" w:type="dxa"/>
            <w:tcBorders>
              <w:bottom w:val="single" w:sz="6" w:space="0" w:color="595959"/>
            </w:tcBorders>
            <w:tcMar>
              <w:bottom w:w="40" w:type="dxa"/>
            </w:tcMar>
            <w:vAlign w:val="center"/>
          </w:tcPr>
          <w:p>
            <w:pPr>
              <w:pStyle w:val="TableContents"/>
              <w:bidi w:val="0"/>
              <w:spacing w:before="0" w:after="283"/>
              <w:jc w:val="left"/>
              <w:rPr/>
            </w:pPr>
            <w:r>
              <w:rPr/>
              <w:t>4 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10,328,178</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14,609</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5,449,449</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9/16/2024</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40" w:type="dxa"/>
            </w:tcMar>
            <w:vAlign w:val="center"/>
          </w:tcPr>
          <w:p>
            <w:pPr>
              <w:pStyle w:val="TableContents"/>
              <w:bidi w:val="0"/>
              <w:spacing w:before="0" w:after="283"/>
              <w:jc w:val="left"/>
              <w:rPr/>
            </w:pPr>
            <w:r>
              <w:rPr/>
              <w:t> </w:t>
            </w:r>
          </w:p>
        </w:tc>
        <w:tc>
          <w:tcPr>
            <w:tcW w:w="1680" w:type="dxa"/>
            <w:tcBorders>
              <w:bottom w:val="single" w:sz="6" w:space="0" w:color="595959"/>
            </w:tcBorders>
            <w:tcMar>
              <w:bottom w:w="40" w:type="dxa"/>
            </w:tcMar>
            <w:vAlign w:val="center"/>
          </w:tcPr>
          <w:p>
            <w:pPr>
              <w:pStyle w:val="TableContents"/>
              <w:bidi w:val="0"/>
              <w:spacing w:before="0" w:after="283"/>
              <w:jc w:val="right"/>
              <w:rPr/>
            </w:pPr>
            <w:r>
              <w:rPr/>
              <w:t>46,746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40" w:type="dxa"/>
            </w:tcMar>
            <w:vAlign w:val="center"/>
          </w:tcPr>
          <w:p>
            <w:pPr>
              <w:pStyle w:val="TableContents"/>
              <w:bidi w:val="0"/>
              <w:spacing w:before="0" w:after="283"/>
              <w:jc w:val="left"/>
              <w:rPr/>
            </w:pPr>
            <w:r>
              <w:rPr/>
              <w:t> </w:t>
            </w:r>
          </w:p>
        </w:tc>
        <w:tc>
          <w:tcPr>
            <w:tcW w:w="1513" w:type="dxa"/>
            <w:tcBorders>
              <w:bottom w:val="single" w:sz="6" w:space="0" w:color="595959"/>
            </w:tcBorders>
            <w:tcMar>
              <w:bottom w:w="40" w:type="dxa"/>
            </w:tcMar>
            <w:vAlign w:val="center"/>
          </w:tcPr>
          <w:p>
            <w:pPr>
              <w:pStyle w:val="TableContents"/>
              <w:bidi w:val="0"/>
              <w:spacing w:before="0" w:after="283"/>
              <w:jc w:val="right"/>
              <w:rPr/>
            </w:pPr>
            <w:r>
              <w:rPr/>
              <w:t>17,437,193</w:t>
            </w:r>
          </w:p>
        </w:tc>
        <w:tc>
          <w:tcPr>
            <w:tcW w:w="75" w:type="dxa"/>
            <w:tcBorders>
              <w:bottom w:val="single" w:sz="6" w:space="0" w:color="59595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spacing w:before="0" w:after="283"/>
              <w:jc w:val="left"/>
              <w:rPr/>
            </w:pPr>
            <w:r>
              <w:rPr/>
              <w:t> </w:t>
            </w:r>
          </w:p>
        </w:tc>
        <w:tc>
          <w:tcPr>
            <w:tcW w:w="980" w:type="dxa"/>
            <w:tcBorders>
              <w:bottom w:val="single" w:sz="6" w:space="0" w:color="59595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94" w:type="dxa"/>
            <w:tcBorders>
              <w:bottom w:val="single" w:sz="6" w:space="0" w:color="595959"/>
            </w:tcBorders>
            <w:tcMar>
              <w:bottom w:w="40" w:type="dxa"/>
            </w:tcMar>
            <w:vAlign w:val="center"/>
          </w:tcPr>
          <w:p>
            <w:pPr>
              <w:pStyle w:val="TableContents"/>
              <w:bidi w:val="0"/>
              <w:spacing w:before="0" w:after="283"/>
              <w:jc w:val="left"/>
              <w:rPr/>
            </w:pPr>
            <w:r>
              <w:rPr/>
              <w:t> </w:t>
            </w:r>
          </w:p>
        </w:tc>
        <w:tc>
          <w:tcPr>
            <w:tcW w:w="1261" w:type="dxa"/>
            <w:tcBorders>
              <w:bottom w:val="single" w:sz="6" w:space="0" w:color="595959"/>
            </w:tcBorders>
            <w:tcMar>
              <w:bottom w:w="40" w:type="dxa"/>
            </w:tcMar>
            <w:vAlign w:val="center"/>
          </w:tcPr>
          <w:p>
            <w:pPr>
              <w:pStyle w:val="TableContents"/>
              <w:bidi w:val="0"/>
              <w:spacing w:before="0" w:after="283"/>
              <w:jc w:val="right"/>
              <w:rPr/>
            </w:pPr>
            <w:r>
              <w:rPr/>
              <w:t>26,151</w:t>
            </w:r>
          </w:p>
        </w:tc>
        <w:tc>
          <w:tcPr>
            <w:tcW w:w="20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63" w:type="dxa"/>
            <w:tcBorders>
              <w:bottom w:val="single" w:sz="6" w:space="0" w:color="595959"/>
            </w:tcBorders>
            <w:tcMar>
              <w:bottom w:w="40" w:type="dxa"/>
            </w:tcMar>
            <w:vAlign w:val="center"/>
          </w:tcPr>
          <w:p>
            <w:pPr>
              <w:pStyle w:val="TableContents"/>
              <w:bidi w:val="0"/>
              <w:spacing w:before="0" w:after="283"/>
              <w:jc w:val="left"/>
              <w:rPr/>
            </w:pPr>
            <w:r>
              <w:rPr/>
              <w:t> </w:t>
            </w:r>
          </w:p>
        </w:tc>
        <w:tc>
          <w:tcPr>
            <w:tcW w:w="1157" w:type="dxa"/>
            <w:tcBorders>
              <w:bottom w:val="single" w:sz="6" w:space="0" w:color="595959"/>
            </w:tcBorders>
            <w:tcMar>
              <w:bottom w:w="40" w:type="dxa"/>
            </w:tcMar>
            <w:vAlign w:val="center"/>
          </w:tcPr>
          <w:p>
            <w:pPr>
              <w:pStyle w:val="TableContents"/>
              <w:bidi w:val="0"/>
              <w:spacing w:before="0" w:after="283"/>
              <w:jc w:val="right"/>
              <w:rPr/>
            </w:pPr>
            <w:r>
              <w:rPr/>
              <w:t>9,754,846</w:t>
            </w:r>
          </w:p>
        </w:tc>
        <w:tc>
          <w:tcPr>
            <w:tcW w:w="60" w:type="dxa"/>
            <w:tcBorders>
              <w:bottom w:val="single" w:sz="6" w:space="0" w:color="595959"/>
            </w:tcBorders>
            <w:tcMar>
              <w:bottom w:w="40" w:type="dxa"/>
            </w:tcMar>
            <w:vAlign w:val="center"/>
          </w:tcPr>
          <w:p>
            <w:pPr>
              <w:pStyle w:val="TableContents"/>
              <w:bidi w:val="0"/>
              <w:spacing w:before="0" w:after="283"/>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68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82"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513"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980" w:type="dxa"/>
            <w:tcBorders>
              <w:bottom w:val="single" w:sz="6" w:space="0" w:color="0075C9"/>
            </w:tcBorders>
            <w:tcMar>
              <w:bottom w:w="40" w:type="dxa"/>
            </w:tcMar>
            <w:vAlign w:val="center"/>
          </w:tcPr>
          <w:p>
            <w:pPr>
              <w:pStyle w:val="TableContents"/>
              <w:bidi w:val="0"/>
              <w:spacing w:before="0" w:after="283"/>
              <w:jc w:val="left"/>
              <w:rPr/>
            </w:pPr>
            <w:r>
              <w:rPr/>
              <w:t>9/15/2025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94"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61"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0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3"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57"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75C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5" w:type="dxa"/>
            <w:tcBorders>
              <w:bottom w:val="single" w:sz="6" w:space="0" w:color="0075C9"/>
            </w:tcBorders>
            <w:tcMar>
              <w:bottom w:w="40" w:type="dxa"/>
            </w:tcMar>
            <w:vAlign w:val="center"/>
          </w:tcPr>
          <w:p>
            <w:pPr>
              <w:pStyle w:val="TableContents"/>
              <w:bidi w:val="0"/>
              <w:spacing w:before="0" w:after="283"/>
              <w:jc w:val="left"/>
              <w:rPr/>
            </w:pPr>
            <w:r>
              <w:rPr/>
              <w:t> </w:t>
            </w:r>
          </w:p>
        </w:tc>
        <w:tc>
          <w:tcPr>
            <w:tcW w:w="1680" w:type="dxa"/>
            <w:tcBorders>
              <w:bottom w:val="single" w:sz="6" w:space="0" w:color="0075C9"/>
            </w:tcBorders>
            <w:tcMar>
              <w:bottom w:w="40" w:type="dxa"/>
            </w:tcMar>
            <w:vAlign w:val="center"/>
          </w:tcPr>
          <w:p>
            <w:pPr>
              <w:pStyle w:val="TableContents"/>
              <w:bidi w:val="0"/>
              <w:spacing w:before="0" w:after="283"/>
              <w:jc w:val="right"/>
              <w:rPr/>
            </w:pPr>
            <w:r>
              <w:rPr/>
              <w:t>26,151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2" w:type="dxa"/>
            <w:tcBorders>
              <w:bottom w:val="single" w:sz="6" w:space="0" w:color="0075C9"/>
            </w:tcBorders>
            <w:tcMar>
              <w:bottom w:w="40" w:type="dxa"/>
            </w:tcMar>
            <w:vAlign w:val="center"/>
          </w:tcPr>
          <w:p>
            <w:pPr>
              <w:pStyle w:val="TableContents"/>
              <w:bidi w:val="0"/>
              <w:spacing w:before="0" w:after="283"/>
              <w:jc w:val="left"/>
              <w:rPr/>
            </w:pPr>
            <w:r>
              <w:rPr/>
              <w:t> </w:t>
            </w:r>
          </w:p>
        </w:tc>
        <w:tc>
          <w:tcPr>
            <w:tcW w:w="1513" w:type="dxa"/>
            <w:tcBorders>
              <w:bottom w:val="single" w:sz="6" w:space="0" w:color="0075C9"/>
            </w:tcBorders>
            <w:tcMar>
              <w:bottom w:w="40" w:type="dxa"/>
            </w:tcMar>
            <w:vAlign w:val="center"/>
          </w:tcPr>
          <w:p>
            <w:pPr>
              <w:pStyle w:val="TableContents"/>
              <w:bidi w:val="0"/>
              <w:spacing w:before="0" w:after="283"/>
              <w:jc w:val="right"/>
              <w:rPr/>
            </w:pPr>
            <w:r>
              <w:rPr/>
              <w:t>9,754,846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305"/>
        <w:gridCol w:w="8915"/>
      </w:tblGrid>
      <w:tr>
        <w:trPr/>
        <w:tc>
          <w:tcPr>
            <w:tcW w:w="305" w:type="dxa"/>
            <w:tcBorders/>
            <w:vAlign w:val="center"/>
          </w:tcPr>
          <w:p>
            <w:pPr>
              <w:pStyle w:val="TableContents"/>
              <w:bidi w:val="0"/>
              <w:spacing w:before="0" w:after="283"/>
              <w:jc w:val="left"/>
              <w:rPr/>
            </w:pPr>
            <w:r>
              <w:rPr/>
              <w:t>(1)</w:t>
            </w:r>
          </w:p>
        </w:tc>
        <w:tc>
          <w:tcPr>
            <w:tcW w:w="8915" w:type="dxa"/>
            <w:tcBorders/>
            <w:vAlign w:val="center"/>
          </w:tcPr>
          <w:p>
            <w:pPr>
              <w:pStyle w:val="TableContents"/>
              <w:bidi w:val="0"/>
              <w:spacing w:before="0" w:after="0"/>
              <w:jc w:val="left"/>
              <w:rPr>
                <w:rFonts w:ascii="Arial" w:hAnsi="Arial"/>
                <w:sz w:val="14"/>
              </w:rPr>
            </w:pPr>
            <w:r>
              <w:rPr>
                <w:rFonts w:ascii="Arial" w:hAnsi="Arial"/>
                <w:sz w:val="14"/>
              </w:rPr>
              <w:t xml:space="preserve">Except as otherwise noted, SAs vest 25% one year from the last day of August preceding the award date and 12.5% semi-annually thereafter.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305"/>
        <w:gridCol w:w="9650"/>
      </w:tblGrid>
      <w:tr>
        <w:trPr/>
        <w:tc>
          <w:tcPr>
            <w:tcW w:w="305" w:type="dxa"/>
            <w:tcBorders/>
            <w:vAlign w:val="center"/>
          </w:tcPr>
          <w:p>
            <w:pPr>
              <w:pStyle w:val="TableContents"/>
              <w:bidi w:val="0"/>
              <w:spacing w:before="0" w:after="283"/>
              <w:jc w:val="left"/>
              <w:rPr/>
            </w:pPr>
            <w:r>
              <w:rPr/>
              <w:t>(2)</w:t>
            </w:r>
          </w:p>
        </w:tc>
        <w:tc>
          <w:tcPr>
            <w:tcW w:w="9650" w:type="dxa"/>
            <w:tcBorders/>
            <w:vAlign w:val="center"/>
          </w:tcPr>
          <w:p>
            <w:pPr>
              <w:pStyle w:val="TableContents"/>
              <w:bidi w:val="0"/>
              <w:spacing w:before="0" w:after="0"/>
              <w:jc w:val="left"/>
              <w:rPr>
                <w:rFonts w:ascii="Arial" w:hAnsi="Arial"/>
                <w:sz w:val="14"/>
              </w:rPr>
            </w:pPr>
            <w:r>
              <w:rPr>
                <w:rFonts w:ascii="Arial" w:hAnsi="Arial"/>
                <w:sz w:val="14"/>
              </w:rPr>
              <w:t xml:space="preserve">The market value is the number of shares shown in the table multiplied by $373.02, the closing market price of Microsoft common stock on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left"/>
              <w:rPr>
                <w:rFonts w:ascii="Arial" w:hAnsi="Arial"/>
                <w:sz w:val="14"/>
              </w:rPr>
            </w:pPr>
            <w:r>
              <w:rPr>
                <w:rFonts w:ascii="Arial" w:hAnsi="Arial"/>
                <w:sz w:val="14"/>
              </w:rPr>
              <w:t xml:space="preserve">PSAs with a grant date in fiscal years 2026 and 2025 are reported assuming payout at maximum award levels, pursuant to SEC rules as the aggregate achievement of the performance metrics was trending above the target payout level as of June 30, 2026. Award shares that are earned vest in full following the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Arial" w:hAnsi="Arial"/>
                <w:sz w:val="14"/>
              </w:rPr>
            </w:pPr>
            <w:r>
              <w:rPr>
                <w:rFonts w:ascii="Arial" w:hAnsi="Arial"/>
                <w:sz w:val="14"/>
              </w:rPr>
              <w:t xml:space="preserve">Reflects fiscal year 2024 PSA, with 3-year performance period ending June 30, 2026, which vested on August 31, 2026. Award shares are presented as the actual amount earned and vested on August 31, 2026. Award values reflect the closing market price of Microsoft common stock on June 30, 2026.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6" w:name="toc61756_23"/>
      <w:bookmarkEnd w:id="26"/>
      <w:r>
        <w:rPr>
          <w:rFonts w:ascii="Arial" w:hAnsi="Arial"/>
          <w:b/>
          <w:sz w:val="24"/>
        </w:rPr>
        <w:t xml:space="preserve">Option Exercises and Stock Vested </w:t>
      </w:r>
    </w:p>
    <w:p>
      <w:pPr>
        <w:pStyle w:val="TextBody"/>
        <w:bidi w:val="0"/>
        <w:spacing w:before="120" w:after="0"/>
        <w:jc w:val="left"/>
        <w:rPr>
          <w:rFonts w:ascii="Arial" w:hAnsi="Arial"/>
          <w:sz w:val="18"/>
        </w:rPr>
      </w:pPr>
      <w:r>
        <w:rPr>
          <w:rFonts w:ascii="Arial" w:hAnsi="Arial"/>
          <w:sz w:val="18"/>
        </w:rPr>
        <w:t xml:space="preserve">This table provides information on an aggregate basis about stock awards that vested during the fiscal year ended June 30, 2026 for each of the Named Executives. </w:t>
      </w:r>
    </w:p>
    <w:p>
      <w:pPr>
        <w:pStyle w:val="TextBody"/>
        <w:bidi w:val="0"/>
        <w:spacing w:before="120" w:after="0"/>
        <w:jc w:val="left"/>
        <w:rPr>
          <w:rFonts w:ascii="Arial" w:hAnsi="Arial"/>
          <w:sz w:val="18"/>
        </w:rPr>
      </w:pPr>
      <w:r>
        <w:rPr>
          <w:rFonts w:ascii="Arial" w:hAnsi="Arial"/>
          <w:sz w:val="18"/>
        </w:rPr>
        <w:t xml:space="preserve">Microsoft has not granted stock options, other than options substituted in acquisitions, since 2003. No Named Executives held any Microsoft stock options during the fiscal year. </w:t>
      </w:r>
    </w:p>
    <w:p>
      <w:pPr>
        <w:pStyle w:val="TextBody"/>
        <w:bidi w:val="0"/>
        <w:spacing w:before="0" w:after="0"/>
        <w:jc w:val="left"/>
        <w:rPr/>
      </w:pPr>
      <w:r>
        <w:rPr/>
        <w:t> </w:t>
      </w:r>
    </w:p>
    <w:tbl>
      <w:tblPr>
        <w:tblW w:w="4950" w:type="dxa"/>
        <w:jc w:val="left"/>
        <w:tblInd w:w="0" w:type="dxa"/>
        <w:tblLayout w:type="fixed"/>
        <w:tblCellMar>
          <w:top w:w="0" w:type="dxa"/>
          <w:left w:w="0" w:type="dxa"/>
          <w:bottom w:w="0" w:type="dxa"/>
          <w:right w:w="0" w:type="dxa"/>
        </w:tblCellMar>
      </w:tblPr>
      <w:tblGrid>
        <w:gridCol w:w="1550"/>
        <w:gridCol w:w="120"/>
        <w:gridCol w:w="121"/>
        <w:gridCol w:w="1624"/>
        <w:gridCol w:w="60"/>
        <w:gridCol w:w="120"/>
        <w:gridCol w:w="60"/>
        <w:gridCol w:w="1220"/>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205" w:type="dxa"/>
            <w:gridSpan w:val="6"/>
            <w:tcBorders>
              <w:bottom w:val="single" w:sz="6" w:space="0" w:color="000000"/>
            </w:tcBorders>
            <w:tcMar>
              <w:bottom w:w="40" w:type="dxa"/>
            </w:tcMar>
            <w:vAlign w:val="center"/>
          </w:tcPr>
          <w:p>
            <w:pPr>
              <w:pStyle w:val="TableContents"/>
              <w:bidi w:val="0"/>
              <w:spacing w:before="0" w:after="283"/>
              <w:jc w:val="center"/>
              <w:rPr>
                <w:b/>
              </w:rPr>
            </w:pPr>
            <w:r>
              <w:rPr>
                <w:b/>
              </w:rPr>
              <w:t>Stock Awards</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5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4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Number of Shares</w:t>
            </w:r>
          </w:p>
          <w:p>
            <w:pPr>
              <w:pStyle w:val="TableContents"/>
              <w:bidi w:val="0"/>
              <w:spacing w:before="0" w:after="0"/>
              <w:jc w:val="right"/>
              <w:rPr>
                <w:rFonts w:ascii="Arial" w:hAnsi="Arial"/>
                <w:b/>
                <w:sz w:val="18"/>
              </w:rPr>
            </w:pPr>
            <w:r>
              <w:rPr>
                <w:rFonts w:ascii="Arial" w:hAnsi="Arial"/>
                <w:b/>
                <w:sz w:val="18"/>
              </w:rPr>
              <w:t>Acquired on Vesting</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Value Realized</w:t>
            </w:r>
          </w:p>
          <w:p>
            <w:pPr>
              <w:pStyle w:val="TableContents"/>
              <w:bidi w:val="0"/>
              <w:spacing w:before="0" w:after="0"/>
              <w:jc w:val="right"/>
              <w:rPr>
                <w:rFonts w:ascii="Arial" w:hAnsi="Arial"/>
                <w:b/>
                <w:sz w:val="18"/>
              </w:rPr>
            </w:pPr>
            <w:r>
              <w:rPr>
                <w:rFonts w:ascii="Arial" w:hAnsi="Arial"/>
                <w:b/>
                <w:sz w:val="18"/>
              </w:rPr>
              <w:t>on Vesting1</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1" w:type="dxa"/>
            <w:tcBorders>
              <w:bottom w:val="single" w:sz="6" w:space="0" w:color="0075C9"/>
            </w:tcBorders>
            <w:tcMar>
              <w:bottom w:w="40" w:type="dxa"/>
            </w:tcMar>
            <w:vAlign w:val="center"/>
          </w:tcPr>
          <w:p>
            <w:pPr>
              <w:pStyle w:val="TableContents"/>
              <w:bidi w:val="0"/>
              <w:spacing w:before="0" w:after="283"/>
              <w:jc w:val="left"/>
              <w:rPr/>
            </w:pPr>
            <w:r>
              <w:rPr/>
              <w:t> </w:t>
            </w:r>
          </w:p>
        </w:tc>
        <w:tc>
          <w:tcPr>
            <w:tcW w:w="1624" w:type="dxa"/>
            <w:tcBorders>
              <w:bottom w:val="single" w:sz="6" w:space="0" w:color="0075C9"/>
            </w:tcBorders>
            <w:tcMar>
              <w:bottom w:w="40" w:type="dxa"/>
            </w:tcMar>
            <w:vAlign w:val="center"/>
          </w:tcPr>
          <w:p>
            <w:pPr>
              <w:pStyle w:val="TableContents"/>
              <w:bidi w:val="0"/>
              <w:spacing w:before="0" w:after="283"/>
              <w:jc w:val="right"/>
              <w:rPr/>
            </w:pPr>
            <w:r>
              <w:rPr/>
              <w:t>308,870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156,501,340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1" w:type="dxa"/>
            <w:tcBorders>
              <w:bottom w:val="single" w:sz="6" w:space="0" w:color="0075C9"/>
            </w:tcBorders>
            <w:tcMar>
              <w:bottom w:w="40" w:type="dxa"/>
            </w:tcMar>
            <w:vAlign w:val="center"/>
          </w:tcPr>
          <w:p>
            <w:pPr>
              <w:pStyle w:val="TableContents"/>
              <w:bidi w:val="0"/>
              <w:spacing w:before="0" w:after="283"/>
              <w:jc w:val="left"/>
              <w:rPr/>
            </w:pPr>
            <w:r>
              <w:rPr/>
              <w:t> </w:t>
            </w:r>
          </w:p>
        </w:tc>
        <w:tc>
          <w:tcPr>
            <w:tcW w:w="1624" w:type="dxa"/>
            <w:tcBorders>
              <w:bottom w:val="single" w:sz="6" w:space="0" w:color="0075C9"/>
            </w:tcBorders>
            <w:tcMar>
              <w:bottom w:w="40" w:type="dxa"/>
            </w:tcMar>
            <w:vAlign w:val="center"/>
          </w:tcPr>
          <w:p>
            <w:pPr>
              <w:pStyle w:val="TableContents"/>
              <w:bidi w:val="0"/>
              <w:spacing w:before="0" w:after="283"/>
              <w:jc w:val="right"/>
              <w:rPr/>
            </w:pPr>
            <w:r>
              <w:rPr/>
              <w:t>81,482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40,096,249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1" w:type="dxa"/>
            <w:tcBorders>
              <w:bottom w:val="single" w:sz="6" w:space="0" w:color="0075C9"/>
            </w:tcBorders>
            <w:tcMar>
              <w:bottom w:w="40" w:type="dxa"/>
            </w:tcMar>
            <w:vAlign w:val="center"/>
          </w:tcPr>
          <w:p>
            <w:pPr>
              <w:pStyle w:val="TableContents"/>
              <w:bidi w:val="0"/>
              <w:spacing w:before="0" w:after="283"/>
              <w:jc w:val="left"/>
              <w:rPr/>
            </w:pPr>
            <w:r>
              <w:rPr/>
              <w:t> </w:t>
            </w:r>
          </w:p>
        </w:tc>
        <w:tc>
          <w:tcPr>
            <w:tcW w:w="1624" w:type="dxa"/>
            <w:tcBorders>
              <w:bottom w:val="single" w:sz="6" w:space="0" w:color="0075C9"/>
            </w:tcBorders>
            <w:tcMar>
              <w:bottom w:w="40" w:type="dxa"/>
            </w:tcMar>
            <w:vAlign w:val="center"/>
          </w:tcPr>
          <w:p>
            <w:pPr>
              <w:pStyle w:val="TableContents"/>
              <w:bidi w:val="0"/>
              <w:spacing w:before="0" w:after="283"/>
              <w:jc w:val="right"/>
              <w:rPr/>
            </w:pPr>
            <w:r>
              <w:rPr/>
              <w:t>69,939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34,344,156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1" w:type="dxa"/>
            <w:tcBorders>
              <w:bottom w:val="single" w:sz="6" w:space="0" w:color="0075C9"/>
            </w:tcBorders>
            <w:tcMar>
              <w:bottom w:w="40" w:type="dxa"/>
            </w:tcMar>
            <w:vAlign w:val="center"/>
          </w:tcPr>
          <w:p>
            <w:pPr>
              <w:pStyle w:val="TableContents"/>
              <w:bidi w:val="0"/>
              <w:spacing w:before="0" w:after="283"/>
              <w:jc w:val="left"/>
              <w:rPr/>
            </w:pPr>
            <w:r>
              <w:rPr/>
              <w:t> </w:t>
            </w:r>
          </w:p>
        </w:tc>
        <w:tc>
          <w:tcPr>
            <w:tcW w:w="1624" w:type="dxa"/>
            <w:tcBorders>
              <w:bottom w:val="single" w:sz="6" w:space="0" w:color="0075C9"/>
            </w:tcBorders>
            <w:tcMar>
              <w:bottom w:w="40" w:type="dxa"/>
            </w:tcMar>
            <w:vAlign w:val="center"/>
          </w:tcPr>
          <w:p>
            <w:pPr>
              <w:pStyle w:val="TableContents"/>
              <w:bidi w:val="0"/>
              <w:spacing w:before="0" w:after="283"/>
              <w:jc w:val="right"/>
              <w:rPr/>
            </w:pPr>
            <w:r>
              <w:rPr/>
              <w:t>27,347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13,429,025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9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1" w:type="dxa"/>
            <w:tcBorders>
              <w:bottom w:val="single" w:sz="6" w:space="0" w:color="0075C9"/>
            </w:tcBorders>
            <w:tcMar>
              <w:bottom w:w="40" w:type="dxa"/>
            </w:tcMar>
            <w:vAlign w:val="center"/>
          </w:tcPr>
          <w:p>
            <w:pPr>
              <w:pStyle w:val="TableContents"/>
              <w:bidi w:val="0"/>
              <w:spacing w:before="0" w:after="283"/>
              <w:jc w:val="left"/>
              <w:rPr/>
            </w:pPr>
            <w:r>
              <w:rPr/>
              <w:t> </w:t>
            </w:r>
          </w:p>
        </w:tc>
        <w:tc>
          <w:tcPr>
            <w:tcW w:w="1624" w:type="dxa"/>
            <w:tcBorders>
              <w:bottom w:val="single" w:sz="6" w:space="0" w:color="0075C9"/>
            </w:tcBorders>
            <w:tcMar>
              <w:bottom w:w="40" w:type="dxa"/>
            </w:tcMar>
            <w:vAlign w:val="center"/>
          </w:tcPr>
          <w:p>
            <w:pPr>
              <w:pStyle w:val="TableContents"/>
              <w:bidi w:val="0"/>
              <w:spacing w:before="0" w:after="283"/>
              <w:jc w:val="right"/>
              <w:rPr/>
            </w:pPr>
            <w:r>
              <w:rPr/>
              <w:t>73,173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35,984,158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305"/>
        <w:gridCol w:w="9575"/>
      </w:tblGrid>
      <w:tr>
        <w:trPr/>
        <w:tc>
          <w:tcPr>
            <w:tcW w:w="305" w:type="dxa"/>
            <w:tcBorders/>
            <w:vAlign w:val="center"/>
          </w:tcPr>
          <w:p>
            <w:pPr>
              <w:pStyle w:val="TableContents"/>
              <w:bidi w:val="0"/>
              <w:spacing w:before="0" w:after="283"/>
              <w:jc w:val="left"/>
              <w:rPr/>
            </w:pPr>
            <w:r>
              <w:rPr/>
              <w:t>(1)</w:t>
            </w:r>
          </w:p>
        </w:tc>
        <w:tc>
          <w:tcPr>
            <w:tcW w:w="9575" w:type="dxa"/>
            <w:tcBorders/>
            <w:vAlign w:val="center"/>
          </w:tcPr>
          <w:p>
            <w:pPr>
              <w:pStyle w:val="TableContents"/>
              <w:bidi w:val="0"/>
              <w:spacing w:before="0" w:after="0"/>
              <w:jc w:val="left"/>
              <w:rPr>
                <w:rFonts w:ascii="Arial" w:hAnsi="Arial"/>
                <w:sz w:val="14"/>
              </w:rPr>
            </w:pPr>
            <w:r>
              <w:rPr>
                <w:rFonts w:ascii="Arial" w:hAnsi="Arial"/>
                <w:sz w:val="14"/>
              </w:rPr>
              <w:t xml:space="preserve">The value realized on vesting is calculated by multiplying the number of shares shown in the table by the market value of the shares on the vesting date. </w:t>
            </w:r>
          </w:p>
        </w:tc>
      </w:tr>
    </w:tbl>
    <w:p>
      <w:pPr>
        <w:pStyle w:val="TextBody"/>
        <w:bidi w:val="0"/>
        <w:spacing w:before="240" w:after="0"/>
        <w:jc w:val="left"/>
        <w:rPr>
          <w:rFonts w:ascii="Arial" w:hAnsi="Arial"/>
          <w:b/>
          <w:sz w:val="24"/>
        </w:rPr>
      </w:pPr>
      <w:bookmarkStart w:id="27" w:name="toc61756_24"/>
      <w:bookmarkEnd w:id="27"/>
      <w:r>
        <w:rPr>
          <w:rFonts w:ascii="Arial" w:hAnsi="Arial"/>
          <w:b/>
          <w:sz w:val="24"/>
        </w:rPr>
        <w:t xml:space="preserve">Nonqualified Deferred Compensation </w:t>
      </w:r>
    </w:p>
    <w:p>
      <w:pPr>
        <w:pStyle w:val="TextBody"/>
        <w:bidi w:val="0"/>
        <w:spacing w:before="120" w:after="0"/>
        <w:jc w:val="left"/>
        <w:rPr>
          <w:rFonts w:ascii="Arial" w:hAnsi="Arial"/>
          <w:sz w:val="18"/>
        </w:rPr>
      </w:pPr>
      <w:r>
        <w:rPr>
          <w:rFonts w:ascii="Arial" w:hAnsi="Arial"/>
          <w:sz w:val="18"/>
        </w:rPr>
        <w:t xml:space="preserve">This table provides information about the Named Executives’ earnings and balances under our U.S. nonqualified Deferred Compensation Plan in fiscal year 2026. Microsoft does not contribute to the Deferred Compensation Plan. </w:t>
      </w:r>
    </w:p>
    <w:p>
      <w:pPr>
        <w:pStyle w:val="TextBody"/>
        <w:bidi w:val="0"/>
        <w:spacing w:before="0" w:after="0"/>
        <w:jc w:val="left"/>
        <w:rPr/>
      </w:pPr>
      <w:r>
        <w:rPr/>
        <w:t> </w:t>
      </w:r>
    </w:p>
    <w:tbl>
      <w:tblPr>
        <w:tblW w:w="6680" w:type="dxa"/>
        <w:jc w:val="left"/>
        <w:tblInd w:w="0" w:type="dxa"/>
        <w:tblLayout w:type="fixed"/>
        <w:tblCellMar>
          <w:top w:w="0" w:type="dxa"/>
          <w:left w:w="0" w:type="dxa"/>
          <w:bottom w:w="0" w:type="dxa"/>
          <w:right w:w="0" w:type="dxa"/>
        </w:tblCellMar>
      </w:tblPr>
      <w:tblGrid>
        <w:gridCol w:w="1550"/>
        <w:gridCol w:w="60"/>
        <w:gridCol w:w="465"/>
        <w:gridCol w:w="1085"/>
        <w:gridCol w:w="60"/>
        <w:gridCol w:w="240"/>
        <w:gridCol w:w="88"/>
        <w:gridCol w:w="1447"/>
        <w:gridCol w:w="60"/>
        <w:gridCol w:w="240"/>
        <w:gridCol w:w="67"/>
        <w:gridCol w:w="1243"/>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5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Executive</w:t>
            </w:r>
          </w:p>
          <w:p>
            <w:pPr>
              <w:pStyle w:val="TableContents"/>
              <w:bidi w:val="0"/>
              <w:spacing w:before="0" w:after="0"/>
              <w:jc w:val="right"/>
              <w:rPr>
                <w:rFonts w:ascii="Arial" w:hAnsi="Arial"/>
                <w:b/>
                <w:sz w:val="18"/>
              </w:rPr>
            </w:pPr>
            <w:r>
              <w:rPr>
                <w:rFonts w:ascii="Arial" w:hAnsi="Arial"/>
                <w:b/>
                <w:sz w:val="18"/>
              </w:rPr>
              <w:t>Contributions in</w:t>
            </w:r>
          </w:p>
          <w:p>
            <w:pPr>
              <w:pStyle w:val="TableContents"/>
              <w:bidi w:val="0"/>
              <w:spacing w:before="0" w:after="0"/>
              <w:jc w:val="right"/>
              <w:rPr>
                <w:rFonts w:ascii="Arial" w:hAnsi="Arial"/>
                <w:b/>
                <w:sz w:val="18"/>
              </w:rPr>
            </w:pPr>
            <w:r>
              <w:rPr>
                <w:rFonts w:ascii="Arial" w:hAnsi="Arial"/>
                <w:b/>
                <w:sz w:val="18"/>
              </w:rPr>
              <w:t>Fiscal Year 20261</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3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Aggregate</w:t>
            </w:r>
          </w:p>
          <w:p>
            <w:pPr>
              <w:pStyle w:val="TableContents"/>
              <w:bidi w:val="0"/>
              <w:spacing w:before="0" w:after="0"/>
              <w:jc w:val="right"/>
              <w:rPr>
                <w:rFonts w:ascii="Arial" w:hAnsi="Arial"/>
                <w:b/>
                <w:sz w:val="18"/>
              </w:rPr>
            </w:pPr>
            <w:r>
              <w:rPr>
                <w:rFonts w:ascii="Arial" w:hAnsi="Arial"/>
                <w:b/>
                <w:sz w:val="18"/>
              </w:rPr>
              <w:t>Earnings in Fiscal</w:t>
            </w:r>
          </w:p>
          <w:p>
            <w:pPr>
              <w:pStyle w:val="TableContents"/>
              <w:bidi w:val="0"/>
              <w:spacing w:before="0" w:after="0"/>
              <w:jc w:val="right"/>
              <w:rPr>
                <w:rFonts w:ascii="Arial" w:hAnsi="Arial"/>
                <w:b/>
                <w:sz w:val="18"/>
              </w:rPr>
            </w:pPr>
            <w:r>
              <w:rPr>
                <w:rFonts w:ascii="Arial" w:hAnsi="Arial"/>
                <w:b/>
                <w:sz w:val="18"/>
              </w:rPr>
              <w:t>Year 20262</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Aggregate</w:t>
            </w:r>
          </w:p>
          <w:p>
            <w:pPr>
              <w:pStyle w:val="TableContents"/>
              <w:bidi w:val="0"/>
              <w:spacing w:before="0" w:after="0"/>
              <w:jc w:val="right"/>
              <w:rPr>
                <w:rFonts w:ascii="Arial" w:hAnsi="Arial"/>
                <w:b/>
                <w:sz w:val="18"/>
              </w:rPr>
            </w:pPr>
            <w:r>
              <w:rPr>
                <w:rFonts w:ascii="Arial" w:hAnsi="Arial"/>
                <w:b/>
                <w:sz w:val="18"/>
              </w:rPr>
              <w:t>Balance at</w:t>
            </w:r>
          </w:p>
          <w:p>
            <w:pPr>
              <w:pStyle w:val="TableContents"/>
              <w:bidi w:val="0"/>
              <w:spacing w:before="0" w:after="0"/>
              <w:jc w:val="right"/>
              <w:rPr>
                <w:rFonts w:ascii="Arial" w:hAnsi="Arial"/>
                <w:b/>
                <w:sz w:val="18"/>
              </w:rPr>
            </w:pPr>
            <w:r>
              <w:rPr>
                <w:rFonts w:ascii="Arial" w:hAnsi="Arial"/>
                <w:b/>
                <w:sz w:val="18"/>
              </w:rPr>
              <w:t>June 30, 20263</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65" w:type="dxa"/>
            <w:tcBorders>
              <w:bottom w:val="single" w:sz="6" w:space="0" w:color="0075C9"/>
            </w:tcBorders>
            <w:tcMar>
              <w:bottom w:w="40" w:type="dxa"/>
            </w:tcMar>
            <w:vAlign w:val="center"/>
          </w:tcPr>
          <w:p>
            <w:pPr>
              <w:pStyle w:val="TableContents"/>
              <w:bidi w:val="0"/>
              <w:spacing w:before="0" w:after="283"/>
              <w:jc w:val="left"/>
              <w:rPr/>
            </w:pPr>
            <w:r>
              <w:rPr/>
              <w:t> </w:t>
            </w:r>
          </w:p>
        </w:tc>
        <w:tc>
          <w:tcPr>
            <w:tcW w:w="108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1447"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7" w:type="dxa"/>
            <w:tcBorders>
              <w:bottom w:val="single" w:sz="6" w:space="0" w:color="0075C9"/>
            </w:tcBorders>
            <w:tcMar>
              <w:bottom w:w="40" w:type="dxa"/>
            </w:tcMar>
            <w:vAlign w:val="center"/>
          </w:tcPr>
          <w:p>
            <w:pPr>
              <w:pStyle w:val="TableContents"/>
              <w:bidi w:val="0"/>
              <w:spacing w:before="0" w:after="283"/>
              <w:jc w:val="left"/>
              <w:rPr/>
            </w:pPr>
            <w:r>
              <w:rPr/>
              <w:t> </w:t>
            </w:r>
          </w:p>
        </w:tc>
        <w:tc>
          <w:tcPr>
            <w:tcW w:w="1243" w:type="dxa"/>
            <w:tcBorders>
              <w:bottom w:val="single" w:sz="6" w:space="0" w:color="0075C9"/>
            </w:tcBorders>
            <w:tcMar>
              <w:bottom w:w="40" w:type="dxa"/>
            </w:tcMar>
            <w:vAlign w:val="center"/>
          </w:tcPr>
          <w:p>
            <w:pPr>
              <w:pStyle w:val="TableContents"/>
              <w:bidi w:val="0"/>
              <w:spacing w:before="0" w:after="283"/>
              <w:jc w:val="right"/>
              <w:rPr/>
            </w:pPr>
            <w:r>
              <w:rPr/>
              <w:t>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65" w:type="dxa"/>
            <w:tcBorders>
              <w:bottom w:val="single" w:sz="6" w:space="0" w:color="0075C9"/>
            </w:tcBorders>
            <w:tcMar>
              <w:bottom w:w="40" w:type="dxa"/>
            </w:tcMar>
            <w:vAlign w:val="center"/>
          </w:tcPr>
          <w:p>
            <w:pPr>
              <w:pStyle w:val="TableContents"/>
              <w:bidi w:val="0"/>
              <w:spacing w:before="0" w:after="283"/>
              <w:jc w:val="left"/>
              <w:rPr/>
            </w:pPr>
            <w:r>
              <w:rPr/>
              <w:t> </w:t>
            </w:r>
          </w:p>
        </w:tc>
        <w:tc>
          <w:tcPr>
            <w:tcW w:w="108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1447"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7" w:type="dxa"/>
            <w:tcBorders>
              <w:bottom w:val="single" w:sz="6" w:space="0" w:color="0075C9"/>
            </w:tcBorders>
            <w:tcMar>
              <w:bottom w:w="40" w:type="dxa"/>
            </w:tcMar>
            <w:vAlign w:val="center"/>
          </w:tcPr>
          <w:p>
            <w:pPr>
              <w:pStyle w:val="TableContents"/>
              <w:bidi w:val="0"/>
              <w:spacing w:before="0" w:after="283"/>
              <w:jc w:val="left"/>
              <w:rPr/>
            </w:pPr>
            <w:r>
              <w:rPr/>
              <w:t> </w:t>
            </w:r>
          </w:p>
        </w:tc>
        <w:tc>
          <w:tcPr>
            <w:tcW w:w="1243" w:type="dxa"/>
            <w:tcBorders>
              <w:bottom w:val="single" w:sz="6" w:space="0" w:color="0075C9"/>
            </w:tcBorders>
            <w:tcMar>
              <w:bottom w:w="40" w:type="dxa"/>
            </w:tcMar>
            <w:vAlign w:val="center"/>
          </w:tcPr>
          <w:p>
            <w:pPr>
              <w:pStyle w:val="TableContents"/>
              <w:bidi w:val="0"/>
              <w:spacing w:before="0" w:after="283"/>
              <w:jc w:val="right"/>
              <w:rPr/>
            </w:pPr>
            <w:r>
              <w:rPr/>
              <w:t>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65" w:type="dxa"/>
            <w:tcBorders>
              <w:bottom w:val="single" w:sz="6" w:space="0" w:color="0075C9"/>
            </w:tcBorders>
            <w:tcMar>
              <w:bottom w:w="40" w:type="dxa"/>
            </w:tcMar>
            <w:vAlign w:val="center"/>
          </w:tcPr>
          <w:p>
            <w:pPr>
              <w:pStyle w:val="TableContents"/>
              <w:bidi w:val="0"/>
              <w:spacing w:before="0" w:after="283"/>
              <w:jc w:val="left"/>
              <w:rPr/>
            </w:pPr>
            <w:r>
              <w:rPr/>
              <w:t> </w:t>
            </w:r>
          </w:p>
        </w:tc>
        <w:tc>
          <w:tcPr>
            <w:tcW w:w="108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1447"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7" w:type="dxa"/>
            <w:tcBorders>
              <w:bottom w:val="single" w:sz="6" w:space="0" w:color="0075C9"/>
            </w:tcBorders>
            <w:tcMar>
              <w:bottom w:w="40" w:type="dxa"/>
            </w:tcMar>
            <w:vAlign w:val="center"/>
          </w:tcPr>
          <w:p>
            <w:pPr>
              <w:pStyle w:val="TableContents"/>
              <w:bidi w:val="0"/>
              <w:spacing w:before="0" w:after="283"/>
              <w:jc w:val="left"/>
              <w:rPr/>
            </w:pPr>
            <w:r>
              <w:rPr/>
              <w:t> </w:t>
            </w:r>
          </w:p>
        </w:tc>
        <w:tc>
          <w:tcPr>
            <w:tcW w:w="1243" w:type="dxa"/>
            <w:tcBorders>
              <w:bottom w:val="single" w:sz="6" w:space="0" w:color="0075C9"/>
            </w:tcBorders>
            <w:tcMar>
              <w:bottom w:w="40" w:type="dxa"/>
            </w:tcMar>
            <w:vAlign w:val="center"/>
          </w:tcPr>
          <w:p>
            <w:pPr>
              <w:pStyle w:val="TableContents"/>
              <w:bidi w:val="0"/>
              <w:spacing w:before="0" w:after="283"/>
              <w:jc w:val="right"/>
              <w:rPr/>
            </w:pPr>
            <w:r>
              <w:rPr/>
              <w:t>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65" w:type="dxa"/>
            <w:tcBorders>
              <w:bottom w:val="single" w:sz="6" w:space="0" w:color="0075C9"/>
            </w:tcBorders>
            <w:tcMar>
              <w:bottom w:w="40" w:type="dxa"/>
            </w:tcMar>
            <w:vAlign w:val="center"/>
          </w:tcPr>
          <w:p>
            <w:pPr>
              <w:pStyle w:val="TableContents"/>
              <w:bidi w:val="0"/>
              <w:spacing w:before="0" w:after="283"/>
              <w:jc w:val="left"/>
              <w:rPr/>
            </w:pPr>
            <w:r>
              <w:rPr/>
              <w:t> </w:t>
            </w:r>
          </w:p>
        </w:tc>
        <w:tc>
          <w:tcPr>
            <w:tcW w:w="108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1447" w:type="dxa"/>
            <w:tcBorders>
              <w:bottom w:val="single" w:sz="6" w:space="0" w:color="0075C9"/>
            </w:tcBorders>
            <w:tcMar>
              <w:bottom w:w="40" w:type="dxa"/>
            </w:tcMar>
            <w:vAlign w:val="center"/>
          </w:tcPr>
          <w:p>
            <w:pPr>
              <w:pStyle w:val="TableContents"/>
              <w:bidi w:val="0"/>
              <w:spacing w:before="0" w:after="283"/>
              <w:jc w:val="right"/>
              <w:rPr/>
            </w:pPr>
            <w:r>
              <w:rPr/>
              <w:t>1,874,525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7" w:type="dxa"/>
            <w:tcBorders>
              <w:bottom w:val="single" w:sz="6" w:space="0" w:color="0075C9"/>
            </w:tcBorders>
            <w:tcMar>
              <w:bottom w:w="40" w:type="dxa"/>
            </w:tcMar>
            <w:vAlign w:val="center"/>
          </w:tcPr>
          <w:p>
            <w:pPr>
              <w:pStyle w:val="TableContents"/>
              <w:bidi w:val="0"/>
              <w:spacing w:before="0" w:after="283"/>
              <w:jc w:val="left"/>
              <w:rPr/>
            </w:pPr>
            <w:r>
              <w:rPr/>
              <w:t> </w:t>
            </w:r>
          </w:p>
        </w:tc>
        <w:tc>
          <w:tcPr>
            <w:tcW w:w="1243" w:type="dxa"/>
            <w:tcBorders>
              <w:bottom w:val="single" w:sz="6" w:space="0" w:color="0075C9"/>
            </w:tcBorders>
            <w:tcMar>
              <w:bottom w:w="40" w:type="dxa"/>
            </w:tcMar>
            <w:vAlign w:val="center"/>
          </w:tcPr>
          <w:p>
            <w:pPr>
              <w:pStyle w:val="TableContents"/>
              <w:bidi w:val="0"/>
              <w:spacing w:before="0" w:after="283"/>
              <w:jc w:val="right"/>
              <w:rPr/>
            </w:pPr>
            <w:r>
              <w:rPr/>
              <w:t>11,877,273</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1625"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465" w:type="dxa"/>
            <w:tcBorders>
              <w:bottom w:val="single" w:sz="6" w:space="0" w:color="0075C9"/>
            </w:tcBorders>
            <w:tcMar>
              <w:bottom w:w="40" w:type="dxa"/>
            </w:tcMar>
            <w:vAlign w:val="center"/>
          </w:tcPr>
          <w:p>
            <w:pPr>
              <w:pStyle w:val="TableContents"/>
              <w:bidi w:val="0"/>
              <w:spacing w:before="0" w:after="283"/>
              <w:jc w:val="left"/>
              <w:rPr/>
            </w:pPr>
            <w:r>
              <w:rPr/>
              <w:t> </w:t>
            </w:r>
          </w:p>
        </w:tc>
        <w:tc>
          <w:tcPr>
            <w:tcW w:w="1085"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88" w:type="dxa"/>
            <w:tcBorders>
              <w:bottom w:val="single" w:sz="6" w:space="0" w:color="0075C9"/>
            </w:tcBorders>
            <w:tcMar>
              <w:bottom w:w="40" w:type="dxa"/>
            </w:tcMar>
            <w:vAlign w:val="center"/>
          </w:tcPr>
          <w:p>
            <w:pPr>
              <w:pStyle w:val="TableContents"/>
              <w:bidi w:val="0"/>
              <w:spacing w:before="0" w:after="283"/>
              <w:jc w:val="left"/>
              <w:rPr/>
            </w:pPr>
            <w:r>
              <w:rPr/>
              <w:t> </w:t>
            </w:r>
          </w:p>
        </w:tc>
        <w:tc>
          <w:tcPr>
            <w:tcW w:w="1447"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7" w:type="dxa"/>
            <w:tcBorders>
              <w:bottom w:val="single" w:sz="6" w:space="0" w:color="0075C9"/>
            </w:tcBorders>
            <w:tcMar>
              <w:bottom w:w="40" w:type="dxa"/>
            </w:tcMar>
            <w:vAlign w:val="center"/>
          </w:tcPr>
          <w:p>
            <w:pPr>
              <w:pStyle w:val="TableContents"/>
              <w:bidi w:val="0"/>
              <w:spacing w:before="0" w:after="283"/>
              <w:jc w:val="left"/>
              <w:rPr/>
            </w:pPr>
            <w:r>
              <w:rPr/>
              <w:t> </w:t>
            </w:r>
          </w:p>
        </w:tc>
        <w:tc>
          <w:tcPr>
            <w:tcW w:w="1243" w:type="dxa"/>
            <w:tcBorders>
              <w:bottom w:val="single" w:sz="6" w:space="0" w:color="0075C9"/>
            </w:tcBorders>
            <w:tcMar>
              <w:bottom w:w="40" w:type="dxa"/>
            </w:tcMar>
            <w:vAlign w:val="center"/>
          </w:tcPr>
          <w:p>
            <w:pPr>
              <w:pStyle w:val="TableContents"/>
              <w:bidi w:val="0"/>
              <w:spacing w:before="0" w:after="283"/>
              <w:jc w:val="right"/>
              <w:rPr/>
            </w:pPr>
            <w:r>
              <w:rPr/>
              <w:t>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305"/>
        <w:gridCol w:w="5660"/>
      </w:tblGrid>
      <w:tr>
        <w:trPr/>
        <w:tc>
          <w:tcPr>
            <w:tcW w:w="305" w:type="dxa"/>
            <w:tcBorders/>
            <w:vAlign w:val="center"/>
          </w:tcPr>
          <w:p>
            <w:pPr>
              <w:pStyle w:val="TableContents"/>
              <w:bidi w:val="0"/>
              <w:spacing w:before="0" w:after="283"/>
              <w:jc w:val="left"/>
              <w:rPr/>
            </w:pPr>
            <w:r>
              <w:rPr/>
              <w:t>(1)</w:t>
            </w:r>
          </w:p>
        </w:tc>
        <w:tc>
          <w:tcPr>
            <w:tcW w:w="5660" w:type="dxa"/>
            <w:tcBorders/>
            <w:vAlign w:val="center"/>
          </w:tcPr>
          <w:p>
            <w:pPr>
              <w:pStyle w:val="TableContents"/>
              <w:bidi w:val="0"/>
              <w:spacing w:before="0" w:after="0"/>
              <w:jc w:val="left"/>
              <w:rPr>
                <w:rFonts w:ascii="Arial" w:hAnsi="Arial"/>
                <w:sz w:val="14"/>
              </w:rPr>
            </w:pPr>
            <w:r>
              <w:rPr>
                <w:rFonts w:ascii="Arial" w:hAnsi="Arial"/>
                <w:sz w:val="14"/>
              </w:rPr>
              <w:t xml:space="preserve">There are no amounts to include in the Summary Compensation Table for fiscal year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left"/>
              <w:rPr>
                <w:rFonts w:ascii="Arial" w:hAnsi="Arial"/>
                <w:sz w:val="14"/>
              </w:rPr>
            </w:pPr>
            <w:r>
              <w:rPr>
                <w:rFonts w:ascii="Arial" w:hAnsi="Arial"/>
                <w:sz w:val="14"/>
              </w:rPr>
              <w:t xml:space="preserve">None of the amounts in this column are included in the Summary Compensation Table because the earnings under the Deferred Compensation Plan were not preferential or above-market.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305"/>
        <w:gridCol w:w="6680"/>
      </w:tblGrid>
      <w:tr>
        <w:trPr/>
        <w:tc>
          <w:tcPr>
            <w:tcW w:w="305" w:type="dxa"/>
            <w:tcBorders/>
            <w:vAlign w:val="center"/>
          </w:tcPr>
          <w:p>
            <w:pPr>
              <w:pStyle w:val="TableContents"/>
              <w:bidi w:val="0"/>
              <w:spacing w:before="0" w:after="283"/>
              <w:jc w:val="left"/>
              <w:rPr/>
            </w:pPr>
            <w:r>
              <w:rPr/>
              <w:t>(3)</w:t>
            </w:r>
          </w:p>
        </w:tc>
        <w:tc>
          <w:tcPr>
            <w:tcW w:w="6680" w:type="dxa"/>
            <w:tcBorders/>
            <w:vAlign w:val="center"/>
          </w:tcPr>
          <w:p>
            <w:pPr>
              <w:pStyle w:val="TableContents"/>
              <w:bidi w:val="0"/>
              <w:spacing w:before="0" w:after="0"/>
              <w:jc w:val="left"/>
              <w:rPr>
                <w:rFonts w:ascii="Arial" w:hAnsi="Arial"/>
                <w:sz w:val="14"/>
              </w:rPr>
            </w:pPr>
            <w:r>
              <w:rPr>
                <w:rFonts w:ascii="Arial" w:hAnsi="Arial"/>
                <w:sz w:val="14"/>
              </w:rPr>
              <w:t xml:space="preserve">None of these balances were reported in the Summary Compensation Table in prior-year proxy statements. </w:t>
            </w:r>
          </w:p>
        </w:tc>
      </w:tr>
    </w:tbl>
    <w:p>
      <w:pPr>
        <w:pStyle w:val="TextBody"/>
        <w:bidi w:val="0"/>
        <w:spacing w:before="120" w:after="0"/>
        <w:jc w:val="left"/>
        <w:rPr>
          <w:rFonts w:ascii="Arial" w:hAnsi="Arial"/>
          <w:sz w:val="18"/>
        </w:rPr>
      </w:pPr>
      <w:r>
        <w:rPr>
          <w:rFonts w:ascii="Arial" w:hAnsi="Arial"/>
          <w:sz w:val="18"/>
        </w:rPr>
        <w:t xml:space="preserve">Microsoft’s Deferred Compensation Plan is unfunded and unsecured. It allows participants to defer a specified percentage of their base salary (up to 75%) and/or eligible cash incentives (up to 100%). Participation in the Deferred Compensation Plan is limited to U.S. senior managers, including our U.S. Named Executives. Microsoft does not contribute to the Deferred Compensation Plan or guarantee any returns on participant contributions. </w:t>
      </w:r>
    </w:p>
    <w:p>
      <w:pPr>
        <w:pStyle w:val="TextBody"/>
        <w:bidi w:val="0"/>
        <w:spacing w:before="120" w:after="0"/>
        <w:jc w:val="left"/>
        <w:rPr>
          <w:rFonts w:ascii="Arial" w:hAnsi="Arial"/>
          <w:sz w:val="18"/>
        </w:rPr>
      </w:pPr>
      <w:r>
        <w:rPr>
          <w:rFonts w:ascii="Arial" w:hAnsi="Arial"/>
          <w:sz w:val="18"/>
        </w:rPr>
        <w:t xml:space="preserve">When an employee elects to participate in the Deferred Compensation Plan, the employee must specify the percentage of base salary and/or cash incentive award to be deferred and the timing of distributions. No withdrawals are permitted prior to the previously elected distribution date, other than withdrawals for certain severe financial hardships as permitted by applicable law. Amounts deferred under the Deferred Compensation Plan are credited with hypothetical investment earnings based on participant investment elections made from among deemed investment options available under the plan. </w:t>
      </w:r>
    </w:p>
    <w:p>
      <w:pPr>
        <w:pStyle w:val="TextBody"/>
        <w:bidi w:val="0"/>
        <w:spacing w:before="0" w:after="0"/>
        <w:jc w:val="left"/>
        <w:rPr/>
      </w:pPr>
      <w:r>
        <w:rPr/>
        <w:t> </w:t>
      </w:r>
    </w:p>
    <w:p>
      <w:pPr>
        <w:pStyle w:val="TextBody"/>
        <w:bidi w:val="0"/>
        <w:spacing w:before="0" w:after="0"/>
        <w:jc w:val="left"/>
        <w:rPr/>
      </w:pPr>
      <w:r>
        <w:rPr/>
        <w:t> </w:t>
      </w:r>
    </w:p>
    <w:tbl>
      <w:tblPr>
        <w:tblW w:w="1354" w:type="dxa"/>
        <w:jc w:val="left"/>
        <w:tblInd w:w="0" w:type="dxa"/>
        <w:tblLayout w:type="fixed"/>
        <w:tblCellMar>
          <w:top w:w="0" w:type="dxa"/>
          <w:left w:w="0" w:type="dxa"/>
          <w:bottom w:w="0" w:type="dxa"/>
          <w:right w:w="0" w:type="dxa"/>
        </w:tblCellMar>
      </w:tblPr>
      <w:tblGrid>
        <w:gridCol w:w="275"/>
        <w:gridCol w:w="120"/>
        <w:gridCol w:w="959"/>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56</w:t>
            </w:r>
          </w:p>
        </w:tc>
        <w:tc>
          <w:tcPr>
            <w:tcW w:w="12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0"/>
              <w:jc w:val="left"/>
              <w:rPr/>
            </w:pPr>
            <w:r>
              <w:rPr/>
              <w:drawing>
                <wp:inline distT="0" distB="0" distL="0" distR="0">
                  <wp:extent cx="561340" cy="115570"/>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0"/>
                          <a:stretch>
                            <a:fillRect/>
                          </a:stretch>
                        </pic:blipFill>
                        <pic:spPr bwMode="auto">
                          <a:xfrm>
                            <a:off x="0" y="0"/>
                            <a:ext cx="561340" cy="115570"/>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28" w:name="toc61756_25"/>
      <w:bookmarkEnd w:id="28"/>
      <w:r>
        <w:rPr>
          <w:rFonts w:ascii="Arial" w:hAnsi="Arial"/>
          <w:b/>
          <w:sz w:val="24"/>
        </w:rPr>
        <w:t xml:space="preserve">Payments at Termination of Employment </w:t>
      </w:r>
    </w:p>
    <w:p>
      <w:pPr>
        <w:pStyle w:val="TextBody"/>
        <w:bidi w:val="0"/>
        <w:spacing w:before="120" w:after="0"/>
        <w:jc w:val="left"/>
        <w:rPr>
          <w:rFonts w:ascii="Arial" w:hAnsi="Arial"/>
          <w:sz w:val="18"/>
        </w:rPr>
      </w:pPr>
      <w:r>
        <w:rPr>
          <w:rFonts w:ascii="Arial" w:hAnsi="Arial"/>
          <w:sz w:val="18"/>
        </w:rPr>
        <w:t xml:space="preserve">This table shows the amounts that would have been payable to our Named Executives upon a termination of employment without cause or due to retirement on June 30, 2026, or at a termination due to death or disability on June 30, 2026, pursuant to our post-employment compensation arrangements as described on page 49. The equity values presented in the table below were valued using the closing stock price on June 30, 2026, which was $373.02 per share. </w:t>
      </w:r>
    </w:p>
    <w:p>
      <w:pPr>
        <w:pStyle w:val="TextBody"/>
        <w:bidi w:val="0"/>
        <w:spacing w:before="0" w:after="0"/>
        <w:jc w:val="left"/>
        <w:rPr/>
      </w:pPr>
      <w:r>
        <w:rPr/>
        <w:t> </w:t>
      </w:r>
    </w:p>
    <w:tbl>
      <w:tblPr>
        <w:tblW w:w="6230" w:type="dxa"/>
        <w:jc w:val="left"/>
        <w:tblInd w:w="0" w:type="dxa"/>
        <w:tblLayout w:type="fixed"/>
        <w:tblCellMar>
          <w:top w:w="0" w:type="dxa"/>
          <w:left w:w="0" w:type="dxa"/>
          <w:bottom w:w="0" w:type="dxa"/>
          <w:right w:w="0" w:type="dxa"/>
        </w:tblCellMar>
      </w:tblPr>
      <w:tblGrid>
        <w:gridCol w:w="1550"/>
        <w:gridCol w:w="120"/>
        <w:gridCol w:w="64"/>
        <w:gridCol w:w="1306"/>
        <w:gridCol w:w="60"/>
        <w:gridCol w:w="120"/>
        <w:gridCol w:w="60"/>
        <w:gridCol w:w="1100"/>
        <w:gridCol w:w="60"/>
        <w:gridCol w:w="120"/>
        <w:gridCol w:w="74"/>
        <w:gridCol w:w="1521"/>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Named Executive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7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Without Cause1</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Retirement</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Death or Disability</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1306" w:type="dxa"/>
            <w:tcBorders>
              <w:bottom w:val="single" w:sz="6" w:space="0" w:color="0075C9"/>
            </w:tcBorders>
            <w:tcMar>
              <w:bottom w:w="40" w:type="dxa"/>
            </w:tcMar>
            <w:vAlign w:val="center"/>
          </w:tcPr>
          <w:p>
            <w:pPr>
              <w:pStyle w:val="TableContents"/>
              <w:bidi w:val="0"/>
              <w:spacing w:before="0" w:after="283"/>
              <w:jc w:val="right"/>
              <w:rPr/>
            </w:pPr>
            <w:r>
              <w:rPr/>
              <w:t>116,539,165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86,712,602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4" w:type="dxa"/>
            <w:tcBorders>
              <w:bottom w:val="single" w:sz="6" w:space="0" w:color="0075C9"/>
            </w:tcBorders>
            <w:tcMar>
              <w:bottom w:w="40" w:type="dxa"/>
            </w:tcMar>
            <w:vAlign w:val="center"/>
          </w:tcPr>
          <w:p>
            <w:pPr>
              <w:pStyle w:val="TableContents"/>
              <w:bidi w:val="0"/>
              <w:spacing w:before="0" w:after="283"/>
              <w:jc w:val="left"/>
              <w:rPr/>
            </w:pPr>
            <w:r>
              <w:rPr/>
              <w:t> </w:t>
            </w:r>
          </w:p>
        </w:tc>
        <w:tc>
          <w:tcPr>
            <w:tcW w:w="1521" w:type="dxa"/>
            <w:tcBorders>
              <w:bottom w:val="single" w:sz="6" w:space="0" w:color="0075C9"/>
            </w:tcBorders>
            <w:tcMar>
              <w:bottom w:w="40" w:type="dxa"/>
            </w:tcMar>
            <w:vAlign w:val="center"/>
          </w:tcPr>
          <w:p>
            <w:pPr>
              <w:pStyle w:val="TableContents"/>
              <w:bidi w:val="0"/>
              <w:spacing w:before="0" w:after="283"/>
              <w:jc w:val="right"/>
              <w:rPr/>
            </w:pPr>
            <w:r>
              <w:rPr/>
              <w:t>138,425,857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1306" w:type="dxa"/>
            <w:tcBorders>
              <w:bottom w:val="single" w:sz="6" w:space="0" w:color="0075C9"/>
            </w:tcBorders>
            <w:tcMar>
              <w:bottom w:w="40" w:type="dxa"/>
            </w:tcMar>
            <w:vAlign w:val="center"/>
          </w:tcPr>
          <w:p>
            <w:pPr>
              <w:pStyle w:val="TableContents"/>
              <w:bidi w:val="0"/>
              <w:spacing w:before="0" w:after="283"/>
              <w:jc w:val="right"/>
              <w:rPr/>
            </w:pPr>
            <w:r>
              <w:rPr/>
              <w:t>34,966,985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4" w:type="dxa"/>
            <w:tcBorders>
              <w:bottom w:val="single" w:sz="6" w:space="0" w:color="0075C9"/>
            </w:tcBorders>
            <w:tcMar>
              <w:bottom w:w="40" w:type="dxa"/>
            </w:tcMar>
            <w:vAlign w:val="center"/>
          </w:tcPr>
          <w:p>
            <w:pPr>
              <w:pStyle w:val="TableContents"/>
              <w:bidi w:val="0"/>
              <w:spacing w:before="0" w:after="283"/>
              <w:jc w:val="left"/>
              <w:rPr/>
            </w:pPr>
            <w:r>
              <w:rPr/>
              <w:t> </w:t>
            </w:r>
          </w:p>
        </w:tc>
        <w:tc>
          <w:tcPr>
            <w:tcW w:w="1521" w:type="dxa"/>
            <w:tcBorders>
              <w:bottom w:val="single" w:sz="6" w:space="0" w:color="0075C9"/>
            </w:tcBorders>
            <w:tcMar>
              <w:bottom w:w="40" w:type="dxa"/>
            </w:tcMar>
            <w:vAlign w:val="center"/>
          </w:tcPr>
          <w:p>
            <w:pPr>
              <w:pStyle w:val="TableContents"/>
              <w:bidi w:val="0"/>
              <w:spacing w:before="0" w:after="283"/>
              <w:jc w:val="right"/>
              <w:rPr/>
            </w:pPr>
            <w:r>
              <w:rPr/>
              <w:t>48,932,018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1306" w:type="dxa"/>
            <w:tcBorders>
              <w:bottom w:val="single" w:sz="6" w:space="0" w:color="0075C9"/>
            </w:tcBorders>
            <w:tcMar>
              <w:bottom w:w="40" w:type="dxa"/>
            </w:tcMar>
            <w:vAlign w:val="center"/>
          </w:tcPr>
          <w:p>
            <w:pPr>
              <w:pStyle w:val="TableContents"/>
              <w:bidi w:val="0"/>
              <w:spacing w:before="0" w:after="283"/>
              <w:jc w:val="right"/>
              <w:rPr/>
            </w:pPr>
            <w:r>
              <w:rPr/>
              <w:t>34,100,086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4" w:type="dxa"/>
            <w:tcBorders>
              <w:bottom w:val="single" w:sz="6" w:space="0" w:color="0075C9"/>
            </w:tcBorders>
            <w:tcMar>
              <w:bottom w:w="40" w:type="dxa"/>
            </w:tcMar>
            <w:vAlign w:val="center"/>
          </w:tcPr>
          <w:p>
            <w:pPr>
              <w:pStyle w:val="TableContents"/>
              <w:bidi w:val="0"/>
              <w:spacing w:before="0" w:after="283"/>
              <w:jc w:val="left"/>
              <w:rPr/>
            </w:pPr>
            <w:r>
              <w:rPr/>
              <w:t> </w:t>
            </w:r>
          </w:p>
        </w:tc>
        <w:tc>
          <w:tcPr>
            <w:tcW w:w="1521" w:type="dxa"/>
            <w:tcBorders>
              <w:bottom w:val="single" w:sz="6" w:space="0" w:color="0075C9"/>
            </w:tcBorders>
            <w:tcMar>
              <w:bottom w:w="40" w:type="dxa"/>
            </w:tcMar>
            <w:vAlign w:val="center"/>
          </w:tcPr>
          <w:p>
            <w:pPr>
              <w:pStyle w:val="TableContents"/>
              <w:bidi w:val="0"/>
              <w:spacing w:before="0" w:after="283"/>
              <w:jc w:val="right"/>
              <w:rPr/>
            </w:pPr>
            <w:r>
              <w:rPr/>
              <w:t>48,003,944</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1306" w:type="dxa"/>
            <w:tcBorders>
              <w:bottom w:val="single" w:sz="6" w:space="0" w:color="0075C9"/>
            </w:tcBorders>
            <w:tcMar>
              <w:bottom w:w="40" w:type="dxa"/>
            </w:tcMar>
            <w:vAlign w:val="center"/>
          </w:tcPr>
          <w:p>
            <w:pPr>
              <w:pStyle w:val="TableContents"/>
              <w:bidi w:val="0"/>
              <w:spacing w:before="0" w:after="283"/>
              <w:jc w:val="right"/>
              <w:rPr/>
            </w:pPr>
            <w:r>
              <w:rPr/>
              <w:t>17,945,676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10,153,977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4" w:type="dxa"/>
            <w:tcBorders>
              <w:bottom w:val="single" w:sz="6" w:space="0" w:color="0075C9"/>
            </w:tcBorders>
            <w:tcMar>
              <w:bottom w:w="40" w:type="dxa"/>
            </w:tcMar>
            <w:vAlign w:val="center"/>
          </w:tcPr>
          <w:p>
            <w:pPr>
              <w:pStyle w:val="TableContents"/>
              <w:bidi w:val="0"/>
              <w:spacing w:before="0" w:after="283"/>
              <w:jc w:val="left"/>
              <w:rPr/>
            </w:pPr>
            <w:r>
              <w:rPr/>
              <w:t> </w:t>
            </w:r>
          </w:p>
        </w:tc>
        <w:tc>
          <w:tcPr>
            <w:tcW w:w="1521" w:type="dxa"/>
            <w:tcBorders>
              <w:bottom w:val="single" w:sz="6" w:space="0" w:color="0075C9"/>
            </w:tcBorders>
            <w:tcMar>
              <w:bottom w:w="40" w:type="dxa"/>
            </w:tcMar>
            <w:vAlign w:val="center"/>
          </w:tcPr>
          <w:p>
            <w:pPr>
              <w:pStyle w:val="TableContents"/>
              <w:bidi w:val="0"/>
              <w:spacing w:before="0" w:after="283"/>
              <w:jc w:val="right"/>
              <w:rPr/>
            </w:pPr>
            <w:r>
              <w:rPr/>
              <w:t>19,853,616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1306" w:type="dxa"/>
            <w:tcBorders>
              <w:bottom w:val="single" w:sz="6" w:space="0" w:color="0075C9"/>
            </w:tcBorders>
            <w:tcMar>
              <w:bottom w:w="40" w:type="dxa"/>
            </w:tcMar>
            <w:vAlign w:val="center"/>
          </w:tcPr>
          <w:p>
            <w:pPr>
              <w:pStyle w:val="TableContents"/>
              <w:bidi w:val="0"/>
              <w:spacing w:before="0" w:after="283"/>
              <w:jc w:val="right"/>
              <w:rPr/>
            </w:pPr>
            <w:r>
              <w:rPr/>
              <w:t>37,738,896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100" w:type="dxa"/>
            <w:tcBorders>
              <w:bottom w:val="single" w:sz="6" w:space="0" w:color="0075C9"/>
            </w:tcBorders>
            <w:tcMar>
              <w:bottom w:w="40" w:type="dxa"/>
            </w:tcMar>
            <w:vAlign w:val="center"/>
          </w:tcPr>
          <w:p>
            <w:pPr>
              <w:pStyle w:val="TableContents"/>
              <w:bidi w:val="0"/>
              <w:spacing w:before="0" w:after="283"/>
              <w:jc w:val="right"/>
              <w:rPr/>
            </w:pPr>
            <w:r>
              <w:rPr/>
              <w:t>24,773,004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74" w:type="dxa"/>
            <w:tcBorders>
              <w:bottom w:val="single" w:sz="6" w:space="0" w:color="0075C9"/>
            </w:tcBorders>
            <w:tcMar>
              <w:bottom w:w="40" w:type="dxa"/>
            </w:tcMar>
            <w:vAlign w:val="center"/>
          </w:tcPr>
          <w:p>
            <w:pPr>
              <w:pStyle w:val="TableContents"/>
              <w:bidi w:val="0"/>
              <w:spacing w:before="0" w:after="283"/>
              <w:jc w:val="left"/>
              <w:rPr/>
            </w:pPr>
            <w:r>
              <w:rPr/>
              <w:t> </w:t>
            </w:r>
          </w:p>
        </w:tc>
        <w:tc>
          <w:tcPr>
            <w:tcW w:w="1521" w:type="dxa"/>
            <w:tcBorders>
              <w:bottom w:val="single" w:sz="6" w:space="0" w:color="0075C9"/>
            </w:tcBorders>
            <w:tcMar>
              <w:bottom w:w="40" w:type="dxa"/>
            </w:tcMar>
            <w:vAlign w:val="center"/>
          </w:tcPr>
          <w:p>
            <w:pPr>
              <w:pStyle w:val="TableContents"/>
              <w:bidi w:val="0"/>
              <w:spacing w:before="0" w:after="283"/>
              <w:jc w:val="right"/>
              <w:rPr/>
            </w:pPr>
            <w:r>
              <w:rPr/>
              <w:t>47,188,895</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Arial" w:hAnsi="Arial"/>
                <w:sz w:val="14"/>
              </w:rPr>
            </w:pPr>
            <w:r>
              <w:rPr>
                <w:rFonts w:ascii="Arial" w:hAnsi="Arial"/>
                <w:sz w:val="14"/>
              </w:rPr>
              <w:t xml:space="preserve">Termination without cause includes incremental value associated with retirement-based stock vesting of SAs: $1,695,749 for Mr. Numoto and $4,372,540 for Mr. Smith.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29" w:name="toc61756_26"/>
      <w:bookmarkEnd w:id="29"/>
      <w:r>
        <w:rPr>
          <w:rFonts w:ascii="Arial" w:hAnsi="Arial"/>
          <w:b/>
          <w:color w:val="0075C9"/>
          <w:sz w:val="28"/>
        </w:rPr>
        <w:t xml:space="preserve">CEO Pay Ratio </w:t>
      </w:r>
    </w:p>
    <w:p>
      <w:pPr>
        <w:pStyle w:val="TextBody"/>
        <w:bidi w:val="0"/>
        <w:spacing w:before="120" w:after="0"/>
        <w:jc w:val="left"/>
        <w:rPr>
          <w:rFonts w:ascii="Arial" w:hAnsi="Arial"/>
          <w:sz w:val="18"/>
        </w:rPr>
      </w:pPr>
      <w:r>
        <w:rPr>
          <w:rFonts w:ascii="Arial" w:hAnsi="Arial"/>
          <w:sz w:val="18"/>
        </w:rPr>
        <w:t xml:space="preserve">For fiscal year 2026, the annual total compensation for the median employee of the Company (other than our CEO) was $215,057 and the annual total compensation of our CEO was $90,628,977. Based on this information, for fiscal year 2026 the ratio of the annual total compensation of our CEO to the annual total compensation of the median employee was 421 to 1. We believe this ratio is a reasonable estimate calculated in a manner consistent with Item 402(u) of Regulation S-K under the Securities Exchange Act of 1934. </w:t>
      </w:r>
    </w:p>
    <w:p>
      <w:pPr>
        <w:pStyle w:val="TextBody"/>
        <w:bidi w:val="0"/>
        <w:spacing w:before="120" w:after="0"/>
        <w:jc w:val="left"/>
        <w:rPr>
          <w:rFonts w:ascii="Arial" w:hAnsi="Arial"/>
          <w:sz w:val="18"/>
        </w:rPr>
      </w:pPr>
      <w:r>
        <w:rPr>
          <w:rFonts w:ascii="Arial" w:hAnsi="Arial"/>
          <w:sz w:val="18"/>
        </w:rPr>
        <w:t>As permitted under the SEC disclosure rules, the same median-paid employee selected for the 2025 Proxy Statement has been identified as the median-paid employee for the second year in this 2026 Proxy Statement, as there were no significant changes in our employee population or to the median-paid employee’s compensation arrangements in fiscal year 2026 that would significantly impact the pay ratio disclosure. We identified our median employee from among our employees as of June 30, 2025</w:t>
      </w:r>
      <w:r>
        <w:rPr>
          <w:rFonts w:ascii="Arial" w:hAnsi="Arial"/>
          <w:i/>
          <w:sz w:val="18"/>
        </w:rPr>
        <w:t>.</w:t>
      </w:r>
      <w:r>
        <w:rPr>
          <w:rFonts w:ascii="Arial" w:hAnsi="Arial"/>
          <w:sz w:val="18"/>
        </w:rPr>
        <w:t xml:space="preserve"> To identify our median employee, we used a “total direct compensation” measure consisting of: (i) fiscal year 2025 annual base pay (salary or gross wages for hourly employees, excluding paid leave), which we annualized for any permanent employees who commenced work during the year, (ii) target bonuses and cash incentives payable for fiscal year 2025 (excluding allowances, relocation payments, and profit-sharing), and (iii) the dollar value of SAs and target PSAs granted in fiscal year 2025. Compensation amounts were determined from our human resources and payroll systems of record. Payments not made in U.S. dollars were converted to U.S. dollars using 12-month average exchange rates for the year. To identify our median employee, we then calculated the total direct compensation for our global employee population and excluded employees at the median who had anomalous compensation characteristics.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sz w:val="42"/>
              </w:rPr>
            </w:pPr>
            <w:r>
              <w:rPr>
                <w:spacing w:val="0"/>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75C9"/>
                <w:spacing w:val="0"/>
                <w:sz w:val="42"/>
              </w:rPr>
            </w:pPr>
            <w:r>
              <w:rPr>
                <w:color w:val="0075C9"/>
                <w:spacing w:val="0"/>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pacing w:val="0"/>
                <w:sz w:val="14"/>
              </w:rPr>
            </w:pPr>
            <w:r>
              <w:rPr>
                <w:rFonts w:ascii="Arial" w:hAnsi="Arial"/>
                <w:color w:val="0075C9"/>
                <w:spacing w:val="0"/>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left"/>
              <w:rPr>
                <w:spacing w:val="0"/>
              </w:rPr>
            </w:pPr>
            <w:r>
              <w:rPr>
                <w:spacing w:val="0"/>
              </w:rPr>
              <w:t> </w:t>
            </w:r>
            <w:r>
              <w:rPr>
                <w:spacing w:val="0"/>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bidi w:val="0"/>
              <w:spacing w:before="0" w:after="0"/>
              <w:jc w:val="left"/>
              <w:rPr>
                <w:bdr w:val="single" w:sz="48" w:space="1" w:color="0075C9"/>
              </w:rPr>
            </w:pPr>
            <w:r>
              <w:rPr>
                <w:bdr w:val="single" w:sz="48" w:space="1" w:color="0075C9"/>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80" w:after="0"/>
        <w:jc w:val="left"/>
        <w:rPr>
          <w:rFonts w:ascii="Arial" w:hAnsi="Arial"/>
          <w:b/>
          <w:color w:val="0075C9"/>
          <w:spacing w:val="0"/>
          <w:sz w:val="28"/>
        </w:rPr>
      </w:pPr>
      <w:r>
        <w:rPr>
          <w:rFonts w:ascii="Arial" w:hAnsi="Arial"/>
          <w:b/>
          <w:color w:val="0075C9"/>
          <w:spacing w:val="0"/>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This section provides disclosure about the relationship between executive compensation actually paid to our principal executive officer (“PEO”) and </w:t>
      </w:r>
      <w:r>
        <w:rPr>
          <w:rFonts w:ascii="Arial" w:hAnsi="Arial"/>
          <w:spacing w:val="0"/>
          <w:sz w:val="18"/>
        </w:rPr>
        <w:t>Non-PEO</w:t>
      </w:r>
      <w:r>
        <w:rPr>
          <w:rFonts w:ascii="Arial" w:hAnsi="Arial"/>
          <w:sz w:val="18"/>
        </w:rPr>
        <w:t xml:space="preserve"> Named Executives and certain financial performance measures of the Company for the fiscal years listed below. This disclosure has been prepared in accordance with Item 402(v) of Regulation </w:t>
      </w:r>
      <w:r>
        <w:rPr>
          <w:rFonts w:ascii="Arial" w:hAnsi="Arial"/>
          <w:spacing w:val="0"/>
          <w:sz w:val="18"/>
        </w:rPr>
        <w:t>S-K</w:t>
      </w:r>
      <w:r>
        <w:rPr>
          <w:rFonts w:ascii="Arial" w:hAnsi="Arial"/>
          <w:sz w:val="18"/>
        </w:rPr>
        <w:t xml:space="preserve"> under the Securities Exchange Act of 1934 (the “Pay Versus Performance Rules”) and does not necessarily reflect how the Compensation Committee evaluates compensation decisions. </w:t>
      </w:r>
    </w:p>
    <w:p>
      <w:pPr>
        <w:pStyle w:val="TextBody"/>
        <w:bidi w:val="0"/>
        <w:spacing w:before="240" w:after="0"/>
        <w:jc w:val="left"/>
        <w:rPr>
          <w:rFonts w:ascii="Arial" w:hAnsi="Arial"/>
          <w:b/>
          <w:sz w:val="24"/>
        </w:rPr>
      </w:pPr>
      <w:r>
        <w:rPr>
          <w:rFonts w:ascii="Arial" w:hAnsi="Arial"/>
          <w:b/>
          <w:sz w:val="24"/>
        </w:rPr>
        <w:t xml:space="preserve">Pay for Performance Table </w:t>
      </w:r>
    </w:p>
    <w:p>
      <w:pPr>
        <w:pStyle w:val="TextBody"/>
        <w:bidi w:val="0"/>
        <w:spacing w:before="0" w:after="0"/>
        <w:jc w:val="left"/>
        <w:rPr/>
      </w:pPr>
      <w:r>
        <w:rPr/>
        <w:t> </w:t>
      </w:r>
    </w:p>
    <w:tbl>
      <w:tblPr>
        <w:tblW w:w="11005" w:type="dxa"/>
        <w:jc w:val="left"/>
        <w:tblInd w:w="0" w:type="dxa"/>
        <w:tblLayout w:type="fixed"/>
        <w:tblCellMar>
          <w:top w:w="0" w:type="dxa"/>
          <w:left w:w="0" w:type="dxa"/>
          <w:bottom w:w="0" w:type="dxa"/>
          <w:right w:w="0" w:type="dxa"/>
        </w:tblCellMar>
      </w:tblPr>
      <w:tblGrid>
        <w:gridCol w:w="635"/>
        <w:gridCol w:w="60"/>
        <w:gridCol w:w="61"/>
        <w:gridCol w:w="1129"/>
        <w:gridCol w:w="60"/>
        <w:gridCol w:w="60"/>
        <w:gridCol w:w="60"/>
        <w:gridCol w:w="1220"/>
        <w:gridCol w:w="60"/>
        <w:gridCol w:w="60"/>
        <w:gridCol w:w="61"/>
        <w:gridCol w:w="1129"/>
        <w:gridCol w:w="60"/>
        <w:gridCol w:w="60"/>
        <w:gridCol w:w="61"/>
        <w:gridCol w:w="1129"/>
        <w:gridCol w:w="60"/>
        <w:gridCol w:w="120"/>
        <w:gridCol w:w="153"/>
        <w:gridCol w:w="969"/>
        <w:gridCol w:w="153"/>
        <w:gridCol w:w="306"/>
        <w:gridCol w:w="153"/>
        <w:gridCol w:w="971"/>
        <w:gridCol w:w="60"/>
        <w:gridCol w:w="120"/>
        <w:gridCol w:w="64"/>
        <w:gridCol w:w="856"/>
        <w:gridCol w:w="60"/>
        <w:gridCol w:w="120"/>
        <w:gridCol w:w="69"/>
        <w:gridCol w:w="791"/>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vMerge w:val="restart"/>
            <w:tcBorders>
              <w:bottom w:val="single" w:sz="8" w:space="0" w:color="000000"/>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Year</w:t>
            </w:r>
            <w:r>
              <w:rPr>
                <w:rFonts w:ascii="Arial" w:hAnsi="Arial"/>
                <w:b/>
                <w:sz w:val="9"/>
              </w:rPr>
              <w:t>1</w:t>
            </w:r>
          </w:p>
          <w:p>
            <w:pPr>
              <w:pStyle w:val="TableContents"/>
              <w:bidi w:val="0"/>
              <w:spacing w:before="0" w:after="20"/>
              <w:jc w:val="left"/>
              <w:rPr>
                <w:rFonts w:ascii="Arial" w:hAnsi="Arial"/>
                <w:b/>
                <w:sz w:val="16"/>
              </w:rPr>
            </w:pPr>
            <w:r>
              <w:rPr>
                <w:rFonts w:ascii="Arial" w:hAnsi="Arial"/>
                <w:b/>
                <w:sz w:val="16"/>
              </w:rPr>
              <w:t>(a)</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Summary</w:t>
            </w:r>
          </w:p>
          <w:p>
            <w:pPr>
              <w:pStyle w:val="TableContents"/>
              <w:bidi w:val="0"/>
              <w:spacing w:before="0" w:after="0"/>
              <w:jc w:val="right"/>
              <w:rPr>
                <w:rFonts w:ascii="Arial" w:hAnsi="Arial"/>
                <w:b/>
                <w:sz w:val="16"/>
              </w:rPr>
            </w:pPr>
            <w:r>
              <w:rPr>
                <w:rFonts w:ascii="Arial" w:hAnsi="Arial"/>
                <w:b/>
                <w:sz w:val="16"/>
              </w:rPr>
              <w:t>Compensation</w:t>
            </w:r>
          </w:p>
          <w:p>
            <w:pPr>
              <w:pStyle w:val="TableContents"/>
              <w:bidi w:val="0"/>
              <w:spacing w:before="0" w:after="0"/>
              <w:jc w:val="right"/>
              <w:rPr>
                <w:rFonts w:ascii="Arial" w:hAnsi="Arial"/>
                <w:b/>
                <w:sz w:val="16"/>
              </w:rPr>
            </w:pPr>
            <w:r>
              <w:rPr>
                <w:rFonts w:ascii="Arial" w:hAnsi="Arial"/>
                <w:b/>
                <w:sz w:val="16"/>
              </w:rPr>
              <w:t>Table Total</w:t>
            </w:r>
          </w:p>
          <w:p>
            <w:pPr>
              <w:pStyle w:val="TableContents"/>
              <w:bidi w:val="0"/>
              <w:spacing w:before="0" w:after="0"/>
              <w:jc w:val="right"/>
              <w:rPr>
                <w:rFonts w:ascii="Arial" w:hAnsi="Arial"/>
                <w:b/>
                <w:sz w:val="16"/>
              </w:rPr>
            </w:pPr>
            <w:r>
              <w:rPr>
                <w:rFonts w:ascii="Arial" w:hAnsi="Arial"/>
                <w:b/>
                <w:sz w:val="16"/>
              </w:rPr>
              <w:t>for PEO</w:t>
            </w:r>
          </w:p>
          <w:p>
            <w:pPr>
              <w:pStyle w:val="TableContents"/>
              <w:bidi w:val="0"/>
              <w:spacing w:before="0" w:after="20"/>
              <w:jc w:val="right"/>
              <w:rPr>
                <w:rFonts w:ascii="Arial" w:hAnsi="Arial"/>
                <w:b/>
                <w:sz w:val="16"/>
              </w:rPr>
            </w:pPr>
            <w:r>
              <w:rPr>
                <w:rFonts w:ascii="Arial" w:hAnsi="Arial"/>
                <w:b/>
                <w:sz w:val="16"/>
              </w:rPr>
              <w:t>($) (b)</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Compensation</w:t>
            </w:r>
          </w:p>
          <w:p>
            <w:pPr>
              <w:pStyle w:val="TableContents"/>
              <w:bidi w:val="0"/>
              <w:spacing w:before="0" w:after="0"/>
              <w:jc w:val="right"/>
              <w:rPr>
                <w:rFonts w:ascii="Arial" w:hAnsi="Arial"/>
                <w:b/>
                <w:sz w:val="16"/>
              </w:rPr>
            </w:pPr>
            <w:r>
              <w:rPr>
                <w:rFonts w:ascii="Arial" w:hAnsi="Arial"/>
                <w:b/>
                <w:sz w:val="16"/>
              </w:rPr>
              <w:t>Actually Paid</w:t>
            </w:r>
          </w:p>
          <w:p>
            <w:pPr>
              <w:pStyle w:val="TableContents"/>
              <w:bidi w:val="0"/>
              <w:spacing w:before="0" w:after="0"/>
              <w:jc w:val="right"/>
              <w:rPr>
                <w:rFonts w:ascii="Arial" w:hAnsi="Arial"/>
                <w:b/>
                <w:sz w:val="16"/>
              </w:rPr>
            </w:pPr>
            <w:r>
              <w:rPr>
                <w:rFonts w:ascii="Arial" w:hAnsi="Arial"/>
                <w:b/>
                <w:sz w:val="16"/>
              </w:rPr>
              <w:t>to PEO</w:t>
            </w:r>
            <w:r>
              <w:rPr>
                <w:rFonts w:ascii="Arial" w:hAnsi="Arial"/>
                <w:b/>
                <w:sz w:val="9"/>
              </w:rPr>
              <w:t>2</w:t>
            </w:r>
          </w:p>
          <w:p>
            <w:pPr>
              <w:pStyle w:val="TableContents"/>
              <w:bidi w:val="0"/>
              <w:spacing w:before="0" w:after="20"/>
              <w:jc w:val="right"/>
              <w:rPr>
                <w:rFonts w:ascii="Arial" w:hAnsi="Arial"/>
                <w:b/>
                <w:sz w:val="16"/>
              </w:rPr>
            </w:pPr>
            <w:r>
              <w:rPr>
                <w:rFonts w:ascii="Arial" w:hAnsi="Arial"/>
                <w:b/>
                <w:sz w:val="16"/>
              </w:rPr>
              <w:t>($) (c)</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Average</w:t>
            </w:r>
          </w:p>
          <w:p>
            <w:pPr>
              <w:pStyle w:val="TableContents"/>
              <w:bidi w:val="0"/>
              <w:spacing w:before="0" w:after="0"/>
              <w:jc w:val="right"/>
              <w:rPr>
                <w:rFonts w:ascii="Arial" w:hAnsi="Arial"/>
                <w:b/>
                <w:sz w:val="16"/>
              </w:rPr>
            </w:pPr>
            <w:r>
              <w:rPr>
                <w:rFonts w:ascii="Arial" w:hAnsi="Arial"/>
                <w:b/>
                <w:sz w:val="16"/>
              </w:rPr>
              <w:t>Summary</w:t>
            </w:r>
          </w:p>
          <w:p>
            <w:pPr>
              <w:pStyle w:val="TableContents"/>
              <w:bidi w:val="0"/>
              <w:spacing w:before="0" w:after="0"/>
              <w:jc w:val="right"/>
              <w:rPr>
                <w:rFonts w:ascii="Arial" w:hAnsi="Arial"/>
                <w:b/>
                <w:sz w:val="16"/>
              </w:rPr>
            </w:pPr>
            <w:r>
              <w:rPr>
                <w:rFonts w:ascii="Arial" w:hAnsi="Arial"/>
                <w:b/>
                <w:sz w:val="16"/>
              </w:rPr>
              <w:t>Compensation</w:t>
            </w:r>
          </w:p>
          <w:p>
            <w:pPr>
              <w:pStyle w:val="TableContents"/>
              <w:bidi w:val="0"/>
              <w:spacing w:before="0" w:after="0"/>
              <w:jc w:val="right"/>
              <w:rPr>
                <w:rFonts w:ascii="Arial" w:hAnsi="Arial"/>
                <w:b/>
                <w:sz w:val="16"/>
              </w:rPr>
            </w:pPr>
            <w:r>
              <w:rPr>
                <w:rFonts w:ascii="Arial" w:hAnsi="Arial"/>
                <w:b/>
                <w:sz w:val="16"/>
              </w:rPr>
              <w:t>Table Total</w:t>
            </w:r>
          </w:p>
          <w:p>
            <w:pPr>
              <w:pStyle w:val="TableContents"/>
              <w:bidi w:val="0"/>
              <w:spacing w:before="0" w:after="0"/>
              <w:jc w:val="right"/>
              <w:rPr>
                <w:rFonts w:ascii="Arial" w:hAnsi="Arial"/>
                <w:b/>
                <w:sz w:val="16"/>
              </w:rPr>
            </w:pPr>
            <w:r>
              <w:rPr>
                <w:rFonts w:ascii="Arial" w:hAnsi="Arial"/>
                <w:b/>
                <w:sz w:val="16"/>
              </w:rPr>
              <w:t xml:space="preserve">for </w:t>
            </w:r>
            <w:r>
              <w:rPr>
                <w:rFonts w:ascii="Arial" w:hAnsi="Arial"/>
                <w:b/>
                <w:spacing w:val="0"/>
                <w:sz w:val="16"/>
              </w:rPr>
              <w:t>Non-PEO</w:t>
            </w:r>
          </w:p>
          <w:p>
            <w:pPr>
              <w:pStyle w:val="TableContents"/>
              <w:bidi w:val="0"/>
              <w:spacing w:before="0" w:after="0"/>
              <w:jc w:val="right"/>
              <w:rPr>
                <w:rFonts w:ascii="Arial" w:hAnsi="Arial"/>
                <w:b/>
                <w:sz w:val="16"/>
              </w:rPr>
            </w:pPr>
            <w:r>
              <w:rPr>
                <w:rFonts w:ascii="Arial" w:hAnsi="Arial"/>
                <w:b/>
                <w:sz w:val="16"/>
              </w:rPr>
              <w:t>Named</w:t>
            </w:r>
          </w:p>
          <w:p>
            <w:pPr>
              <w:pStyle w:val="TableContents"/>
              <w:bidi w:val="0"/>
              <w:spacing w:before="0" w:after="0"/>
              <w:jc w:val="right"/>
              <w:rPr>
                <w:rFonts w:ascii="Arial" w:hAnsi="Arial"/>
                <w:b/>
                <w:sz w:val="16"/>
              </w:rPr>
            </w:pPr>
            <w:r>
              <w:rPr>
                <w:rFonts w:ascii="Arial" w:hAnsi="Arial"/>
                <w:b/>
                <w:sz w:val="16"/>
              </w:rPr>
              <w:t>Executive</w:t>
            </w:r>
          </w:p>
          <w:p>
            <w:pPr>
              <w:pStyle w:val="TableContents"/>
              <w:bidi w:val="0"/>
              <w:spacing w:before="0" w:after="0"/>
              <w:jc w:val="right"/>
              <w:rPr>
                <w:rFonts w:ascii="Arial" w:hAnsi="Arial"/>
                <w:b/>
                <w:sz w:val="16"/>
              </w:rPr>
            </w:pPr>
            <w:r>
              <w:rPr>
                <w:rFonts w:ascii="Arial" w:hAnsi="Arial"/>
                <w:b/>
                <w:sz w:val="16"/>
              </w:rPr>
              <w:t>Officers</w:t>
            </w:r>
          </w:p>
          <w:p>
            <w:pPr>
              <w:pStyle w:val="TableContents"/>
              <w:bidi w:val="0"/>
              <w:spacing w:before="0" w:after="20"/>
              <w:jc w:val="right"/>
              <w:rPr>
                <w:rFonts w:ascii="Arial" w:hAnsi="Arial"/>
                <w:b/>
                <w:sz w:val="16"/>
              </w:rPr>
            </w:pPr>
            <w:r>
              <w:rPr>
                <w:rFonts w:ascii="Arial" w:hAnsi="Arial"/>
                <w:b/>
                <w:sz w:val="16"/>
              </w:rPr>
              <w:t>($) (d)</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19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Average</w:t>
            </w:r>
          </w:p>
          <w:p>
            <w:pPr>
              <w:pStyle w:val="TableContents"/>
              <w:bidi w:val="0"/>
              <w:spacing w:before="0" w:after="0"/>
              <w:jc w:val="right"/>
              <w:rPr>
                <w:rFonts w:ascii="Arial" w:hAnsi="Arial"/>
                <w:b/>
                <w:sz w:val="16"/>
              </w:rPr>
            </w:pPr>
            <w:r>
              <w:rPr>
                <w:rFonts w:ascii="Arial" w:hAnsi="Arial"/>
                <w:b/>
                <w:sz w:val="16"/>
              </w:rPr>
              <w:t>Compensation</w:t>
            </w:r>
          </w:p>
          <w:p>
            <w:pPr>
              <w:pStyle w:val="TableContents"/>
              <w:bidi w:val="0"/>
              <w:spacing w:before="0" w:after="0"/>
              <w:jc w:val="right"/>
              <w:rPr>
                <w:rFonts w:ascii="Arial" w:hAnsi="Arial"/>
                <w:b/>
                <w:sz w:val="16"/>
              </w:rPr>
            </w:pPr>
            <w:r>
              <w:rPr>
                <w:rFonts w:ascii="Arial" w:hAnsi="Arial"/>
                <w:b/>
                <w:sz w:val="16"/>
              </w:rPr>
              <w:t>Actually</w:t>
            </w:r>
          </w:p>
          <w:p>
            <w:pPr>
              <w:pStyle w:val="TableContents"/>
              <w:bidi w:val="0"/>
              <w:spacing w:before="0" w:after="0"/>
              <w:jc w:val="right"/>
              <w:rPr>
                <w:rFonts w:ascii="Arial" w:hAnsi="Arial"/>
                <w:b/>
                <w:sz w:val="16"/>
              </w:rPr>
            </w:pPr>
            <w:r>
              <w:rPr>
                <w:rFonts w:ascii="Arial" w:hAnsi="Arial"/>
                <w:b/>
                <w:sz w:val="16"/>
              </w:rPr>
              <w:t>Paid to</w:t>
            </w:r>
          </w:p>
          <w:p>
            <w:pPr>
              <w:pStyle w:val="TableContents"/>
              <w:bidi w:val="0"/>
              <w:spacing w:before="0" w:after="0"/>
              <w:jc w:val="right"/>
              <w:rPr>
                <w:rFonts w:ascii="Arial" w:hAnsi="Arial"/>
                <w:b/>
                <w:spacing w:val="0"/>
                <w:sz w:val="16"/>
              </w:rPr>
            </w:pPr>
            <w:r>
              <w:rPr>
                <w:rFonts w:ascii="Arial" w:hAnsi="Arial"/>
                <w:b/>
                <w:spacing w:val="0"/>
                <w:sz w:val="16"/>
              </w:rPr>
              <w:t>Non-PEO</w:t>
            </w:r>
          </w:p>
          <w:p>
            <w:pPr>
              <w:pStyle w:val="TableContents"/>
              <w:bidi w:val="0"/>
              <w:spacing w:before="0" w:after="0"/>
              <w:jc w:val="right"/>
              <w:rPr>
                <w:rFonts w:ascii="Arial" w:hAnsi="Arial"/>
                <w:b/>
                <w:sz w:val="16"/>
              </w:rPr>
            </w:pPr>
            <w:r>
              <w:rPr>
                <w:rFonts w:ascii="Arial" w:hAnsi="Arial"/>
                <w:b/>
                <w:sz w:val="16"/>
              </w:rPr>
              <w:t>Named</w:t>
            </w:r>
          </w:p>
          <w:p>
            <w:pPr>
              <w:pStyle w:val="TableContents"/>
              <w:bidi w:val="0"/>
              <w:spacing w:before="0" w:after="0"/>
              <w:jc w:val="right"/>
              <w:rPr>
                <w:rFonts w:ascii="Arial" w:hAnsi="Arial"/>
                <w:b/>
                <w:sz w:val="16"/>
              </w:rPr>
            </w:pPr>
            <w:r>
              <w:rPr>
                <w:rFonts w:ascii="Arial" w:hAnsi="Arial"/>
                <w:b/>
                <w:sz w:val="16"/>
              </w:rPr>
              <w:t>Executive</w:t>
            </w:r>
          </w:p>
          <w:p>
            <w:pPr>
              <w:pStyle w:val="TableContents"/>
              <w:bidi w:val="0"/>
              <w:spacing w:before="0" w:after="0"/>
              <w:jc w:val="right"/>
              <w:rPr>
                <w:rFonts w:ascii="Arial" w:hAnsi="Arial"/>
                <w:b/>
                <w:sz w:val="16"/>
              </w:rPr>
            </w:pPr>
            <w:r>
              <w:rPr>
                <w:rFonts w:ascii="Arial" w:hAnsi="Arial"/>
                <w:b/>
                <w:sz w:val="16"/>
              </w:rPr>
              <w:t>Officers</w:t>
            </w:r>
            <w:r>
              <w:rPr>
                <w:rFonts w:ascii="Arial" w:hAnsi="Arial"/>
                <w:b/>
                <w:sz w:val="9"/>
              </w:rPr>
              <w:t>2</w:t>
            </w:r>
          </w:p>
          <w:p>
            <w:pPr>
              <w:pStyle w:val="TableContents"/>
              <w:bidi w:val="0"/>
              <w:spacing w:before="0" w:after="20"/>
              <w:jc w:val="right"/>
              <w:rPr>
                <w:rFonts w:ascii="Arial" w:hAnsi="Arial"/>
                <w:b/>
                <w:sz w:val="16"/>
              </w:rPr>
            </w:pPr>
            <w:r>
              <w:rPr>
                <w:rFonts w:ascii="Arial" w:hAnsi="Arial"/>
                <w:b/>
                <w:sz w:val="16"/>
              </w:rPr>
              <w:t>($) (e)</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5" w:type="dxa"/>
            <w:gridSpan w:val="6"/>
            <w:tcBorders>
              <w:bottom w:val="single" w:sz="2" w:space="0" w:color="000000"/>
            </w:tcBorders>
            <w:tcMar>
              <w:bottom w:w="40" w:type="dxa"/>
            </w:tcMar>
            <w:vAlign w:val="center"/>
          </w:tcPr>
          <w:p>
            <w:pPr>
              <w:pStyle w:val="TableContents"/>
              <w:bidi w:val="0"/>
              <w:spacing w:before="0" w:after="283"/>
              <w:jc w:val="center"/>
              <w:rPr/>
            </w:pPr>
            <w:r>
              <w:rPr/>
              <w:br/>
            </w:r>
            <w:r>
              <w:rPr>
                <w:b/>
                <w:spacing w:val="0"/>
              </w:rPr>
              <w:t>Value of Initial Fixed $100</w:t>
            </w:r>
            <w:r>
              <w:rPr/>
              <w:br/>
            </w:r>
            <w:r>
              <w:rPr>
                <w:b/>
                <w:spacing w:val="0"/>
              </w:rPr>
              <w:t>Investment Based On:</w:t>
            </w:r>
            <w:r>
              <w:rPr>
                <w:b/>
                <w:spacing w:val="0"/>
                <w:sz w:val="9"/>
              </w:rPr>
              <w:t>3</w:t>
            </w:r>
          </w:p>
        </w:tc>
        <w:tc>
          <w:tcPr>
            <w:tcW w:w="60" w:type="dxa"/>
            <w:tcBorders/>
            <w:vAlign w:val="center"/>
          </w:tcPr>
          <w:p>
            <w:pPr>
              <w:pStyle w:val="TableContents"/>
              <w:bidi w:val="0"/>
              <w:spacing w:before="0" w:after="283"/>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92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Net Income</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0"/>
              <w:jc w:val="right"/>
              <w:rPr>
                <w:rFonts w:ascii="Arial" w:hAnsi="Arial"/>
                <w:b/>
                <w:sz w:val="16"/>
              </w:rPr>
            </w:pPr>
            <w:r>
              <w:rPr>
                <w:rFonts w:ascii="Arial" w:hAnsi="Arial"/>
                <w:b/>
                <w:sz w:val="16"/>
              </w:rPr>
              <w:t>(in millions)</w:t>
            </w:r>
          </w:p>
          <w:p>
            <w:pPr>
              <w:pStyle w:val="TableContents"/>
              <w:bidi w:val="0"/>
              <w:spacing w:before="0" w:after="20"/>
              <w:jc w:val="right"/>
              <w:rPr>
                <w:rFonts w:ascii="Arial" w:hAnsi="Arial"/>
                <w:b/>
                <w:sz w:val="16"/>
              </w:rPr>
            </w:pPr>
            <w:r>
              <w:rPr>
                <w:rFonts w:ascii="Arial" w:hAnsi="Arial"/>
                <w:b/>
                <w:sz w:val="16"/>
              </w:rPr>
              <w:t>(h)</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Microsoft</w:t>
            </w:r>
          </w:p>
          <w:p>
            <w:pPr>
              <w:pStyle w:val="TableContents"/>
              <w:bidi w:val="0"/>
              <w:spacing w:before="0" w:after="0"/>
              <w:jc w:val="right"/>
              <w:rPr>
                <w:rFonts w:ascii="Arial" w:hAnsi="Arial"/>
                <w:b/>
                <w:sz w:val="16"/>
              </w:rPr>
            </w:pPr>
            <w:r>
              <w:rPr>
                <w:rFonts w:ascii="Arial" w:hAnsi="Arial"/>
                <w:b/>
                <w:sz w:val="16"/>
              </w:rPr>
              <w:t>Incentive</w:t>
            </w:r>
          </w:p>
          <w:p>
            <w:pPr>
              <w:pStyle w:val="TableContents"/>
              <w:bidi w:val="0"/>
              <w:spacing w:before="0" w:after="0"/>
              <w:jc w:val="right"/>
              <w:rPr>
                <w:rFonts w:ascii="Arial" w:hAnsi="Arial"/>
                <w:b/>
                <w:sz w:val="16"/>
              </w:rPr>
            </w:pPr>
            <w:r>
              <w:rPr>
                <w:rFonts w:ascii="Arial" w:hAnsi="Arial"/>
                <w:b/>
                <w:sz w:val="16"/>
              </w:rPr>
              <w:t>Plan</w:t>
            </w:r>
          </w:p>
          <w:p>
            <w:pPr>
              <w:pStyle w:val="TableContents"/>
              <w:bidi w:val="0"/>
              <w:spacing w:before="0" w:after="0"/>
              <w:jc w:val="right"/>
              <w:rPr>
                <w:rFonts w:ascii="Arial" w:hAnsi="Arial"/>
                <w:b/>
                <w:sz w:val="16"/>
              </w:rPr>
            </w:pPr>
            <w:r>
              <w:rPr>
                <w:rFonts w:ascii="Arial" w:hAnsi="Arial"/>
                <w:b/>
                <w:sz w:val="16"/>
              </w:rPr>
              <w:t>Revenue</w:t>
            </w:r>
            <w:r>
              <w:rPr>
                <w:rFonts w:ascii="Arial" w:hAnsi="Arial"/>
                <w:b/>
                <w:sz w:val="9"/>
              </w:rPr>
              <w:t>4</w:t>
            </w:r>
          </w:p>
          <w:p>
            <w:pPr>
              <w:pStyle w:val="TableContents"/>
              <w:bidi w:val="0"/>
              <w:spacing w:before="0" w:after="0"/>
              <w:jc w:val="right"/>
              <w:rPr>
                <w:rFonts w:ascii="Arial" w:hAnsi="Arial"/>
                <w:b/>
                <w:sz w:val="16"/>
              </w:rPr>
            </w:pPr>
            <w:r>
              <w:rPr>
                <w:rFonts w:ascii="Arial" w:hAnsi="Arial"/>
                <w:b/>
                <w:sz w:val="16"/>
              </w:rPr>
              <w:t>($)</w:t>
            </w:r>
          </w:p>
          <w:p>
            <w:pPr>
              <w:pStyle w:val="TableContents"/>
              <w:bidi w:val="0"/>
              <w:spacing w:before="0" w:after="0"/>
              <w:jc w:val="right"/>
              <w:rPr>
                <w:rFonts w:ascii="Arial" w:hAnsi="Arial"/>
                <w:b/>
                <w:sz w:val="16"/>
              </w:rPr>
            </w:pPr>
            <w:r>
              <w:rPr>
                <w:rFonts w:ascii="Arial" w:hAnsi="Arial"/>
                <w:b/>
                <w:sz w:val="16"/>
              </w:rPr>
              <w:t>(in billions)</w:t>
            </w:r>
          </w:p>
          <w:p>
            <w:pPr>
              <w:pStyle w:val="TableContents"/>
              <w:bidi w:val="0"/>
              <w:spacing w:before="0" w:after="20"/>
              <w:jc w:val="right"/>
              <w:rPr>
                <w:rFonts w:ascii="Arial" w:hAnsi="Arial"/>
                <w:b/>
                <w:sz w:val="16"/>
              </w:rPr>
            </w:pPr>
            <w:r>
              <w:rPr>
                <w:rFonts w:ascii="Arial" w:hAnsi="Arial"/>
                <w:b/>
                <w:sz w:val="16"/>
              </w:rPr>
              <w:t>(i)</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9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40" w:type="dxa"/>
            </w:tcMar>
            <w:vAlign w:val="center"/>
          </w:tcPr>
          <w:p>
            <w:pPr>
              <w:pStyle w:val="Normal"/>
              <w:bidi w:val="0"/>
              <w:jc w:val="left"/>
              <w:rPr/>
            </w:pPr>
            <w:r>
              <w:rPr/>
            </w:r>
          </w:p>
        </w:tc>
        <w:tc>
          <w:tcPr>
            <w:tcW w:w="128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9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122"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Microsoft</w:t>
            </w:r>
          </w:p>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0"/>
              <w:jc w:val="right"/>
              <w:rPr>
                <w:rFonts w:ascii="Arial" w:hAnsi="Arial"/>
                <w:b/>
                <w:sz w:val="16"/>
              </w:rPr>
            </w:pPr>
            <w:r>
              <w:rPr>
                <w:rFonts w:ascii="Arial" w:hAnsi="Arial"/>
                <w:b/>
                <w:sz w:val="16"/>
              </w:rPr>
              <w:t>Shareholder</w:t>
            </w:r>
          </w:p>
          <w:p>
            <w:pPr>
              <w:pStyle w:val="TableContents"/>
              <w:bidi w:val="0"/>
              <w:spacing w:before="0" w:after="0"/>
              <w:jc w:val="right"/>
              <w:rPr>
                <w:rFonts w:ascii="Arial" w:hAnsi="Arial"/>
                <w:b/>
                <w:sz w:val="16"/>
              </w:rPr>
            </w:pPr>
            <w:r>
              <w:rPr>
                <w:rFonts w:ascii="Arial" w:hAnsi="Arial"/>
                <w:b/>
                <w:sz w:val="16"/>
              </w:rPr>
              <w:t>Return</w:t>
            </w:r>
          </w:p>
          <w:p>
            <w:pPr>
              <w:pStyle w:val="TableContents"/>
              <w:bidi w:val="0"/>
              <w:spacing w:before="0" w:after="20"/>
              <w:jc w:val="right"/>
              <w:rPr>
                <w:rFonts w:ascii="Arial" w:hAnsi="Arial"/>
                <w:b/>
                <w:sz w:val="16"/>
              </w:rPr>
            </w:pPr>
            <w:r>
              <w:rPr>
                <w:rFonts w:ascii="Arial" w:hAnsi="Arial"/>
                <w:b/>
                <w:sz w:val="16"/>
              </w:rPr>
              <w:t>($) (f)</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306" w:type="dxa"/>
            <w:tcBorders>
              <w:bottom w:val="single" w:sz="8" w:space="0" w:color="000000"/>
            </w:tcBorders>
            <w:tcMar>
              <w:bottom w:w="28" w:type="dxa"/>
            </w:tcMar>
            <w:vAlign w:val="center"/>
          </w:tcPr>
          <w:p>
            <w:pPr>
              <w:pStyle w:val="TableContents"/>
              <w:bidi w:val="0"/>
              <w:spacing w:before="0" w:after="283"/>
              <w:jc w:val="left"/>
              <w:rPr/>
            </w:pPr>
            <w:r>
              <w:rPr/>
              <w:t>  </w:t>
            </w:r>
          </w:p>
        </w:tc>
        <w:tc>
          <w:tcPr>
            <w:tcW w:w="1124"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6"/>
              </w:rPr>
            </w:pPr>
            <w:r>
              <w:rPr>
                <w:rFonts w:ascii="Arial" w:hAnsi="Arial"/>
                <w:b/>
                <w:sz w:val="16"/>
              </w:rPr>
              <w:t>Peer Group</w:t>
            </w:r>
          </w:p>
          <w:p>
            <w:pPr>
              <w:pStyle w:val="TableContents"/>
              <w:bidi w:val="0"/>
              <w:spacing w:before="0" w:after="0"/>
              <w:jc w:val="right"/>
              <w:rPr>
                <w:rFonts w:ascii="Arial" w:hAnsi="Arial"/>
                <w:b/>
                <w:sz w:val="16"/>
              </w:rPr>
            </w:pPr>
            <w:r>
              <w:rPr>
                <w:rFonts w:ascii="Arial" w:hAnsi="Arial"/>
                <w:b/>
                <w:sz w:val="16"/>
              </w:rPr>
              <w:t>Total</w:t>
            </w:r>
          </w:p>
          <w:p>
            <w:pPr>
              <w:pStyle w:val="TableContents"/>
              <w:bidi w:val="0"/>
              <w:spacing w:before="0" w:after="0"/>
              <w:jc w:val="right"/>
              <w:rPr>
                <w:rFonts w:ascii="Arial" w:hAnsi="Arial"/>
                <w:b/>
                <w:sz w:val="16"/>
              </w:rPr>
            </w:pPr>
            <w:r>
              <w:rPr>
                <w:rFonts w:ascii="Arial" w:hAnsi="Arial"/>
                <w:b/>
                <w:sz w:val="16"/>
              </w:rPr>
              <w:t>Shareholder</w:t>
            </w:r>
          </w:p>
          <w:p>
            <w:pPr>
              <w:pStyle w:val="TableContents"/>
              <w:bidi w:val="0"/>
              <w:spacing w:before="0" w:after="0"/>
              <w:jc w:val="right"/>
              <w:rPr>
                <w:rFonts w:ascii="Arial" w:hAnsi="Arial"/>
                <w:b/>
                <w:sz w:val="16"/>
              </w:rPr>
            </w:pPr>
            <w:r>
              <w:rPr>
                <w:rFonts w:ascii="Arial" w:hAnsi="Arial"/>
                <w:b/>
                <w:sz w:val="16"/>
              </w:rPr>
              <w:t>Return</w:t>
            </w:r>
          </w:p>
          <w:p>
            <w:pPr>
              <w:pStyle w:val="TableContents"/>
              <w:bidi w:val="0"/>
              <w:spacing w:before="0" w:after="20"/>
              <w:jc w:val="right"/>
              <w:rPr>
                <w:rFonts w:ascii="Arial" w:hAnsi="Arial"/>
                <w:b/>
                <w:sz w:val="16"/>
              </w:rPr>
            </w:pPr>
            <w:r>
              <w:rPr>
                <w:rFonts w:ascii="Arial" w:hAnsi="Arial"/>
                <w:b/>
                <w:sz w:val="16"/>
              </w:rPr>
              <w:t>($) (g)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92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40" w:type="dxa"/>
            </w:tcMar>
            <w:vAlign w:val="center"/>
          </w:tcPr>
          <w:p>
            <w:pPr>
              <w:pStyle w:val="Normal"/>
              <w:bidi w:val="0"/>
              <w:jc w:val="left"/>
              <w:rPr/>
            </w:pPr>
            <w:r>
              <w:rPr/>
            </w:r>
          </w:p>
        </w:tc>
        <w:tc>
          <w:tcPr>
            <w:tcW w:w="86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63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5C9"/>
            </w:tcBorders>
            <w:tcMar>
              <w:bottom w:w="40" w:type="dxa"/>
            </w:tcMar>
            <w:vAlign w:val="center"/>
          </w:tcPr>
          <w:p>
            <w:pPr>
              <w:pStyle w:val="TableContents"/>
              <w:bidi w:val="0"/>
              <w:spacing w:before="0" w:after="283"/>
              <w:jc w:val="left"/>
              <w:rPr/>
            </w:pPr>
            <w:r>
              <w:rPr/>
              <w:t> </w:t>
            </w:r>
            <w:r>
              <w:rPr/>
              <w:t>2026</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90,628,977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30,083,543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28,986,966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12,793,419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69" w:type="dxa"/>
            <w:tcBorders>
              <w:bottom w:val="single" w:sz="6" w:space="0" w:color="0075C9"/>
            </w:tcBorders>
            <w:tcMar>
              <w:bottom w:w="40" w:type="dxa"/>
            </w:tcMar>
            <w:vAlign w:val="center"/>
          </w:tcPr>
          <w:p>
            <w:pPr>
              <w:pStyle w:val="TableContents"/>
              <w:bidi w:val="0"/>
              <w:spacing w:before="0" w:after="283"/>
              <w:jc w:val="right"/>
              <w:rPr/>
            </w:pPr>
            <w:r>
              <w:rPr/>
              <w:t>143</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306"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71" w:type="dxa"/>
            <w:tcBorders>
              <w:bottom w:val="single" w:sz="6" w:space="0" w:color="0075C9"/>
            </w:tcBorders>
            <w:tcMar>
              <w:bottom w:w="40" w:type="dxa"/>
            </w:tcMar>
            <w:vAlign w:val="center"/>
          </w:tcPr>
          <w:p>
            <w:pPr>
              <w:pStyle w:val="TableContents"/>
              <w:bidi w:val="0"/>
              <w:spacing w:before="0" w:after="283"/>
              <w:jc w:val="right"/>
              <w:rPr/>
            </w:pPr>
            <w:r>
              <w:rPr/>
              <w:t>260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856" w:type="dxa"/>
            <w:tcBorders>
              <w:bottom w:val="single" w:sz="6" w:space="0" w:color="0075C9"/>
            </w:tcBorders>
            <w:tcMar>
              <w:bottom w:w="40" w:type="dxa"/>
            </w:tcMar>
            <w:vAlign w:val="center"/>
          </w:tcPr>
          <w:p>
            <w:pPr>
              <w:pStyle w:val="TableContents"/>
              <w:bidi w:val="0"/>
              <w:spacing w:before="0" w:after="283"/>
              <w:jc w:val="right"/>
              <w:rPr/>
            </w:pPr>
            <w:r>
              <w:rPr/>
              <w:t>133,749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9" w:type="dxa"/>
            <w:tcBorders>
              <w:bottom w:val="single" w:sz="6" w:space="0" w:color="0075C9"/>
            </w:tcBorders>
            <w:tcMar>
              <w:bottom w:w="40" w:type="dxa"/>
            </w:tcMar>
            <w:vAlign w:val="center"/>
          </w:tcPr>
          <w:p>
            <w:pPr>
              <w:pStyle w:val="TableContents"/>
              <w:bidi w:val="0"/>
              <w:spacing w:before="0" w:after="283"/>
              <w:jc w:val="left"/>
              <w:rPr/>
            </w:pPr>
            <w:r>
              <w:rPr/>
              <w:t> </w:t>
            </w:r>
          </w:p>
        </w:tc>
        <w:tc>
          <w:tcPr>
            <w:tcW w:w="791" w:type="dxa"/>
            <w:tcBorders>
              <w:bottom w:val="single" w:sz="6" w:space="0" w:color="0075C9"/>
            </w:tcBorders>
            <w:tcMar>
              <w:bottom w:w="40" w:type="dxa"/>
            </w:tcMar>
            <w:vAlign w:val="center"/>
          </w:tcPr>
          <w:p>
            <w:pPr>
              <w:pStyle w:val="TableContents"/>
              <w:bidi w:val="0"/>
              <w:spacing w:before="0" w:after="283"/>
              <w:jc w:val="right"/>
              <w:rPr/>
            </w:pPr>
            <w:r>
              <w:rPr/>
              <w:t>330.56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5C9"/>
            </w:tcBorders>
            <w:tcMar>
              <w:bottom w:w="40" w:type="dxa"/>
            </w:tcMar>
            <w:vAlign w:val="center"/>
          </w:tcPr>
          <w:p>
            <w:pPr>
              <w:pStyle w:val="TableContents"/>
              <w:bidi w:val="0"/>
              <w:spacing w:before="0" w:after="283"/>
              <w:jc w:val="left"/>
              <w:rPr/>
            </w:pPr>
            <w:r>
              <w:rPr/>
              <w:t> </w:t>
            </w:r>
            <w:r>
              <w:rPr/>
              <w:t>2025</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96,496,790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131,138,799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24,456,053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31,268,315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69" w:type="dxa"/>
            <w:tcBorders>
              <w:bottom w:val="single" w:sz="6" w:space="0" w:color="0075C9"/>
            </w:tcBorders>
            <w:tcMar>
              <w:bottom w:w="40" w:type="dxa"/>
            </w:tcMar>
            <w:vAlign w:val="center"/>
          </w:tcPr>
          <w:p>
            <w:pPr>
              <w:pStyle w:val="TableContents"/>
              <w:bidi w:val="0"/>
              <w:spacing w:before="0" w:after="283"/>
              <w:jc w:val="right"/>
              <w:rPr/>
            </w:pPr>
            <w:r>
              <w:rPr/>
              <w:t>190</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306"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71" w:type="dxa"/>
            <w:tcBorders>
              <w:bottom w:val="single" w:sz="6" w:space="0" w:color="0075C9"/>
            </w:tcBorders>
            <w:tcMar>
              <w:bottom w:w="40" w:type="dxa"/>
            </w:tcMar>
            <w:vAlign w:val="center"/>
          </w:tcPr>
          <w:p>
            <w:pPr>
              <w:pStyle w:val="TableContents"/>
              <w:bidi w:val="0"/>
              <w:spacing w:before="0" w:after="283"/>
              <w:jc w:val="right"/>
              <w:rPr/>
            </w:pPr>
            <w:r>
              <w:rPr/>
              <w:t>184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856" w:type="dxa"/>
            <w:tcBorders>
              <w:bottom w:val="single" w:sz="6" w:space="0" w:color="0075C9"/>
            </w:tcBorders>
            <w:tcMar>
              <w:bottom w:w="40" w:type="dxa"/>
            </w:tcMar>
            <w:vAlign w:val="center"/>
          </w:tcPr>
          <w:p>
            <w:pPr>
              <w:pStyle w:val="TableContents"/>
              <w:bidi w:val="0"/>
              <w:spacing w:before="0" w:after="283"/>
              <w:jc w:val="right"/>
              <w:rPr/>
            </w:pPr>
            <w:r>
              <w:rPr/>
              <w:t>101,832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9" w:type="dxa"/>
            <w:tcBorders>
              <w:bottom w:val="single" w:sz="6" w:space="0" w:color="0075C9"/>
            </w:tcBorders>
            <w:tcMar>
              <w:bottom w:w="40" w:type="dxa"/>
            </w:tcMar>
            <w:vAlign w:val="center"/>
          </w:tcPr>
          <w:p>
            <w:pPr>
              <w:pStyle w:val="TableContents"/>
              <w:bidi w:val="0"/>
              <w:spacing w:before="0" w:after="283"/>
              <w:jc w:val="left"/>
              <w:rPr/>
            </w:pPr>
            <w:r>
              <w:rPr/>
              <w:t> </w:t>
            </w:r>
          </w:p>
        </w:tc>
        <w:tc>
          <w:tcPr>
            <w:tcW w:w="791" w:type="dxa"/>
            <w:tcBorders>
              <w:bottom w:val="single" w:sz="6" w:space="0" w:color="0075C9"/>
            </w:tcBorders>
            <w:tcMar>
              <w:bottom w:w="40" w:type="dxa"/>
            </w:tcMar>
            <w:vAlign w:val="center"/>
          </w:tcPr>
          <w:p>
            <w:pPr>
              <w:pStyle w:val="TableContents"/>
              <w:bidi w:val="0"/>
              <w:spacing w:before="0" w:after="283"/>
              <w:jc w:val="right"/>
              <w:rPr/>
            </w:pPr>
            <w:r>
              <w:rPr/>
              <w:t>289.18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5C9"/>
            </w:tcBorders>
            <w:tcMar>
              <w:bottom w:w="40" w:type="dxa"/>
            </w:tcMar>
            <w:vAlign w:val="center"/>
          </w:tcPr>
          <w:p>
            <w:pPr>
              <w:pStyle w:val="TableContents"/>
              <w:bidi w:val="0"/>
              <w:spacing w:before="0" w:after="283"/>
              <w:jc w:val="left"/>
              <w:rPr/>
            </w:pPr>
            <w:r>
              <w:rPr/>
              <w:t> </w:t>
            </w:r>
            <w:r>
              <w:rPr/>
              <w:t>2024</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79,106,183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171,304,590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21,081,007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40,171,628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69" w:type="dxa"/>
            <w:tcBorders>
              <w:bottom w:val="single" w:sz="6" w:space="0" w:color="0075C9"/>
            </w:tcBorders>
            <w:tcMar>
              <w:bottom w:w="40" w:type="dxa"/>
            </w:tcMar>
            <w:vAlign w:val="center"/>
          </w:tcPr>
          <w:p>
            <w:pPr>
              <w:pStyle w:val="TableContents"/>
              <w:bidi w:val="0"/>
              <w:spacing w:before="0" w:after="283"/>
              <w:jc w:val="right"/>
              <w:rPr/>
            </w:pPr>
            <w:r>
              <w:rPr/>
              <w:t>169</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306"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71" w:type="dxa"/>
            <w:tcBorders>
              <w:bottom w:val="single" w:sz="6" w:space="0" w:color="0075C9"/>
            </w:tcBorders>
            <w:tcMar>
              <w:bottom w:w="40" w:type="dxa"/>
            </w:tcMar>
            <w:vAlign w:val="center"/>
          </w:tcPr>
          <w:p>
            <w:pPr>
              <w:pStyle w:val="TableContents"/>
              <w:bidi w:val="0"/>
              <w:spacing w:before="0" w:after="283"/>
              <w:jc w:val="right"/>
              <w:rPr/>
            </w:pPr>
            <w:r>
              <w:rPr/>
              <w:t>162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856" w:type="dxa"/>
            <w:tcBorders>
              <w:bottom w:val="single" w:sz="6" w:space="0" w:color="0075C9"/>
            </w:tcBorders>
            <w:tcMar>
              <w:bottom w:w="40" w:type="dxa"/>
            </w:tcMar>
            <w:vAlign w:val="center"/>
          </w:tcPr>
          <w:p>
            <w:pPr>
              <w:pStyle w:val="TableContents"/>
              <w:bidi w:val="0"/>
              <w:spacing w:before="0" w:after="283"/>
              <w:jc w:val="right"/>
              <w:rPr/>
            </w:pPr>
            <w:r>
              <w:rPr/>
              <w:t>88,136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9" w:type="dxa"/>
            <w:tcBorders>
              <w:bottom w:val="single" w:sz="6" w:space="0" w:color="0075C9"/>
            </w:tcBorders>
            <w:tcMar>
              <w:bottom w:w="40" w:type="dxa"/>
            </w:tcMar>
            <w:vAlign w:val="center"/>
          </w:tcPr>
          <w:p>
            <w:pPr>
              <w:pStyle w:val="TableContents"/>
              <w:bidi w:val="0"/>
              <w:spacing w:before="0" w:after="283"/>
              <w:jc w:val="left"/>
              <w:rPr/>
            </w:pPr>
            <w:r>
              <w:rPr/>
              <w:t> </w:t>
            </w:r>
          </w:p>
        </w:tc>
        <w:tc>
          <w:tcPr>
            <w:tcW w:w="791" w:type="dxa"/>
            <w:tcBorders>
              <w:bottom w:val="single" w:sz="6" w:space="0" w:color="0075C9"/>
            </w:tcBorders>
            <w:tcMar>
              <w:bottom w:w="40" w:type="dxa"/>
            </w:tcMar>
            <w:vAlign w:val="center"/>
          </w:tcPr>
          <w:p>
            <w:pPr>
              <w:pStyle w:val="TableContents"/>
              <w:bidi w:val="0"/>
              <w:spacing w:before="0" w:after="283"/>
              <w:jc w:val="right"/>
              <w:rPr/>
            </w:pPr>
            <w:r>
              <w:rPr/>
              <w:t>246.12</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5C9"/>
            </w:tcBorders>
            <w:tcMar>
              <w:bottom w:w="40" w:type="dxa"/>
            </w:tcMar>
            <w:vAlign w:val="center"/>
          </w:tcPr>
          <w:p>
            <w:pPr>
              <w:pStyle w:val="TableContents"/>
              <w:bidi w:val="0"/>
              <w:spacing w:before="0" w:after="283"/>
              <w:jc w:val="left"/>
              <w:rPr/>
            </w:pPr>
            <w:r>
              <w:rPr/>
              <w:t> </w:t>
            </w:r>
            <w:r>
              <w:rPr/>
              <w:t>2023</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48,512,537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93,155,708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16,009,805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29,971,655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69" w:type="dxa"/>
            <w:tcBorders>
              <w:bottom w:val="single" w:sz="6" w:space="0" w:color="0075C9"/>
            </w:tcBorders>
            <w:tcMar>
              <w:bottom w:w="40" w:type="dxa"/>
            </w:tcMar>
            <w:vAlign w:val="center"/>
          </w:tcPr>
          <w:p>
            <w:pPr>
              <w:pStyle w:val="TableContents"/>
              <w:bidi w:val="0"/>
              <w:spacing w:before="0" w:after="283"/>
              <w:jc w:val="right"/>
              <w:rPr/>
            </w:pPr>
            <w:r>
              <w:rPr/>
              <w:t>128</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306"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71" w:type="dxa"/>
            <w:tcBorders>
              <w:bottom w:val="single" w:sz="6" w:space="0" w:color="0075C9"/>
            </w:tcBorders>
            <w:tcMar>
              <w:bottom w:w="40" w:type="dxa"/>
            </w:tcMar>
            <w:vAlign w:val="center"/>
          </w:tcPr>
          <w:p>
            <w:pPr>
              <w:pStyle w:val="TableContents"/>
              <w:bidi w:val="0"/>
              <w:spacing w:before="0" w:after="283"/>
              <w:jc w:val="right"/>
              <w:rPr/>
            </w:pPr>
            <w:r>
              <w:rPr/>
              <w:t>112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856" w:type="dxa"/>
            <w:tcBorders>
              <w:bottom w:val="single" w:sz="6" w:space="0" w:color="0075C9"/>
            </w:tcBorders>
            <w:tcMar>
              <w:bottom w:w="40" w:type="dxa"/>
            </w:tcMar>
            <w:vAlign w:val="center"/>
          </w:tcPr>
          <w:p>
            <w:pPr>
              <w:pStyle w:val="TableContents"/>
              <w:bidi w:val="0"/>
              <w:spacing w:before="0" w:after="283"/>
              <w:jc w:val="right"/>
              <w:rPr/>
            </w:pPr>
            <w:r>
              <w:rPr/>
              <w:t>72,361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9" w:type="dxa"/>
            <w:tcBorders>
              <w:bottom w:val="single" w:sz="6" w:space="0" w:color="0075C9"/>
            </w:tcBorders>
            <w:tcMar>
              <w:bottom w:w="40" w:type="dxa"/>
            </w:tcMar>
            <w:vAlign w:val="center"/>
          </w:tcPr>
          <w:p>
            <w:pPr>
              <w:pStyle w:val="TableContents"/>
              <w:bidi w:val="0"/>
              <w:spacing w:before="0" w:after="283"/>
              <w:jc w:val="left"/>
              <w:rPr/>
            </w:pPr>
            <w:r>
              <w:rPr/>
              <w:t> </w:t>
            </w:r>
          </w:p>
        </w:tc>
        <w:tc>
          <w:tcPr>
            <w:tcW w:w="791" w:type="dxa"/>
            <w:tcBorders>
              <w:bottom w:val="single" w:sz="6" w:space="0" w:color="0075C9"/>
            </w:tcBorders>
            <w:tcMar>
              <w:bottom w:w="40" w:type="dxa"/>
            </w:tcMar>
            <w:vAlign w:val="center"/>
          </w:tcPr>
          <w:p>
            <w:pPr>
              <w:pStyle w:val="TableContents"/>
              <w:bidi w:val="0"/>
              <w:spacing w:before="0" w:after="283"/>
              <w:jc w:val="right"/>
              <w:rPr/>
            </w:pPr>
            <w:r>
              <w:rPr/>
              <w:t>220.08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9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75C9"/>
            </w:tcBorders>
            <w:tcMar>
              <w:bottom w:w="40" w:type="dxa"/>
            </w:tcMar>
            <w:vAlign w:val="center"/>
          </w:tcPr>
          <w:p>
            <w:pPr>
              <w:pStyle w:val="TableContents"/>
              <w:bidi w:val="0"/>
              <w:spacing w:before="0" w:after="283"/>
              <w:jc w:val="left"/>
              <w:rPr/>
            </w:pPr>
            <w:r>
              <w:rPr/>
              <w:t> </w:t>
            </w:r>
            <w:r>
              <w:rPr/>
              <w:t>2022</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54,946,310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56,936,384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20,074,444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60" w:type="dxa"/>
            <w:tcBorders>
              <w:bottom w:val="single" w:sz="6" w:space="0" w:color="0075C9"/>
            </w:tcBorders>
            <w:tcMar>
              <w:bottom w:w="28" w:type="dxa"/>
            </w:tcMar>
            <w:vAlign w:val="center"/>
          </w:tcPr>
          <w:p>
            <w:pPr>
              <w:pStyle w:val="TableContents"/>
              <w:bidi w:val="0"/>
              <w:spacing w:before="0" w:after="283"/>
              <w:jc w:val="left"/>
              <w:rPr/>
            </w:pPr>
            <w:r>
              <w:rPr/>
              <w:t> </w:t>
            </w:r>
          </w:p>
        </w:tc>
        <w:tc>
          <w:tcPr>
            <w:tcW w:w="61" w:type="dxa"/>
            <w:tcBorders>
              <w:bottom w:val="single" w:sz="6" w:space="0" w:color="0075C9"/>
            </w:tcBorders>
            <w:tcMar>
              <w:bottom w:w="40" w:type="dxa"/>
            </w:tcMar>
            <w:vAlign w:val="center"/>
          </w:tcPr>
          <w:p>
            <w:pPr>
              <w:pStyle w:val="TableContents"/>
              <w:bidi w:val="0"/>
              <w:spacing w:before="0" w:after="283"/>
              <w:jc w:val="left"/>
              <w:rPr/>
            </w:pPr>
            <w:r>
              <w:rPr/>
              <w:t> </w:t>
            </w:r>
          </w:p>
        </w:tc>
        <w:tc>
          <w:tcPr>
            <w:tcW w:w="1129" w:type="dxa"/>
            <w:tcBorders>
              <w:bottom w:val="single" w:sz="6" w:space="0" w:color="0075C9"/>
            </w:tcBorders>
            <w:tcMar>
              <w:bottom w:w="40" w:type="dxa"/>
            </w:tcMar>
            <w:vAlign w:val="center"/>
          </w:tcPr>
          <w:p>
            <w:pPr>
              <w:pStyle w:val="TableContents"/>
              <w:bidi w:val="0"/>
              <w:spacing w:before="0" w:after="283"/>
              <w:jc w:val="right"/>
              <w:rPr/>
            </w:pPr>
            <w:r>
              <w:rPr/>
              <w:t>20,494,054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69" w:type="dxa"/>
            <w:tcBorders>
              <w:bottom w:val="single" w:sz="6" w:space="0" w:color="0075C9"/>
            </w:tcBorders>
            <w:tcMar>
              <w:bottom w:w="40" w:type="dxa"/>
            </w:tcMar>
            <w:vAlign w:val="center"/>
          </w:tcPr>
          <w:p>
            <w:pPr>
              <w:pStyle w:val="TableContents"/>
              <w:bidi w:val="0"/>
              <w:spacing w:before="0" w:after="283"/>
              <w:jc w:val="right"/>
              <w:rPr/>
            </w:pPr>
            <w:r>
              <w:rPr/>
              <w:t>96</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306" w:type="dxa"/>
            <w:tcBorders>
              <w:bottom w:val="single" w:sz="6" w:space="0" w:color="0075C9"/>
            </w:tcBorders>
            <w:tcMar>
              <w:bottom w:w="28" w:type="dxa"/>
            </w:tcMar>
            <w:vAlign w:val="center"/>
          </w:tcPr>
          <w:p>
            <w:pPr>
              <w:pStyle w:val="TableContents"/>
              <w:bidi w:val="0"/>
              <w:spacing w:before="0" w:after="283"/>
              <w:jc w:val="left"/>
              <w:rPr/>
            </w:pPr>
            <w:r>
              <w:rPr/>
              <w:t>  </w:t>
            </w:r>
          </w:p>
        </w:tc>
        <w:tc>
          <w:tcPr>
            <w:tcW w:w="153" w:type="dxa"/>
            <w:tcBorders>
              <w:bottom w:val="single" w:sz="6" w:space="0" w:color="0075C9"/>
            </w:tcBorders>
            <w:tcMar>
              <w:bottom w:w="40" w:type="dxa"/>
            </w:tcMar>
            <w:vAlign w:val="center"/>
          </w:tcPr>
          <w:p>
            <w:pPr>
              <w:pStyle w:val="TableContents"/>
              <w:bidi w:val="0"/>
              <w:spacing w:before="0" w:after="283"/>
              <w:jc w:val="left"/>
              <w:rPr/>
            </w:pPr>
            <w:r>
              <w:rPr/>
              <w:t> </w:t>
            </w:r>
          </w:p>
        </w:tc>
        <w:tc>
          <w:tcPr>
            <w:tcW w:w="971" w:type="dxa"/>
            <w:tcBorders>
              <w:bottom w:val="single" w:sz="6" w:space="0" w:color="0075C9"/>
            </w:tcBorders>
            <w:tcMar>
              <w:bottom w:w="40" w:type="dxa"/>
            </w:tcMar>
            <w:vAlign w:val="center"/>
          </w:tcPr>
          <w:p>
            <w:pPr>
              <w:pStyle w:val="TableContents"/>
              <w:bidi w:val="0"/>
              <w:spacing w:before="0" w:after="283"/>
              <w:jc w:val="right"/>
              <w:rPr/>
            </w:pPr>
            <w:r>
              <w:rPr/>
              <w:t>82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4" w:type="dxa"/>
            <w:tcBorders>
              <w:bottom w:val="single" w:sz="6" w:space="0" w:color="0075C9"/>
            </w:tcBorders>
            <w:tcMar>
              <w:bottom w:w="40" w:type="dxa"/>
            </w:tcMar>
            <w:vAlign w:val="center"/>
          </w:tcPr>
          <w:p>
            <w:pPr>
              <w:pStyle w:val="TableContents"/>
              <w:bidi w:val="0"/>
              <w:spacing w:before="0" w:after="283"/>
              <w:jc w:val="left"/>
              <w:rPr/>
            </w:pPr>
            <w:r>
              <w:rPr/>
              <w:t> </w:t>
            </w:r>
          </w:p>
        </w:tc>
        <w:tc>
          <w:tcPr>
            <w:tcW w:w="856" w:type="dxa"/>
            <w:tcBorders>
              <w:bottom w:val="single" w:sz="6" w:space="0" w:color="0075C9"/>
            </w:tcBorders>
            <w:tcMar>
              <w:bottom w:w="40" w:type="dxa"/>
            </w:tcMar>
            <w:vAlign w:val="center"/>
          </w:tcPr>
          <w:p>
            <w:pPr>
              <w:pStyle w:val="TableContents"/>
              <w:bidi w:val="0"/>
              <w:spacing w:before="0" w:after="283"/>
              <w:jc w:val="right"/>
              <w:rPr/>
            </w:pPr>
            <w:r>
              <w:rPr/>
              <w:t>72,738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9" w:type="dxa"/>
            <w:tcBorders>
              <w:bottom w:val="single" w:sz="6" w:space="0" w:color="0075C9"/>
            </w:tcBorders>
            <w:tcMar>
              <w:bottom w:w="40" w:type="dxa"/>
            </w:tcMar>
            <w:vAlign w:val="center"/>
          </w:tcPr>
          <w:p>
            <w:pPr>
              <w:pStyle w:val="TableContents"/>
              <w:bidi w:val="0"/>
              <w:spacing w:before="0" w:after="283"/>
              <w:jc w:val="left"/>
              <w:rPr/>
            </w:pPr>
            <w:r>
              <w:rPr/>
              <w:t> </w:t>
            </w:r>
          </w:p>
        </w:tc>
        <w:tc>
          <w:tcPr>
            <w:tcW w:w="791" w:type="dxa"/>
            <w:tcBorders>
              <w:bottom w:val="single" w:sz="6" w:space="0" w:color="0075C9"/>
            </w:tcBorders>
            <w:tcMar>
              <w:bottom w:w="40" w:type="dxa"/>
            </w:tcMar>
            <w:vAlign w:val="center"/>
          </w:tcPr>
          <w:p>
            <w:pPr>
              <w:pStyle w:val="TableContents"/>
              <w:bidi w:val="0"/>
              <w:spacing w:before="0" w:after="283"/>
              <w:jc w:val="right"/>
              <w:rPr/>
            </w:pPr>
            <w:r>
              <w:rPr/>
              <w:t>206.67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Arial" w:hAnsi="Arial"/>
                <w:sz w:val="14"/>
              </w:rPr>
            </w:pPr>
            <w:r>
              <w:rPr>
                <w:rFonts w:ascii="Arial" w:hAnsi="Arial"/>
                <w:sz w:val="14"/>
              </w:rPr>
              <w:t xml:space="preserve">The </w:t>
            </w:r>
            <w:r>
              <w:rPr>
                <w:rFonts w:ascii="Arial" w:hAnsi="Arial"/>
                <w:spacing w:val="0"/>
                <w:sz w:val="14"/>
              </w:rPr>
              <w:t>Non-PEO</w:t>
            </w:r>
            <w:r>
              <w:rPr>
                <w:rFonts w:ascii="Arial" w:hAnsi="Arial"/>
                <w:sz w:val="14"/>
              </w:rPr>
              <w:t xml:space="preserve"> Named Executives for fiscal year 2026 and 2025 were: Amy E. Hood, Judson B. Althoff, Takeshi Numoto, and Bradford L. Smith. The </w:t>
            </w:r>
            <w:r>
              <w:rPr>
                <w:rFonts w:ascii="Arial" w:hAnsi="Arial"/>
                <w:spacing w:val="0"/>
                <w:sz w:val="14"/>
              </w:rPr>
              <w:t>Non-PEO</w:t>
            </w:r>
            <w:r>
              <w:rPr>
                <w:rFonts w:ascii="Arial" w:hAnsi="Arial"/>
                <w:sz w:val="14"/>
              </w:rPr>
              <w:t xml:space="preserve"> Named Executives for each of fiscal years 2024, 2023, and 2022 were: Amy E. Hood, Judson B. Althoff, Bradford L. Smith, and Christopher D. Young.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4"/>
              </w:rPr>
            </w:pPr>
            <w:r>
              <w:rPr>
                <w:rFonts w:ascii="Arial" w:hAnsi="Arial"/>
                <w:sz w:val="14"/>
              </w:rPr>
              <w:t>The dollar amounts reported represent the amount of “compensation actually paid,” as calculated in accordance with the Pay Versus Performance Rules. These dollar amounts do not reflect the actual amounts of compensation earned by or paid to our Named Executives during the applicable year. For purposes of calculating “compensation actually paid,” the fair value of equity awards is calculated in accordance with FASB ASC Topic 718 using the same assumption methodologies used to calculate the grant date fair value of awards for purposes of the Summary Compensation Table (refer to “Named Executive Officer Compensation – Fiscal Year 2026 Compensation Tables – Summary Compensation Table” for additional information).</w:t>
            </w:r>
            <w:r>
              <w:rPr>
                <w:rFonts w:ascii="Arial" w:hAnsi="Arial"/>
                <w:caps w:val="false"/>
                <w:smallCaps w:val="false"/>
                <w:spacing w:val="0"/>
                <w:sz w:val="14"/>
              </w:rPr>
              <w:t xml:space="preserve"> </w:t>
            </w:r>
            <w:r>
              <w:rPr>
                <w:rFonts w:ascii="Arial" w:hAnsi="Arial"/>
                <w:sz w:val="14"/>
              </w:rPr>
              <w:t xml:space="preserve">The “compensation actually paid” for fiscal years 2023 and 2022 has been updated from the amounts in Microsoft’s 2023 Proxy Statement to reflect the application of recent SEC guidance relating to retirement vesting treatment, which was issued following the filing of the 2023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Arial" w:hAnsi="Arial"/>
                <w:sz w:val="14"/>
              </w:rPr>
            </w:pPr>
            <w:r>
              <w:rPr>
                <w:rFonts w:ascii="Arial" w:hAnsi="Arial"/>
                <w:sz w:val="14"/>
              </w:rPr>
              <w:t xml:space="preserve">In accordance with the Pay Versus Performance Rules, Microsoft and Peer Group total shareholder return (“TSR”) is determined based on the value of an initial fixed investment on June 30, 2021 through the end of the listed fiscal year. The Peer Group TSR set forth in this table was determined using the Nasdaq Computer Index, which we also use in preparing the stock performance graph required by Item 201(e) of Regulation </w:t>
            </w:r>
            <w:r>
              <w:rPr>
                <w:rFonts w:ascii="Arial" w:hAnsi="Arial"/>
                <w:spacing w:val="0"/>
                <w:sz w:val="14"/>
              </w:rPr>
              <w:t>S-K</w:t>
            </w:r>
            <w:r>
              <w:rPr>
                <w:rFonts w:ascii="Arial" w:hAnsi="Arial"/>
                <w:sz w:val="14"/>
              </w:rPr>
              <w:t xml:space="preserve"> for our Annual Report for the fiscal year ended June 30,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Arial" w:hAnsi="Arial"/>
                <w:sz w:val="14"/>
              </w:rPr>
            </w:pPr>
            <w:r>
              <w:rPr>
                <w:rFonts w:ascii="Arial" w:hAnsi="Arial"/>
                <w:sz w:val="14"/>
              </w:rPr>
              <w:t xml:space="preserve">We have determined that Microsoft Incentive Plan Revenue (as defined on page 42) is the financial performance measure that, in the Company’s assessment, represents the most important financial performance measure used to link “compensation actually paid” to our Named Executives, for fiscal year 2026, to company performance (the “Company Selected Measure” as defined in the Pay Versus Performance Rules). </w:t>
            </w:r>
          </w:p>
        </w:tc>
      </w:tr>
    </w:tbl>
    <w:p>
      <w:pPr>
        <w:pStyle w:val="TextBody"/>
        <w:bidi w:val="0"/>
        <w:spacing w:before="240" w:after="0"/>
        <w:jc w:val="left"/>
        <w:rPr>
          <w:rFonts w:ascii="Arial" w:hAnsi="Arial"/>
          <w:sz w:val="18"/>
        </w:rPr>
      </w:pPr>
      <w:r>
        <w:rPr>
          <w:rFonts w:ascii="Arial" w:hAnsi="Arial"/>
          <w:sz w:val="18"/>
        </w:rPr>
        <w:t xml:space="preserve">The following table shows the fiscal 2026 amounts deducted from and added to the Summary Compensation Table total compensation to calculate the “compensation actually paid” to our PEO and </w:t>
      </w:r>
      <w:r>
        <w:rPr>
          <w:rFonts w:ascii="Arial" w:hAnsi="Arial"/>
          <w:spacing w:val="0"/>
          <w:sz w:val="18"/>
        </w:rPr>
        <w:t>Non-PEO</w:t>
      </w:r>
      <w:r>
        <w:rPr>
          <w:rFonts w:ascii="Arial" w:hAnsi="Arial"/>
          <w:sz w:val="18"/>
        </w:rPr>
        <w:t xml:space="preserve"> Named Executives in accordance with the Pay Versus Performance Rules. </w:t>
      </w:r>
    </w:p>
    <w:p>
      <w:pPr>
        <w:pStyle w:val="TextBody"/>
        <w:bidi w:val="0"/>
        <w:spacing w:before="0" w:after="0"/>
        <w:jc w:val="left"/>
        <w:rPr/>
      </w:pPr>
      <w:r>
        <w:rPr/>
        <w:t> </w:t>
      </w:r>
    </w:p>
    <w:tbl>
      <w:tblPr>
        <w:tblW w:w="10020" w:type="dxa"/>
        <w:jc w:val="left"/>
        <w:tblInd w:w="0" w:type="dxa"/>
        <w:tblLayout w:type="fixed"/>
        <w:tblCellMar>
          <w:top w:w="0" w:type="dxa"/>
          <w:left w:w="0" w:type="dxa"/>
          <w:bottom w:w="0" w:type="dxa"/>
          <w:right w:w="0" w:type="dxa"/>
        </w:tblCellMar>
      </w:tblPr>
      <w:tblGrid>
        <w:gridCol w:w="7025"/>
        <w:gridCol w:w="120"/>
        <w:gridCol w:w="60"/>
        <w:gridCol w:w="1250"/>
        <w:gridCol w:w="60"/>
        <w:gridCol w:w="120"/>
        <w:gridCol w:w="60"/>
        <w:gridCol w:w="1250"/>
        <w:gridCol w:w="75"/>
      </w:tblGrid>
      <w:tr>
        <w:trPr/>
        <w:tc>
          <w:tcPr>
            <w:tcW w:w="7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8" w:space="0" w:color="000000"/>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PEO</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Average for</w:t>
            </w:r>
          </w:p>
          <w:p>
            <w:pPr>
              <w:pStyle w:val="TableContents"/>
              <w:bidi w:val="0"/>
              <w:spacing w:before="0" w:after="0"/>
              <w:jc w:val="right"/>
              <w:rPr>
                <w:rFonts w:ascii="Arial" w:hAnsi="Arial"/>
                <w:b/>
                <w:spacing w:val="0"/>
                <w:sz w:val="18"/>
              </w:rPr>
            </w:pPr>
            <w:r>
              <w:rPr>
                <w:rFonts w:ascii="Arial" w:hAnsi="Arial"/>
                <w:b/>
                <w:spacing w:val="0"/>
                <w:sz w:val="18"/>
              </w:rPr>
              <w:t>Non-PEO</w:t>
            </w:r>
          </w:p>
          <w:p>
            <w:pPr>
              <w:pStyle w:val="TableContents"/>
              <w:bidi w:val="0"/>
              <w:spacing w:before="0" w:after="0"/>
              <w:jc w:val="right"/>
              <w:rPr>
                <w:rFonts w:ascii="Arial" w:hAnsi="Arial"/>
                <w:b/>
                <w:sz w:val="18"/>
              </w:rPr>
            </w:pPr>
            <w:r>
              <w:rPr>
                <w:rFonts w:ascii="Arial" w:hAnsi="Arial"/>
                <w:b/>
                <w:sz w:val="18"/>
              </w:rPr>
              <w:t>NEO</w:t>
            </w:r>
          </w:p>
          <w:p>
            <w:pPr>
              <w:pStyle w:val="TableContents"/>
              <w:bidi w:val="0"/>
              <w:spacing w:before="0" w:after="20"/>
              <w:jc w:val="right"/>
              <w:rPr>
                <w:rFonts w:ascii="Arial" w:hAnsi="Arial"/>
                <w:b/>
                <w:sz w:val="18"/>
              </w:rPr>
            </w:pPr>
            <w:r>
              <w:rPr>
                <w:rFonts w:ascii="Arial" w:hAnsi="Arial"/>
                <w:b/>
                <w:sz w:val="18"/>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sz w:val="16"/>
              </w:rPr>
            </w:pPr>
            <w:r>
              <w:rPr>
                <w:rFonts w:ascii="Arial" w:hAnsi="Arial"/>
                <w:sz w:val="16"/>
              </w:rPr>
              <w:t>Summary Compensation Table (“SCT”) Total</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90,628,977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28,986,966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sz w:val="16"/>
              </w:rPr>
            </w:pPr>
            <w:r>
              <w:rPr>
                <w:rFonts w:ascii="Arial" w:hAnsi="Arial"/>
                <w:sz w:val="16"/>
              </w:rPr>
              <w:t>Amounts Reported as ‘Stock Awards’ in SCT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(77,570,774)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(24,692,589)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sz w:val="16"/>
              </w:rPr>
            </w:pPr>
            <w:r>
              <w:rPr>
                <w:rFonts w:ascii="Arial" w:hAnsi="Arial"/>
                <w:sz w:val="16"/>
              </w:rPr>
              <w:t>Fair Value of Equity Awards Granted in the Year and Unvested as of Year End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55,998,106</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17,868,662</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sz w:val="16"/>
              </w:rPr>
            </w:pPr>
            <w:r>
              <w:rPr>
                <w:rFonts w:ascii="Arial" w:hAnsi="Arial"/>
                <w:sz w:val="16"/>
              </w:rPr>
              <w:t>Change in Fair Value of Outstanding and Unvested Equity Awards, Granted in Prior Fiscal Years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(42,092,691)</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(9,068,739)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sz w:val="16"/>
              </w:rPr>
            </w:pPr>
            <w:r>
              <w:rPr>
                <w:rFonts w:ascii="Arial" w:hAnsi="Arial"/>
                <w:sz w:val="16"/>
              </w:rPr>
              <w:t>Change in Fair Value of Equity Awards Vested, Granted in a Previous Year</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3,119,925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(300,881)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7025" w:type="dxa"/>
            <w:tcBorders>
              <w:bottom w:val="single" w:sz="6" w:space="0" w:color="0075C9"/>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Compensation Actually Paid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30,083,543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50" w:type="dxa"/>
            <w:tcBorders>
              <w:bottom w:val="single" w:sz="6" w:space="0" w:color="0075C9"/>
            </w:tcBorders>
            <w:tcMar>
              <w:bottom w:w="40" w:type="dxa"/>
            </w:tcMar>
            <w:vAlign w:val="center"/>
          </w:tcPr>
          <w:p>
            <w:pPr>
              <w:pStyle w:val="TableContents"/>
              <w:bidi w:val="0"/>
              <w:spacing w:before="0" w:after="283"/>
              <w:jc w:val="right"/>
              <w:rPr/>
            </w:pPr>
            <w:r>
              <w:rPr/>
              <w:t>12,793,419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295" w:type="dxa"/>
        <w:jc w:val="left"/>
        <w:tblInd w:w="0" w:type="dxa"/>
        <w:tblLayout w:type="fixed"/>
        <w:tblCellMar>
          <w:top w:w="0" w:type="dxa"/>
          <w:left w:w="0" w:type="dxa"/>
          <w:bottom w:w="0" w:type="dxa"/>
          <w:right w:w="0" w:type="dxa"/>
        </w:tblCellMar>
      </w:tblPr>
      <w:tblGrid>
        <w:gridCol w:w="275"/>
        <w:gridCol w:w="120"/>
        <w:gridCol w:w="90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color w:val="0075C9"/>
                <w:spacing w:val="0"/>
              </w:rPr>
            </w:pPr>
            <w:r>
              <w:rPr>
                <w:b/>
                <w:color w:val="0075C9"/>
                <w:spacing w:val="0"/>
              </w:rPr>
              <w:t>58</w:t>
            </w:r>
          </w:p>
        </w:tc>
        <w:tc>
          <w:tcPr>
            <w:tcW w:w="12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0"/>
              <w:jc w:val="left"/>
              <w:rPr/>
            </w:pPr>
            <w:r>
              <w:rPr/>
              <w:drawing>
                <wp:inline distT="0" distB="0" distL="0" distR="0">
                  <wp:extent cx="561975" cy="114300"/>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1"/>
                          <a:stretch>
                            <a:fillRect/>
                          </a:stretch>
                        </pic:blipFill>
                        <pic:spPr bwMode="auto">
                          <a:xfrm>
                            <a:off x="0" y="0"/>
                            <a:ext cx="561975" cy="114300"/>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sz w:val="42"/>
              </w:rPr>
            </w:pPr>
            <w:r>
              <w:rPr>
                <w:spacing w:val="0"/>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75C9"/>
                <w:spacing w:val="0"/>
                <w:sz w:val="42"/>
              </w:rPr>
            </w:pPr>
            <w:r>
              <w:rPr>
                <w:color w:val="0075C9"/>
                <w:spacing w:val="0"/>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pacing w:val="0"/>
                <w:sz w:val="14"/>
              </w:rPr>
            </w:pPr>
            <w:r>
              <w:rPr>
                <w:rFonts w:ascii="Arial" w:hAnsi="Arial"/>
                <w:color w:val="0075C9"/>
                <w:spacing w:val="0"/>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left"/>
              <w:rPr>
                <w:spacing w:val="0"/>
              </w:rPr>
            </w:pPr>
            <w:r>
              <w:rPr>
                <w:spacing w:val="0"/>
              </w:rPr>
              <w:t> </w:t>
            </w:r>
            <w:r>
              <w:rPr>
                <w:spacing w:val="0"/>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bidi w:val="0"/>
              <w:spacing w:before="0" w:after="0"/>
              <w:jc w:val="left"/>
              <w:rPr>
                <w:bdr w:val="single" w:sz="48" w:space="1" w:color="0075C9"/>
              </w:rPr>
            </w:pPr>
            <w:r>
              <w:rPr>
                <w:bdr w:val="single" w:sz="48" w:space="1" w:color="0075C9"/>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i/>
          <w:caps w:val="false"/>
          <w:smallCaps w:val="false"/>
          <w:spacing w:val="0"/>
          <w:sz w:val="18"/>
        </w:rPr>
      </w:pPr>
      <w:r>
        <w:rPr>
          <w:rFonts w:ascii="Arial" w:hAnsi="Arial"/>
          <w:b/>
          <w:i/>
          <w:caps w:val="false"/>
          <w:smallCaps w:val="false"/>
          <w:spacing w:val="0"/>
          <w:sz w:val="18"/>
        </w:rPr>
        <w:t xml:space="preserve">Financial Performance Measures </w:t>
      </w:r>
    </w:p>
    <w:p>
      <w:pPr>
        <w:pStyle w:val="TextBody"/>
        <w:bidi w:val="0"/>
        <w:spacing w:before="120" w:after="0"/>
        <w:jc w:val="left"/>
        <w:rPr>
          <w:rFonts w:ascii="Arial" w:hAnsi="Arial"/>
          <w:sz w:val="18"/>
        </w:rPr>
      </w:pPr>
      <w:r>
        <w:rPr>
          <w:rFonts w:ascii="Arial" w:hAnsi="Arial"/>
          <w:sz w:val="18"/>
        </w:rPr>
        <w:t xml:space="preserve">In accordance with the Pay Versus Performance Rules, the following table lists the financial performance measures that, in the Company’s assessment, represent the most important financial performance measures used to link “compensation actually paid” to our Named Executives, for fiscal year 2026, to Company performance, as further described in our Compensation Discussion and Analysis within the sections titled “Annual Cash Incentives” (see page 39) and “Equity Compensation” (see page 40). </w:t>
      </w:r>
    </w:p>
    <w:p>
      <w:pPr>
        <w:pStyle w:val="TextBody"/>
        <w:bidi w:val="0"/>
        <w:spacing w:before="0" w:after="0"/>
        <w:jc w:val="left"/>
        <w:rPr/>
      </w:pPr>
      <w:r>
        <w:rPr/>
        <w:t> </w:t>
      </w:r>
    </w:p>
    <w:tbl>
      <w:tblPr>
        <w:tblW w:w="5675" w:type="dxa"/>
        <w:jc w:val="left"/>
        <w:tblInd w:w="0" w:type="dxa"/>
        <w:tblLayout w:type="fixed"/>
        <w:tblCellMar>
          <w:top w:w="0" w:type="dxa"/>
          <w:left w:w="0" w:type="dxa"/>
          <w:bottom w:w="0" w:type="dxa"/>
          <w:right w:w="0" w:type="dxa"/>
        </w:tblCellMar>
      </w:tblPr>
      <w:tblGrid>
        <w:gridCol w:w="5675"/>
      </w:tblGrid>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Most Important Performance Measures</w:t>
            </w:r>
          </w:p>
        </w:tc>
      </w:tr>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Microsoft Incentive Plan Revenue (Company Selected Measure)</w:t>
            </w:r>
          </w:p>
        </w:tc>
      </w:tr>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Relative TSR as compared to the S&amp;P 500</w:t>
            </w:r>
          </w:p>
        </w:tc>
      </w:tr>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Azure and Other Cloud Services Revenue</w:t>
            </w:r>
          </w:p>
        </w:tc>
      </w:tr>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Microsoft Cloud Revenue, excluding Azure and Other Cloud Services</w:t>
            </w:r>
          </w:p>
        </w:tc>
      </w:tr>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Microsoft Incentive Plan Operating Income</w:t>
            </w:r>
          </w:p>
        </w:tc>
      </w:tr>
    </w:tbl>
    <w:p>
      <w:pPr>
        <w:pStyle w:val="TextBody"/>
        <w:bidi w:val="0"/>
        <w:spacing w:before="240" w:after="0"/>
        <w:jc w:val="left"/>
        <w:rPr>
          <w:rFonts w:ascii="Arial" w:hAnsi="Arial"/>
          <w:b/>
          <w:i/>
          <w:caps w:val="false"/>
          <w:smallCaps w:val="false"/>
          <w:spacing w:val="0"/>
          <w:sz w:val="18"/>
        </w:rPr>
      </w:pPr>
      <w:r>
        <w:rPr>
          <w:rFonts w:ascii="Arial" w:hAnsi="Arial"/>
          <w:b/>
          <w:i/>
          <w:caps w:val="false"/>
          <w:smallCaps w:val="false"/>
          <w:spacing w:val="0"/>
          <w:sz w:val="18"/>
        </w:rPr>
        <w:t xml:space="preserve">Relationship Between “Compensation Actually Paid” and Performance Measures </w:t>
      </w:r>
    </w:p>
    <w:p>
      <w:pPr>
        <w:pStyle w:val="TextBody"/>
        <w:bidi w:val="0"/>
        <w:spacing w:before="120" w:after="0"/>
        <w:jc w:val="left"/>
        <w:rPr>
          <w:rFonts w:ascii="Arial" w:hAnsi="Arial"/>
          <w:sz w:val="18"/>
        </w:rPr>
      </w:pPr>
      <w:r>
        <w:rPr>
          <w:rFonts w:ascii="Arial" w:hAnsi="Arial"/>
          <w:sz w:val="18"/>
        </w:rPr>
        <w:t xml:space="preserve">In accordance with the Pay Versus Performance Rules, the below charts illustrate how “compensation actually paid” (“CAP”) to our Named Executives aligns with Microsoft’s financial performance as measured by our TSR, our Peer Group TSR (Nasdaq Computer Index), our net income, and Microsoft Incentive Plan Revenue. </w:t>
      </w:r>
    </w:p>
    <w:p>
      <w:pPr>
        <w:pStyle w:val="TextBody"/>
        <w:bidi w:val="0"/>
        <w:spacing w:before="0" w:after="0"/>
        <w:jc w:val="left"/>
        <w:rPr/>
      </w:pPr>
      <w:r>
        <w:rPr/>
        <w:t> </w:t>
      </w:r>
    </w:p>
    <w:p>
      <w:pPr>
        <w:pStyle w:val="TextBody"/>
        <w:bidi w:val="0"/>
        <w:spacing w:before="0" w:after="0"/>
        <w:jc w:val="left"/>
        <w:rPr/>
      </w:pPr>
      <w:r>
        <w:rPr/>
        <w:t> </w:t>
      </w:r>
    </w:p>
    <w:tbl>
      <w:tblPr>
        <w:tblW w:w="7670" w:type="dxa"/>
        <w:jc w:val="left"/>
        <w:tblInd w:w="0" w:type="dxa"/>
        <w:tblLayout w:type="fixed"/>
        <w:tblCellMar>
          <w:top w:w="0" w:type="dxa"/>
          <w:left w:w="0" w:type="dxa"/>
          <w:bottom w:w="0" w:type="dxa"/>
          <w:right w:w="0" w:type="dxa"/>
        </w:tblCellMar>
      </w:tblPr>
      <w:tblGrid>
        <w:gridCol w:w="7670"/>
      </w:tblGrid>
      <w:tr>
        <w:trPr/>
        <w:tc>
          <w:tcPr>
            <w:tcW w:w="76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0"/>
              <w:jc w:val="center"/>
              <w:rPr>
                <w:rFonts w:ascii="Arial" w:hAnsi="Arial"/>
                <w:b/>
                <w:sz w:val="24"/>
              </w:rPr>
            </w:pPr>
            <w:r>
              <w:rPr>
                <w:rFonts w:ascii="Arial" w:hAnsi="Arial"/>
                <w:b/>
                <w:sz w:val="24"/>
              </w:rPr>
              <w:t>Compensation Actually Paid vs. Microsoft TSR vs. Peer Group TSR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943475" cy="3133725"/>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2"/>
                    <a:stretch>
                      <a:fillRect/>
                    </a:stretch>
                  </pic:blipFill>
                  <pic:spPr bwMode="auto">
                    <a:xfrm>
                      <a:off x="0" y="0"/>
                      <a:ext cx="4943475" cy="31337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b/>
                <w:color w:val="0075C9"/>
                <w:spacing w:val="0"/>
              </w:rPr>
            </w:pPr>
            <w:r>
              <w:rPr>
                <w:b/>
                <w:color w:val="0075C9"/>
                <w:spacing w:val="0"/>
              </w:rPr>
              <w:t>59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spacing w:val="0"/>
                <w:sz w:val="42"/>
              </w:rPr>
            </w:pPr>
            <w:r>
              <w:rPr>
                <w:spacing w:val="0"/>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75C9"/>
                <w:spacing w:val="0"/>
                <w:sz w:val="42"/>
              </w:rPr>
            </w:pPr>
            <w:r>
              <w:rPr>
                <w:color w:val="0075C9"/>
                <w:spacing w:val="0"/>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pacing w:val="0"/>
                <w:sz w:val="14"/>
              </w:rPr>
            </w:pPr>
            <w:r>
              <w:rPr>
                <w:rFonts w:ascii="Arial" w:hAnsi="Arial"/>
                <w:color w:val="0075C9"/>
                <w:spacing w:val="0"/>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left"/>
              <w:rPr>
                <w:spacing w:val="0"/>
              </w:rPr>
            </w:pPr>
            <w:r>
              <w:rPr>
                <w:spacing w:val="0"/>
              </w:rPr>
              <w:t> </w:t>
            </w:r>
            <w:r>
              <w:rPr>
                <w:spacing w:val="0"/>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sz w:val="42"/>
              </w:rPr>
            </w:pPr>
            <w:r>
              <w:rPr>
                <w:spacing w:val="0"/>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bidi w:val="0"/>
              <w:spacing w:before="0" w:after="0"/>
              <w:jc w:val="left"/>
              <w:rPr>
                <w:bdr w:val="single" w:sz="48" w:space="1" w:color="0075C9"/>
              </w:rPr>
            </w:pPr>
            <w:r>
              <w:rPr>
                <w:bdr w:val="single" w:sz="48" w:space="1" w:color="0075C9"/>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tbl>
      <w:tblPr>
        <w:tblW w:w="7310" w:type="dxa"/>
        <w:jc w:val="left"/>
        <w:tblInd w:w="0" w:type="dxa"/>
        <w:tblLayout w:type="fixed"/>
        <w:tblCellMar>
          <w:top w:w="0" w:type="dxa"/>
          <w:left w:w="0" w:type="dxa"/>
          <w:bottom w:w="0" w:type="dxa"/>
          <w:right w:w="0" w:type="dxa"/>
        </w:tblCellMar>
      </w:tblPr>
      <w:tblGrid>
        <w:gridCol w:w="7310"/>
      </w:tblGrid>
      <w:tr>
        <w:trPr/>
        <w:tc>
          <w:tcPr>
            <w:tcW w:w="7310" w:type="dxa"/>
            <w:tcBorders/>
            <w:vAlign w:val="center"/>
          </w:tcPr>
          <w:p>
            <w:pPr>
              <w:pStyle w:val="TableContents"/>
              <w:bidi w:val="0"/>
              <w:spacing w:before="0" w:after="283"/>
              <w:jc w:val="left"/>
              <w:rPr>
                <w:sz w:val="4"/>
                <w:szCs w:val="4"/>
              </w:rPr>
            </w:pPr>
            <w:r>
              <w:rPr>
                <w:sz w:val="4"/>
                <w:szCs w:val="4"/>
              </w:rPr>
            </w:r>
          </w:p>
        </w:tc>
      </w:tr>
      <w:tr>
        <w:trPr/>
        <w:tc>
          <w:tcPr>
            <w:tcW w:w="7310" w:type="dxa"/>
            <w:tcBorders/>
            <w:vAlign w:val="center"/>
          </w:tcPr>
          <w:p>
            <w:pPr>
              <w:pStyle w:val="TableContents"/>
              <w:bidi w:val="0"/>
              <w:spacing w:before="0" w:after="283"/>
              <w:jc w:val="center"/>
              <w:rPr>
                <w:b/>
                <w:spacing w:val="0"/>
              </w:rPr>
            </w:pPr>
            <w:r>
              <w:rPr>
                <w:b/>
                <w:spacing w:val="0"/>
              </w:rPr>
              <w:t>Compensation Actually Paid vs. Net Income vs. Incentive Plan Revenue</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886325" cy="3095625"/>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3"/>
                    <a:stretch>
                      <a:fillRect/>
                    </a:stretch>
                  </pic:blipFill>
                  <pic:spPr bwMode="auto">
                    <a:xfrm>
                      <a:off x="0" y="0"/>
                      <a:ext cx="4886325" cy="30956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left"/>
        <w:rPr/>
      </w:pPr>
      <w:r>
        <w:rPr/>
        <w:t> </w:t>
      </w:r>
    </w:p>
    <w:tbl>
      <w:tblPr>
        <w:tblW w:w="1280" w:type="dxa"/>
        <w:jc w:val="left"/>
        <w:tblInd w:w="0" w:type="dxa"/>
        <w:tblLayout w:type="fixed"/>
        <w:tblCellMar>
          <w:top w:w="0" w:type="dxa"/>
          <w:left w:w="0" w:type="dxa"/>
          <w:bottom w:w="0" w:type="dxa"/>
          <w:right w:w="0" w:type="dxa"/>
        </w:tblCellMar>
      </w:tblPr>
      <w:tblGrid>
        <w:gridCol w:w="275"/>
        <w:gridCol w:w="120"/>
        <w:gridCol w:w="885"/>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color w:val="0075C9"/>
                <w:spacing w:val="0"/>
              </w:rPr>
            </w:pPr>
            <w:r>
              <w:rPr>
                <w:b/>
                <w:color w:val="0075C9"/>
                <w:spacing w:val="0"/>
              </w:rPr>
              <w:t>60</w:t>
            </w:r>
          </w:p>
        </w:tc>
        <w:tc>
          <w:tcPr>
            <w:tcW w:w="1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0"/>
              <w:jc w:val="left"/>
              <w:rPr/>
            </w:pPr>
            <w:r>
              <w:rPr/>
              <w:drawing>
                <wp:inline distT="0" distB="0" distL="0" distR="0">
                  <wp:extent cx="552450" cy="114300"/>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4"/>
                          <a:stretch>
                            <a:fillRect/>
                          </a:stretch>
                        </pic:blipFill>
                        <pic:spPr bwMode="auto">
                          <a:xfrm>
                            <a:off x="0" y="0"/>
                            <a:ext cx="552450" cy="114300"/>
                          </a:xfrm>
                          <a:prstGeom prst="rect">
                            <a:avLst/>
                          </a:prstGeom>
                        </pic:spPr>
                      </pic:pic>
                    </a:graphicData>
                  </a:graphic>
                </wp:inline>
              </w:drawing>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0" w:name="toc61756_28"/>
      <w:bookmarkEnd w:id="30"/>
      <w:r>
        <w:rPr>
          <w:rFonts w:ascii="Arial" w:hAnsi="Arial"/>
          <w:b/>
          <w:color w:val="0075C9"/>
          <w:sz w:val="28"/>
        </w:rPr>
        <w:t xml:space="preserve">Equity Award Grant Practices </w:t>
      </w:r>
    </w:p>
    <w:p>
      <w:pPr>
        <w:pStyle w:val="TextBody"/>
        <w:bidi w:val="0"/>
        <w:spacing w:before="280" w:after="0"/>
        <w:jc w:val="left"/>
        <w:rPr>
          <w:rFonts w:ascii="Arial" w:hAnsi="Arial"/>
          <w:sz w:val="18"/>
        </w:rPr>
      </w:pPr>
      <w:r>
        <w:rPr>
          <w:rFonts w:ascii="Arial" w:hAnsi="Arial"/>
          <w:sz w:val="18"/>
        </w:rPr>
        <w:t xml:space="preserve">Microsoft has not granted stock options or similar awards, other than options substituted in acquisitions, since 2003. During fiscal year 2026, no Named Executive was awarded stock options, no Named Executives held any Microsoft stock options, and Microsoft did not time the disclosure of material nonpublic information or grants for the purpose of affecting the value of executive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31" w:name="toc61756_29"/>
      <w:bookmarkEnd w:id="31"/>
      <w:r>
        <w:rPr>
          <w:rFonts w:ascii="Arial" w:hAnsi="Arial"/>
          <w:b/>
          <w:color w:val="0075C9"/>
          <w:sz w:val="28"/>
        </w:rPr>
        <w:t xml:space="preserve">Equity Compensation Plan Information </w:t>
      </w:r>
    </w:p>
    <w:p>
      <w:pPr>
        <w:pStyle w:val="TextBody"/>
        <w:bidi w:val="0"/>
        <w:spacing w:before="120" w:after="0"/>
        <w:jc w:val="left"/>
        <w:rPr>
          <w:rFonts w:ascii="Arial" w:hAnsi="Arial"/>
          <w:sz w:val="18"/>
        </w:rPr>
      </w:pPr>
      <w:r>
        <w:rPr>
          <w:rFonts w:ascii="Arial" w:hAnsi="Arial"/>
          <w:sz w:val="18"/>
        </w:rPr>
        <w:t xml:space="preserve">This table provides information about shares of Microsoft common stock that may be issued under our equity compensation plans approved by shareholders and plans not approved by shareholders (if any) as of June 30, 2026. Under the 2026, 2017, and 2001 Stock Plans, no option or stock appreciation rights may be repriced, replaced, regranted through cancellation, repurchased for cash or other consideration, or modified without shareholder approval (except in connection with a change in our capitalization) if the effect would be to reduce the exercise price for the shares underlying the award.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2"/>
        <w:gridCol w:w="120"/>
        <w:gridCol w:w="107"/>
        <w:gridCol w:w="1968"/>
        <w:gridCol w:w="60"/>
        <w:gridCol w:w="240"/>
        <w:gridCol w:w="127"/>
        <w:gridCol w:w="1465"/>
        <w:gridCol w:w="60"/>
        <w:gridCol w:w="240"/>
        <w:gridCol w:w="98"/>
        <w:gridCol w:w="2020"/>
        <w:gridCol w:w="78"/>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622"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Plan Category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Number of Securities</w:t>
            </w:r>
          </w:p>
          <w:p>
            <w:pPr>
              <w:pStyle w:val="TableContents"/>
              <w:bidi w:val="0"/>
              <w:spacing w:before="0" w:after="0"/>
              <w:jc w:val="right"/>
              <w:rPr>
                <w:rFonts w:ascii="Arial" w:hAnsi="Arial"/>
                <w:b/>
                <w:sz w:val="18"/>
              </w:rPr>
            </w:pPr>
            <w:r>
              <w:rPr>
                <w:rFonts w:ascii="Arial" w:hAnsi="Arial"/>
                <w:b/>
                <w:sz w:val="18"/>
              </w:rPr>
              <w:t>to be Issued Upon</w:t>
            </w:r>
          </w:p>
          <w:p>
            <w:pPr>
              <w:pStyle w:val="TableContents"/>
              <w:bidi w:val="0"/>
              <w:spacing w:before="0" w:after="0"/>
              <w:jc w:val="right"/>
              <w:rPr>
                <w:rFonts w:ascii="Arial" w:hAnsi="Arial"/>
                <w:b/>
                <w:sz w:val="18"/>
              </w:rPr>
            </w:pPr>
            <w:r>
              <w:rPr>
                <w:rFonts w:ascii="Arial" w:hAnsi="Arial"/>
                <w:b/>
                <w:sz w:val="18"/>
              </w:rPr>
              <w:t>Exercise of Outstanding</w:t>
            </w:r>
          </w:p>
          <w:p>
            <w:pPr>
              <w:pStyle w:val="TableContents"/>
              <w:bidi w:val="0"/>
              <w:spacing w:before="0" w:after="0"/>
              <w:jc w:val="right"/>
              <w:rPr>
                <w:rFonts w:ascii="Arial" w:hAnsi="Arial"/>
                <w:b/>
                <w:sz w:val="18"/>
              </w:rPr>
            </w:pPr>
            <w:r>
              <w:rPr>
                <w:rFonts w:ascii="Arial" w:hAnsi="Arial"/>
                <w:b/>
                <w:sz w:val="18"/>
              </w:rPr>
              <w:t>Options, Warrants</w:t>
            </w:r>
          </w:p>
          <w:p>
            <w:pPr>
              <w:pStyle w:val="TableContents"/>
              <w:bidi w:val="0"/>
              <w:spacing w:before="0" w:after="0"/>
              <w:jc w:val="right"/>
              <w:rPr>
                <w:rFonts w:ascii="Arial" w:hAnsi="Arial"/>
                <w:b/>
                <w:sz w:val="18"/>
              </w:rPr>
            </w:pPr>
            <w:r>
              <w:rPr>
                <w:rFonts w:ascii="Arial" w:hAnsi="Arial"/>
                <w:b/>
                <w:sz w:val="18"/>
              </w:rPr>
              <w:t>and Rights1</w:t>
            </w:r>
          </w:p>
          <w:p>
            <w:pPr>
              <w:pStyle w:val="TableContents"/>
              <w:bidi w:val="0"/>
              <w:spacing w:before="0" w:after="20"/>
              <w:jc w:val="right"/>
              <w:rPr>
                <w:rFonts w:ascii="Arial" w:hAnsi="Arial"/>
                <w:b/>
                <w:sz w:val="18"/>
              </w:rPr>
            </w:pPr>
            <w:r>
              <w:rPr>
                <w:rFonts w:ascii="Arial" w:hAnsi="Arial"/>
                <w:b/>
                <w:sz w:val="18"/>
              </w:rPr>
              <w:t>(a)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2"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Weighted-</w:t>
              <w:br/>
              <w:t>Average</w:t>
            </w:r>
          </w:p>
          <w:p>
            <w:pPr>
              <w:pStyle w:val="TableContents"/>
              <w:bidi w:val="0"/>
              <w:spacing w:before="0" w:after="0"/>
              <w:jc w:val="right"/>
              <w:rPr>
                <w:rFonts w:ascii="Arial" w:hAnsi="Arial"/>
                <w:b/>
                <w:sz w:val="18"/>
              </w:rPr>
            </w:pPr>
            <w:r>
              <w:rPr>
                <w:rFonts w:ascii="Arial" w:hAnsi="Arial"/>
                <w:b/>
                <w:sz w:val="18"/>
              </w:rPr>
              <w:t>Exercise Price</w:t>
            </w:r>
          </w:p>
          <w:p>
            <w:pPr>
              <w:pStyle w:val="TableContents"/>
              <w:bidi w:val="0"/>
              <w:spacing w:before="0" w:after="0"/>
              <w:jc w:val="right"/>
              <w:rPr>
                <w:rFonts w:ascii="Arial" w:hAnsi="Arial"/>
                <w:b/>
                <w:sz w:val="18"/>
              </w:rPr>
            </w:pPr>
            <w:r>
              <w:rPr>
                <w:rFonts w:ascii="Arial" w:hAnsi="Arial"/>
                <w:b/>
                <w:sz w:val="18"/>
              </w:rPr>
              <w:t>of Outstanding</w:t>
            </w:r>
          </w:p>
          <w:p>
            <w:pPr>
              <w:pStyle w:val="TableContents"/>
              <w:bidi w:val="0"/>
              <w:spacing w:before="0" w:after="0"/>
              <w:jc w:val="right"/>
              <w:rPr>
                <w:rFonts w:ascii="Arial" w:hAnsi="Arial"/>
                <w:b/>
                <w:sz w:val="18"/>
              </w:rPr>
            </w:pPr>
            <w:r>
              <w:rPr>
                <w:rFonts w:ascii="Arial" w:hAnsi="Arial"/>
                <w:b/>
                <w:sz w:val="18"/>
              </w:rPr>
              <w:t>Options, Warrants,</w:t>
            </w:r>
          </w:p>
          <w:p>
            <w:pPr>
              <w:pStyle w:val="TableContents"/>
              <w:bidi w:val="0"/>
              <w:spacing w:before="0" w:after="0"/>
              <w:jc w:val="right"/>
              <w:rPr>
                <w:rFonts w:ascii="Arial" w:hAnsi="Arial"/>
                <w:b/>
                <w:sz w:val="18"/>
              </w:rPr>
            </w:pPr>
            <w:r>
              <w:rPr>
                <w:rFonts w:ascii="Arial" w:hAnsi="Arial"/>
                <w:b/>
                <w:sz w:val="18"/>
              </w:rPr>
              <w:t>and Rights2</w:t>
            </w:r>
          </w:p>
          <w:p>
            <w:pPr>
              <w:pStyle w:val="TableContents"/>
              <w:bidi w:val="0"/>
              <w:spacing w:before="0" w:after="20"/>
              <w:jc w:val="right"/>
              <w:rPr>
                <w:rFonts w:ascii="Arial" w:hAnsi="Arial"/>
                <w:b/>
                <w:sz w:val="18"/>
              </w:rPr>
            </w:pPr>
            <w:r>
              <w:rPr>
                <w:rFonts w:ascii="Arial" w:hAnsi="Arial"/>
                <w:b/>
                <w:sz w:val="18"/>
              </w:rPr>
              <w:t>($)(b)</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2118"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Number of Securities</w:t>
            </w:r>
          </w:p>
          <w:p>
            <w:pPr>
              <w:pStyle w:val="TableContents"/>
              <w:bidi w:val="0"/>
              <w:spacing w:before="0" w:after="0"/>
              <w:jc w:val="right"/>
              <w:rPr>
                <w:rFonts w:ascii="Arial" w:hAnsi="Arial"/>
                <w:b/>
                <w:sz w:val="18"/>
              </w:rPr>
            </w:pPr>
            <w:r>
              <w:rPr>
                <w:rFonts w:ascii="Arial" w:hAnsi="Arial"/>
                <w:b/>
                <w:sz w:val="18"/>
              </w:rPr>
              <w:t>Remaining Available</w:t>
            </w:r>
          </w:p>
          <w:p>
            <w:pPr>
              <w:pStyle w:val="TableContents"/>
              <w:bidi w:val="0"/>
              <w:spacing w:before="0" w:after="0"/>
              <w:jc w:val="right"/>
              <w:rPr>
                <w:rFonts w:ascii="Arial" w:hAnsi="Arial"/>
                <w:b/>
                <w:sz w:val="18"/>
              </w:rPr>
            </w:pPr>
            <w:r>
              <w:rPr>
                <w:rFonts w:ascii="Arial" w:hAnsi="Arial"/>
                <w:b/>
                <w:sz w:val="18"/>
              </w:rPr>
              <w:t>for Future Issuance</w:t>
            </w:r>
          </w:p>
          <w:p>
            <w:pPr>
              <w:pStyle w:val="TableContents"/>
              <w:bidi w:val="0"/>
              <w:spacing w:before="0" w:after="0"/>
              <w:jc w:val="right"/>
              <w:rPr>
                <w:rFonts w:ascii="Arial" w:hAnsi="Arial"/>
                <w:b/>
                <w:sz w:val="18"/>
              </w:rPr>
            </w:pPr>
            <w:r>
              <w:rPr>
                <w:rFonts w:ascii="Arial" w:hAnsi="Arial"/>
                <w:b/>
                <w:sz w:val="18"/>
              </w:rPr>
              <w:t>Under Equity</w:t>
            </w:r>
          </w:p>
          <w:p>
            <w:pPr>
              <w:pStyle w:val="TableContents"/>
              <w:bidi w:val="0"/>
              <w:spacing w:before="0" w:after="0"/>
              <w:jc w:val="right"/>
              <w:rPr>
                <w:rFonts w:ascii="Arial" w:hAnsi="Arial"/>
                <w:b/>
                <w:sz w:val="18"/>
              </w:rPr>
            </w:pPr>
            <w:r>
              <w:rPr>
                <w:rFonts w:ascii="Arial" w:hAnsi="Arial"/>
                <w:b/>
                <w:sz w:val="18"/>
              </w:rPr>
              <w:t>Compensation Plans</w:t>
            </w:r>
          </w:p>
          <w:p>
            <w:pPr>
              <w:pStyle w:val="TableContents"/>
              <w:bidi w:val="0"/>
              <w:spacing w:before="0" w:after="0"/>
              <w:jc w:val="right"/>
              <w:rPr>
                <w:rFonts w:ascii="Arial" w:hAnsi="Arial"/>
                <w:b/>
                <w:sz w:val="18"/>
              </w:rPr>
            </w:pPr>
            <w:r>
              <w:rPr>
                <w:rFonts w:ascii="Arial" w:hAnsi="Arial"/>
                <w:b/>
                <w:sz w:val="18"/>
              </w:rPr>
              <w:t>(Excluding Securities</w:t>
            </w:r>
          </w:p>
          <w:p>
            <w:pPr>
              <w:pStyle w:val="TableContents"/>
              <w:bidi w:val="0"/>
              <w:spacing w:before="0" w:after="0"/>
              <w:jc w:val="right"/>
              <w:rPr>
                <w:rFonts w:ascii="Arial" w:hAnsi="Arial"/>
                <w:b/>
                <w:sz w:val="18"/>
              </w:rPr>
            </w:pPr>
            <w:r>
              <w:rPr>
                <w:rFonts w:ascii="Arial" w:hAnsi="Arial"/>
                <w:b/>
                <w:sz w:val="18"/>
              </w:rPr>
              <w:t>Reflected in Column (a))3</w:t>
            </w:r>
          </w:p>
          <w:p>
            <w:pPr>
              <w:pStyle w:val="TableContents"/>
              <w:bidi w:val="0"/>
              <w:spacing w:before="0" w:after="20"/>
              <w:jc w:val="right"/>
              <w:rPr>
                <w:rFonts w:ascii="Arial" w:hAnsi="Arial"/>
                <w:b/>
                <w:sz w:val="18"/>
              </w:rPr>
            </w:pPr>
            <w:r>
              <w:rPr>
                <w:rFonts w:ascii="Arial" w:hAnsi="Arial"/>
                <w:b/>
                <w:sz w:val="18"/>
              </w:rPr>
              <w:t>(c)</w:t>
            </w:r>
          </w:p>
        </w:tc>
        <w:tc>
          <w:tcPr>
            <w:tcW w:w="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22" w:type="dxa"/>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892" w:type="dxa"/>
            <w:gridSpan w:val="4"/>
            <w:tcBorders/>
            <w:vAlign w:val="center"/>
          </w:tcPr>
          <w:p>
            <w:pPr>
              <w:pStyle w:val="TableContents"/>
              <w:bidi w:val="0"/>
              <w:spacing w:before="0" w:after="283"/>
              <w:jc w:val="left"/>
              <w:rPr>
                <w:sz w:val="4"/>
                <w:szCs w:val="4"/>
              </w:rPr>
            </w:pPr>
            <w:r>
              <w:rPr>
                <w:sz w:val="4"/>
                <w:szCs w:val="4"/>
              </w:rPr>
            </w:r>
          </w:p>
        </w:tc>
        <w:tc>
          <w:tcPr>
            <w:tcW w:w="2436" w:type="dxa"/>
            <w:gridSpan w:val="4"/>
            <w:tcBorders/>
            <w:vAlign w:val="center"/>
          </w:tcPr>
          <w:p>
            <w:pPr>
              <w:pStyle w:val="TableContents"/>
              <w:bidi w:val="0"/>
              <w:spacing w:before="0" w:after="283"/>
              <w:jc w:val="left"/>
              <w:rPr>
                <w:sz w:val="4"/>
                <w:szCs w:val="4"/>
              </w:rPr>
            </w:pPr>
            <w:r>
              <w:rPr>
                <w:sz w:val="4"/>
                <w:szCs w:val="4"/>
              </w:rPr>
            </w:r>
          </w:p>
        </w:tc>
      </w:tr>
      <w:tr>
        <w:trPr/>
        <w:tc>
          <w:tcPr>
            <w:tcW w:w="3622"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7" w:type="dxa"/>
            <w:tcBorders>
              <w:bottom w:val="single" w:sz="6" w:space="0" w:color="0075C9"/>
            </w:tcBorders>
            <w:tcMar>
              <w:bottom w:w="40" w:type="dxa"/>
            </w:tcMar>
            <w:vAlign w:val="center"/>
          </w:tcPr>
          <w:p>
            <w:pPr>
              <w:pStyle w:val="TableContents"/>
              <w:bidi w:val="0"/>
              <w:spacing w:before="0" w:after="283"/>
              <w:jc w:val="left"/>
              <w:rPr/>
            </w:pPr>
            <w:r>
              <w:rPr/>
              <w:t> </w:t>
            </w:r>
          </w:p>
        </w:tc>
        <w:tc>
          <w:tcPr>
            <w:tcW w:w="1968" w:type="dxa"/>
            <w:tcBorders>
              <w:bottom w:val="single" w:sz="6" w:space="0" w:color="0075C9"/>
            </w:tcBorders>
            <w:tcMar>
              <w:bottom w:w="40" w:type="dxa"/>
            </w:tcMar>
            <w:vAlign w:val="center"/>
          </w:tcPr>
          <w:p>
            <w:pPr>
              <w:pStyle w:val="TableContents"/>
              <w:bidi w:val="0"/>
              <w:spacing w:before="0" w:after="283"/>
              <w:jc w:val="right"/>
              <w:rPr/>
            </w:pPr>
            <w:r>
              <w:rPr/>
              <w:t>77,694,025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27" w:type="dxa"/>
            <w:tcBorders>
              <w:bottom w:val="single" w:sz="6" w:space="0" w:color="0075C9"/>
            </w:tcBorders>
            <w:tcMar>
              <w:bottom w:w="40" w:type="dxa"/>
            </w:tcMar>
            <w:vAlign w:val="center"/>
          </w:tcPr>
          <w:p>
            <w:pPr>
              <w:pStyle w:val="TableContents"/>
              <w:bidi w:val="0"/>
              <w:spacing w:before="0" w:after="283"/>
              <w:jc w:val="left"/>
              <w:rPr/>
            </w:pPr>
            <w:r>
              <w:rPr/>
              <w:t> </w:t>
            </w:r>
          </w:p>
        </w:tc>
        <w:tc>
          <w:tcPr>
            <w:tcW w:w="1465" w:type="dxa"/>
            <w:tcBorders>
              <w:bottom w:val="single" w:sz="6" w:space="0" w:color="0075C9"/>
            </w:tcBorders>
            <w:tcMar>
              <w:bottom w:w="40" w:type="dxa"/>
            </w:tcMar>
            <w:vAlign w:val="center"/>
          </w:tcPr>
          <w:p>
            <w:pPr>
              <w:pStyle w:val="TableContents"/>
              <w:bidi w:val="0"/>
              <w:spacing w:before="0" w:after="283"/>
              <w:jc w:val="right"/>
              <w:rPr/>
            </w:pPr>
            <w:r>
              <w:rPr/>
              <w:t>$59.48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8" w:type="dxa"/>
            <w:tcBorders>
              <w:bottom w:val="single" w:sz="6" w:space="0" w:color="0075C9"/>
            </w:tcBorders>
            <w:tcMar>
              <w:bottom w:w="40" w:type="dxa"/>
            </w:tcMar>
            <w:vAlign w:val="center"/>
          </w:tcPr>
          <w:p>
            <w:pPr>
              <w:pStyle w:val="TableContents"/>
              <w:bidi w:val="0"/>
              <w:spacing w:before="0" w:after="283"/>
              <w:jc w:val="left"/>
              <w:rPr/>
            </w:pPr>
            <w:r>
              <w:rPr/>
              <w:t> </w:t>
            </w:r>
          </w:p>
        </w:tc>
        <w:tc>
          <w:tcPr>
            <w:tcW w:w="2020" w:type="dxa"/>
            <w:tcBorders>
              <w:bottom w:val="single" w:sz="6" w:space="0" w:color="0075C9"/>
            </w:tcBorders>
            <w:tcMar>
              <w:bottom w:w="40" w:type="dxa"/>
            </w:tcMar>
            <w:vAlign w:val="center"/>
          </w:tcPr>
          <w:p>
            <w:pPr>
              <w:pStyle w:val="TableContents"/>
              <w:bidi w:val="0"/>
              <w:spacing w:before="0" w:after="283"/>
              <w:jc w:val="right"/>
              <w:rPr/>
            </w:pPr>
            <w:r>
              <w:rPr/>
              <w:t>350,606,710</w:t>
            </w:r>
          </w:p>
        </w:tc>
        <w:tc>
          <w:tcPr>
            <w:tcW w:w="78"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622" w:type="dxa"/>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892" w:type="dxa"/>
            <w:gridSpan w:val="4"/>
            <w:tcBorders/>
            <w:vAlign w:val="center"/>
          </w:tcPr>
          <w:p>
            <w:pPr>
              <w:pStyle w:val="TableContents"/>
              <w:bidi w:val="0"/>
              <w:spacing w:before="0" w:after="283"/>
              <w:jc w:val="left"/>
              <w:rPr>
                <w:sz w:val="4"/>
                <w:szCs w:val="4"/>
              </w:rPr>
            </w:pPr>
            <w:r>
              <w:rPr>
                <w:sz w:val="4"/>
                <w:szCs w:val="4"/>
              </w:rPr>
            </w:r>
          </w:p>
        </w:tc>
        <w:tc>
          <w:tcPr>
            <w:tcW w:w="2436" w:type="dxa"/>
            <w:gridSpan w:val="4"/>
            <w:tcBorders/>
            <w:vAlign w:val="center"/>
          </w:tcPr>
          <w:p>
            <w:pPr>
              <w:pStyle w:val="TableContents"/>
              <w:bidi w:val="0"/>
              <w:spacing w:before="0" w:after="283"/>
              <w:jc w:val="left"/>
              <w:rPr>
                <w:sz w:val="4"/>
                <w:szCs w:val="4"/>
              </w:rPr>
            </w:pPr>
            <w:r>
              <w:rPr>
                <w:sz w:val="4"/>
                <w:szCs w:val="4"/>
              </w:rPr>
            </w:r>
          </w:p>
        </w:tc>
      </w:tr>
      <w:tr>
        <w:trPr/>
        <w:tc>
          <w:tcPr>
            <w:tcW w:w="3622"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7" w:type="dxa"/>
            <w:tcBorders>
              <w:bottom w:val="single" w:sz="6" w:space="0" w:color="0075C9"/>
            </w:tcBorders>
            <w:tcMar>
              <w:bottom w:w="40" w:type="dxa"/>
            </w:tcMar>
            <w:vAlign w:val="center"/>
          </w:tcPr>
          <w:p>
            <w:pPr>
              <w:pStyle w:val="TableContents"/>
              <w:bidi w:val="0"/>
              <w:spacing w:before="0" w:after="283"/>
              <w:jc w:val="left"/>
              <w:rPr/>
            </w:pPr>
            <w:r>
              <w:rPr/>
              <w:t> </w:t>
            </w:r>
          </w:p>
        </w:tc>
        <w:tc>
          <w:tcPr>
            <w:tcW w:w="1968"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27" w:type="dxa"/>
            <w:tcBorders>
              <w:bottom w:val="single" w:sz="6" w:space="0" w:color="0075C9"/>
            </w:tcBorders>
            <w:tcMar>
              <w:bottom w:w="40" w:type="dxa"/>
            </w:tcMar>
            <w:vAlign w:val="center"/>
          </w:tcPr>
          <w:p>
            <w:pPr>
              <w:pStyle w:val="TableContents"/>
              <w:bidi w:val="0"/>
              <w:spacing w:before="0" w:after="283"/>
              <w:jc w:val="left"/>
              <w:rPr/>
            </w:pPr>
            <w:r>
              <w:rPr/>
              <w:t> </w:t>
            </w:r>
          </w:p>
        </w:tc>
        <w:tc>
          <w:tcPr>
            <w:tcW w:w="1465" w:type="dxa"/>
            <w:tcBorders>
              <w:bottom w:val="single" w:sz="6" w:space="0" w:color="0075C9"/>
            </w:tcBorders>
            <w:tcMar>
              <w:bottom w:w="40" w:type="dxa"/>
            </w:tcMar>
            <w:vAlign w:val="center"/>
          </w:tcPr>
          <w:p>
            <w:pPr>
              <w:pStyle w:val="TableContents"/>
              <w:bidi w:val="0"/>
              <w:spacing w:before="0" w:after="283"/>
              <w:jc w:val="right"/>
              <w:rPr/>
            </w:pPr>
            <w:r>
              <w:rPr/>
              <w:t>N/A</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8" w:type="dxa"/>
            <w:tcBorders>
              <w:bottom w:val="single" w:sz="6" w:space="0" w:color="0075C9"/>
            </w:tcBorders>
            <w:tcMar>
              <w:bottom w:w="40" w:type="dxa"/>
            </w:tcMar>
            <w:vAlign w:val="center"/>
          </w:tcPr>
          <w:p>
            <w:pPr>
              <w:pStyle w:val="TableContents"/>
              <w:bidi w:val="0"/>
              <w:spacing w:before="0" w:after="283"/>
              <w:jc w:val="left"/>
              <w:rPr/>
            </w:pPr>
            <w:r>
              <w:rPr/>
              <w:t> </w:t>
            </w:r>
          </w:p>
        </w:tc>
        <w:tc>
          <w:tcPr>
            <w:tcW w:w="2020" w:type="dxa"/>
            <w:tcBorders>
              <w:bottom w:val="single" w:sz="6" w:space="0" w:color="0075C9"/>
            </w:tcBorders>
            <w:tcMar>
              <w:bottom w:w="40" w:type="dxa"/>
            </w:tcMar>
            <w:vAlign w:val="center"/>
          </w:tcPr>
          <w:p>
            <w:pPr>
              <w:pStyle w:val="TableContents"/>
              <w:bidi w:val="0"/>
              <w:spacing w:before="0" w:after="283"/>
              <w:jc w:val="right"/>
              <w:rPr/>
            </w:pPr>
            <w:r>
              <w:rPr/>
              <w:t>0</w:t>
            </w:r>
          </w:p>
        </w:tc>
        <w:tc>
          <w:tcPr>
            <w:tcW w:w="78"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622" w:type="dxa"/>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1892" w:type="dxa"/>
            <w:gridSpan w:val="4"/>
            <w:tcBorders/>
            <w:vAlign w:val="center"/>
          </w:tcPr>
          <w:p>
            <w:pPr>
              <w:pStyle w:val="TableContents"/>
              <w:bidi w:val="0"/>
              <w:spacing w:before="0" w:after="283"/>
              <w:jc w:val="left"/>
              <w:rPr>
                <w:sz w:val="4"/>
                <w:szCs w:val="4"/>
              </w:rPr>
            </w:pPr>
            <w:r>
              <w:rPr>
                <w:sz w:val="4"/>
                <w:szCs w:val="4"/>
              </w:rPr>
            </w:r>
          </w:p>
        </w:tc>
        <w:tc>
          <w:tcPr>
            <w:tcW w:w="2436" w:type="dxa"/>
            <w:gridSpan w:val="4"/>
            <w:tcBorders/>
            <w:vAlign w:val="center"/>
          </w:tcPr>
          <w:p>
            <w:pPr>
              <w:pStyle w:val="TableContents"/>
              <w:bidi w:val="0"/>
              <w:spacing w:before="0" w:after="283"/>
              <w:jc w:val="left"/>
              <w:rPr>
                <w:sz w:val="4"/>
                <w:szCs w:val="4"/>
              </w:rPr>
            </w:pPr>
            <w:r>
              <w:rPr>
                <w:sz w:val="4"/>
                <w:szCs w:val="4"/>
              </w:rPr>
            </w:r>
          </w:p>
        </w:tc>
      </w:tr>
      <w:tr>
        <w:trPr/>
        <w:tc>
          <w:tcPr>
            <w:tcW w:w="3622"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07" w:type="dxa"/>
            <w:tcBorders>
              <w:bottom w:val="single" w:sz="6" w:space="0" w:color="0075C9"/>
            </w:tcBorders>
            <w:tcMar>
              <w:bottom w:w="40" w:type="dxa"/>
            </w:tcMar>
            <w:vAlign w:val="center"/>
          </w:tcPr>
          <w:p>
            <w:pPr>
              <w:pStyle w:val="TableContents"/>
              <w:bidi w:val="0"/>
              <w:spacing w:before="0" w:after="283"/>
              <w:jc w:val="left"/>
              <w:rPr/>
            </w:pPr>
            <w:r>
              <w:rPr/>
              <w:t> </w:t>
            </w:r>
          </w:p>
        </w:tc>
        <w:tc>
          <w:tcPr>
            <w:tcW w:w="1968" w:type="dxa"/>
            <w:tcBorders>
              <w:bottom w:val="single" w:sz="6" w:space="0" w:color="0075C9"/>
            </w:tcBorders>
            <w:tcMar>
              <w:bottom w:w="40" w:type="dxa"/>
            </w:tcMar>
            <w:vAlign w:val="center"/>
          </w:tcPr>
          <w:p>
            <w:pPr>
              <w:pStyle w:val="TableContents"/>
              <w:bidi w:val="0"/>
              <w:spacing w:before="0" w:after="283"/>
              <w:jc w:val="right"/>
              <w:rPr/>
            </w:pPr>
            <w:r>
              <w:rPr/>
              <w:t>77,694,025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27" w:type="dxa"/>
            <w:tcBorders>
              <w:bottom w:val="single" w:sz="6" w:space="0" w:color="0075C9"/>
            </w:tcBorders>
            <w:tcMar>
              <w:bottom w:w="40" w:type="dxa"/>
            </w:tcMar>
            <w:vAlign w:val="center"/>
          </w:tcPr>
          <w:p>
            <w:pPr>
              <w:pStyle w:val="TableContents"/>
              <w:bidi w:val="0"/>
              <w:spacing w:before="0" w:after="283"/>
              <w:jc w:val="left"/>
              <w:rPr/>
            </w:pPr>
            <w:r>
              <w:rPr/>
              <w:t> </w:t>
            </w:r>
          </w:p>
        </w:tc>
        <w:tc>
          <w:tcPr>
            <w:tcW w:w="1465" w:type="dxa"/>
            <w:tcBorders>
              <w:bottom w:val="single" w:sz="6" w:space="0" w:color="0075C9"/>
            </w:tcBorders>
            <w:tcMar>
              <w:bottom w:w="40" w:type="dxa"/>
            </w:tcMar>
            <w:vAlign w:val="center"/>
          </w:tcPr>
          <w:p>
            <w:pPr>
              <w:pStyle w:val="TableContents"/>
              <w:bidi w:val="0"/>
              <w:spacing w:before="0" w:after="283"/>
              <w:jc w:val="right"/>
              <w:rPr/>
            </w:pPr>
            <w:r>
              <w:rPr/>
              <w:t>$59.48</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98" w:type="dxa"/>
            <w:tcBorders>
              <w:bottom w:val="single" w:sz="6" w:space="0" w:color="0075C9"/>
            </w:tcBorders>
            <w:tcMar>
              <w:bottom w:w="40" w:type="dxa"/>
            </w:tcMar>
            <w:vAlign w:val="center"/>
          </w:tcPr>
          <w:p>
            <w:pPr>
              <w:pStyle w:val="TableContents"/>
              <w:bidi w:val="0"/>
              <w:spacing w:before="0" w:after="283"/>
              <w:jc w:val="left"/>
              <w:rPr/>
            </w:pPr>
            <w:r>
              <w:rPr/>
              <w:t> </w:t>
            </w:r>
          </w:p>
        </w:tc>
        <w:tc>
          <w:tcPr>
            <w:tcW w:w="2020" w:type="dxa"/>
            <w:tcBorders>
              <w:bottom w:val="single" w:sz="6" w:space="0" w:color="0075C9"/>
            </w:tcBorders>
            <w:tcMar>
              <w:bottom w:w="40" w:type="dxa"/>
            </w:tcMar>
            <w:vAlign w:val="center"/>
          </w:tcPr>
          <w:p>
            <w:pPr>
              <w:pStyle w:val="TableContents"/>
              <w:bidi w:val="0"/>
              <w:spacing w:before="0" w:after="283"/>
              <w:jc w:val="right"/>
              <w:rPr/>
            </w:pPr>
            <w:r>
              <w:rPr/>
              <w:t>350,606,710</w:t>
            </w:r>
          </w:p>
        </w:tc>
        <w:tc>
          <w:tcPr>
            <w:tcW w:w="78"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Arial" w:hAnsi="Arial"/>
                <w:sz w:val="14"/>
              </w:rPr>
            </w:pPr>
            <w:r>
              <w:rPr>
                <w:rFonts w:ascii="Arial" w:hAnsi="Arial"/>
                <w:sz w:val="14"/>
              </w:rPr>
              <w:t xml:space="preserve">Represents shares issuable upon vesting of outstanding SAs granted under the 2026, 2017, and 2001 Stock Plans and PSAs for which there is a grant date under FASB ASC Topic 718, which assume target performance; includes shares under PSAs and options granted under our plans in connection with acquisitions.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305"/>
        <w:gridCol w:w="9890"/>
      </w:tblGrid>
      <w:tr>
        <w:trPr/>
        <w:tc>
          <w:tcPr>
            <w:tcW w:w="305"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0"/>
              <w:jc w:val="left"/>
              <w:rPr>
                <w:rFonts w:ascii="Arial" w:hAnsi="Arial"/>
                <w:sz w:val="14"/>
              </w:rPr>
            </w:pPr>
            <w:r>
              <w:rPr>
                <w:rFonts w:ascii="Arial" w:hAnsi="Arial"/>
                <w:sz w:val="14"/>
              </w:rPr>
              <w:t xml:space="preserve">The weighted average exercise price does not take into account the shares issuable upon vesting of outstanding stock awards, which have no exercise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Arial" w:hAnsi="Arial"/>
                <w:sz w:val="14"/>
              </w:rPr>
            </w:pPr>
            <w:r>
              <w:rPr>
                <w:rFonts w:ascii="Arial" w:hAnsi="Arial"/>
                <w:sz w:val="14"/>
              </w:rPr>
              <w:t xml:space="preserve">Includes 57,250,943 shares remaining available for issuance as of June 30, 2026 under the Employee Stock Purchase Plan, after the exercise of purchase rights on that date.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2" w:name="toc61756_30"/>
      <w:bookmarkEnd w:id="32"/>
      <w:r>
        <w:rPr>
          <w:rFonts w:ascii="Arial" w:hAnsi="Arial"/>
          <w:b/>
          <w:color w:val="0075C9"/>
          <w:sz w:val="28"/>
        </w:rPr>
        <w:t xml:space="preserve">Principal Shareholders </w:t>
      </w:r>
    </w:p>
    <w:p>
      <w:pPr>
        <w:pStyle w:val="TextBody"/>
        <w:bidi w:val="0"/>
        <w:spacing w:before="120" w:after="0"/>
        <w:jc w:val="left"/>
        <w:rPr>
          <w:rFonts w:ascii="Arial" w:hAnsi="Arial"/>
          <w:sz w:val="18"/>
        </w:rPr>
      </w:pPr>
      <w:r>
        <w:rPr>
          <w:rFonts w:ascii="Arial" w:hAnsi="Arial"/>
          <w:sz w:val="18"/>
        </w:rPr>
        <w:t xml:space="preserve">This table lists all entities that are the beneficial owner of more than 5% of Microsoft common stock. </w:t>
      </w:r>
    </w:p>
    <w:p>
      <w:pPr>
        <w:pStyle w:val="TextBody"/>
        <w:bidi w:val="0"/>
        <w:spacing w:before="0" w:after="0"/>
        <w:jc w:val="left"/>
        <w:rPr/>
      </w:pPr>
      <w:r>
        <w:rPr/>
        <w:t> </w:t>
      </w:r>
    </w:p>
    <w:tbl>
      <w:tblPr>
        <w:tblW w:w="7799" w:type="dxa"/>
        <w:jc w:val="left"/>
        <w:tblInd w:w="0" w:type="dxa"/>
        <w:tblLayout w:type="fixed"/>
        <w:tblCellMar>
          <w:top w:w="0" w:type="dxa"/>
          <w:left w:w="0" w:type="dxa"/>
          <w:bottom w:w="0" w:type="dxa"/>
          <w:right w:w="0" w:type="dxa"/>
        </w:tblCellMar>
      </w:tblPr>
      <w:tblGrid>
        <w:gridCol w:w="3305"/>
        <w:gridCol w:w="120"/>
        <w:gridCol w:w="110"/>
        <w:gridCol w:w="2264"/>
        <w:gridCol w:w="60"/>
        <w:gridCol w:w="240"/>
        <w:gridCol w:w="195"/>
        <w:gridCol w:w="1430"/>
        <w:gridCol w:w="75"/>
      </w:tblGrid>
      <w:tr>
        <w:trPr/>
        <w:tc>
          <w:tcPr>
            <w:tcW w:w="3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374"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Amount and</w:t>
            </w:r>
          </w:p>
          <w:p>
            <w:pPr>
              <w:pStyle w:val="TableContents"/>
              <w:bidi w:val="0"/>
              <w:spacing w:before="0" w:after="0"/>
              <w:jc w:val="right"/>
              <w:rPr>
                <w:rFonts w:ascii="Arial" w:hAnsi="Arial"/>
                <w:b/>
                <w:sz w:val="18"/>
              </w:rPr>
            </w:pPr>
            <w:r>
              <w:rPr>
                <w:rFonts w:ascii="Arial" w:hAnsi="Arial"/>
                <w:b/>
                <w:sz w:val="18"/>
              </w:rPr>
              <w:t>Nature of Beneficial</w:t>
            </w:r>
          </w:p>
          <w:p>
            <w:pPr>
              <w:pStyle w:val="TableContents"/>
              <w:bidi w:val="0"/>
              <w:spacing w:before="0" w:after="20"/>
              <w:jc w:val="right"/>
              <w:rPr>
                <w:rFonts w:ascii="Arial" w:hAnsi="Arial"/>
                <w:b/>
                <w:sz w:val="18"/>
              </w:rPr>
            </w:pPr>
            <w:r>
              <w:rPr>
                <w:rFonts w:ascii="Arial" w:hAnsi="Arial"/>
                <w:b/>
                <w:sz w:val="18"/>
              </w:rPr>
              <w:t>Ownership as of 09/30/2026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625" w:type="dxa"/>
            <w:gridSpan w:val="2"/>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Percent of</w:t>
            </w:r>
          </w:p>
          <w:p>
            <w:pPr>
              <w:pStyle w:val="TableContents"/>
              <w:bidi w:val="0"/>
              <w:spacing w:before="0" w:after="0"/>
              <w:jc w:val="right"/>
              <w:rPr>
                <w:rFonts w:ascii="Arial" w:hAnsi="Arial"/>
                <w:b/>
                <w:sz w:val="18"/>
              </w:rPr>
            </w:pPr>
            <w:r>
              <w:rPr>
                <w:rFonts w:ascii="Arial" w:hAnsi="Arial"/>
                <w:b/>
                <w:sz w:val="18"/>
              </w:rPr>
              <w:t>Class to be Voted</w:t>
            </w:r>
          </w:p>
          <w:p>
            <w:pPr>
              <w:pStyle w:val="TableContents"/>
              <w:bidi w:val="0"/>
              <w:spacing w:before="0" w:after="20"/>
              <w:jc w:val="right"/>
              <w:rPr>
                <w:rFonts w:ascii="Arial" w:hAnsi="Arial"/>
                <w:b/>
                <w:sz w:val="18"/>
              </w:rPr>
            </w:pPr>
            <w:r>
              <w:rPr>
                <w:rFonts w:ascii="Arial" w:hAnsi="Arial"/>
                <w:b/>
                <w:sz w:val="18"/>
              </w:rPr>
              <w:t>During the Meeting</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2554"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Vanguard Capital Management LLC</w:t>
            </w:r>
          </w:p>
          <w:p>
            <w:pPr>
              <w:pStyle w:val="TableContents"/>
              <w:bidi w:val="0"/>
              <w:spacing w:before="0" w:after="20"/>
              <w:jc w:val="left"/>
              <w:rPr>
                <w:rFonts w:ascii="Arial" w:hAnsi="Arial"/>
                <w:sz w:val="18"/>
              </w:rPr>
            </w:pPr>
            <w:r>
              <w:rPr>
                <w:rFonts w:ascii="Arial" w:hAnsi="Arial"/>
                <w:sz w:val="18"/>
              </w:rPr>
              <w:t>100 Vanguard Blvd., Malvern, PA 19355</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0" w:type="dxa"/>
            <w:tcBorders>
              <w:bottom w:val="single" w:sz="6" w:space="0" w:color="0075C9"/>
            </w:tcBorders>
            <w:tcMar>
              <w:bottom w:w="40" w:type="dxa"/>
            </w:tcMar>
            <w:vAlign w:val="center"/>
          </w:tcPr>
          <w:p>
            <w:pPr>
              <w:pStyle w:val="TableContents"/>
              <w:bidi w:val="0"/>
              <w:spacing w:before="0" w:after="283"/>
              <w:jc w:val="left"/>
              <w:rPr/>
            </w:pPr>
            <w:r>
              <w:rPr/>
              <w:t> </w:t>
            </w:r>
          </w:p>
        </w:tc>
        <w:tc>
          <w:tcPr>
            <w:tcW w:w="2264" w:type="dxa"/>
            <w:tcBorders>
              <w:bottom w:val="single" w:sz="6" w:space="0" w:color="0075C9"/>
            </w:tcBorders>
            <w:tcMar>
              <w:bottom w:w="40" w:type="dxa"/>
            </w:tcMar>
            <w:vAlign w:val="center"/>
          </w:tcPr>
          <w:p>
            <w:pPr>
              <w:pStyle w:val="TableContents"/>
              <w:bidi w:val="0"/>
              <w:spacing w:before="0" w:after="283"/>
              <w:jc w:val="right"/>
              <w:rPr/>
            </w:pPr>
            <w:r>
              <w:rPr/>
              <w:t>555,988,240¹</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40" w:type="dxa"/>
            </w:tcMar>
            <w:vAlign w:val="center"/>
          </w:tcPr>
          <w:p>
            <w:pPr>
              <w:pStyle w:val="TableContents"/>
              <w:bidi w:val="0"/>
              <w:spacing w:before="0" w:after="283"/>
              <w:jc w:val="left"/>
              <w:rPr/>
            </w:pPr>
            <w:r>
              <w:rPr/>
              <w:t> </w:t>
            </w:r>
          </w:p>
        </w:tc>
        <w:tc>
          <w:tcPr>
            <w:tcW w:w="1430" w:type="dxa"/>
            <w:tcBorders>
              <w:bottom w:val="single" w:sz="6" w:space="0" w:color="0075C9"/>
            </w:tcBorders>
            <w:tcMar>
              <w:bottom w:w="40" w:type="dxa"/>
            </w:tcMar>
            <w:vAlign w:val="center"/>
          </w:tcPr>
          <w:p>
            <w:pPr>
              <w:pStyle w:val="TableContents"/>
              <w:bidi w:val="0"/>
              <w:spacing w:before="0" w:after="283"/>
              <w:jc w:val="right"/>
              <w:rPr/>
            </w:pPr>
            <w:r>
              <w:rPr/>
              <w:t>7.48%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sz w:val="4"/>
                <w:szCs w:val="4"/>
              </w:rPr>
            </w:pPr>
            <w:r>
              <w:rPr>
                <w:sz w:val="4"/>
                <w:szCs w:val="4"/>
              </w:rPr>
            </w:r>
          </w:p>
        </w:tc>
        <w:tc>
          <w:tcPr>
            <w:tcW w:w="2554"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BlackRock, Inc.</w:t>
            </w:r>
          </w:p>
          <w:p>
            <w:pPr>
              <w:pStyle w:val="TableContents"/>
              <w:bidi w:val="0"/>
              <w:spacing w:before="0" w:after="20"/>
              <w:jc w:val="left"/>
              <w:rPr>
                <w:rFonts w:ascii="Arial" w:hAnsi="Arial"/>
                <w:sz w:val="18"/>
              </w:rPr>
            </w:pPr>
            <w:r>
              <w:rPr>
                <w:rFonts w:ascii="Arial" w:hAnsi="Arial"/>
                <w:sz w:val="18"/>
              </w:rPr>
              <w:t>50 Hudson Yards, New York, NY 10001</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10" w:type="dxa"/>
            <w:tcBorders>
              <w:bottom w:val="single" w:sz="6" w:space="0" w:color="0075C9"/>
            </w:tcBorders>
            <w:tcMar>
              <w:bottom w:w="40" w:type="dxa"/>
            </w:tcMar>
            <w:vAlign w:val="center"/>
          </w:tcPr>
          <w:p>
            <w:pPr>
              <w:pStyle w:val="TableContents"/>
              <w:bidi w:val="0"/>
              <w:spacing w:before="0" w:after="283"/>
              <w:jc w:val="left"/>
              <w:rPr/>
            </w:pPr>
            <w:r>
              <w:rPr/>
              <w:t> </w:t>
            </w:r>
          </w:p>
        </w:tc>
        <w:tc>
          <w:tcPr>
            <w:tcW w:w="2264" w:type="dxa"/>
            <w:tcBorders>
              <w:bottom w:val="single" w:sz="6" w:space="0" w:color="0075C9"/>
            </w:tcBorders>
            <w:tcMar>
              <w:bottom w:w="40" w:type="dxa"/>
            </w:tcMar>
            <w:vAlign w:val="center"/>
          </w:tcPr>
          <w:p>
            <w:pPr>
              <w:pStyle w:val="TableContents"/>
              <w:bidi w:val="0"/>
              <w:spacing w:before="0" w:after="283"/>
              <w:jc w:val="right"/>
              <w:rPr/>
            </w:pPr>
            <w:r>
              <w:rPr/>
              <w:t>540,020,228²</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195" w:type="dxa"/>
            <w:tcBorders>
              <w:bottom w:val="single" w:sz="6" w:space="0" w:color="0075C9"/>
            </w:tcBorders>
            <w:tcMar>
              <w:bottom w:w="40" w:type="dxa"/>
            </w:tcMar>
            <w:vAlign w:val="center"/>
          </w:tcPr>
          <w:p>
            <w:pPr>
              <w:pStyle w:val="TableContents"/>
              <w:bidi w:val="0"/>
              <w:spacing w:before="0" w:after="283"/>
              <w:jc w:val="left"/>
              <w:rPr/>
            </w:pPr>
            <w:r>
              <w:rPr/>
              <w:t> </w:t>
            </w:r>
          </w:p>
        </w:tc>
        <w:tc>
          <w:tcPr>
            <w:tcW w:w="1430" w:type="dxa"/>
            <w:tcBorders>
              <w:bottom w:val="single" w:sz="6" w:space="0" w:color="0075C9"/>
            </w:tcBorders>
            <w:tcMar>
              <w:bottom w:w="40" w:type="dxa"/>
            </w:tcMar>
            <w:vAlign w:val="center"/>
          </w:tcPr>
          <w:p>
            <w:pPr>
              <w:pStyle w:val="TableContents"/>
              <w:bidi w:val="0"/>
              <w:spacing w:before="0" w:after="283"/>
              <w:jc w:val="right"/>
              <w:rPr/>
            </w:pPr>
            <w:r>
              <w:rPr/>
              <w:t>7.30%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All information about Vanguard Capital Management LLC is based on a Schedule 13G filed with the SEC on April 30, 2026. The Vanguard Group, Inc. reported that it has sole voting power with respect to 73,430,154 shares of common stock, sole dispositive power with respect to 555,988,240 shares of common stock, and no shared voting power or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Arial" w:hAnsi="Arial"/>
                <w:sz w:val="14"/>
              </w:rPr>
            </w:pPr>
            <w:r>
              <w:rPr>
                <w:rFonts w:ascii="Arial" w:hAnsi="Arial"/>
                <w:sz w:val="14"/>
              </w:rPr>
              <w:t xml:space="preserve">All information about BlackRock, Inc. is based on a Schedule 13G/A filed with the SEC on February 13, 2024. BlackRock, Inc. reported that it has sole voting power with respect to 487,219,696 shares of common stock, sole dispositive power with respect to 540,020,228 shares of common stock, and no shared voting or shared dispositive power.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3" w:name="toc61756_31"/>
      <w:bookmarkEnd w:id="33"/>
      <w:r>
        <w:rPr>
          <w:rFonts w:ascii="Arial" w:hAnsi="Arial"/>
          <w:b/>
          <w:color w:val="0075C9"/>
          <w:sz w:val="28"/>
        </w:rPr>
        <w:t xml:space="preserve">Stock Ownership Information </w:t>
      </w:r>
    </w:p>
    <w:p>
      <w:pPr>
        <w:pStyle w:val="TextBody"/>
        <w:bidi w:val="0"/>
        <w:spacing w:before="120" w:after="0"/>
        <w:jc w:val="left"/>
        <w:rPr>
          <w:rFonts w:ascii="Arial" w:hAnsi="Arial"/>
          <w:sz w:val="18"/>
        </w:rPr>
      </w:pPr>
      <w:r>
        <w:rPr>
          <w:rFonts w:ascii="Arial" w:hAnsi="Arial"/>
          <w:sz w:val="18"/>
        </w:rPr>
        <w:t xml:space="preserve">As of September 30, 2026, this table describes the number of shares of our common stock beneficially owned, and the additional underlying shares or stock units held, by each director, director nominee, Named Executive, and all directors and executive officers as a group, together with additional underlying shares or stock units as described in Notes 2 through 4 to the table. </w:t>
      </w:r>
    </w:p>
    <w:p>
      <w:pPr>
        <w:pStyle w:val="TextBody"/>
        <w:bidi w:val="0"/>
        <w:spacing w:before="240" w:after="0"/>
        <w:jc w:val="left"/>
        <w:rPr>
          <w:rFonts w:ascii="Arial" w:hAnsi="Arial"/>
          <w:sz w:val="18"/>
        </w:rPr>
      </w:pPr>
      <w:r>
        <w:rPr>
          <w:rFonts w:ascii="Arial" w:hAnsi="Arial"/>
          <w:sz w:val="18"/>
        </w:rPr>
        <w:t xml:space="preserve">In computing the number and percentage of shares beneficially owned by each person under the Common Stock column below, we have included any shares of our common stock that could be acquired within 60 days of September 30, 2026, by exercising options, vesting SAs, or receiving shares credited under the Deferred Compensation Plan for Non-Employee Directors. These shares, however, are not counted in computing the percentage ownership of any other person.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73"/>
        <w:gridCol w:w="120"/>
        <w:gridCol w:w="81"/>
        <w:gridCol w:w="1327"/>
        <w:gridCol w:w="433"/>
        <w:gridCol w:w="81"/>
        <w:gridCol w:w="232"/>
        <w:gridCol w:w="553"/>
        <w:gridCol w:w="60"/>
        <w:gridCol w:w="120"/>
        <w:gridCol w:w="130"/>
        <w:gridCol w:w="1480"/>
        <w:gridCol w:w="60"/>
        <w:gridCol w:w="120"/>
        <w:gridCol w:w="60"/>
        <w:gridCol w:w="800"/>
        <w:gridCol w:w="75"/>
      </w:tblGrid>
      <w:tr>
        <w:trPr/>
        <w:tc>
          <w:tcPr>
            <w:tcW w:w="44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73"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707" w:type="dxa"/>
            <w:gridSpan w:val="6"/>
            <w:tcBorders/>
            <w:vAlign w:val="center"/>
          </w:tcPr>
          <w:p>
            <w:pPr>
              <w:pStyle w:val="TableContents"/>
              <w:bidi w:val="0"/>
              <w:spacing w:before="0" w:after="283"/>
              <w:jc w:val="right"/>
              <w:rPr>
                <w:b/>
              </w:rPr>
            </w:pPr>
            <w:r>
              <w:rPr>
                <w:b/>
              </w:rPr>
              <w:t>Beneficial Ownership</w:t>
            </w:r>
          </w:p>
        </w:tc>
        <w:tc>
          <w:tcPr>
            <w:tcW w:w="60" w:type="dxa"/>
            <w:tcBorders/>
            <w:vAlign w:val="center"/>
          </w:tcPr>
          <w:p>
            <w:pPr>
              <w:pStyle w:val="TableContents"/>
              <w:bidi w:val="0"/>
              <w:spacing w:before="0" w:after="283"/>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Additional</w:t>
            </w:r>
          </w:p>
          <w:p>
            <w:pPr>
              <w:pStyle w:val="TableContents"/>
              <w:bidi w:val="0"/>
              <w:spacing w:before="0" w:after="0"/>
              <w:jc w:val="right"/>
              <w:rPr>
                <w:rFonts w:ascii="Arial" w:hAnsi="Arial"/>
                <w:b/>
                <w:sz w:val="18"/>
              </w:rPr>
            </w:pPr>
            <w:r>
              <w:rPr>
                <w:rFonts w:ascii="Arial" w:hAnsi="Arial"/>
                <w:b/>
                <w:sz w:val="18"/>
              </w:rPr>
              <w:t>Underlying Shares</w:t>
            </w:r>
          </w:p>
          <w:p>
            <w:pPr>
              <w:pStyle w:val="TableContents"/>
              <w:bidi w:val="0"/>
              <w:spacing w:before="0" w:after="0"/>
              <w:jc w:val="right"/>
              <w:rPr>
                <w:rFonts w:ascii="Arial" w:hAnsi="Arial"/>
                <w:b/>
                <w:sz w:val="18"/>
              </w:rPr>
            </w:pPr>
            <w:r>
              <w:rPr>
                <w:rFonts w:ascii="Arial" w:hAnsi="Arial"/>
                <w:b/>
                <w:sz w:val="18"/>
              </w:rPr>
              <w:t>or Stock Units3,4</w:t>
            </w:r>
          </w:p>
          <w:p>
            <w:pPr>
              <w:pStyle w:val="TableContents"/>
              <w:bidi w:val="0"/>
              <w:spacing w:before="0" w:after="20"/>
              <w:jc w:val="left"/>
              <w:rPr/>
            </w:pPr>
            <w:r>
              <w:rPr/>
              <w:t> </w:t>
            </w:r>
          </w:p>
        </w:tc>
        <w:tc>
          <w:tcPr>
            <w:tcW w:w="6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8" w:space="0" w:color="000000"/>
            </w:tcBorders>
            <w:tcMar>
              <w:bottom w:w="40" w:type="dxa"/>
            </w:tcMar>
            <w:vAlign w:val="center"/>
          </w:tcPr>
          <w:p>
            <w:pPr>
              <w:pStyle w:val="TableContents"/>
              <w:bidi w:val="0"/>
              <w:spacing w:before="0" w:after="0"/>
              <w:jc w:val="right"/>
              <w:rPr>
                <w:rFonts w:ascii="Arial" w:hAnsi="Arial"/>
                <w:b/>
                <w:sz w:val="18"/>
              </w:rPr>
            </w:pPr>
            <w:r>
              <w:rPr>
                <w:rFonts w:ascii="Arial" w:hAnsi="Arial"/>
                <w:b/>
                <w:sz w:val="18"/>
              </w:rPr>
              <w:t>Total5</w:t>
            </w:r>
          </w:p>
          <w:p>
            <w:pPr>
              <w:pStyle w:val="TableContents"/>
              <w:bidi w:val="0"/>
              <w:spacing w:before="0" w:after="20"/>
              <w:jc w:val="left"/>
              <w:rPr/>
            </w:pPr>
            <w:r>
              <w:rPr/>
              <w:t> </w:t>
            </w:r>
          </w:p>
        </w:tc>
        <w:tc>
          <w:tcPr>
            <w:tcW w:w="75" w:type="dxa"/>
            <w:vMerge w:val="restart"/>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73" w:type="dxa"/>
            <w:tcBorders>
              <w:bottom w:val="single" w:sz="8"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Name</w:t>
            </w:r>
          </w:p>
          <w:p>
            <w:pPr>
              <w:pStyle w:val="TableContents"/>
              <w:pBdr>
                <w:bottom w:val="single" w:sz="8" w:space="1" w:color="000000"/>
              </w:pBdr>
              <w:bidi w:val="0"/>
              <w:spacing w:before="0" w:after="20"/>
              <w:jc w:val="left"/>
              <w:rPr/>
            </w:pPr>
            <w:r>
              <w:rPr/>
              <w:t> </w:t>
            </w:r>
          </w:p>
        </w:tc>
        <w:tc>
          <w:tcPr>
            <w:tcW w:w="120" w:type="dxa"/>
            <w:tcBorders>
              <w:top w:val="single" w:sz="6"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408" w:type="dxa"/>
            <w:gridSpan w:val="2"/>
            <w:tcBorders>
              <w:top w:val="single" w:sz="6" w:space="0" w:color="000000"/>
              <w:bottom w:val="single" w:sz="8" w:space="0" w:color="000000"/>
            </w:tcBorders>
            <w:tcMar>
              <w:top w:w="28" w:type="dxa"/>
              <w:bottom w:w="28" w:type="dxa"/>
            </w:tcMar>
            <w:vAlign w:val="center"/>
          </w:tcPr>
          <w:p>
            <w:pPr>
              <w:pStyle w:val="TableContents"/>
              <w:bidi w:val="0"/>
              <w:jc w:val="right"/>
              <w:rPr/>
            </w:pPr>
            <w:r>
              <w:rPr>
                <w:b/>
                <w:sz w:val="18"/>
              </w:rPr>
              <w:t>Common</w:t>
            </w:r>
            <w:r>
              <w:rPr/>
              <w:br/>
            </w:r>
            <w:r>
              <w:rPr>
                <w:b/>
                <w:sz w:val="18"/>
              </w:rPr>
              <w:t>Stock1,2</w:t>
            </w:r>
            <w:r>
              <w:rPr/>
              <w:t xml:space="preserve"> </w:t>
            </w:r>
          </w:p>
          <w:p>
            <w:pPr>
              <w:pStyle w:val="TableContents"/>
              <w:bidi w:val="0"/>
              <w:spacing w:before="0" w:after="20"/>
              <w:jc w:val="left"/>
              <w:rPr/>
            </w:pPr>
            <w:r>
              <w:rPr/>
              <w:t> </w:t>
            </w:r>
          </w:p>
        </w:tc>
        <w:tc>
          <w:tcPr>
            <w:tcW w:w="433" w:type="dxa"/>
            <w:tcBorders>
              <w:top w:val="single" w:sz="6"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1" w:type="dxa"/>
            <w:tcBorders>
              <w:top w:val="single" w:sz="6"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85" w:type="dxa"/>
            <w:gridSpan w:val="2"/>
            <w:tcBorders>
              <w:top w:val="single" w:sz="6" w:space="0" w:color="000000"/>
              <w:bottom w:val="single" w:sz="8" w:space="0" w:color="000000"/>
            </w:tcBorders>
            <w:tcMar>
              <w:top w:w="28" w:type="dxa"/>
              <w:bottom w:w="28" w:type="dxa"/>
            </w:tcMar>
            <w:vAlign w:val="center"/>
          </w:tcPr>
          <w:p>
            <w:pPr>
              <w:pStyle w:val="TableContents"/>
              <w:bidi w:val="0"/>
              <w:jc w:val="right"/>
              <w:rPr/>
            </w:pPr>
            <w:r>
              <w:rPr>
                <w:b/>
                <w:sz w:val="18"/>
              </w:rPr>
              <w:t>Percent of</w:t>
            </w:r>
            <w:r>
              <w:rPr/>
              <w:br/>
            </w:r>
            <w:r>
              <w:rPr>
                <w:b/>
                <w:sz w:val="18"/>
              </w:rPr>
              <w:t>Common</w:t>
            </w:r>
            <w:r>
              <w:rPr/>
              <w:br/>
            </w:r>
            <w:r>
              <w:rPr>
                <w:b/>
                <w:sz w:val="18"/>
              </w:rPr>
              <w:t>Stock</w:t>
            </w:r>
            <w:r>
              <w:rPr/>
              <w:t xml:space="preserve"> </w:t>
            </w:r>
          </w:p>
          <w:p>
            <w:pPr>
              <w:pStyle w:val="TableContents"/>
              <w:bidi w:val="0"/>
              <w:spacing w:before="0" w:after="20"/>
              <w:jc w:val="left"/>
              <w:rPr/>
            </w:pPr>
            <w:r>
              <w:rPr/>
              <w:t> </w:t>
            </w:r>
          </w:p>
        </w:tc>
        <w:tc>
          <w:tcPr>
            <w:tcW w:w="60" w:type="dxa"/>
            <w:tcBorders>
              <w:top w:val="single" w:sz="6"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610" w:type="dxa"/>
            <w:gridSpan w:val="2"/>
            <w:vMerge w:val="continue"/>
            <w:tcBorders>
              <w:bottom w:val="single" w:sz="8" w:space="0" w:color="000000"/>
            </w:tcBorders>
            <w:tcMar>
              <w:bottom w:w="40" w:type="dxa"/>
            </w:tcMar>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bottom w:val="single" w:sz="8" w:space="0" w:color="000000"/>
            </w:tcBorders>
            <w:tcMar>
              <w:bottom w:w="40" w:type="dxa"/>
            </w:tcMar>
            <w:vAlign w:val="center"/>
          </w:tcPr>
          <w:p>
            <w:pPr>
              <w:pStyle w:val="Normal"/>
              <w:bidi w:val="0"/>
              <w:jc w:val="left"/>
              <w:rPr/>
            </w:pPr>
            <w:r>
              <w:rPr/>
            </w:r>
          </w:p>
        </w:tc>
        <w:tc>
          <w:tcPr>
            <w:tcW w:w="86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bottom w:val="single" w:sz="8" w:space="0" w:color="000000"/>
            </w:tcBorders>
            <w:tcMar>
              <w:bottom w:w="28" w:type="dxa"/>
            </w:tcMar>
            <w:vAlign w:val="center"/>
          </w:tcPr>
          <w:p>
            <w:pPr>
              <w:pStyle w:val="Normal"/>
              <w:bidi w:val="0"/>
              <w:jc w:val="left"/>
              <w:rPr/>
            </w:pPr>
            <w:r>
              <w:rPr/>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Collison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0</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Carmine Di Sibio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498</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498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Reid G. Hoffman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15,905</w:t>
            </w:r>
          </w:p>
        </w:tc>
        <w:tc>
          <w:tcPr>
            <w:tcW w:w="433" w:type="dxa"/>
            <w:tcBorders>
              <w:bottom w:val="single" w:sz="6" w:space="0" w:color="0075C9"/>
            </w:tcBorders>
            <w:tcMar>
              <w:bottom w:w="40" w:type="dxa"/>
            </w:tcMar>
            <w:vAlign w:val="center"/>
          </w:tcPr>
          <w:p>
            <w:pPr>
              <w:pStyle w:val="TableContents"/>
              <w:bidi w:val="0"/>
              <w:spacing w:before="0" w:after="283"/>
              <w:jc w:val="left"/>
              <w:rPr/>
            </w:pPr>
            <w:r>
              <w:rPr/>
              <w:t>6 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17,182</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33,087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Hugh F. Johnston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8,220</w:t>
            </w:r>
          </w:p>
        </w:tc>
        <w:tc>
          <w:tcPr>
            <w:tcW w:w="433" w:type="dxa"/>
            <w:tcBorders>
              <w:bottom w:val="single" w:sz="6" w:space="0" w:color="0075C9"/>
            </w:tcBorders>
            <w:tcMar>
              <w:bottom w:w="40" w:type="dxa"/>
            </w:tcMar>
            <w:vAlign w:val="center"/>
          </w:tcPr>
          <w:p>
            <w:pPr>
              <w:pStyle w:val="TableContents"/>
              <w:bidi w:val="0"/>
              <w:spacing w:before="0" w:after="283"/>
              <w:jc w:val="left"/>
              <w:rPr/>
            </w:pPr>
            <w:r>
              <w:rPr/>
              <w:t>7 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1,884</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10,104</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Teri L. List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26,338</w:t>
            </w:r>
          </w:p>
        </w:tc>
        <w:tc>
          <w:tcPr>
            <w:tcW w:w="433" w:type="dxa"/>
            <w:tcBorders>
              <w:bottom w:val="single" w:sz="6" w:space="0" w:color="0075C9"/>
            </w:tcBorders>
            <w:tcMar>
              <w:bottom w:w="40" w:type="dxa"/>
            </w:tcMar>
            <w:vAlign w:val="center"/>
          </w:tcPr>
          <w:p>
            <w:pPr>
              <w:pStyle w:val="TableContents"/>
              <w:bidi w:val="0"/>
              <w:spacing w:before="0" w:after="283"/>
              <w:jc w:val="left"/>
              <w:rPr/>
            </w:pPr>
            <w:r>
              <w:rPr/>
              <w:t>8 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26,338</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Catherine MacGregor</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0</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2,389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2,389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Mark A. L. Mason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1,675</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427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2,102</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Sandra E. Peterson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31,911</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31,911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Penny S. Pritzker</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26,550</w:t>
            </w:r>
          </w:p>
        </w:tc>
        <w:tc>
          <w:tcPr>
            <w:tcW w:w="433" w:type="dxa"/>
            <w:tcBorders>
              <w:bottom w:val="single" w:sz="6" w:space="0" w:color="0075C9"/>
            </w:tcBorders>
            <w:tcMar>
              <w:bottom w:w="40" w:type="dxa"/>
            </w:tcMar>
            <w:vAlign w:val="center"/>
          </w:tcPr>
          <w:p>
            <w:pPr>
              <w:pStyle w:val="TableContents"/>
              <w:bidi w:val="0"/>
              <w:spacing w:before="0" w:after="283"/>
              <w:jc w:val="left"/>
              <w:rPr/>
            </w:pPr>
            <w:r>
              <w:rPr/>
              <w:t>9 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26,550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David Rainey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5,886</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5,886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Charles W. Scharf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45,691</w:t>
            </w:r>
          </w:p>
        </w:tc>
        <w:tc>
          <w:tcPr>
            <w:tcW w:w="433" w:type="dxa"/>
            <w:tcBorders>
              <w:bottom w:val="single" w:sz="6" w:space="0" w:color="0075C9"/>
            </w:tcBorders>
            <w:tcMar>
              <w:bottom w:w="40" w:type="dxa"/>
            </w:tcMar>
            <w:vAlign w:val="center"/>
          </w:tcPr>
          <w:p>
            <w:pPr>
              <w:pStyle w:val="TableContents"/>
              <w:bidi w:val="0"/>
              <w:spacing w:before="0" w:after="283"/>
              <w:jc w:val="left"/>
              <w:rPr/>
            </w:pPr>
            <w:r>
              <w:rPr/>
              <w:t>10 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45,691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John W. Stanton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87,801</w:t>
            </w:r>
          </w:p>
        </w:tc>
        <w:tc>
          <w:tcPr>
            <w:tcW w:w="433" w:type="dxa"/>
            <w:tcBorders>
              <w:bottom w:val="single" w:sz="6" w:space="0" w:color="0075C9"/>
            </w:tcBorders>
            <w:tcMar>
              <w:bottom w:w="40" w:type="dxa"/>
            </w:tcMar>
            <w:vAlign w:val="center"/>
          </w:tcPr>
          <w:p>
            <w:pPr>
              <w:pStyle w:val="TableContents"/>
              <w:bidi w:val="0"/>
              <w:spacing w:before="0" w:after="283"/>
              <w:jc w:val="left"/>
              <w:rPr/>
            </w:pPr>
            <w:r>
              <w:rPr/>
              <w:t>11 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87,801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Emma N. Walmsley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9,913</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1,390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11,303</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Satya Nadella</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918,226</w:t>
            </w:r>
          </w:p>
        </w:tc>
        <w:tc>
          <w:tcPr>
            <w:tcW w:w="433" w:type="dxa"/>
            <w:tcBorders>
              <w:bottom w:val="single" w:sz="6" w:space="0" w:color="0075C9"/>
            </w:tcBorders>
            <w:tcMar>
              <w:bottom w:w="40" w:type="dxa"/>
            </w:tcMar>
            <w:vAlign w:val="center"/>
          </w:tcPr>
          <w:p>
            <w:pPr>
              <w:pStyle w:val="TableContents"/>
              <w:bidi w:val="0"/>
              <w:spacing w:before="0" w:after="283"/>
              <w:jc w:val="left"/>
              <w:rPr/>
            </w:pPr>
            <w:r>
              <w:rPr/>
              <w:t>12 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918,226</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Amy E. Hood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459,226</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67,053</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526,279</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Judson B. Althoff</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74,442</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66,725</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141,167</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Takeshi Numoto</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32,191</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11,569</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43,760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Bradford L. Smith</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372,454</w:t>
            </w:r>
          </w:p>
        </w:tc>
        <w:tc>
          <w:tcPr>
            <w:tcW w:w="433" w:type="dxa"/>
            <w:tcBorders>
              <w:bottom w:val="single" w:sz="6" w:space="0" w:color="0075C9"/>
            </w:tcBorders>
            <w:tcMar>
              <w:bottom w:w="40" w:type="dxa"/>
            </w:tcMar>
            <w:vAlign w:val="center"/>
          </w:tcPr>
          <w:p>
            <w:pPr>
              <w:pStyle w:val="TableContents"/>
              <w:bidi w:val="0"/>
              <w:spacing w:before="0" w:after="283"/>
              <w:jc w:val="left"/>
              <w:rPr/>
            </w:pPr>
            <w:r>
              <w:rPr/>
              <w:t>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29,077</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401,531</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4473" w:type="dxa"/>
            <w:tcBorders/>
            <w:vAlign w:val="center"/>
          </w:tcPr>
          <w:p>
            <w:pPr>
              <w:pStyle w:val="TableContents"/>
              <w:bidi w:val="0"/>
              <w:spacing w:before="0" w:after="283"/>
              <w:jc w:val="left"/>
              <w:rPr>
                <w:sz w:val="4"/>
                <w:szCs w:val="4"/>
              </w:rPr>
            </w:pPr>
            <w:r>
              <w:rPr>
                <w:sz w:val="4"/>
                <w:szCs w:val="4"/>
              </w:rPr>
            </w:r>
          </w:p>
        </w:tc>
        <w:tc>
          <w:tcPr>
            <w:tcW w:w="1961" w:type="dxa"/>
            <w:gridSpan w:val="4"/>
            <w:tcBorders/>
            <w:vAlign w:val="center"/>
          </w:tcPr>
          <w:p>
            <w:pPr>
              <w:pStyle w:val="TableContents"/>
              <w:bidi w:val="0"/>
              <w:spacing w:before="0" w:after="283"/>
              <w:jc w:val="left"/>
              <w:rPr>
                <w:sz w:val="4"/>
                <w:szCs w:val="4"/>
              </w:rPr>
            </w:pPr>
            <w:r>
              <w:rPr>
                <w:sz w:val="4"/>
                <w:szCs w:val="4"/>
              </w:rPr>
            </w:r>
          </w:p>
        </w:tc>
        <w:tc>
          <w:tcPr>
            <w:tcW w:w="926"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4473" w:type="dxa"/>
            <w:tcBorders>
              <w:bottom w:val="single" w:sz="6" w:space="0" w:color="0075C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Directors and Executive Officers as a Group (18 people)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81" w:type="dxa"/>
            <w:tcBorders>
              <w:bottom w:val="single" w:sz="6" w:space="0" w:color="0075C9"/>
            </w:tcBorders>
            <w:tcMar>
              <w:bottom w:w="40" w:type="dxa"/>
            </w:tcMar>
            <w:vAlign w:val="center"/>
          </w:tcPr>
          <w:p>
            <w:pPr>
              <w:pStyle w:val="TableContents"/>
              <w:bidi w:val="0"/>
              <w:spacing w:before="0" w:after="283"/>
              <w:jc w:val="left"/>
              <w:rPr/>
            </w:pPr>
            <w:r>
              <w:rPr/>
              <w:t> </w:t>
            </w:r>
          </w:p>
        </w:tc>
        <w:tc>
          <w:tcPr>
            <w:tcW w:w="1327" w:type="dxa"/>
            <w:tcBorders>
              <w:bottom w:val="single" w:sz="6" w:space="0" w:color="0075C9"/>
            </w:tcBorders>
            <w:tcMar>
              <w:bottom w:w="40" w:type="dxa"/>
            </w:tcMar>
            <w:vAlign w:val="center"/>
          </w:tcPr>
          <w:p>
            <w:pPr>
              <w:pStyle w:val="TableContents"/>
              <w:bidi w:val="0"/>
              <w:spacing w:before="0" w:after="283"/>
              <w:jc w:val="right"/>
              <w:rPr/>
            </w:pPr>
            <w:r>
              <w:rPr/>
              <w:t>2,139,607</w:t>
            </w:r>
          </w:p>
        </w:tc>
        <w:tc>
          <w:tcPr>
            <w:tcW w:w="433" w:type="dxa"/>
            <w:tcBorders>
              <w:bottom w:val="single" w:sz="6" w:space="0" w:color="0075C9"/>
            </w:tcBorders>
            <w:tcMar>
              <w:bottom w:w="40" w:type="dxa"/>
            </w:tcMar>
            <w:vAlign w:val="center"/>
          </w:tcPr>
          <w:p>
            <w:pPr>
              <w:pStyle w:val="TableContents"/>
              <w:bidi w:val="0"/>
              <w:spacing w:before="0" w:after="283"/>
              <w:jc w:val="left"/>
              <w:rPr/>
            </w:pPr>
            <w:r>
              <w:rPr/>
              <w:t>13 </w:t>
            </w:r>
          </w:p>
        </w:tc>
        <w:tc>
          <w:tcPr>
            <w:tcW w:w="81" w:type="dxa"/>
            <w:tcBorders>
              <w:bottom w:val="single" w:sz="6" w:space="0" w:color="0075C9"/>
            </w:tcBorders>
            <w:tcMar>
              <w:bottom w:w="28" w:type="dxa"/>
            </w:tcMar>
            <w:vAlign w:val="center"/>
          </w:tcPr>
          <w:p>
            <w:pPr>
              <w:pStyle w:val="TableContents"/>
              <w:bidi w:val="0"/>
              <w:spacing w:before="0" w:after="283"/>
              <w:jc w:val="left"/>
              <w:rPr/>
            </w:pPr>
            <w:r>
              <w:rPr/>
              <w:t> </w:t>
            </w:r>
          </w:p>
        </w:tc>
        <w:tc>
          <w:tcPr>
            <w:tcW w:w="232" w:type="dxa"/>
            <w:tcBorders>
              <w:bottom w:val="single" w:sz="6" w:space="0" w:color="0075C9"/>
            </w:tcBorders>
            <w:tcMar>
              <w:bottom w:w="40" w:type="dxa"/>
            </w:tcMar>
            <w:vAlign w:val="center"/>
          </w:tcPr>
          <w:p>
            <w:pPr>
              <w:pStyle w:val="TableContents"/>
              <w:bidi w:val="0"/>
              <w:spacing w:before="0" w:after="283"/>
              <w:jc w:val="left"/>
              <w:rPr/>
            </w:pPr>
            <w:r>
              <w:rPr/>
              <w:t> </w:t>
            </w:r>
          </w:p>
        </w:tc>
        <w:tc>
          <w:tcPr>
            <w:tcW w:w="553" w:type="dxa"/>
            <w:tcBorders>
              <w:bottom w:val="single" w:sz="6" w:space="0" w:color="0075C9"/>
            </w:tcBorders>
            <w:tcMar>
              <w:bottom w:w="40" w:type="dxa"/>
            </w:tcMar>
            <w:vAlign w:val="center"/>
          </w:tcPr>
          <w:p>
            <w:pPr>
              <w:pStyle w:val="TableContents"/>
              <w:bidi w:val="0"/>
              <w:spacing w:before="0" w:after="283"/>
              <w:jc w:val="right"/>
              <w:rPr/>
            </w:pPr>
            <w:r>
              <w:rPr/>
              <w:t>*</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30" w:type="dxa"/>
            <w:tcBorders>
              <w:bottom w:val="single" w:sz="6" w:space="0" w:color="0075C9"/>
            </w:tcBorders>
            <w:tcMar>
              <w:bottom w:w="40" w:type="dxa"/>
            </w:tcMar>
            <w:vAlign w:val="center"/>
          </w:tcPr>
          <w:p>
            <w:pPr>
              <w:pStyle w:val="TableContents"/>
              <w:bidi w:val="0"/>
              <w:spacing w:before="0" w:after="283"/>
              <w:jc w:val="left"/>
              <w:rPr/>
            </w:pPr>
            <w:r>
              <w:rPr/>
              <w:t> </w:t>
            </w:r>
          </w:p>
        </w:tc>
        <w:tc>
          <w:tcPr>
            <w:tcW w:w="1480" w:type="dxa"/>
            <w:tcBorders>
              <w:bottom w:val="single" w:sz="6" w:space="0" w:color="0075C9"/>
            </w:tcBorders>
            <w:tcMar>
              <w:bottom w:w="40" w:type="dxa"/>
            </w:tcMar>
            <w:vAlign w:val="center"/>
          </w:tcPr>
          <w:p>
            <w:pPr>
              <w:pStyle w:val="TableContents"/>
              <w:bidi w:val="0"/>
              <w:spacing w:before="0" w:after="283"/>
              <w:jc w:val="right"/>
              <w:rPr/>
            </w:pPr>
            <w:r>
              <w:rPr/>
              <w:t>N/A</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800" w:type="dxa"/>
            <w:tcBorders>
              <w:bottom w:val="single" w:sz="6" w:space="0" w:color="0075C9"/>
            </w:tcBorders>
            <w:tcMar>
              <w:bottom w:w="40" w:type="dxa"/>
            </w:tcMar>
            <w:vAlign w:val="center"/>
          </w:tcPr>
          <w:p>
            <w:pPr>
              <w:pStyle w:val="TableContents"/>
              <w:bidi w:val="0"/>
              <w:spacing w:before="0" w:after="283"/>
              <w:jc w:val="right"/>
              <w:rPr/>
            </w:pPr>
            <w:r>
              <w:rPr/>
              <w:t>N/A</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155"/>
        <w:gridCol w:w="935"/>
      </w:tblGrid>
      <w:tr>
        <w:trPr/>
        <w:tc>
          <w:tcPr>
            <w:tcW w:w="155"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0"/>
              <w:jc w:val="left"/>
              <w:rPr>
                <w:rFonts w:ascii="Arial" w:hAnsi="Arial"/>
                <w:sz w:val="14"/>
              </w:rPr>
            </w:pPr>
            <w:r>
              <w:rPr>
                <w:rFonts w:ascii="Arial" w:hAnsi="Arial"/>
                <w:sz w:val="14"/>
              </w:rPr>
              <w:t xml:space="preserve">Less than 1%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305"/>
        <w:gridCol w:w="4205"/>
      </w:tblGrid>
      <w:tr>
        <w:trPr/>
        <w:tc>
          <w:tcPr>
            <w:tcW w:w="305" w:type="dxa"/>
            <w:tcBorders/>
            <w:vAlign w:val="center"/>
          </w:tcPr>
          <w:p>
            <w:pPr>
              <w:pStyle w:val="TableContents"/>
              <w:bidi w:val="0"/>
              <w:spacing w:before="0" w:after="283"/>
              <w:jc w:val="left"/>
              <w:rPr/>
            </w:pPr>
            <w:r>
              <w:rPr/>
              <w:t>(1)</w:t>
            </w:r>
          </w:p>
        </w:tc>
        <w:tc>
          <w:tcPr>
            <w:tcW w:w="4205" w:type="dxa"/>
            <w:tcBorders/>
            <w:vAlign w:val="center"/>
          </w:tcPr>
          <w:p>
            <w:pPr>
              <w:pStyle w:val="TableContents"/>
              <w:bidi w:val="0"/>
              <w:spacing w:before="0" w:after="0"/>
              <w:jc w:val="left"/>
              <w:rPr>
                <w:rFonts w:ascii="Arial" w:hAnsi="Arial"/>
                <w:sz w:val="14"/>
              </w:rPr>
            </w:pPr>
            <w:r>
              <w:rPr>
                <w:rFonts w:ascii="Arial" w:hAnsi="Arial"/>
                <w:sz w:val="14"/>
              </w:rPr>
              <w:t xml:space="preserve">Beneficial ownership represents sole voting and investment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Arial" w:hAnsi="Arial"/>
                <w:sz w:val="14"/>
              </w:rPr>
            </w:pPr>
            <w:r>
              <w:rPr>
                <w:rFonts w:ascii="Arial" w:hAnsi="Arial"/>
                <w:sz w:val="14"/>
              </w:rPr>
              <w:t xml:space="preserve">For directors, includes shares credited under the Deferred Compensation Plan for Non-Employee Directors that may be distributable within 60 days of September 30, 2026: Mr. Di Sibio, 138; Mr. Johnston, 470; Ms. List, 23,117; Ms. Peterson, 26,511; Ms. Pritzker, 14,550; and Mr. Rainey, 422.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Arial" w:hAnsi="Arial"/>
                <w:sz w:val="14"/>
              </w:rPr>
            </w:pPr>
            <w:r>
              <w:rPr>
                <w:rFonts w:ascii="Arial" w:hAnsi="Arial"/>
                <w:sz w:val="14"/>
              </w:rPr>
              <w:t xml:space="preserve">For directors, includes shares credited under the Deferred Compensation Plan for Non-Employee Directors not beneficially owned because they are not payable within 60 days following termination of Board service: Mr. Hoffman, 17,182; Mr. Johnston, 1,884; Ms. MacGregor, 2,389; Mr. Mason, 427; and Ms. Walmsley, 1,390.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305"/>
        <w:gridCol w:w="8465"/>
      </w:tblGrid>
      <w:tr>
        <w:trPr/>
        <w:tc>
          <w:tcPr>
            <w:tcW w:w="305" w:type="dxa"/>
            <w:tcBorders/>
            <w:vAlign w:val="center"/>
          </w:tcPr>
          <w:p>
            <w:pPr>
              <w:pStyle w:val="TableContents"/>
              <w:bidi w:val="0"/>
              <w:spacing w:before="0" w:after="283"/>
              <w:jc w:val="left"/>
              <w:rPr/>
            </w:pPr>
            <w:r>
              <w:rPr/>
              <w:t>(4)</w:t>
            </w:r>
          </w:p>
        </w:tc>
        <w:tc>
          <w:tcPr>
            <w:tcW w:w="8465" w:type="dxa"/>
            <w:tcBorders/>
            <w:vAlign w:val="center"/>
          </w:tcPr>
          <w:p>
            <w:pPr>
              <w:pStyle w:val="TableContents"/>
              <w:bidi w:val="0"/>
              <w:spacing w:before="0" w:after="0"/>
              <w:jc w:val="left"/>
              <w:rPr>
                <w:rFonts w:ascii="Arial" w:hAnsi="Arial"/>
                <w:sz w:val="14"/>
              </w:rPr>
            </w:pPr>
            <w:r>
              <w:rPr>
                <w:rFonts w:ascii="Arial" w:hAnsi="Arial"/>
                <w:sz w:val="14"/>
              </w:rPr>
              <w:t xml:space="preserve">For Named Executives, includes unvested SAs not beneficially owned because they do not vest within 60 days of September 30, 2026.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305"/>
        <w:gridCol w:w="8765"/>
      </w:tblGrid>
      <w:tr>
        <w:trPr/>
        <w:tc>
          <w:tcPr>
            <w:tcW w:w="305" w:type="dxa"/>
            <w:tcBorders/>
            <w:vAlign w:val="center"/>
          </w:tcPr>
          <w:p>
            <w:pPr>
              <w:pStyle w:val="TableContents"/>
              <w:bidi w:val="0"/>
              <w:spacing w:before="0" w:after="283"/>
              <w:jc w:val="left"/>
              <w:rPr/>
            </w:pPr>
            <w:r>
              <w:rPr/>
              <w:t>(5)</w:t>
            </w:r>
          </w:p>
        </w:tc>
        <w:tc>
          <w:tcPr>
            <w:tcW w:w="8765" w:type="dxa"/>
            <w:tcBorders/>
            <w:vAlign w:val="center"/>
          </w:tcPr>
          <w:p>
            <w:pPr>
              <w:pStyle w:val="TableContents"/>
              <w:bidi w:val="0"/>
              <w:spacing w:before="0" w:after="0"/>
              <w:jc w:val="left"/>
              <w:rPr>
                <w:rFonts w:ascii="Arial" w:hAnsi="Arial"/>
                <w:sz w:val="14"/>
              </w:rPr>
            </w:pPr>
            <w:r>
              <w:rPr>
                <w:rFonts w:ascii="Arial" w:hAnsi="Arial"/>
                <w:sz w:val="14"/>
              </w:rPr>
              <w:t xml:space="preserve">For Named Executives, excludes unvested PSA shares not beneficially owned that would vest if an Executive Officer retired from Microsoft.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305"/>
        <w:gridCol w:w="2930"/>
      </w:tblGrid>
      <w:tr>
        <w:trPr/>
        <w:tc>
          <w:tcPr>
            <w:tcW w:w="305" w:type="dxa"/>
            <w:tcBorders/>
            <w:vAlign w:val="center"/>
          </w:tcPr>
          <w:p>
            <w:pPr>
              <w:pStyle w:val="TableContents"/>
              <w:bidi w:val="0"/>
              <w:spacing w:before="0" w:after="283"/>
              <w:jc w:val="left"/>
              <w:rPr/>
            </w:pPr>
            <w:r>
              <w:rPr/>
              <w:t>(6)</w:t>
            </w:r>
          </w:p>
        </w:tc>
        <w:tc>
          <w:tcPr>
            <w:tcW w:w="2930" w:type="dxa"/>
            <w:tcBorders/>
            <w:vAlign w:val="center"/>
          </w:tcPr>
          <w:p>
            <w:pPr>
              <w:pStyle w:val="TableContents"/>
              <w:bidi w:val="0"/>
              <w:spacing w:before="0" w:after="0"/>
              <w:jc w:val="left"/>
              <w:rPr>
                <w:rFonts w:ascii="Arial" w:hAnsi="Arial"/>
                <w:sz w:val="14"/>
              </w:rPr>
            </w:pPr>
            <w:r>
              <w:rPr>
                <w:rFonts w:ascii="Arial" w:hAnsi="Arial"/>
                <w:sz w:val="14"/>
              </w:rPr>
              <w:t xml:space="preserve">Includes 15,905 shares held by a family trust.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305"/>
        <w:gridCol w:w="6065"/>
      </w:tblGrid>
      <w:tr>
        <w:trPr/>
        <w:tc>
          <w:tcPr>
            <w:tcW w:w="305" w:type="dxa"/>
            <w:tcBorders/>
            <w:vAlign w:val="center"/>
          </w:tcPr>
          <w:p>
            <w:pPr>
              <w:pStyle w:val="TableContents"/>
              <w:bidi w:val="0"/>
              <w:spacing w:before="0" w:after="283"/>
              <w:jc w:val="left"/>
              <w:rPr/>
            </w:pPr>
            <w:r>
              <w:rPr/>
              <w:t>(7)</w:t>
            </w:r>
          </w:p>
        </w:tc>
        <w:tc>
          <w:tcPr>
            <w:tcW w:w="6065" w:type="dxa"/>
            <w:tcBorders/>
            <w:vAlign w:val="center"/>
          </w:tcPr>
          <w:p>
            <w:pPr>
              <w:pStyle w:val="TableContents"/>
              <w:bidi w:val="0"/>
              <w:spacing w:before="0" w:after="0"/>
              <w:jc w:val="left"/>
              <w:rPr>
                <w:rFonts w:ascii="Arial" w:hAnsi="Arial"/>
                <w:sz w:val="14"/>
              </w:rPr>
            </w:pPr>
            <w:r>
              <w:rPr>
                <w:rFonts w:ascii="Arial" w:hAnsi="Arial"/>
                <w:sz w:val="14"/>
              </w:rPr>
              <w:t xml:space="preserve">Excludes 68 shares held by a family trust, to which Mr. Johnston disclaims beneficial ownership.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305"/>
        <w:gridCol w:w="2855"/>
      </w:tblGrid>
      <w:tr>
        <w:trPr/>
        <w:tc>
          <w:tcPr>
            <w:tcW w:w="305" w:type="dxa"/>
            <w:tcBorders/>
            <w:vAlign w:val="center"/>
          </w:tcPr>
          <w:p>
            <w:pPr>
              <w:pStyle w:val="TableContents"/>
              <w:bidi w:val="0"/>
              <w:spacing w:before="0" w:after="283"/>
              <w:jc w:val="left"/>
              <w:rPr/>
            </w:pPr>
            <w:r>
              <w:rPr/>
              <w:t>(8)</w:t>
            </w:r>
          </w:p>
        </w:tc>
        <w:tc>
          <w:tcPr>
            <w:tcW w:w="2855" w:type="dxa"/>
            <w:tcBorders/>
            <w:vAlign w:val="center"/>
          </w:tcPr>
          <w:p>
            <w:pPr>
              <w:pStyle w:val="TableContents"/>
              <w:bidi w:val="0"/>
              <w:spacing w:before="0" w:after="0"/>
              <w:jc w:val="left"/>
              <w:rPr>
                <w:rFonts w:ascii="Arial" w:hAnsi="Arial"/>
                <w:sz w:val="14"/>
              </w:rPr>
            </w:pPr>
            <w:r>
              <w:rPr>
                <w:rFonts w:ascii="Arial" w:hAnsi="Arial"/>
                <w:sz w:val="14"/>
              </w:rPr>
              <w:t xml:space="preserve">Includes 3,221 shares held by a family trust.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305"/>
        <w:gridCol w:w="2930"/>
      </w:tblGrid>
      <w:tr>
        <w:trPr/>
        <w:tc>
          <w:tcPr>
            <w:tcW w:w="305" w:type="dxa"/>
            <w:tcBorders/>
            <w:vAlign w:val="center"/>
          </w:tcPr>
          <w:p>
            <w:pPr>
              <w:pStyle w:val="TableContents"/>
              <w:bidi w:val="0"/>
              <w:spacing w:before="0" w:after="283"/>
              <w:jc w:val="left"/>
              <w:rPr/>
            </w:pPr>
            <w:r>
              <w:rPr/>
              <w:t>(9)</w:t>
            </w:r>
          </w:p>
        </w:tc>
        <w:tc>
          <w:tcPr>
            <w:tcW w:w="2930" w:type="dxa"/>
            <w:tcBorders/>
            <w:vAlign w:val="center"/>
          </w:tcPr>
          <w:p>
            <w:pPr>
              <w:pStyle w:val="TableContents"/>
              <w:bidi w:val="0"/>
              <w:spacing w:before="0" w:after="0"/>
              <w:jc w:val="left"/>
              <w:rPr>
                <w:rFonts w:ascii="Arial" w:hAnsi="Arial"/>
                <w:sz w:val="14"/>
              </w:rPr>
            </w:pPr>
            <w:r>
              <w:rPr>
                <w:rFonts w:ascii="Arial" w:hAnsi="Arial"/>
                <w:sz w:val="14"/>
              </w:rPr>
              <w:t xml:space="preserve">Includes 12,000 shares held by a family trust.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425"/>
        <w:gridCol w:w="2735"/>
      </w:tblGrid>
      <w:tr>
        <w:trPr/>
        <w:tc>
          <w:tcPr>
            <w:tcW w:w="425" w:type="dxa"/>
            <w:tcBorders/>
            <w:vAlign w:val="center"/>
          </w:tcPr>
          <w:p>
            <w:pPr>
              <w:pStyle w:val="TableContents"/>
              <w:bidi w:val="0"/>
              <w:spacing w:before="0" w:after="283"/>
              <w:jc w:val="left"/>
              <w:rPr/>
            </w:pPr>
            <w:r>
              <w:rPr/>
              <w:t>(10)</w:t>
            </w:r>
          </w:p>
        </w:tc>
        <w:tc>
          <w:tcPr>
            <w:tcW w:w="2735" w:type="dxa"/>
            <w:tcBorders/>
            <w:vAlign w:val="center"/>
          </w:tcPr>
          <w:p>
            <w:pPr>
              <w:pStyle w:val="TableContents"/>
              <w:bidi w:val="0"/>
              <w:spacing w:before="0" w:after="0"/>
              <w:jc w:val="left"/>
              <w:rPr>
                <w:rFonts w:ascii="Arial" w:hAnsi="Arial"/>
                <w:sz w:val="14"/>
              </w:rPr>
            </w:pPr>
            <w:r>
              <w:rPr>
                <w:rFonts w:ascii="Arial" w:hAnsi="Arial"/>
                <w:sz w:val="14"/>
              </w:rPr>
              <w:t xml:space="preserve">Includes 525 shares held by a family trust.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425"/>
        <w:gridCol w:w="2855"/>
      </w:tblGrid>
      <w:tr>
        <w:trPr/>
        <w:tc>
          <w:tcPr>
            <w:tcW w:w="425" w:type="dxa"/>
            <w:tcBorders/>
            <w:vAlign w:val="center"/>
          </w:tcPr>
          <w:p>
            <w:pPr>
              <w:pStyle w:val="TableContents"/>
              <w:bidi w:val="0"/>
              <w:spacing w:before="0" w:after="283"/>
              <w:jc w:val="left"/>
              <w:rPr/>
            </w:pPr>
            <w:r>
              <w:rPr/>
              <w:t>(11)</w:t>
            </w:r>
          </w:p>
        </w:tc>
        <w:tc>
          <w:tcPr>
            <w:tcW w:w="2855" w:type="dxa"/>
            <w:tcBorders/>
            <w:vAlign w:val="center"/>
          </w:tcPr>
          <w:p>
            <w:pPr>
              <w:pStyle w:val="TableContents"/>
              <w:bidi w:val="0"/>
              <w:spacing w:before="0" w:after="0"/>
              <w:jc w:val="left"/>
              <w:rPr>
                <w:rFonts w:ascii="Arial" w:hAnsi="Arial"/>
                <w:sz w:val="14"/>
              </w:rPr>
            </w:pPr>
            <w:r>
              <w:rPr>
                <w:rFonts w:ascii="Arial" w:hAnsi="Arial"/>
                <w:sz w:val="14"/>
              </w:rPr>
              <w:t xml:space="preserve">Includes 3,622 shares held by a family trust.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425"/>
        <w:gridCol w:w="5210"/>
      </w:tblGrid>
      <w:tr>
        <w:trPr/>
        <w:tc>
          <w:tcPr>
            <w:tcW w:w="425" w:type="dxa"/>
            <w:tcBorders/>
            <w:vAlign w:val="center"/>
          </w:tcPr>
          <w:p>
            <w:pPr>
              <w:pStyle w:val="TableContents"/>
              <w:bidi w:val="0"/>
              <w:spacing w:before="0" w:after="283"/>
              <w:jc w:val="left"/>
              <w:rPr/>
            </w:pPr>
            <w:r>
              <w:rPr/>
              <w:t>(12)</w:t>
            </w:r>
          </w:p>
        </w:tc>
        <w:tc>
          <w:tcPr>
            <w:tcW w:w="5210" w:type="dxa"/>
            <w:tcBorders/>
            <w:vAlign w:val="center"/>
          </w:tcPr>
          <w:p>
            <w:pPr>
              <w:pStyle w:val="TableContents"/>
              <w:bidi w:val="0"/>
              <w:spacing w:before="0" w:after="0"/>
              <w:jc w:val="left"/>
              <w:rPr>
                <w:rFonts w:ascii="Arial" w:hAnsi="Arial"/>
                <w:sz w:val="14"/>
              </w:rPr>
            </w:pPr>
            <w:r>
              <w:rPr>
                <w:rFonts w:ascii="Arial" w:hAnsi="Arial"/>
                <w:sz w:val="14"/>
              </w:rPr>
              <w:t xml:space="preserve">Includes an aggregate of 431,464 shares held by Grantor Retained Annuity Trusts.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(13)</w:t>
            </w:r>
          </w:p>
        </w:tc>
        <w:tc>
          <w:tcPr>
            <w:tcW w:w="9784" w:type="dxa"/>
            <w:tcBorders/>
            <w:vAlign w:val="center"/>
          </w:tcPr>
          <w:p>
            <w:pPr>
              <w:pStyle w:val="TableContents"/>
              <w:bidi w:val="0"/>
              <w:spacing w:before="0" w:after="0"/>
              <w:jc w:val="left"/>
              <w:rPr>
                <w:rFonts w:ascii="Arial" w:hAnsi="Arial"/>
                <w:sz w:val="14"/>
              </w:rPr>
            </w:pPr>
            <w:r>
              <w:rPr>
                <w:rFonts w:ascii="Arial" w:hAnsi="Arial"/>
                <w:sz w:val="14"/>
              </w:rPr>
              <w:t xml:space="preserve">Includes 65,208 shares credited under the Deferred Compensation Plan for Non-Employee Directors that may be distributable within 60 days of September 30, 2026. </w:t>
            </w:r>
          </w:p>
        </w:tc>
      </w:tr>
    </w:tbl>
    <w:p>
      <w:pPr>
        <w:pStyle w:val="TextBody"/>
        <w:bidi w:val="0"/>
        <w:spacing w:before="0" w:after="0"/>
        <w:jc w:val="left"/>
        <w:rPr/>
      </w:pPr>
      <w:r>
        <w:rPr/>
        <w:t> </w:t>
      </w:r>
    </w:p>
    <w:p>
      <w:pPr>
        <w:pStyle w:val="TextBody"/>
        <w:bidi w:val="0"/>
        <w:spacing w:before="0" w:after="0"/>
        <w:jc w:val="left"/>
        <w:rPr/>
      </w:pPr>
      <w:r>
        <w:rPr/>
        <w:t> </w:t>
      </w:r>
    </w:p>
    <w:tbl>
      <w:tblPr>
        <w:tblW w:w="1354" w:type="dxa"/>
        <w:jc w:val="left"/>
        <w:tblInd w:w="0" w:type="dxa"/>
        <w:tblLayout w:type="fixed"/>
        <w:tblCellMar>
          <w:top w:w="0" w:type="dxa"/>
          <w:left w:w="0" w:type="dxa"/>
          <w:bottom w:w="0" w:type="dxa"/>
          <w:right w:w="0" w:type="dxa"/>
        </w:tblCellMar>
      </w:tblPr>
      <w:tblGrid>
        <w:gridCol w:w="275"/>
        <w:gridCol w:w="120"/>
        <w:gridCol w:w="959"/>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62</w:t>
            </w:r>
          </w:p>
        </w:tc>
        <w:tc>
          <w:tcPr>
            <w:tcW w:w="12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0"/>
              <w:jc w:val="left"/>
              <w:rPr/>
            </w:pPr>
            <w:r>
              <w:rPr/>
              <w:drawing>
                <wp:inline distT="0" distB="0" distL="0" distR="0">
                  <wp:extent cx="561340" cy="115570"/>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5"/>
                          <a:stretch>
                            <a:fillRect/>
                          </a:stretch>
                        </pic:blipFill>
                        <pic:spPr bwMode="auto">
                          <a:xfrm>
                            <a:off x="0" y="0"/>
                            <a:ext cx="561340" cy="115570"/>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9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385"/>
        <w:gridCol w:w="60"/>
        <w:gridCol w:w="47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NAMED</w:t>
              <w:br/>
              <w:t>EXECUTIVE OFFICER</w:t>
              <w:br/>
              <w:t>COMPENSATION</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4" w:name="toc61756_100"/>
      <w:bookmarkEnd w:id="34"/>
      <w:r>
        <w:rPr>
          <w:rFonts w:ascii="Arial" w:hAnsi="Arial"/>
          <w:b/>
          <w:color w:val="0075C9"/>
          <w:sz w:val="28"/>
        </w:rPr>
        <w:t xml:space="preserve">Delinquent Section 16(a) Reports </w:t>
      </w:r>
    </w:p>
    <w:p>
      <w:pPr>
        <w:pStyle w:val="TextBody"/>
        <w:bidi w:val="0"/>
        <w:spacing w:before="120" w:after="0"/>
        <w:jc w:val="left"/>
        <w:rPr>
          <w:rFonts w:ascii="Arial" w:hAnsi="Arial"/>
          <w:sz w:val="18"/>
        </w:rPr>
      </w:pPr>
      <w:r>
        <w:rPr>
          <w:rFonts w:ascii="Arial" w:hAnsi="Arial"/>
          <w:sz w:val="18"/>
        </w:rPr>
        <w:t xml:space="preserve">Section 16(a) of the Securities Exchange Act of 1934 requires our directors, executive officers, and persons who own more than 10% of our common stock to file reports of their ownership and changes in ownership of our common stock with the SEC. Our employees prepare these reports for our directors and executive officers using information obtained from them and from Microsoft’s records. Due to an administrative error, Amy L. Coleman, Executive Vice President and Chief Human Resources Officer, was 16 days late in filing a Form 4 on October 3, 2025, to report the grant of a stock award for 4,358 shares. Due to broker initiated-transactions that occurred without his direction, approval, or knowledge, Bradford L. Smith, Vice Chair and President, filed a Form 4 on December 12, 2025, to report the acquisition of 3,842 shares of common stock on April 23, 2025, and the subsequent disposition of those shares on April 30, 2025 and May 5, 2025; Mr. Smith has paid the Company the full amount of profit realized in connection with these short-swing transactions.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50"/>
        </w:rPr>
      </w:pPr>
      <w:bookmarkStart w:id="35" w:name="toc61756_32"/>
      <w:bookmarkEnd w:id="35"/>
      <w:r>
        <w:rPr>
          <w:rFonts w:ascii="Arial" w:hAnsi="Arial"/>
          <w:b/>
          <w:sz w:val="50"/>
        </w:rPr>
        <w:t xml:space="preserve">3. Audit and Finance Committee Matters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6" w:name="toc61756_33"/>
      <w:bookmarkEnd w:id="36"/>
      <w:r>
        <w:rPr>
          <w:rFonts w:ascii="Arial" w:hAnsi="Arial"/>
          <w:b/>
          <w:color w:val="0075C9"/>
          <w:sz w:val="28"/>
        </w:rPr>
        <w:t xml:space="preserve">Audit and Finance Committee Report </w:t>
      </w:r>
    </w:p>
    <w:p>
      <w:pPr>
        <w:pStyle w:val="TextBody"/>
        <w:bidi w:val="0"/>
        <w:spacing w:before="360" w:after="0"/>
        <w:jc w:val="left"/>
        <w:rPr>
          <w:rFonts w:ascii="Arial" w:hAnsi="Arial"/>
          <w:b/>
          <w:sz w:val="24"/>
        </w:rPr>
      </w:pPr>
      <w:r>
        <w:rPr>
          <w:rFonts w:ascii="Arial" w:hAnsi="Arial"/>
          <w:b/>
          <w:sz w:val="24"/>
        </w:rPr>
        <w:t xml:space="preserve">Charter and Responsibilities </w:t>
      </w:r>
    </w:p>
    <w:p>
      <w:pPr>
        <w:pStyle w:val="TextBody"/>
        <w:bidi w:val="0"/>
        <w:spacing w:before="120" w:after="0"/>
        <w:jc w:val="left"/>
        <w:rPr>
          <w:rFonts w:ascii="Arial" w:hAnsi="Arial"/>
          <w:sz w:val="18"/>
        </w:rPr>
      </w:pPr>
      <w:r>
        <w:rPr>
          <w:rFonts w:ascii="Arial" w:hAnsi="Arial"/>
          <w:sz w:val="18"/>
        </w:rPr>
        <w:t xml:space="preserve">The Audit and Finance Committee operates under a written charter adopted by the Board of Directors. It is available on our website at </w:t>
      </w:r>
      <w:r>
        <w:rPr>
          <w:rFonts w:ascii="Arial" w:hAnsi="Arial"/>
          <w:sz w:val="18"/>
          <w:u w:val="single"/>
        </w:rPr>
        <w:t>aka.ms/policiesandguidelines</w:t>
      </w:r>
      <w:r>
        <w:rPr>
          <w:rFonts w:ascii="Arial" w:hAnsi="Arial"/>
          <w:sz w:val="18"/>
        </w:rPr>
        <w:t xml:space="preserve">. The charter, which was last amended effective September 16, 2026, includes a calendar that outlines the Committee’s duties and responsibilities. The Committee reviews the charter and calendar annually and works with the Board of Directors to amend them as appropriate to reflect the evolving needs of the Board and role of the Committee. </w:t>
      </w:r>
    </w:p>
    <w:p>
      <w:pPr>
        <w:pStyle w:val="TextBody"/>
        <w:bidi w:val="0"/>
        <w:spacing w:before="120" w:after="0"/>
        <w:jc w:val="left"/>
        <w:rPr>
          <w:rFonts w:ascii="Arial" w:hAnsi="Arial"/>
          <w:sz w:val="18"/>
        </w:rPr>
      </w:pPr>
      <w:r>
        <w:rPr>
          <w:rFonts w:ascii="Arial" w:hAnsi="Arial"/>
          <w:sz w:val="18"/>
        </w:rPr>
        <w:t xml:space="preserve">The Board has the ultimate authority for effective corporate governance, including oversight of the management of Microsoft. The Audit and Finance Committee assists the Board in fulfilling its responsibilities by overseeing the accounting and financial reporting processes of Microsoft, the audits of Microsoft’s consolidated financial statements and internal control over financial reporting, the qualifications and performance of the independent registered public accounting firm engaged as Microsoft’s independent auditor, and the performance of Microsoft’s internal auditor. </w:t>
      </w:r>
    </w:p>
    <w:p>
      <w:pPr>
        <w:pStyle w:val="TextBody"/>
        <w:bidi w:val="0"/>
        <w:spacing w:before="120" w:after="0"/>
        <w:jc w:val="left"/>
        <w:rPr>
          <w:rFonts w:ascii="Arial" w:hAnsi="Arial"/>
          <w:sz w:val="18"/>
        </w:rPr>
      </w:pPr>
      <w:r>
        <w:rPr>
          <w:rFonts w:ascii="Arial" w:hAnsi="Arial"/>
          <w:sz w:val="18"/>
        </w:rPr>
        <w:t xml:space="preserve">The Audit and Finance Committee relies on the expertise and knowledge of management, the internal auditor, and the independent auditor in carrying out its oversight responsibilities. Management is responsible for the preparation, presentation, and integrity of Microsoft’s consolidated financial statements, accounting and financial reporting principles, internal control over financial reporting, and disclosure controls and procedures designed to ensure compliance with accounting standards, applicable laws, and regulations. Management is also responsible for objectively reviewing and evaluating the adequacy, effectiveness, and quality of Microsoft’s system of internal controls. Microsoft’s independent auditor, Deloitte &amp; Touche LLP (“Deloitte &amp; Touche”), is responsible for performing an independent audit of the consolidated financial statements and expressing an opinion on the conformity of those financial statements with accounting principles generally accepted in the United States of America (“GAAP”). The independent auditor is also responsible for expressing an opinion on the effectiveness of Microsoft’s internal control over financial reporting. </w:t>
      </w:r>
    </w:p>
    <w:p>
      <w:pPr>
        <w:pStyle w:val="TextBody"/>
        <w:bidi w:val="0"/>
        <w:spacing w:before="240" w:after="0"/>
        <w:jc w:val="left"/>
        <w:rPr>
          <w:rFonts w:ascii="Arial" w:hAnsi="Arial"/>
          <w:b/>
          <w:sz w:val="24"/>
        </w:rPr>
      </w:pPr>
      <w:r>
        <w:rPr>
          <w:rFonts w:ascii="Arial" w:hAnsi="Arial"/>
          <w:b/>
          <w:sz w:val="24"/>
        </w:rPr>
        <w:t xml:space="preserve">Fiscal Year 2026 Activity </w:t>
      </w:r>
    </w:p>
    <w:p>
      <w:pPr>
        <w:pStyle w:val="TextBody"/>
        <w:bidi w:val="0"/>
        <w:spacing w:before="120" w:after="0"/>
        <w:jc w:val="left"/>
        <w:rPr>
          <w:rFonts w:ascii="Arial" w:hAnsi="Arial"/>
          <w:sz w:val="18"/>
        </w:rPr>
      </w:pPr>
      <w:r>
        <w:rPr>
          <w:rFonts w:ascii="Arial" w:hAnsi="Arial"/>
          <w:sz w:val="18"/>
        </w:rPr>
        <w:t xml:space="preserve">For and during fiscal year 2026, the Audit and Finance Committee fulfilled its duties and responsibilities as outlined in the charter and the accompanying calendar. The Committee meets twice each quarter; once in connection with quarterly Board of Directors meetings and once to review the quarterly Form 10-Q or annual Form 10-K. In addition, the Committee meets as needed to address emerging accounting, compliance, or other matters, or for educational training. Specifically, the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and discussed with management and the independent auditor Microsoft’s quarterly earnings press releases, consolidated financial statements, and related periodic reports filed with the Securities and Exchange Commission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and discussed with management, the internal auditor, and the independent auditor, management’s assessment of the effectiveness of the Company’s internal control over financial reporting and the independent auditor’s opinion about the effectiveness of Microsoft’s internal control over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and discussed with management, the internal auditor, and the independent auditor, as appropriate, the audit scopes and plans of both the internal auditor and the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Inquired about significant business and financial reporting risks, reviewed Microsoft’s policies for risk assessment and risk management, and assessed the steps management is taking to control these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Met in periodic executive sessions with each of management, the internal auditor, and the independent auditor to discuss the results of the examinations by the independent and internal auditors, their evaluations of internal controls, and the overall quality of the Company’s financial reporting, and any other matters as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Met with the CEO and CFO to discuss the processes they have undertaken to evaluate the accuracy and fair presentation of the Company’s consolidated financial statements and the effectiveness of the Company’s systems of disclosure controls and procedures and internal control over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with management and the independent auditor the Company’s critical accounting policies, significant changes in the selection or application of accounting principles, the effect of regulatory and accounting initiatives on the Company’s consolidated financial statements, and critical audit matters addressed during the audit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64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9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125"/>
        <w:gridCol w:w="60"/>
        <w:gridCol w:w="76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Arial" w:hAnsi="Arial"/>
                <w:sz w:val="18"/>
              </w:rPr>
            </w:pPr>
            <w:r>
              <w:rPr>
                <w:rFonts w:ascii="Arial" w:hAnsi="Arial"/>
                <w:sz w:val="18"/>
              </w:rPr>
              <w:t xml:space="preserve">Reviewed the Company’s related party transactions and Policy for Related Party Transactions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125"/>
        <w:gridCol w:w="60"/>
        <w:gridCol w:w="92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Arial" w:hAnsi="Arial"/>
                <w:sz w:val="18"/>
              </w:rPr>
            </w:pPr>
            <w:r>
              <w:rPr>
                <w:rFonts w:ascii="Arial" w:hAnsi="Arial"/>
                <w:sz w:val="18"/>
              </w:rPr>
              <w:t xml:space="preserve">Received reports about the receipt, retention, and treatment of financial reporting and other compliance concerns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125"/>
        <w:gridCol w:w="60"/>
        <w:gridCol w:w="81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Arial" w:hAnsi="Arial"/>
                <w:sz w:val="18"/>
              </w:rPr>
            </w:pPr>
            <w:r>
              <w:rPr>
                <w:rFonts w:ascii="Arial" w:hAnsi="Arial"/>
                <w:sz w:val="18"/>
              </w:rPr>
              <w:t xml:space="preserve">Reviewed and assessed the qualitative aspects of the Company’s compliance and ethics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Reviewed with the Chief Compliance Officer legal and regulatory matters that may have a material impact on the consolidated financial statements or internal control over financial reporting </w:t>
            </w:r>
          </w:p>
        </w:tc>
      </w:tr>
    </w:tbl>
    <w:p>
      <w:pPr>
        <w:pStyle w:val="TextBody"/>
        <w:bidi w:val="0"/>
        <w:spacing w:before="240" w:after="0"/>
        <w:jc w:val="left"/>
        <w:rPr>
          <w:rFonts w:ascii="Arial" w:hAnsi="Arial"/>
          <w:b/>
          <w:sz w:val="24"/>
        </w:rPr>
      </w:pPr>
      <w:r>
        <w:rPr>
          <w:rFonts w:ascii="Arial" w:hAnsi="Arial"/>
          <w:b/>
          <w:sz w:val="24"/>
        </w:rPr>
        <w:t xml:space="preserve">Fiscal Year 2026 Financial Statements </w:t>
      </w:r>
    </w:p>
    <w:p>
      <w:pPr>
        <w:pStyle w:val="TextBody"/>
        <w:bidi w:val="0"/>
        <w:spacing w:before="120" w:after="0"/>
        <w:jc w:val="left"/>
        <w:rPr>
          <w:rFonts w:ascii="Arial" w:hAnsi="Arial"/>
          <w:sz w:val="18"/>
        </w:rPr>
      </w:pPr>
      <w:r>
        <w:rPr>
          <w:rFonts w:ascii="Arial" w:hAnsi="Arial"/>
          <w:sz w:val="18"/>
        </w:rPr>
        <w:t xml:space="preserve">The Audit and Finance Committee has reviewed and discussed with management and the independent auditor Microsoft’s audited consolidated financial statements and related footnotes for the fiscal year ended June 30, 2026, and the independent auditor’s report on those financial statements. Management represented to the Committee that Microsoft’s consolidated financial statements were prepared in accordance with GAAP. Deloitte &amp; Touche presented the matters required to be discussed with the Committee by Public Company Accounting Oversight Board (“PCAOB”) standards and Rule 2-07 of SEC Regulation S-X. This review included a discussion with management and the independent auditor of the quality (not merely the acceptability) of Microsoft’s accounting principles, the reasonableness of significant estimates and judgments, and the disclosures in Microsoft’s consolidated financial statements, including the disclosures relating to critical accounting policies. </w:t>
      </w:r>
    </w:p>
    <w:p>
      <w:pPr>
        <w:pStyle w:val="TextBody"/>
        <w:bidi w:val="0"/>
        <w:spacing w:before="120" w:after="0"/>
        <w:jc w:val="left"/>
        <w:rPr>
          <w:rFonts w:ascii="Arial" w:hAnsi="Arial"/>
          <w:sz w:val="18"/>
        </w:rPr>
      </w:pPr>
      <w:r>
        <w:rPr>
          <w:rFonts w:ascii="Arial" w:hAnsi="Arial"/>
          <w:sz w:val="18"/>
        </w:rPr>
        <w:t xml:space="preserve">Based on the reviews and discussions described above, the Audit and Finance Committee recommended to the Board of Directors that the audited consolidated financial statements be included in Microsoft’s Annual Report on Form 10-K for the fiscal year ended June 30, 2026, for filing with the SEC. </w:t>
      </w:r>
    </w:p>
    <w:p>
      <w:pPr>
        <w:pStyle w:val="TextBody"/>
        <w:bidi w:val="0"/>
        <w:spacing w:before="240" w:after="0"/>
        <w:jc w:val="left"/>
        <w:rPr>
          <w:rFonts w:ascii="Arial" w:hAnsi="Arial"/>
          <w:b/>
          <w:sz w:val="24"/>
        </w:rPr>
      </w:pPr>
      <w:r>
        <w:rPr>
          <w:rFonts w:ascii="Arial" w:hAnsi="Arial"/>
          <w:b/>
          <w:sz w:val="24"/>
        </w:rPr>
        <w:t xml:space="preserve">Independent Auditor Tenure and Rotation </w:t>
      </w:r>
    </w:p>
    <w:p>
      <w:pPr>
        <w:pStyle w:val="TextBody"/>
        <w:bidi w:val="0"/>
        <w:spacing w:before="120" w:after="0"/>
        <w:jc w:val="left"/>
        <w:rPr>
          <w:rFonts w:ascii="Arial" w:hAnsi="Arial"/>
          <w:sz w:val="18"/>
        </w:rPr>
      </w:pPr>
      <w:r>
        <w:rPr>
          <w:rFonts w:ascii="Arial" w:hAnsi="Arial"/>
          <w:sz w:val="18"/>
        </w:rPr>
        <w:t xml:space="preserve">As part of its auditor engagement process, the Audit and Finance Committee considers whether to rotate the independent audit firm. Deloitte &amp; Touche has been Microsoft’s independent auditor since the Company’s initial public offering in 1986. The Audit and Finance Committee believes that our long-term engagement of Deloitte has several benefits, including enhanced audit quality due to Deloitte’s significant institutional knowledge of our business, accounting policies and practices, and internal control over financial reporting, and elimination of time and expense inherent in onboarding a new independent auditor. Deloitte rotates its lead audit engagement partner every five years; the Audit and Finance Committee interviews proposed candidates and selects the lead audit engagement partner. Pursuant to this process, the Committee selected a new Deloitte &amp; Touche lead audit engagement partner beginning with the fiscal year 2025 audit. The Audit and Finance Committee believes there are significant benefits to having an independent auditor with an extensive history with the Company. These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Higher quality audit work and accounting advice due to Deloitte &amp; Touche’s institutional knowledge of our business and operations, accounting policies and financial systems, and internal control framework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Operational efficiencies and a resulting lower fee structure because of Deloitte &amp; Touche’s history and familiarity with our business </w:t>
            </w:r>
          </w:p>
        </w:tc>
      </w:tr>
    </w:tbl>
    <w:p>
      <w:pPr>
        <w:pStyle w:val="TextBody"/>
        <w:bidi w:val="0"/>
        <w:spacing w:before="240" w:after="0"/>
        <w:jc w:val="left"/>
        <w:rPr>
          <w:rFonts w:ascii="Arial" w:hAnsi="Arial"/>
          <w:b/>
          <w:sz w:val="24"/>
        </w:rPr>
      </w:pPr>
      <w:r>
        <w:rPr>
          <w:rFonts w:ascii="Arial" w:hAnsi="Arial"/>
          <w:b/>
          <w:sz w:val="24"/>
        </w:rPr>
        <w:t xml:space="preserve">Independence and Performance of Outside Audit Firm </w:t>
      </w:r>
    </w:p>
    <w:p>
      <w:pPr>
        <w:pStyle w:val="TextBody"/>
        <w:bidi w:val="0"/>
        <w:spacing w:before="120" w:after="0"/>
        <w:jc w:val="left"/>
        <w:rPr>
          <w:rFonts w:ascii="Arial" w:hAnsi="Arial"/>
          <w:sz w:val="18"/>
        </w:rPr>
      </w:pPr>
      <w:r>
        <w:rPr>
          <w:rFonts w:ascii="Arial" w:hAnsi="Arial"/>
          <w:sz w:val="18"/>
        </w:rPr>
        <w:t xml:space="preserve">The Audit and Finance Committee recognizes the importance of maintaining the independence of Microsoft’s independent auditor, both in fact and appearance, and takes a number of measures to ensure independence. The Committee leads the selection of the lead audit engagement partner, working with Deloitte &amp; Touche with input from management. The Committee has established a policy pursuant to which all services, audit and non-audit, provided by the independent auditor must be pre-approved by the Committee or its delegate. This policy prohibits the independent auditor from providing non-audit services such as bookkeeping or financial systems design and implementation. The Company’s pre-approval policy is more fully described below in this Part 3 – Policy on Audit and Finance Committee Pre-Approval of Audit and Permissible Non-Audit Services of Independent Auditor. The Committee has concluded that the amount and nature of those services provided was compatible with maintaining the independence of Deloitte &amp; Touche. In addition, Deloitte &amp; Touche has provided the Committee with the written disclosures and letter required by applicable requirements of the PCAOB regarding the independent accountant’s communications with the Audit and Finance Committee concerning independence. The Committee has reviewed these materials and discussed the firm’s independence with Deloitte &amp; Touche.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As provided in its charter, in addition to evaluating Deloitte &amp; Touche’s independence, the Audit and Finance Committee performed its annual assessment of Deloitte &amp; Touche’s performance as independent auditor during fiscal year 2026. The Committee assessed the performance of the Deloitte &amp; Touche lead audit engagement partner and the audit team. The Committee reviewed a variety of indicators of audit quality including: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125"/>
        <w:gridCol w:w="60"/>
        <w:gridCol w:w="9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Arial" w:hAnsi="Arial"/>
                <w:sz w:val="18"/>
              </w:rPr>
            </w:pPr>
            <w:r>
              <w:rPr>
                <w:rFonts w:ascii="Arial" w:hAnsi="Arial"/>
                <w:sz w:val="18"/>
              </w:rPr>
              <w:t xml:space="preserve">The quality and candor of Deloitte &amp; Touche’s communications with the Audit and Finance Committee and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How effectively Deloitte &amp; Touche maintained its independence and employed its independent judgment, objectivity, and professional skepticism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25"/>
        <w:gridCol w:w="60"/>
        <w:gridCol w:w="69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Arial" w:hAnsi="Arial"/>
                <w:sz w:val="18"/>
              </w:rPr>
            </w:pPr>
            <w:r>
              <w:rPr>
                <w:rFonts w:ascii="Arial" w:hAnsi="Arial"/>
                <w:sz w:val="18"/>
              </w:rPr>
              <w:t xml:space="preserve">The level of engagement and value provided by the Deloitte &amp; Touche national office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125"/>
        <w:gridCol w:w="60"/>
        <w:gridCol w:w="55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Arial" w:hAnsi="Arial"/>
                <w:sz w:val="18"/>
              </w:rPr>
            </w:pPr>
            <w:r>
              <w:rPr>
                <w:rFonts w:ascii="Arial" w:hAnsi="Arial"/>
                <w:sz w:val="18"/>
              </w:rPr>
              <w:t xml:space="preserve">The depth and expertise of the global Deloitte &amp; Touche audit team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quality of insight demonstrated in Deloitte &amp; Touche’s review of the Company’s assessment of internal control over financial reporting and remediation of control deficiencies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Available external data about quality and performance, including reports of the PCAOB on Deloitte &amp; Touche and its peer firms and Deloitte &amp; Touche’s response to those reports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appropriateness of Deloitte &amp; Touche’s fees, taking into account the size and complexity of the Company and the resources necessary to perform the audit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Deloitte &amp; Touche’s knowledge of our global operations, accounting policies and practices, and internal control over financial reporting </w:t>
            </w:r>
          </w:p>
        </w:tc>
      </w:tr>
    </w:tbl>
    <w:p>
      <w:pPr>
        <w:pStyle w:val="TextBody"/>
        <w:bidi w:val="0"/>
        <w:spacing w:before="0" w:after="0"/>
        <w:jc w:val="left"/>
        <w:rPr/>
      </w:pPr>
      <w:r>
        <w:rPr/>
        <w:t> </w:t>
      </w:r>
    </w:p>
    <w:tbl>
      <w:tblPr>
        <w:tblW w:w="10045" w:type="dxa"/>
        <w:jc w:val="left"/>
        <w:tblInd w:w="0" w:type="dxa"/>
        <w:tblLayout w:type="fixed"/>
        <w:tblCellMar>
          <w:top w:w="0" w:type="dxa"/>
          <w:left w:w="0" w:type="dxa"/>
          <w:bottom w:w="0" w:type="dxa"/>
          <w:right w:w="0" w:type="dxa"/>
        </w:tblCellMar>
      </w:tblPr>
      <w:tblGrid>
        <w:gridCol w:w="125"/>
        <w:gridCol w:w="60"/>
        <w:gridCol w:w="98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Arial" w:hAnsi="Arial"/>
                <w:sz w:val="18"/>
              </w:rPr>
            </w:pPr>
            <w:r>
              <w:rPr>
                <w:rFonts w:ascii="Arial" w:hAnsi="Arial"/>
                <w:sz w:val="18"/>
              </w:rPr>
              <w:t xml:space="preserve">Deloitte &amp; Touche’s tenure as the Company’s independent auditor and safeguards in place to maintain its independence </w:t>
            </w:r>
          </w:p>
        </w:tc>
      </w:tr>
    </w:tbl>
    <w:p>
      <w:pPr>
        <w:pStyle w:val="TextBody"/>
        <w:bidi w:val="0"/>
        <w:spacing w:before="240" w:after="0"/>
        <w:jc w:val="left"/>
        <w:rPr>
          <w:rFonts w:ascii="Arial" w:hAnsi="Arial"/>
          <w:b/>
          <w:sz w:val="24"/>
        </w:rPr>
      </w:pPr>
      <w:r>
        <w:rPr>
          <w:rFonts w:ascii="Arial" w:hAnsi="Arial"/>
          <w:b/>
          <w:sz w:val="24"/>
        </w:rPr>
        <w:t xml:space="preserve">Recommendation of Deloitte &amp; Touche as Independent Audit Firm for Fiscal Year 2027 </w:t>
      </w:r>
    </w:p>
    <w:p>
      <w:pPr>
        <w:pStyle w:val="TextBody"/>
        <w:bidi w:val="0"/>
        <w:spacing w:before="120" w:after="0"/>
        <w:jc w:val="left"/>
        <w:rPr>
          <w:rFonts w:ascii="Arial" w:hAnsi="Arial"/>
          <w:sz w:val="18"/>
        </w:rPr>
      </w:pPr>
      <w:r>
        <w:rPr>
          <w:rFonts w:ascii="Arial" w:hAnsi="Arial"/>
          <w:sz w:val="18"/>
        </w:rPr>
        <w:t xml:space="preserve">As a result of its evaluation, the Audit and Finance Committee concluded that the selection of Deloitte &amp; Touche as the independent registered public accounting firm for fiscal year 2027 is in the best interest of the Company and its shareholders. </w:t>
      </w:r>
    </w:p>
    <w:p>
      <w:pPr>
        <w:pStyle w:val="TextBody"/>
        <w:bidi w:val="0"/>
        <w:spacing w:before="240" w:after="0"/>
        <w:jc w:val="left"/>
        <w:rPr>
          <w:rFonts w:ascii="Arial" w:hAnsi="Arial"/>
          <w:b/>
          <w:sz w:val="18"/>
        </w:rPr>
      </w:pPr>
      <w:r>
        <w:rPr>
          <w:rFonts w:ascii="Arial" w:hAnsi="Arial"/>
          <w:b/>
          <w:sz w:val="18"/>
        </w:rPr>
        <w:t xml:space="preserve">Audit and Finance Committee </w:t>
      </w:r>
    </w:p>
    <w:p>
      <w:pPr>
        <w:pStyle w:val="TextBody"/>
        <w:bidi w:val="0"/>
        <w:spacing w:before="0" w:after="0"/>
        <w:jc w:val="left"/>
        <w:rPr>
          <w:rFonts w:ascii="Arial" w:hAnsi="Arial"/>
          <w:sz w:val="18"/>
        </w:rPr>
      </w:pPr>
      <w:r>
        <w:rPr>
          <w:rFonts w:ascii="Arial" w:hAnsi="Arial"/>
          <w:sz w:val="18"/>
        </w:rPr>
        <w:t xml:space="preserve">Hugh F. Johnston (Chair) </w:t>
      </w:r>
    </w:p>
    <w:p>
      <w:pPr>
        <w:pStyle w:val="TextBody"/>
        <w:bidi w:val="0"/>
        <w:spacing w:before="0" w:after="0"/>
        <w:jc w:val="left"/>
        <w:rPr>
          <w:rFonts w:ascii="Arial" w:hAnsi="Arial"/>
          <w:sz w:val="18"/>
        </w:rPr>
      </w:pPr>
      <w:r>
        <w:rPr>
          <w:rFonts w:ascii="Arial" w:hAnsi="Arial"/>
          <w:sz w:val="18"/>
        </w:rPr>
        <w:t xml:space="preserve">Carmine Di Sibio </w:t>
      </w:r>
    </w:p>
    <w:p>
      <w:pPr>
        <w:pStyle w:val="TextBody"/>
        <w:bidi w:val="0"/>
        <w:spacing w:before="0" w:after="0"/>
        <w:jc w:val="left"/>
        <w:rPr>
          <w:rFonts w:ascii="Arial" w:hAnsi="Arial"/>
          <w:sz w:val="18"/>
        </w:rPr>
      </w:pPr>
      <w:r>
        <w:rPr>
          <w:rFonts w:ascii="Arial" w:hAnsi="Arial"/>
          <w:sz w:val="18"/>
        </w:rPr>
        <w:t xml:space="preserve">Teri L. List </w:t>
      </w:r>
    </w:p>
    <w:p>
      <w:pPr>
        <w:pStyle w:val="TextBody"/>
        <w:bidi w:val="0"/>
        <w:spacing w:before="0" w:after="0"/>
        <w:jc w:val="left"/>
        <w:rPr>
          <w:rFonts w:ascii="Arial" w:hAnsi="Arial"/>
          <w:sz w:val="18"/>
        </w:rPr>
      </w:pPr>
      <w:r>
        <w:rPr>
          <w:rFonts w:ascii="Arial" w:hAnsi="Arial"/>
          <w:sz w:val="18"/>
        </w:rPr>
        <w:t xml:space="preserve">Mark A. L. Mason </w:t>
      </w:r>
    </w:p>
    <w:p>
      <w:pPr>
        <w:pStyle w:val="TextBody"/>
        <w:bidi w:val="0"/>
        <w:spacing w:before="0" w:after="0"/>
        <w:jc w:val="left"/>
        <w:rPr>
          <w:rFonts w:ascii="Arial" w:hAnsi="Arial"/>
          <w:sz w:val="18"/>
        </w:rPr>
      </w:pPr>
      <w:r>
        <w:rPr>
          <w:rFonts w:ascii="Arial" w:hAnsi="Arial"/>
          <w:sz w:val="18"/>
        </w:rPr>
        <w:t xml:space="preserve">John David Rainey </w:t>
      </w:r>
    </w:p>
    <w:p>
      <w:pPr>
        <w:pStyle w:val="TextBody"/>
        <w:bidi w:val="0"/>
        <w:spacing w:before="0" w:after="0"/>
        <w:jc w:val="left"/>
        <w:rPr>
          <w:rFonts w:ascii="Arial" w:hAnsi="Arial"/>
          <w:sz w:val="18"/>
        </w:rPr>
      </w:pPr>
      <w:r>
        <w:rPr>
          <w:rFonts w:ascii="Arial" w:hAnsi="Arial"/>
          <w:sz w:val="18"/>
        </w:rPr>
        <w:t xml:space="preserve">John W. Stanton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37" w:name="toc61756_34"/>
      <w:bookmarkEnd w:id="37"/>
      <w:r>
        <w:rPr>
          <w:rFonts w:ascii="Arial" w:hAnsi="Arial"/>
          <w:b/>
          <w:color w:val="0075C9"/>
          <w:sz w:val="28"/>
        </w:rPr>
        <w:t xml:space="preserve">Fees Billed by Deloitte &amp; Touche </w:t>
      </w:r>
    </w:p>
    <w:p>
      <w:pPr>
        <w:pStyle w:val="TextBody"/>
        <w:bidi w:val="0"/>
        <w:spacing w:before="120" w:after="0"/>
        <w:jc w:val="left"/>
        <w:rPr>
          <w:rFonts w:ascii="Arial" w:hAnsi="Arial"/>
          <w:sz w:val="18"/>
        </w:rPr>
      </w:pPr>
      <w:r>
        <w:rPr>
          <w:rFonts w:ascii="Arial" w:hAnsi="Arial"/>
          <w:sz w:val="18"/>
        </w:rPr>
        <w:t xml:space="preserve">This table presents fees for professional audit and other services rendered by Deloitte &amp; Touche for the fiscal years 2026 and 2025.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1775"/>
        <w:gridCol w:w="120"/>
        <w:gridCol w:w="60"/>
        <w:gridCol w:w="1220"/>
        <w:gridCol w:w="60"/>
        <w:gridCol w:w="240"/>
        <w:gridCol w:w="60"/>
        <w:gridCol w:w="1220"/>
        <w:gridCol w:w="75"/>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Year ended June 30,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center"/>
          </w:tcPr>
          <w:p>
            <w:pPr>
              <w:pStyle w:val="TableContents"/>
              <w:bidi w:val="0"/>
              <w:spacing w:before="0" w:after="283"/>
              <w:jc w:val="right"/>
              <w:rPr>
                <w:b/>
              </w:rPr>
            </w:pPr>
            <w:r>
              <w:rPr>
                <w:b/>
              </w:rPr>
              <w:t>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8" w:space="0" w:color="000000"/>
            </w:tcBorders>
            <w:tcMar>
              <w:bottom w:w="40" w:type="dxa"/>
            </w:tcMar>
            <w:vAlign w:val="center"/>
          </w:tcPr>
          <w:p>
            <w:pPr>
              <w:pStyle w:val="TableContents"/>
              <w:bidi w:val="0"/>
              <w:spacing w:before="0" w:after="283"/>
              <w:jc w:val="right"/>
              <w:rPr>
                <w:b/>
              </w:rPr>
            </w:pPr>
            <w:r>
              <w:rPr>
                <w:b/>
              </w:rPr>
              <w:t>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Audit Fees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$55,800,000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$53,880,000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Audit-Related Fees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21,059,000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19,470,000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4,842,000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5,105,000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All Other Fees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10,000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10,000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r>
      <w:tr>
        <w:trPr/>
        <w:tc>
          <w:tcPr>
            <w:tcW w:w="177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$81,711,000</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240" w:type="dxa"/>
            <w:tcBorders>
              <w:bottom w:val="single" w:sz="6" w:space="0" w:color="0075C9"/>
            </w:tcBorders>
            <w:tcMar>
              <w:bottom w:w="28" w:type="dxa"/>
            </w:tcMar>
            <w:vAlign w:val="center"/>
          </w:tcPr>
          <w:p>
            <w:pPr>
              <w:pStyle w:val="TableContents"/>
              <w:bidi w:val="0"/>
              <w:spacing w:before="0" w:after="283"/>
              <w:jc w:val="left"/>
              <w:rPr/>
            </w:pPr>
            <w:r>
              <w:rPr/>
              <w:t>    </w:t>
            </w:r>
          </w:p>
        </w:tc>
        <w:tc>
          <w:tcPr>
            <w:tcW w:w="60" w:type="dxa"/>
            <w:tcBorders>
              <w:bottom w:val="single" w:sz="6" w:space="0" w:color="0075C9"/>
            </w:tcBorders>
            <w:tcMar>
              <w:bottom w:w="40" w:type="dxa"/>
            </w:tcMar>
            <w:vAlign w:val="center"/>
          </w:tcPr>
          <w:p>
            <w:pPr>
              <w:pStyle w:val="TableContents"/>
              <w:bidi w:val="0"/>
              <w:spacing w:before="0" w:after="283"/>
              <w:jc w:val="left"/>
              <w:rPr/>
            </w:pPr>
            <w:r>
              <w:rPr/>
              <w:t> </w:t>
            </w:r>
          </w:p>
        </w:tc>
        <w:tc>
          <w:tcPr>
            <w:tcW w:w="1220" w:type="dxa"/>
            <w:tcBorders>
              <w:bottom w:val="single" w:sz="6" w:space="0" w:color="0075C9"/>
            </w:tcBorders>
            <w:tcMar>
              <w:bottom w:w="40" w:type="dxa"/>
            </w:tcMar>
            <w:vAlign w:val="center"/>
          </w:tcPr>
          <w:p>
            <w:pPr>
              <w:pStyle w:val="TableContents"/>
              <w:bidi w:val="0"/>
              <w:spacing w:before="0" w:after="283"/>
              <w:jc w:val="right"/>
              <w:rPr/>
            </w:pPr>
            <w:r>
              <w:rPr/>
              <w:t>$78,465,000</w:t>
            </w:r>
          </w:p>
        </w:tc>
        <w:tc>
          <w:tcPr>
            <w:tcW w:w="75" w:type="dxa"/>
            <w:tcBorders>
              <w:bottom w:val="single" w:sz="6" w:space="0" w:color="0075C9"/>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z w:val="24"/>
        </w:rPr>
      </w:pPr>
      <w:r>
        <w:rPr>
          <w:rFonts w:ascii="Arial" w:hAnsi="Arial"/>
          <w:b/>
          <w:sz w:val="24"/>
        </w:rPr>
        <w:t xml:space="preserve">Audit Fees </w:t>
      </w:r>
    </w:p>
    <w:p>
      <w:pPr>
        <w:pStyle w:val="TextBody"/>
        <w:bidi w:val="0"/>
        <w:spacing w:before="120" w:after="0"/>
        <w:jc w:val="left"/>
        <w:rPr>
          <w:rFonts w:ascii="Arial" w:hAnsi="Arial"/>
          <w:sz w:val="18"/>
        </w:rPr>
      </w:pPr>
      <w:r>
        <w:rPr>
          <w:rFonts w:ascii="Arial" w:hAnsi="Arial"/>
          <w:sz w:val="18"/>
        </w:rPr>
        <w:t xml:space="preserve">These amounts represent fees of Deloitte &amp; Touche for the audit of our annual consolidated financial statements, the review of consolidated financial statements included in our quarterly Form 10-Q reports, the audit of internal control over financial reporting,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Audit fees also include procedures relating to accounting matters that arose in connection with or as a result of the audit or the review of periodic financial statements and statutory audits that non-U.S. jurisdictions require.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66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97"/>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5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Audit-Related Fees </w:t>
      </w:r>
    </w:p>
    <w:p>
      <w:pPr>
        <w:pStyle w:val="TextBody"/>
        <w:bidi w:val="0"/>
        <w:spacing w:before="120" w:after="0"/>
        <w:jc w:val="left"/>
        <w:rPr>
          <w:rFonts w:ascii="Arial" w:hAnsi="Arial"/>
          <w:sz w:val="18"/>
        </w:rPr>
      </w:pPr>
      <w:r>
        <w:rPr>
          <w:rFonts w:ascii="Arial" w:hAnsi="Arial"/>
          <w:sz w:val="18"/>
        </w:rPr>
        <w:t xml:space="preserve">Audit-related fees consist of assurance and related services that are reasonably related to the performance of the audit or review of Microsoft’s consolidated financial statements or internal control over financial reporting.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the performance of review or audit of Microsoft’s consolidated financial statements; third-party assurance audits for cloud services; and accounting consultations about the application of GAAP to proposed transactions. Revenue assurance and license compliance includes procedures under contracts we have entered that provide for review by an independent accountant, and advice about controls associated with the completeness and accuracy of our software licensing revenue. These services support the evaluation of the effectiveness of internal control over revenue recognition and enhance the independent auditor’s understanding of our licensing programs and controls. </w:t>
      </w:r>
    </w:p>
    <w:p>
      <w:pPr>
        <w:pStyle w:val="TextBody"/>
        <w:bidi w:val="0"/>
        <w:spacing w:before="240" w:after="0"/>
        <w:jc w:val="left"/>
        <w:rPr>
          <w:rFonts w:ascii="Arial" w:hAnsi="Arial"/>
          <w:b/>
          <w:sz w:val="24"/>
        </w:rPr>
      </w:pPr>
      <w:r>
        <w:rPr>
          <w:rFonts w:ascii="Arial" w:hAnsi="Arial"/>
          <w:b/>
          <w:sz w:val="24"/>
        </w:rPr>
        <w:t xml:space="preserve">Tax Fees </w:t>
      </w:r>
    </w:p>
    <w:p>
      <w:pPr>
        <w:pStyle w:val="TextBody"/>
        <w:bidi w:val="0"/>
        <w:spacing w:before="120" w:after="0"/>
        <w:jc w:val="left"/>
        <w:rPr>
          <w:rFonts w:ascii="Arial" w:hAnsi="Arial"/>
          <w:sz w:val="18"/>
        </w:rPr>
      </w:pPr>
      <w:r>
        <w:rPr>
          <w:rFonts w:ascii="Arial" w:hAnsi="Arial"/>
          <w:sz w:val="18"/>
        </w:rPr>
        <w:t xml:space="preserve">Tax fees generally consist of tax compliance and return preparation, and tax planning and advice. Tax compliance and return preparation services consist of preparing original and amended tax returns and claims for refunds. Tax planning and advice services consist of support during income tax audits or inquiries. </w:t>
      </w:r>
    </w:p>
    <w:p>
      <w:pPr>
        <w:pStyle w:val="TextBody"/>
        <w:bidi w:val="0"/>
        <w:spacing w:before="240" w:after="0"/>
        <w:jc w:val="left"/>
        <w:rPr>
          <w:rFonts w:ascii="Arial" w:hAnsi="Arial"/>
          <w:b/>
          <w:sz w:val="24"/>
        </w:rPr>
      </w:pPr>
      <w:r>
        <w:rPr>
          <w:rFonts w:ascii="Arial" w:hAnsi="Arial"/>
          <w:b/>
          <w:sz w:val="24"/>
        </w:rPr>
        <w:t xml:space="preserve">All Other Fees </w:t>
      </w:r>
    </w:p>
    <w:p>
      <w:pPr>
        <w:pStyle w:val="TextBody"/>
        <w:bidi w:val="0"/>
        <w:spacing w:before="120" w:after="0"/>
        <w:jc w:val="left"/>
        <w:rPr>
          <w:rFonts w:ascii="Arial" w:hAnsi="Arial"/>
          <w:sz w:val="18"/>
        </w:rPr>
      </w:pPr>
      <w:r>
        <w:rPr>
          <w:rFonts w:ascii="Arial" w:hAnsi="Arial"/>
          <w:sz w:val="18"/>
        </w:rPr>
        <w:t xml:space="preserve">All other fees consist of permitted services other than those that meet the criteria above and include training activities, and subscriptions and surveys on economic, industry, accounting, and human resources topics. </w:t>
      </w:r>
    </w:p>
    <w:p>
      <w:pPr>
        <w:pStyle w:val="TextBody"/>
        <w:bidi w:val="0"/>
        <w:spacing w:before="120" w:after="0"/>
        <w:jc w:val="left"/>
        <w:rPr>
          <w:rFonts w:ascii="Arial" w:hAnsi="Arial"/>
          <w:sz w:val="18"/>
        </w:rPr>
      </w:pPr>
      <w:r>
        <w:rPr>
          <w:rFonts w:ascii="Arial" w:hAnsi="Arial"/>
          <w:sz w:val="18"/>
        </w:rPr>
        <w:t xml:space="preserve">The Audit and Finance Committee concluded that the provision of the non-audit services listed above is compatible with maintaining the independence of Deloitte &amp; Touche.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bookmarkStart w:id="38" w:name="toc61756_35"/>
      <w:bookmarkEnd w:id="38"/>
      <w:r>
        <w:rPr>
          <w:rFonts w:ascii="Arial" w:hAnsi="Arial"/>
          <w:b/>
          <w:color w:val="0075C9"/>
          <w:sz w:val="28"/>
        </w:rPr>
        <w:t xml:space="preserve">Policy on Audit and Finance Committee Pre-Approval of Audit and Permissible Non-Audit Services of Independent Auditor </w:t>
      </w:r>
    </w:p>
    <w:p>
      <w:pPr>
        <w:pStyle w:val="TextBody"/>
        <w:bidi w:val="0"/>
        <w:spacing w:before="120" w:after="0"/>
        <w:jc w:val="left"/>
        <w:rPr>
          <w:rFonts w:ascii="Arial" w:hAnsi="Arial"/>
          <w:sz w:val="18"/>
        </w:rPr>
      </w:pPr>
      <w:r>
        <w:rPr>
          <w:rFonts w:ascii="Arial" w:hAnsi="Arial"/>
          <w:sz w:val="18"/>
        </w:rPr>
        <w:t xml:space="preserve">The Audit and Finance Committee has a policy for pre-approval of all audit and permissible non-audit services provided by the independent auditor. Each year, the Committee approves the terms on which the independent auditor is engaged for the ensuing fiscal year. At least quarterly, the Committee reviews and, if appropriate, pre-approves services to be performed by the independent auditor, reviews a report summarizing fiscal year-to-date services provided by the independent auditor, and reviews an updated projection of the fiscal year’s estimated fees. The Committee, as permitted by its pre-approval policy, from time to time delegates the approval of certain permitted services or classes of services to a member of the Committee. The Committee then reviews the delegate’s approval decisions each quarter. Microsoft uses a centralized internal system to collect requests from Company personnel for services by the independent auditor to facilitate compliance with this pre-approval policy.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46"/>
        </w:rPr>
      </w:pPr>
      <w:bookmarkStart w:id="39" w:name="toc61756_36"/>
      <w:bookmarkEnd w:id="39"/>
      <w:r>
        <w:rPr>
          <w:rFonts w:ascii="Arial" w:hAnsi="Arial"/>
          <w:b/>
          <w:sz w:val="46"/>
        </w:rPr>
        <w:t xml:space="preserve">4. Proposals to be Voted on During the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120" w:after="0"/>
        <w:jc w:val="left"/>
        <w:rPr>
          <w:rFonts w:ascii="Arial" w:hAnsi="Arial"/>
          <w:b/>
          <w:color w:val="0075C9"/>
          <w:sz w:val="28"/>
        </w:rPr>
      </w:pPr>
      <w:r>
        <w:rPr>
          <w:rFonts w:ascii="Arial" w:hAnsi="Arial"/>
          <w:b/>
          <w:color w:val="0075C9"/>
          <w:sz w:val="28"/>
        </w:rPr>
        <w:t xml:space="preserve">Management Proposals </w:t>
      </w:r>
    </w:p>
    <w:p>
      <w:pPr>
        <w:pStyle w:val="TextBody"/>
        <w:bidi w:val="0"/>
        <w:spacing w:before="120" w:after="0"/>
        <w:jc w:val="left"/>
        <w:rPr>
          <w:rFonts w:ascii="Arial" w:hAnsi="Arial"/>
          <w:b/>
          <w:sz w:val="24"/>
        </w:rPr>
      </w:pPr>
      <w:bookmarkStart w:id="40" w:name="toc61756_37"/>
      <w:bookmarkEnd w:id="40"/>
      <w:r>
        <w:rPr>
          <w:rFonts w:ascii="Arial" w:hAnsi="Arial"/>
          <w:b/>
          <w:sz w:val="24"/>
        </w:rPr>
        <w:t xml:space="preserve">Proposal 1: Election of 12 Directors </w:t>
      </w:r>
    </w:p>
    <w:p>
      <w:pPr>
        <w:pStyle w:val="TextBody"/>
        <w:bidi w:val="0"/>
        <w:spacing w:before="120" w:after="0"/>
        <w:jc w:val="left"/>
        <w:rPr>
          <w:rFonts w:ascii="Arial" w:hAnsi="Arial"/>
          <w:sz w:val="18"/>
        </w:rPr>
      </w:pPr>
      <w:r>
        <w:rPr>
          <w:rFonts w:ascii="Arial" w:hAnsi="Arial"/>
          <w:sz w:val="18"/>
        </w:rPr>
        <w:t xml:space="preserve">The Board of Directors has nominated 12 directors for election during the 2026 annual shareholders meeting (“Annual Meeting”) to hold office until the 2027 annual shareholders meeting. Reid Hoffman and Hugh Johnston are not seeking re-election and their Board service will end on the date of the Annual Meeting. Mr. Hoffman currently serves as a member of the Environmental, Social, and Public Policy Committee. Mr. Johnston currently serves as Chair of the Audit and Finance Committee. The Board has nominated John Collison for election as director. If elected, his term will begin on December 8, 2026. The Governance and Nominating Committee evaluated and recommended the nominees in accordance with its charter and our Corporate Governance Guidelines. </w:t>
      </w:r>
    </w:p>
    <w:p>
      <w:pPr>
        <w:pStyle w:val="TextBody"/>
        <w:bidi w:val="0"/>
        <w:spacing w:before="120" w:after="0"/>
        <w:jc w:val="left"/>
        <w:rPr>
          <w:rFonts w:ascii="Arial" w:hAnsi="Arial"/>
          <w:sz w:val="18"/>
        </w:rPr>
      </w:pPr>
      <w:r>
        <w:rPr>
          <w:rFonts w:ascii="Arial" w:hAnsi="Arial"/>
          <w:sz w:val="18"/>
        </w:rPr>
        <w:t xml:space="preserve">To be elected, a director must receive a vote of the majority of the votes cast. </w:t>
      </w:r>
    </w:p>
    <w:p>
      <w:pPr>
        <w:pStyle w:val="TextBody"/>
        <w:bidi w:val="0"/>
        <w:spacing w:before="240" w:after="0"/>
        <w:jc w:val="left"/>
        <w:rPr>
          <w:rFonts w:ascii="Arial" w:hAnsi="Arial"/>
          <w:b/>
          <w:i/>
          <w:color w:val="0075C9"/>
          <w:sz w:val="20"/>
        </w:rPr>
      </w:pPr>
      <w:r>
        <w:rPr>
          <w:rFonts w:ascii="Arial" w:hAnsi="Arial"/>
          <w:b/>
          <w:i/>
          <w:color w:val="0075C9"/>
          <w:sz w:val="20"/>
        </w:rPr>
        <w:t xml:space="preserve">Our Board of Directors recommends a vote FOR the election to the Board for each of the nominees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8"/>
        <w:gridCol w:w="60"/>
        <w:gridCol w:w="23"/>
        <w:gridCol w:w="60"/>
        <w:gridCol w:w="2114"/>
        <w:gridCol w:w="120"/>
        <w:gridCol w:w="23"/>
        <w:gridCol w:w="60"/>
        <w:gridCol w:w="2846"/>
        <w:gridCol w:w="120"/>
        <w:gridCol w:w="23"/>
        <w:gridCol w:w="60"/>
        <w:gridCol w:w="2018"/>
      </w:tblGrid>
      <w:tr>
        <w:trPr/>
        <w:tc>
          <w:tcPr>
            <w:tcW w:w="2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267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174"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078" w:type="dxa"/>
            <w:gridSpan w:val="2"/>
            <w:tcBorders/>
            <w:vAlign w:val="center"/>
          </w:tcPr>
          <w:p>
            <w:pPr>
              <w:pStyle w:val="TableContents"/>
              <w:bidi w:val="0"/>
              <w:spacing w:before="0" w:after="283"/>
              <w:jc w:val="left"/>
              <w:rPr>
                <w:sz w:val="4"/>
                <w:szCs w:val="4"/>
              </w:rPr>
            </w:pPr>
            <w:r>
              <w:rPr>
                <w:sz w:val="4"/>
                <w:szCs w:val="4"/>
              </w:rPr>
            </w:r>
          </w:p>
        </w:tc>
      </w:tr>
      <w:tr>
        <w:trPr/>
        <w:tc>
          <w:tcPr>
            <w:tcW w:w="267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87095"/>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98"/>
                          <a:stretch>
                            <a:fillRect/>
                          </a:stretch>
                        </pic:blipFill>
                        <pic:spPr bwMode="auto">
                          <a:xfrm>
                            <a:off x="0" y="0"/>
                            <a:ext cx="887095" cy="88709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John Collison</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36</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New Nominee</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Co-founder, President, and Director, Stripe Global Holdings, Inc.</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4"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87095"/>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99"/>
                          <a:stretch>
                            <a:fillRect/>
                          </a:stretch>
                        </pic:blipFill>
                        <pic:spPr bwMode="auto">
                          <a:xfrm>
                            <a:off x="0" y="0"/>
                            <a:ext cx="887095" cy="88709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Carmine Di Sibio</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63</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2026</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Former Global Chairman and CEO, EY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9344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0"/>
                          <a:stretch>
                            <a:fillRect/>
                          </a:stretch>
                        </pic:blipFill>
                        <pic:spPr bwMode="auto">
                          <a:xfrm>
                            <a:off x="0" y="0"/>
                            <a:ext cx="887095" cy="89344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Teri L. List</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63</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2014</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Former Executive Vice President and CFO, The Gap, Inc.</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93445"/>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1"/>
                          <a:stretch>
                            <a:fillRect/>
                          </a:stretch>
                        </pic:blipFill>
                        <pic:spPr bwMode="auto">
                          <a:xfrm>
                            <a:off x="0" y="0"/>
                            <a:ext cx="887095" cy="89344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Catherine MacGregor</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54</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2023</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Group CEO and Director, Engie S.A.</w:t>
            </w:r>
          </w:p>
        </w:tc>
      </w:tr>
      <w:tr>
        <w:trPr/>
        <w:tc>
          <w:tcPr>
            <w:tcW w:w="267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174"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078" w:type="dxa"/>
            <w:gridSpan w:val="2"/>
            <w:tcBorders/>
            <w:vAlign w:val="center"/>
          </w:tcPr>
          <w:p>
            <w:pPr>
              <w:pStyle w:val="TableContents"/>
              <w:bidi w:val="0"/>
              <w:spacing w:before="0" w:after="283"/>
              <w:jc w:val="left"/>
              <w:rPr>
                <w:sz w:val="4"/>
                <w:szCs w:val="4"/>
              </w:rPr>
            </w:pPr>
            <w:r>
              <w:rPr>
                <w:sz w:val="4"/>
                <w:szCs w:val="4"/>
              </w:rPr>
            </w:r>
          </w:p>
        </w:tc>
      </w:tr>
      <w:tr>
        <w:trPr/>
        <w:tc>
          <w:tcPr>
            <w:tcW w:w="267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9344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2"/>
                          <a:stretch>
                            <a:fillRect/>
                          </a:stretch>
                        </pic:blipFill>
                        <pic:spPr bwMode="auto">
                          <a:xfrm>
                            <a:off x="0" y="0"/>
                            <a:ext cx="887095" cy="89344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Mark A. L. Mason</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57</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2023</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Executive Vice Chair and Senior Executive Advisor to the Chair and CEO, Citigroup Inc.</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4"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0270" cy="890270"/>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3"/>
                          <a:stretch>
                            <a:fillRect/>
                          </a:stretch>
                        </pic:blipFill>
                        <pic:spPr bwMode="auto">
                          <a:xfrm>
                            <a:off x="0" y="0"/>
                            <a:ext cx="890270" cy="890270"/>
                          </a:xfrm>
                          <a:prstGeom prst="rect">
                            <a:avLst/>
                          </a:prstGeom>
                        </pic:spPr>
                      </pic:pic>
                    </a:graphicData>
                  </a:graphic>
                </wp:inline>
              </w:drawing>
            </w:r>
            <w:r>
              <w:rPr/>
              <w:t xml:space="preserve"> </w:t>
            </w:r>
          </w:p>
          <w:p>
            <w:pPr>
              <w:pStyle w:val="TableContents"/>
              <w:bidi w:val="0"/>
              <w:spacing w:before="0" w:after="0"/>
              <w:jc w:val="left"/>
              <w:rPr>
                <w:rFonts w:ascii="Arial" w:hAnsi="Arial"/>
                <w:sz w:val="18"/>
              </w:rPr>
            </w:pPr>
            <w:r>
              <w:rPr>
                <w:rFonts w:ascii="Arial" w:hAnsi="Arial"/>
                <w:b/>
                <w:sz w:val="18"/>
              </w:rPr>
              <w:t xml:space="preserve">Satya Nadella </w:t>
            </w:r>
            <w:r>
              <w:rPr>
                <w:rFonts w:ascii="Arial" w:hAnsi="Arial"/>
                <w:sz w:val="18"/>
              </w:rPr>
              <w:t>(Board Chair)</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59</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2014</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Chairman and CEO, Microsoft Corporation</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93445"/>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4"/>
                          <a:stretch>
                            <a:fillRect/>
                          </a:stretch>
                        </pic:blipFill>
                        <pic:spPr bwMode="auto">
                          <a:xfrm>
                            <a:off x="0" y="0"/>
                            <a:ext cx="887095" cy="89344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Sandra E. Peterson</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67</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2015</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Lead Independent Director, Microsoft Corporation; Operating Partner, Clayton, Dubilier &amp; Rice, LLC</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0270" cy="890270"/>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5"/>
                          <a:stretch>
                            <a:fillRect/>
                          </a:stretch>
                        </pic:blipFill>
                        <pic:spPr bwMode="auto">
                          <a:xfrm>
                            <a:off x="0" y="0"/>
                            <a:ext cx="890270" cy="890270"/>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Penny S. Pritzker</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67</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2017</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Founder and Chairman, PSP Partners, LLC</w:t>
            </w:r>
          </w:p>
        </w:tc>
      </w:tr>
      <w:tr>
        <w:trPr/>
        <w:tc>
          <w:tcPr>
            <w:tcW w:w="267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2174"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6" w:type="dxa"/>
            <w:gridSpan w:val="2"/>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078" w:type="dxa"/>
            <w:gridSpan w:val="2"/>
            <w:tcBorders/>
            <w:vAlign w:val="center"/>
          </w:tcPr>
          <w:p>
            <w:pPr>
              <w:pStyle w:val="TableContents"/>
              <w:bidi w:val="0"/>
              <w:spacing w:before="0" w:after="283"/>
              <w:jc w:val="left"/>
              <w:rPr>
                <w:sz w:val="4"/>
                <w:szCs w:val="4"/>
              </w:rPr>
            </w:pPr>
            <w:r>
              <w:rPr>
                <w:sz w:val="4"/>
                <w:szCs w:val="4"/>
              </w:rPr>
            </w:r>
          </w:p>
        </w:tc>
      </w:tr>
      <w:tr>
        <w:trPr/>
        <w:tc>
          <w:tcPr>
            <w:tcW w:w="267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9344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06"/>
                          <a:stretch>
                            <a:fillRect/>
                          </a:stretch>
                        </pic:blipFill>
                        <pic:spPr bwMode="auto">
                          <a:xfrm>
                            <a:off x="0" y="0"/>
                            <a:ext cx="887095" cy="893445"/>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John David Rainey</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56</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2025</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Executive Vice President and CFO, Walmart Inc.</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4"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87095" cy="876300"/>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07"/>
                          <a:stretch>
                            <a:fillRect/>
                          </a:stretch>
                        </pic:blipFill>
                        <pic:spPr bwMode="auto">
                          <a:xfrm>
                            <a:off x="0" y="0"/>
                            <a:ext cx="887095" cy="876300"/>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Charles W. Scharf</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61</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2014</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Chairman and CEO, Wells Fargo &amp; Company</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46"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0270" cy="890270"/>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08"/>
                          <a:stretch>
                            <a:fillRect/>
                          </a:stretch>
                        </pic:blipFill>
                        <pic:spPr bwMode="auto">
                          <a:xfrm>
                            <a:off x="0" y="0"/>
                            <a:ext cx="890270" cy="890270"/>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John W. Stanton</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71</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2014</w:t>
            </w:r>
          </w:p>
          <w:p>
            <w:pPr>
              <w:pStyle w:val="TableContents"/>
              <w:bidi w:val="0"/>
              <w:spacing w:before="0" w:after="20"/>
              <w:jc w:val="left"/>
              <w:rPr>
                <w:rFonts w:ascii="Arial" w:hAnsi="Arial"/>
                <w:sz w:val="18"/>
              </w:rPr>
            </w:pPr>
            <w:r>
              <w:rPr>
                <w:rFonts w:ascii="Arial" w:hAnsi="Arial"/>
                <w:b/>
                <w:color w:val="0075C9"/>
                <w:sz w:val="18"/>
              </w:rPr>
              <w:t>Occupation:</w:t>
            </w:r>
            <w:r>
              <w:rPr>
                <w:rFonts w:ascii="Arial" w:hAnsi="Arial"/>
                <w:sz w:val="18"/>
              </w:rPr>
              <w:t xml:space="preserve"> Founder and Chairman, Trilogy Partnerships</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890270" cy="890270"/>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09"/>
                          <a:stretch>
                            <a:fillRect/>
                          </a:stretch>
                        </pic:blipFill>
                        <pic:spPr bwMode="auto">
                          <a:xfrm>
                            <a:off x="0" y="0"/>
                            <a:ext cx="890270" cy="890270"/>
                          </a:xfrm>
                          <a:prstGeom prst="rect">
                            <a:avLst/>
                          </a:prstGeom>
                        </pic:spPr>
                      </pic:pic>
                    </a:graphicData>
                  </a:graphic>
                </wp:inline>
              </w:drawing>
            </w:r>
            <w:r>
              <w:rPr/>
              <w:t xml:space="preserve"> </w:t>
            </w:r>
          </w:p>
          <w:p>
            <w:pPr>
              <w:pStyle w:val="TableContents"/>
              <w:bidi w:val="0"/>
              <w:spacing w:before="0" w:after="0"/>
              <w:jc w:val="left"/>
              <w:rPr>
                <w:rFonts w:ascii="Arial" w:hAnsi="Arial"/>
                <w:b/>
                <w:sz w:val="18"/>
              </w:rPr>
            </w:pPr>
            <w:r>
              <w:rPr>
                <w:rFonts w:ascii="Arial" w:hAnsi="Arial"/>
                <w:b/>
                <w:sz w:val="18"/>
              </w:rPr>
              <w:t>Emma N. Walmsley</w:t>
            </w:r>
          </w:p>
          <w:p>
            <w:pPr>
              <w:pStyle w:val="TableContents"/>
              <w:bidi w:val="0"/>
              <w:spacing w:before="0" w:after="0"/>
              <w:jc w:val="left"/>
              <w:rPr>
                <w:rFonts w:ascii="Arial" w:hAnsi="Arial"/>
                <w:sz w:val="18"/>
              </w:rPr>
            </w:pPr>
            <w:r>
              <w:rPr>
                <w:rFonts w:ascii="Arial" w:hAnsi="Arial"/>
                <w:b/>
                <w:color w:val="0075C9"/>
                <w:sz w:val="18"/>
              </w:rPr>
              <w:t>Age:</w:t>
            </w:r>
            <w:r>
              <w:rPr>
                <w:rFonts w:ascii="Arial" w:hAnsi="Arial"/>
                <w:sz w:val="18"/>
              </w:rPr>
              <w:t xml:space="preserve"> 57</w:t>
            </w:r>
          </w:p>
          <w:p>
            <w:pPr>
              <w:pStyle w:val="TableContents"/>
              <w:bidi w:val="0"/>
              <w:spacing w:before="0" w:after="0"/>
              <w:jc w:val="left"/>
              <w:rPr>
                <w:rFonts w:ascii="Arial" w:hAnsi="Arial"/>
                <w:sz w:val="18"/>
              </w:rPr>
            </w:pPr>
            <w:r>
              <w:rPr>
                <w:rFonts w:ascii="Arial" w:hAnsi="Arial"/>
                <w:b/>
                <w:color w:val="0075C9"/>
                <w:sz w:val="18"/>
              </w:rPr>
              <w:t>Director Since:</w:t>
            </w:r>
            <w:r>
              <w:rPr>
                <w:rFonts w:ascii="Arial" w:hAnsi="Arial"/>
                <w:sz w:val="18"/>
              </w:rPr>
              <w:t xml:space="preserve"> 2019</w:t>
            </w:r>
          </w:p>
          <w:p>
            <w:pPr>
              <w:pStyle w:val="TableContents"/>
              <w:bidi w:val="0"/>
              <w:spacing w:before="0" w:after="20"/>
              <w:jc w:val="left"/>
              <w:rPr>
                <w:rFonts w:ascii="Arial" w:hAnsi="Arial"/>
                <w:sz w:val="18"/>
              </w:rPr>
            </w:pPr>
            <w:r>
              <w:rPr>
                <w:rFonts w:ascii="Arial" w:hAnsi="Arial"/>
                <w:b/>
                <w:color w:val="0075C9"/>
                <w:sz w:val="18"/>
              </w:rPr>
              <w:t xml:space="preserve">Occupation: </w:t>
            </w:r>
            <w:r>
              <w:rPr>
                <w:rFonts w:ascii="Arial" w:hAnsi="Arial"/>
                <w:sz w:val="18"/>
              </w:rPr>
              <w:t>Former CEO and Director, GSK plc</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68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9" descr=""/>
                          <pic:cNvPicPr>
                            <a:picLocks noChangeAspect="1" noChangeArrowheads="1"/>
                          </pic:cNvPicPr>
                        </pic:nvPicPr>
                        <pic:blipFill>
                          <a:blip r:embed="rId110"/>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bookmarkStart w:id="41" w:name="toc61756_38"/>
      <w:bookmarkEnd w:id="41"/>
      <w:r>
        <w:rPr>
          <w:rFonts w:ascii="Arial" w:hAnsi="Arial"/>
          <w:b/>
          <w:sz w:val="24"/>
        </w:rPr>
        <w:t xml:space="preserve">Proposal 2: Advisory Vote to Approve Named Executive Officer Compensation </w:t>
      </w:r>
    </w:p>
    <w:p>
      <w:pPr>
        <w:pStyle w:val="TextBody"/>
        <w:bidi w:val="0"/>
        <w:spacing w:before="120" w:after="0"/>
        <w:jc w:val="left"/>
        <w:rPr>
          <w:rFonts w:ascii="Arial" w:hAnsi="Arial"/>
          <w:sz w:val="18"/>
        </w:rPr>
      </w:pPr>
      <w:r>
        <w:rPr>
          <w:rFonts w:ascii="Arial" w:hAnsi="Arial"/>
          <w:sz w:val="18"/>
        </w:rPr>
        <w:t xml:space="preserve">Pursuant to Section 14A of the Securities Exchange Act of 1934, we are asking for your advisory vote on the following resolution (“say-on-pay vote” resolution): </w:t>
      </w:r>
    </w:p>
    <w:p>
      <w:pPr>
        <w:pStyle w:val="TextBody"/>
        <w:bidi w:val="0"/>
        <w:spacing w:before="120" w:after="0"/>
        <w:jc w:val="left"/>
        <w:rPr/>
      </w:pPr>
      <w:r>
        <w:rPr/>
        <w:t>“</w:t>
      </w:r>
      <w:r>
        <w:rPr>
          <w:rFonts w:ascii="Arial" w:hAnsi="Arial"/>
          <w:sz w:val="18"/>
        </w:rPr>
        <w:t xml:space="preserve">Resolved, that the shareholders approve, in a nonbinding vote, the compensation paid to the Company’s Named Executive Officers, as disclosed in Part 2 – Named Executive Officer Compensation.” </w:t>
      </w:r>
    </w:p>
    <w:p>
      <w:pPr>
        <w:pStyle w:val="TextBody"/>
        <w:bidi w:val="0"/>
        <w:spacing w:before="120" w:after="0"/>
        <w:jc w:val="left"/>
        <w:rPr>
          <w:rFonts w:ascii="Arial" w:hAnsi="Arial"/>
          <w:sz w:val="18"/>
        </w:rPr>
      </w:pPr>
      <w:r>
        <w:rPr>
          <w:rFonts w:ascii="Arial" w:hAnsi="Arial"/>
          <w:sz w:val="18"/>
        </w:rPr>
        <w:t xml:space="preserve">Receipt of a majority of the votes cast is required to approve this proposal. We hold our say-on-pay vote every year and expect to hold another say-on-pay vote at our 2027 Annual Meeting. </w:t>
      </w:r>
    </w:p>
    <w:p>
      <w:pPr>
        <w:pStyle w:val="TextBody"/>
        <w:bidi w:val="0"/>
        <w:spacing w:before="120" w:after="0"/>
        <w:jc w:val="left"/>
        <w:rPr>
          <w:rFonts w:ascii="Arial" w:hAnsi="Arial"/>
          <w:sz w:val="18"/>
        </w:rPr>
      </w:pPr>
      <w:r>
        <w:rPr>
          <w:rFonts w:ascii="Arial" w:hAnsi="Arial"/>
          <w:sz w:val="18"/>
        </w:rPr>
        <w:t xml:space="preserve">As described in detail in Part 2 – Named Executive Officer Compensation, we design our executive compensation program to attract, motivate, and retain the key executives who drive our success and industry leadership while considering Company and individual performance and alignment with the long-term interests of our shareholders. Please read the “Compensation Discussion and Analysis” and the compensation tables and narrative disclosure that follow it for additional details about our executive compensation program. </w:t>
      </w:r>
    </w:p>
    <w:p>
      <w:pPr>
        <w:pStyle w:val="TextBody"/>
        <w:bidi w:val="0"/>
        <w:spacing w:before="240" w:after="0"/>
        <w:jc w:val="left"/>
        <w:rPr>
          <w:rFonts w:ascii="Arial" w:hAnsi="Arial"/>
          <w:b/>
          <w:i/>
          <w:color w:val="0075C9"/>
          <w:sz w:val="20"/>
        </w:rPr>
      </w:pPr>
      <w:r>
        <w:rPr>
          <w:rFonts w:ascii="Arial" w:hAnsi="Arial"/>
          <w:b/>
          <w:i/>
          <w:color w:val="0075C9"/>
          <w:sz w:val="20"/>
        </w:rPr>
        <w:t xml:space="preserve">Our Board of Directors recommends a vote FOR approval, on a non-binding, advisory basis, of the compensation paid to our Named Executive Officers. </w:t>
      </w:r>
    </w:p>
    <w:p>
      <w:pPr>
        <w:pStyle w:val="TextBody"/>
        <w:bidi w:val="0"/>
        <w:spacing w:before="240" w:after="0"/>
        <w:jc w:val="left"/>
        <w:rPr>
          <w:rFonts w:ascii="Arial" w:hAnsi="Arial"/>
          <w:b/>
          <w:sz w:val="24"/>
        </w:rPr>
      </w:pPr>
      <w:bookmarkStart w:id="42" w:name="toc61756_39"/>
      <w:bookmarkEnd w:id="42"/>
      <w:r>
        <w:rPr>
          <w:rFonts w:ascii="Arial" w:hAnsi="Arial"/>
          <w:b/>
          <w:sz w:val="24"/>
        </w:rPr>
        <w:t xml:space="preserve">Proposal 3: Ratification of the Selection of Deloitte &amp; Touche LLP as our Independent Auditor for Fiscal Year 2027 </w:t>
      </w:r>
    </w:p>
    <w:p>
      <w:pPr>
        <w:pStyle w:val="TextBody"/>
        <w:bidi w:val="0"/>
        <w:spacing w:before="120" w:after="0"/>
        <w:jc w:val="left"/>
        <w:rPr>
          <w:rFonts w:ascii="Arial" w:hAnsi="Arial"/>
          <w:sz w:val="18"/>
        </w:rPr>
      </w:pPr>
      <w:r>
        <w:rPr>
          <w:rFonts w:ascii="Arial" w:hAnsi="Arial"/>
          <w:sz w:val="18"/>
        </w:rPr>
        <w:t xml:space="preserve">The Audit and Finance Committee has selected Deloitte &amp; Touche LLP as Microsoft’s independent auditor for fiscal year 2027. The Board asks shareholders to ratify that selection. Although current law, rules, and regulations, and the charter of the Audit and Finance Committee require the Audit and Finance Committee to engage, retain, and supervise Microsoft’s independent auditor, the Board considers the selection of the independent auditor to be an important matter of shareholder concern and is submitting the selection of Deloitte &amp; Touche for ratification by shareholders as a matter of good corporate practice. As described in Part 3 – Audit and Finance Committee Matters, the Board considers the selection of Deloitte &amp; Touche as Microsoft’s independent auditor for fiscal year 2027 to be in the best interests of Microsoft and its shareholders. </w:t>
      </w:r>
    </w:p>
    <w:p>
      <w:pPr>
        <w:pStyle w:val="TextBody"/>
        <w:bidi w:val="0"/>
        <w:spacing w:before="120" w:after="0"/>
        <w:jc w:val="left"/>
        <w:rPr>
          <w:rFonts w:ascii="Arial" w:hAnsi="Arial"/>
          <w:sz w:val="18"/>
        </w:rPr>
      </w:pPr>
      <w:r>
        <w:rPr>
          <w:rFonts w:ascii="Arial" w:hAnsi="Arial"/>
          <w:sz w:val="18"/>
        </w:rPr>
        <w:t xml:space="preserve">Receipt of a majority of the votes cast is required to approve this proposal. If the selection of Deloitte &amp; Touche is not ratified, the Audit and Finance Committee will consider the result a recommendation to consider selection of a different firm. </w:t>
      </w:r>
    </w:p>
    <w:p>
      <w:pPr>
        <w:pStyle w:val="TextBody"/>
        <w:bidi w:val="0"/>
        <w:spacing w:before="240" w:after="0"/>
        <w:jc w:val="left"/>
        <w:rPr>
          <w:rFonts w:ascii="Arial" w:hAnsi="Arial"/>
          <w:b/>
          <w:i/>
          <w:color w:val="0075C9"/>
          <w:sz w:val="20"/>
        </w:rPr>
      </w:pPr>
      <w:r>
        <w:rPr>
          <w:rFonts w:ascii="Arial" w:hAnsi="Arial"/>
          <w:b/>
          <w:i/>
          <w:color w:val="0075C9"/>
          <w:sz w:val="20"/>
        </w:rPr>
        <w:t xml:space="preserve">The Board of Directors recommends a vote FOR the ratification of the independent auditor.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43" w:name="toc61756_41"/>
      <w:bookmarkEnd w:id="43"/>
      <w:r>
        <w:rPr>
          <w:rFonts w:ascii="Arial" w:hAnsi="Arial"/>
          <w:b/>
          <w:color w:val="0075C9"/>
          <w:sz w:val="28"/>
        </w:rPr>
        <w:t xml:space="preserve">Shareholder Proposals </w:t>
      </w:r>
    </w:p>
    <w:p>
      <w:pPr>
        <w:pStyle w:val="TextBody"/>
        <w:bidi w:val="0"/>
        <w:spacing w:before="120" w:after="0"/>
        <w:jc w:val="left"/>
        <w:rPr>
          <w:rFonts w:ascii="Arial" w:hAnsi="Arial"/>
          <w:sz w:val="18"/>
        </w:rPr>
      </w:pPr>
      <w:r>
        <w:rPr>
          <w:rFonts w:ascii="Arial" w:hAnsi="Arial"/>
          <w:sz w:val="18"/>
        </w:rPr>
        <w:t xml:space="preserve">Receipt of a majority of the votes cast is required to approve each of the following shareholder proposals. We will furnish the address and number of shares held by the proponents of any of the following shareholder proposals upon receipt of a request to the Corporate Secretary for such information. </w:t>
      </w:r>
    </w:p>
    <w:p>
      <w:pPr>
        <w:pStyle w:val="TextBody"/>
        <w:bidi w:val="0"/>
        <w:spacing w:before="240" w:after="0"/>
        <w:jc w:val="left"/>
        <w:rPr>
          <w:rFonts w:ascii="Arial" w:hAnsi="Arial"/>
          <w:sz w:val="18"/>
        </w:rPr>
      </w:pPr>
      <w:r>
        <w:rPr>
          <w:rFonts w:ascii="Arial" w:hAnsi="Arial"/>
          <w:sz w:val="18"/>
        </w:rPr>
        <w:t xml:space="preserve">Because the Securities and Exchange Commission (“SEC”) no longer provides substantive views on most shareholder proposal exclusion requests, responsibility for exclusion determinations now rests primarily with companies. Microsoft has established a documented review process involving management, the Governance and Nominating Committee, and outside counsel to evaluate potential exclusions. The process considers a number of factors, including applicable law, shareholder interests, governance implications, and the Company’s commitment to transparency. Where appropriate, the Company may include proposals in its proxy materials notwithstanding the availability of potential exclusion arguments. </w:t>
      </w:r>
    </w:p>
    <w:p>
      <w:pPr>
        <w:pStyle w:val="TextBody"/>
        <w:bidi w:val="0"/>
        <w:spacing w:before="240" w:after="0"/>
        <w:jc w:val="left"/>
        <w:rPr>
          <w:rFonts w:ascii="Arial" w:hAnsi="Arial"/>
          <w:sz w:val="18"/>
        </w:rPr>
      </w:pPr>
      <w:r>
        <w:rPr>
          <w:rFonts w:ascii="Arial" w:hAnsi="Arial"/>
          <w:sz w:val="18"/>
        </w:rPr>
        <w:t xml:space="preserve">Information about submitting shareholder proposals for the 2027 Annual Shareholder Meeting is provided on page 84. For shareholder proposals for the 2027 Annual Shareholders Meeting, Microsoft will apply submission and resubmission thresholds in effect under SEC Rule 14a-8 as in effect on January 1, 2026. </w:t>
      </w:r>
    </w:p>
    <w:p>
      <w:pPr>
        <w:pStyle w:val="TextBody"/>
        <w:bidi w:val="0"/>
        <w:spacing w:before="240" w:after="0"/>
        <w:jc w:val="left"/>
        <w:rPr>
          <w:rFonts w:ascii="Arial" w:hAnsi="Arial"/>
          <w:b/>
          <w:sz w:val="24"/>
        </w:rPr>
      </w:pPr>
      <w:bookmarkStart w:id="44" w:name="toc61756_40"/>
      <w:bookmarkEnd w:id="44"/>
      <w:r>
        <w:rPr>
          <w:rFonts w:ascii="Arial" w:hAnsi="Arial"/>
          <w:b/>
          <w:sz w:val="24"/>
        </w:rPr>
        <w:t xml:space="preserve">Proposal 4: Additional Disclosures Meeting Climate Commitments </w:t>
      </w:r>
    </w:p>
    <w:p>
      <w:pPr>
        <w:pStyle w:val="TextBody"/>
        <w:bidi w:val="0"/>
        <w:spacing w:before="120" w:after="0"/>
        <w:jc w:val="left"/>
        <w:rPr>
          <w:rFonts w:ascii="Arial" w:hAnsi="Arial"/>
          <w:sz w:val="18"/>
        </w:rPr>
      </w:pPr>
      <w:r>
        <w:rPr>
          <w:rFonts w:ascii="Arial" w:hAnsi="Arial"/>
          <w:sz w:val="18"/>
        </w:rPr>
        <w:t xml:space="preserve">Trillium Asset Management and a co-filer have advised us that they intend to submit the following proposal for consideration at the Annual Meeting. </w:t>
      </w:r>
    </w:p>
    <w:p>
      <w:pPr>
        <w:pStyle w:val="TextBody"/>
        <w:bidi w:val="0"/>
        <w:spacing w:before="120" w:after="0"/>
        <w:jc w:val="left"/>
        <w:rPr>
          <w:rFonts w:ascii="Arial" w:hAnsi="Arial"/>
          <w:sz w:val="18"/>
        </w:rPr>
      </w:pPr>
      <w:r>
        <w:rPr>
          <w:rFonts w:ascii="Arial" w:hAnsi="Arial"/>
          <w:sz w:val="18"/>
        </w:rPr>
        <w:t xml:space="preserve">Whereas: Climate change-driven impacts could erase trillions in global GDP by 2050.1,2 The rapid expansion of artificial intelligence (AI) is compounding these risks, as generative AI is driving energy demand and increasing greenhouse gas (GHG) emissions associated with data centers, which are projected to consume 9 –17 percent of U.S. electricity generation by 2030.3 Embodied carbon in building materials is also a significant source of emissions linked to data centers.4 </w:t>
      </w:r>
    </w:p>
    <w:p>
      <w:pPr>
        <w:pStyle w:val="TextBody"/>
        <w:bidi w:val="0"/>
        <w:spacing w:before="120" w:after="0"/>
        <w:jc w:val="left"/>
        <w:rPr>
          <w:rFonts w:ascii="Arial" w:hAnsi="Arial"/>
          <w:sz w:val="18"/>
        </w:rPr>
      </w:pPr>
      <w:r>
        <w:rPr>
          <w:rFonts w:ascii="Arial" w:hAnsi="Arial"/>
          <w:sz w:val="18"/>
        </w:rPr>
        <w:t xml:space="preserve">Microsoft has built a reputation for climate leadership by setting 2030 targets to halve its GHG emissions and achieve hourly matching of its electricity consumption with clean energy. However, the company’s emissions have increased by 23 percent over its 2020 baseline,5 are predicted to climb significantly,6 and it has yet to disclose hourly matching data. </w:t>
      </w:r>
    </w:p>
    <w:p>
      <w:pPr>
        <w:pStyle w:val="TextBody"/>
        <w:bidi w:val="0"/>
        <w:spacing w:before="120" w:after="0"/>
        <w:jc w:val="left"/>
        <w:rPr>
          <w:rFonts w:ascii="Arial" w:hAnsi="Arial"/>
          <w:sz w:val="18"/>
        </w:rPr>
      </w:pPr>
      <w:r>
        <w:rPr>
          <w:rFonts w:ascii="Arial" w:hAnsi="Arial"/>
          <w:sz w:val="18"/>
        </w:rPr>
        <w:t xml:space="preserve">It is precisely because of the company’s established leadership that investors seek to understand how Microsoft will sustain its credibility, given that failing to meet its targets could expose it to operational and reputational risks. </w:t>
      </w:r>
    </w:p>
    <w:p>
      <w:pPr>
        <w:pStyle w:val="TextBody"/>
        <w:bidi w:val="0"/>
        <w:spacing w:before="120" w:after="0"/>
        <w:jc w:val="left"/>
        <w:rPr>
          <w:rFonts w:ascii="Arial" w:hAnsi="Arial"/>
          <w:sz w:val="18"/>
        </w:rPr>
      </w:pPr>
      <w:r>
        <w:rPr>
          <w:rFonts w:ascii="Arial" w:hAnsi="Arial"/>
          <w:sz w:val="18"/>
        </w:rPr>
        <w:t xml:space="preserve">Poor climate performance may put Microsoft’s brand value at risk. According to the consultancy Brand Finance and the 2025 Sustainability Perceptions Index, the total amount of brand value tied to consumer belief in Microsoft’s sustainability was valued at $22.7 billion in 2024, second only to Apple.7 </w:t>
      </w:r>
    </w:p>
    <w:p>
      <w:pPr>
        <w:pStyle w:val="TextBody"/>
        <w:bidi w:val="0"/>
        <w:spacing w:before="120" w:after="0"/>
        <w:jc w:val="left"/>
        <w:rPr>
          <w:rFonts w:ascii="Arial" w:hAnsi="Arial"/>
          <w:sz w:val="18"/>
        </w:rPr>
      </w:pPr>
      <w:r>
        <w:rPr>
          <w:rFonts w:ascii="Arial" w:hAnsi="Arial"/>
          <w:sz w:val="18"/>
        </w:rPr>
        <w:t xml:space="preserve">Additionally, Microsoft identifies attracting and retaining talent as a key driver of success.8 A 2025 Deloitte survey found that 70 percent of Gen Z and Millennial workers consider a company’s environmental credentials when evaluating employers.9 Because these cohorts likely dominate Microsoft’s talent pipeline, underperformance on environmental commitments could limit access to critical talent. </w:t>
      </w:r>
    </w:p>
    <w:p>
      <w:pPr>
        <w:pStyle w:val="TextBody"/>
        <w:bidi w:val="0"/>
        <w:spacing w:before="120" w:after="0"/>
        <w:jc w:val="left"/>
        <w:rPr>
          <w:rFonts w:ascii="Arial" w:hAnsi="Arial"/>
          <w:sz w:val="18"/>
        </w:rPr>
      </w:pPr>
      <w:r>
        <w:rPr>
          <w:rFonts w:ascii="Arial" w:hAnsi="Arial"/>
          <w:sz w:val="18"/>
        </w:rPr>
        <w:t xml:space="preserve">Microsoft is also issuing a record-breaking amount of debt to fund data center expansion.10 Some studies indicate that companies with favorable reputations and higher management credibility may experience better access to and lower costs of capital, meaning that Microsoft’s ability to credibly execute on its climate commitments may prove material in the future.11,12 Enhanced disclosure would allow investors to evaluate whether the company is maintaining its credibility and efficient access to capital. </w:t>
      </w:r>
    </w:p>
    <w:p>
      <w:pPr>
        <w:pStyle w:val="TextBody"/>
        <w:bidi w:val="0"/>
        <w:spacing w:lineRule="atLeast" w:line="160" w:before="0" w:after="40"/>
        <w:jc w:val="left"/>
        <w:rPr>
          <w:bdr w:val="single" w:sz="2" w:space="1" w:color="000000"/>
        </w:rPr>
      </w:pPr>
      <w:r>
        <w:rPr>
          <w:bdr w:val="single" w:sz="2" w:space="1" w:color="000000"/>
        </w:rPr>
        <w:t> </w:t>
      </w:r>
    </w:p>
    <w:tbl>
      <w:tblPr>
        <w:tblW w:w="6520" w:type="dxa"/>
        <w:jc w:val="left"/>
        <w:tblInd w:w="0" w:type="dxa"/>
        <w:tblLayout w:type="fixed"/>
        <w:tblCellMar>
          <w:top w:w="0" w:type="dxa"/>
          <w:left w:w="0" w:type="dxa"/>
          <w:bottom w:w="0" w:type="dxa"/>
          <w:right w:w="0" w:type="dxa"/>
        </w:tblCellMar>
      </w:tblPr>
      <w:tblGrid>
        <w:gridCol w:w="155"/>
        <w:gridCol w:w="6365"/>
      </w:tblGrid>
      <w:tr>
        <w:trPr/>
        <w:tc>
          <w:tcPr>
            <w:tcW w:w="155" w:type="dxa"/>
            <w:tcBorders/>
            <w:vAlign w:val="center"/>
          </w:tcPr>
          <w:p>
            <w:pPr>
              <w:pStyle w:val="TableContents"/>
              <w:bidi w:val="0"/>
              <w:spacing w:before="0" w:after="283"/>
              <w:jc w:val="left"/>
              <w:rPr/>
            </w:pPr>
            <w:r>
              <w:rPr/>
              <w:t>1</w:t>
            </w:r>
          </w:p>
        </w:tc>
        <w:tc>
          <w:tcPr>
            <w:tcW w:w="6365" w:type="dxa"/>
            <w:tcBorders/>
            <w:vAlign w:val="center"/>
          </w:tcPr>
          <w:p>
            <w:pPr>
              <w:pStyle w:val="TableContents"/>
              <w:bidi w:val="0"/>
              <w:spacing w:before="0" w:after="0"/>
              <w:jc w:val="left"/>
              <w:rPr>
                <w:rFonts w:ascii="Arial" w:hAnsi="Arial"/>
                <w:sz w:val="14"/>
              </w:rPr>
            </w:pPr>
            <w:r>
              <w:rPr>
                <w:rFonts w:ascii="Arial" w:hAnsi="Arial"/>
                <w:sz w:val="14"/>
              </w:rPr>
              <w:t xml:space="preserve">https://www.lseg.com/content/dam/lseg/en_us/documents/sustainability/lseg-cop30-net-zero-atlas.pdf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https://www.moodys.com/web/en/us/insights/physical-transition-risk/catastrophic-events-in-an-uncertain-future-a-pending-41-trillion-bill-for-businesses-and-governments-to-resolve.html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155"/>
        <w:gridCol w:w="3935"/>
      </w:tblGrid>
      <w:tr>
        <w:trPr/>
        <w:tc>
          <w:tcPr>
            <w:tcW w:w="155" w:type="dxa"/>
            <w:tcBorders/>
            <w:vAlign w:val="center"/>
          </w:tcPr>
          <w:p>
            <w:pPr>
              <w:pStyle w:val="TableContents"/>
              <w:bidi w:val="0"/>
              <w:spacing w:before="0" w:after="283"/>
              <w:jc w:val="left"/>
              <w:rPr/>
            </w:pPr>
            <w:r>
              <w:rPr/>
              <w:t>3</w:t>
            </w:r>
          </w:p>
        </w:tc>
        <w:tc>
          <w:tcPr>
            <w:tcW w:w="3935" w:type="dxa"/>
            <w:tcBorders/>
            <w:vAlign w:val="center"/>
          </w:tcPr>
          <w:p>
            <w:pPr>
              <w:pStyle w:val="TableContents"/>
              <w:bidi w:val="0"/>
              <w:spacing w:before="0" w:after="0"/>
              <w:jc w:val="left"/>
              <w:rPr>
                <w:rFonts w:ascii="Arial" w:hAnsi="Arial"/>
                <w:sz w:val="14"/>
              </w:rPr>
            </w:pPr>
            <w:r>
              <w:rPr>
                <w:rFonts w:ascii="Arial" w:hAnsi="Arial"/>
                <w:sz w:val="14"/>
              </w:rPr>
              <w:t xml:space="preserve">https://www.epri.com/research/products/000000003002034696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55"/>
        <w:gridCol w:w="6020"/>
      </w:tblGrid>
      <w:tr>
        <w:trPr/>
        <w:tc>
          <w:tcPr>
            <w:tcW w:w="155" w:type="dxa"/>
            <w:tcBorders/>
            <w:vAlign w:val="center"/>
          </w:tcPr>
          <w:p>
            <w:pPr>
              <w:pStyle w:val="TableContents"/>
              <w:bidi w:val="0"/>
              <w:spacing w:before="0" w:after="283"/>
              <w:jc w:val="left"/>
              <w:rPr/>
            </w:pPr>
            <w:r>
              <w:rPr/>
              <w:t>4</w:t>
            </w:r>
          </w:p>
        </w:tc>
        <w:tc>
          <w:tcPr>
            <w:tcW w:w="6020" w:type="dxa"/>
            <w:tcBorders/>
            <w:vAlign w:val="center"/>
          </w:tcPr>
          <w:p>
            <w:pPr>
              <w:pStyle w:val="TableContents"/>
              <w:bidi w:val="0"/>
              <w:spacing w:before="0" w:after="0"/>
              <w:jc w:val="left"/>
              <w:rPr>
                <w:rFonts w:ascii="Arial" w:hAnsi="Arial"/>
                <w:sz w:val="14"/>
              </w:rPr>
            </w:pPr>
            <w:r>
              <w:rPr>
                <w:rFonts w:ascii="Arial" w:hAnsi="Arial"/>
                <w:sz w:val="14"/>
              </w:rPr>
              <w:t xml:space="preserve">https://sustainabilitymag.com/articles/microsofts-new-strategy-to-cut-soaring-scope-3-emissions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5</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https://cdn-dynmedia-1.microsoft.com/is/content/microsoftcorp/microsoft/msc/documents/presentations/CSR/2025-Microsoft-Environmental-Sustainability-Report.pdf#page=01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55"/>
        <w:gridCol w:w="6200"/>
      </w:tblGrid>
      <w:tr>
        <w:trPr/>
        <w:tc>
          <w:tcPr>
            <w:tcW w:w="155" w:type="dxa"/>
            <w:tcBorders/>
            <w:vAlign w:val="center"/>
          </w:tcPr>
          <w:p>
            <w:pPr>
              <w:pStyle w:val="TableContents"/>
              <w:bidi w:val="0"/>
              <w:spacing w:before="0" w:after="283"/>
              <w:jc w:val="left"/>
              <w:rPr/>
            </w:pPr>
            <w:r>
              <w:rPr/>
              <w:t>6</w:t>
            </w:r>
          </w:p>
        </w:tc>
        <w:tc>
          <w:tcPr>
            <w:tcW w:w="6200" w:type="dxa"/>
            <w:tcBorders/>
            <w:vAlign w:val="center"/>
          </w:tcPr>
          <w:p>
            <w:pPr>
              <w:pStyle w:val="TableContents"/>
              <w:bidi w:val="0"/>
              <w:spacing w:before="0" w:after="0"/>
              <w:jc w:val="left"/>
              <w:rPr>
                <w:rFonts w:ascii="Arial" w:hAnsi="Arial"/>
                <w:sz w:val="14"/>
              </w:rPr>
            </w:pPr>
            <w:r>
              <w:rPr>
                <w:rFonts w:ascii="Arial" w:hAnsi="Arial"/>
                <w:sz w:val="14"/>
              </w:rPr>
              <w:t xml:space="preserve">https://www.kuow.org/stories/could-microsoft-s-off-grid-data-center-project-undermine-climate-goals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155"/>
        <w:gridCol w:w="4460"/>
      </w:tblGrid>
      <w:tr>
        <w:trPr/>
        <w:tc>
          <w:tcPr>
            <w:tcW w:w="155" w:type="dxa"/>
            <w:tcBorders/>
            <w:vAlign w:val="center"/>
          </w:tcPr>
          <w:p>
            <w:pPr>
              <w:pStyle w:val="TableContents"/>
              <w:bidi w:val="0"/>
              <w:spacing w:before="0" w:after="283"/>
              <w:jc w:val="left"/>
              <w:rPr/>
            </w:pPr>
            <w:r>
              <w:rPr/>
              <w:t>7</w:t>
            </w:r>
          </w:p>
        </w:tc>
        <w:tc>
          <w:tcPr>
            <w:tcW w:w="4460" w:type="dxa"/>
            <w:tcBorders/>
            <w:vAlign w:val="center"/>
          </w:tcPr>
          <w:p>
            <w:pPr>
              <w:pStyle w:val="TableContents"/>
              <w:bidi w:val="0"/>
              <w:spacing w:before="0" w:after="0"/>
              <w:jc w:val="left"/>
              <w:rPr>
                <w:rFonts w:ascii="Arial" w:hAnsi="Arial"/>
                <w:sz w:val="14"/>
              </w:rPr>
            </w:pPr>
            <w:r>
              <w:rPr>
                <w:rFonts w:ascii="Arial" w:hAnsi="Arial"/>
                <w:sz w:val="14"/>
              </w:rPr>
              <w:t xml:space="preserve">https://brandirectory.com/reports/sustainability-perceptions-index/2024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55"/>
        <w:gridCol w:w="6575"/>
      </w:tblGrid>
      <w:tr>
        <w:trPr/>
        <w:tc>
          <w:tcPr>
            <w:tcW w:w="155" w:type="dxa"/>
            <w:tcBorders/>
            <w:vAlign w:val="center"/>
          </w:tcPr>
          <w:p>
            <w:pPr>
              <w:pStyle w:val="TableContents"/>
              <w:bidi w:val="0"/>
              <w:spacing w:before="0" w:after="283"/>
              <w:jc w:val="left"/>
              <w:rPr/>
            </w:pPr>
            <w:r>
              <w:rPr/>
              <w:t>8</w:t>
            </w:r>
          </w:p>
        </w:tc>
        <w:tc>
          <w:tcPr>
            <w:tcW w:w="6575" w:type="dxa"/>
            <w:tcBorders/>
            <w:vAlign w:val="center"/>
          </w:tcPr>
          <w:p>
            <w:pPr>
              <w:pStyle w:val="TableContents"/>
              <w:bidi w:val="0"/>
              <w:spacing w:before="0" w:after="0"/>
              <w:jc w:val="left"/>
              <w:rPr>
                <w:rFonts w:ascii="Arial" w:hAnsi="Arial"/>
                <w:sz w:val="14"/>
              </w:rPr>
            </w:pPr>
            <w:r>
              <w:rPr>
                <w:rFonts w:ascii="Arial" w:hAnsi="Arial"/>
                <w:sz w:val="14"/>
              </w:rPr>
              <w:t xml:space="preserve">https://www.sec.gov/ix?doc=/Archives/edgar/data/0000789019/000095017025100235/msft-20250630.htm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155"/>
        <w:gridCol w:w="6725"/>
      </w:tblGrid>
      <w:tr>
        <w:trPr/>
        <w:tc>
          <w:tcPr>
            <w:tcW w:w="155" w:type="dxa"/>
            <w:tcBorders/>
            <w:vAlign w:val="center"/>
          </w:tcPr>
          <w:p>
            <w:pPr>
              <w:pStyle w:val="TableContents"/>
              <w:bidi w:val="0"/>
              <w:spacing w:before="0" w:after="283"/>
              <w:jc w:val="left"/>
              <w:rPr/>
            </w:pPr>
            <w:r>
              <w:rPr/>
              <w:t>9</w:t>
            </w:r>
          </w:p>
        </w:tc>
        <w:tc>
          <w:tcPr>
            <w:tcW w:w="6725" w:type="dxa"/>
            <w:tcBorders/>
            <w:vAlign w:val="center"/>
          </w:tcPr>
          <w:p>
            <w:pPr>
              <w:pStyle w:val="TableContents"/>
              <w:bidi w:val="0"/>
              <w:spacing w:before="0" w:after="0"/>
              <w:jc w:val="left"/>
              <w:rPr>
                <w:rFonts w:ascii="Arial" w:hAnsi="Arial"/>
                <w:sz w:val="14"/>
              </w:rPr>
            </w:pPr>
            <w:r>
              <w:rPr>
                <w:rFonts w:ascii="Arial" w:hAnsi="Arial"/>
                <w:sz w:val="14"/>
              </w:rPr>
              <w:t xml:space="preserve">https://www.deloitte.com/content/dam/assets-shared/docs/campaigns/2025/2025-genz-millennial-survey.pdf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275"/>
        <w:gridCol w:w="8675"/>
      </w:tblGrid>
      <w:tr>
        <w:trPr/>
        <w:tc>
          <w:tcPr>
            <w:tcW w:w="275" w:type="dxa"/>
            <w:tcBorders/>
            <w:vAlign w:val="center"/>
          </w:tcPr>
          <w:p>
            <w:pPr>
              <w:pStyle w:val="TableContents"/>
              <w:bidi w:val="0"/>
              <w:spacing w:before="0" w:after="283"/>
              <w:jc w:val="left"/>
              <w:rPr/>
            </w:pPr>
            <w:r>
              <w:rPr/>
              <w:t>10</w:t>
            </w:r>
          </w:p>
        </w:tc>
        <w:tc>
          <w:tcPr>
            <w:tcW w:w="8675" w:type="dxa"/>
            <w:tcBorders/>
            <w:vAlign w:val="center"/>
          </w:tcPr>
          <w:p>
            <w:pPr>
              <w:pStyle w:val="TableContents"/>
              <w:bidi w:val="0"/>
              <w:spacing w:before="0" w:after="0"/>
              <w:jc w:val="left"/>
              <w:rPr>
                <w:rFonts w:ascii="Arial" w:hAnsi="Arial"/>
                <w:sz w:val="14"/>
              </w:rPr>
            </w:pPr>
            <w:r>
              <w:rPr>
                <w:rFonts w:ascii="Arial" w:hAnsi="Arial"/>
                <w:sz w:val="14"/>
              </w:rPr>
              <w:t xml:space="preserve">https://finance.yahoo.com/markets/article/meta-alphabet-amazon-and-microsoft-are-getting-hooked-on-debt-to-fuel-ai-boom-140111460.html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275"/>
        <w:gridCol w:w="5945"/>
      </w:tblGrid>
      <w:tr>
        <w:trPr/>
        <w:tc>
          <w:tcPr>
            <w:tcW w:w="275" w:type="dxa"/>
            <w:tcBorders/>
            <w:vAlign w:val="center"/>
          </w:tcPr>
          <w:p>
            <w:pPr>
              <w:pStyle w:val="TableContents"/>
              <w:bidi w:val="0"/>
              <w:spacing w:before="0" w:after="283"/>
              <w:jc w:val="left"/>
              <w:rPr/>
            </w:pPr>
            <w:r>
              <w:rPr/>
              <w:t>11</w:t>
            </w:r>
          </w:p>
        </w:tc>
        <w:tc>
          <w:tcPr>
            <w:tcW w:w="5945" w:type="dxa"/>
            <w:tcBorders/>
            <w:vAlign w:val="center"/>
          </w:tcPr>
          <w:p>
            <w:pPr>
              <w:pStyle w:val="TableContents"/>
              <w:bidi w:val="0"/>
              <w:spacing w:before="0" w:after="0"/>
              <w:jc w:val="left"/>
              <w:rPr>
                <w:rFonts w:ascii="Arial" w:hAnsi="Arial"/>
                <w:sz w:val="14"/>
              </w:rPr>
            </w:pPr>
            <w:r>
              <w:rPr>
                <w:rFonts w:ascii="Arial" w:hAnsi="Arial"/>
                <w:sz w:val="14"/>
              </w:rPr>
              <w:t xml:space="preserve">https://www.echoresearch.com/news-events/119-trillion-in-sp-500-firms-attributed-to-reputation/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275"/>
        <w:gridCol w:w="4700"/>
      </w:tblGrid>
      <w:tr>
        <w:trPr/>
        <w:tc>
          <w:tcPr>
            <w:tcW w:w="275" w:type="dxa"/>
            <w:tcBorders/>
            <w:vAlign w:val="center"/>
          </w:tcPr>
          <w:p>
            <w:pPr>
              <w:pStyle w:val="TableContents"/>
              <w:bidi w:val="0"/>
              <w:spacing w:before="0" w:after="283"/>
              <w:jc w:val="left"/>
              <w:rPr/>
            </w:pPr>
            <w:r>
              <w:rPr/>
              <w:t>12</w:t>
            </w:r>
          </w:p>
        </w:tc>
        <w:tc>
          <w:tcPr>
            <w:tcW w:w="4700" w:type="dxa"/>
            <w:tcBorders/>
            <w:vAlign w:val="center"/>
          </w:tcPr>
          <w:p>
            <w:pPr>
              <w:pStyle w:val="TableContents"/>
              <w:bidi w:val="0"/>
              <w:spacing w:before="0" w:after="0"/>
              <w:jc w:val="left"/>
              <w:rPr>
                <w:rFonts w:ascii="Arial" w:hAnsi="Arial"/>
                <w:sz w:val="14"/>
              </w:rPr>
            </w:pPr>
            <w:r>
              <w:rPr>
                <w:rFonts w:ascii="Arial" w:hAnsi="Arial"/>
                <w:sz w:val="14"/>
              </w:rPr>
              <w:t xml:space="preserve">https://www.sciencedirect.com/science/article/abs/pii/S0264999324001421 </w:t>
            </w:r>
          </w:p>
        </w:tc>
      </w:tr>
    </w:tbl>
    <w:p>
      <w:pPr>
        <w:pStyle w:val="TextBody"/>
        <w:bidi w:val="0"/>
        <w:spacing w:before="0" w:after="0"/>
        <w:jc w:val="left"/>
        <w:rPr/>
      </w:pPr>
      <w:r>
        <w:rPr/>
        <w:t> </w:t>
      </w:r>
    </w:p>
    <w:p>
      <w:pPr>
        <w:pStyle w:val="TextBody"/>
        <w:bidi w:val="0"/>
        <w:spacing w:before="0" w:after="0"/>
        <w:jc w:val="left"/>
        <w:rPr/>
      </w:pPr>
      <w:r>
        <w:rPr/>
        <w:t> </w:t>
      </w:r>
    </w:p>
    <w:tbl>
      <w:tblPr>
        <w:tblW w:w="1354" w:type="dxa"/>
        <w:jc w:val="left"/>
        <w:tblInd w:w="0" w:type="dxa"/>
        <w:tblLayout w:type="fixed"/>
        <w:tblCellMar>
          <w:top w:w="0" w:type="dxa"/>
          <w:left w:w="0" w:type="dxa"/>
          <w:bottom w:w="0" w:type="dxa"/>
          <w:right w:w="0" w:type="dxa"/>
        </w:tblCellMar>
      </w:tblPr>
      <w:tblGrid>
        <w:gridCol w:w="275"/>
        <w:gridCol w:w="120"/>
        <w:gridCol w:w="959"/>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70</w:t>
            </w:r>
          </w:p>
        </w:tc>
        <w:tc>
          <w:tcPr>
            <w:tcW w:w="12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0"/>
              <w:jc w:val="left"/>
              <w:rPr/>
            </w:pPr>
            <w:r>
              <w:rPr/>
              <w:drawing>
                <wp:inline distT="0" distB="0" distL="0" distR="0">
                  <wp:extent cx="561340" cy="115570"/>
                  <wp:effectExtent l="0" t="0" r="0" b="0"/>
                  <wp:docPr id="1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0" descr=""/>
                          <pic:cNvPicPr>
                            <a:picLocks noChangeAspect="1" noChangeArrowheads="1"/>
                          </pic:cNvPicPr>
                        </pic:nvPicPr>
                        <pic:blipFill>
                          <a:blip r:embed="rId111"/>
                          <a:stretch>
                            <a:fillRect/>
                          </a:stretch>
                        </pic:blipFill>
                        <pic:spPr bwMode="auto">
                          <a:xfrm>
                            <a:off x="0" y="0"/>
                            <a:ext cx="561340" cy="115570"/>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Given this, Microsoft could better inform investors by providing: </w:t>
      </w:r>
    </w:p>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Arial" w:hAnsi="Arial"/>
                <w:sz w:val="18"/>
              </w:rPr>
            </w:pPr>
            <w:r>
              <w:rPr>
                <w:rFonts w:ascii="Arial" w:hAnsi="Arial"/>
                <w:sz w:val="18"/>
              </w:rPr>
              <w:t xml:space="preserve">Disclosure according to the Transition Plan Taskforce Disclosure Framework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Contingency plans and stress tests of Microsoft’s strategies for achieving its climate commitments, assessing factors over which it has direct and indirect control1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125"/>
        <w:gridCol w:w="60"/>
        <w:gridCol w:w="93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Arial" w:hAnsi="Arial"/>
                <w:sz w:val="18"/>
              </w:rPr>
            </w:pPr>
            <w:r>
              <w:rPr>
                <w:rFonts w:ascii="Arial" w:hAnsi="Arial"/>
                <w:sz w:val="18"/>
              </w:rPr>
              <w:t xml:space="preserve">Scenario analyses that evaluate factors that could negatively impact the company’s emissions reduction progress2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125"/>
        <w:gridCol w:w="60"/>
        <w:gridCol w:w="48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Arial" w:hAnsi="Arial"/>
                <w:sz w:val="18"/>
              </w:rPr>
            </w:pPr>
            <w:r>
              <w:rPr>
                <w:rFonts w:ascii="Arial" w:hAnsi="Arial"/>
                <w:sz w:val="18"/>
              </w:rPr>
              <w:t xml:space="preserve">The company’s anticipated near-term emissions pathway3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125"/>
        <w:gridCol w:w="60"/>
        <w:gridCol w:w="98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Arial" w:hAnsi="Arial"/>
                <w:sz w:val="18"/>
              </w:rPr>
            </w:pPr>
            <w:r>
              <w:rPr>
                <w:rFonts w:ascii="Arial" w:hAnsi="Arial"/>
                <w:sz w:val="18"/>
              </w:rPr>
              <w:t xml:space="preserve">Efforts to reduce enabled emissions associated with use of Microsoft’s AI products developed for extraction of fossil fuels </w:t>
            </w:r>
          </w:p>
        </w:tc>
      </w:tr>
    </w:tbl>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125"/>
        <w:gridCol w:w="60"/>
        <w:gridCol w:w="2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Arial" w:hAnsi="Arial"/>
                <w:sz w:val="18"/>
              </w:rPr>
            </w:pPr>
            <w:r>
              <w:rPr>
                <w:rFonts w:ascii="Arial" w:hAnsi="Arial"/>
                <w:sz w:val="18"/>
              </w:rPr>
              <w:t xml:space="preserve">Hourly clean energy matching data </w:t>
            </w:r>
          </w:p>
        </w:tc>
      </w:tr>
    </w:tbl>
    <w:p>
      <w:pPr>
        <w:pStyle w:val="TextBody"/>
        <w:bidi w:val="0"/>
        <w:spacing w:before="120" w:after="0"/>
        <w:jc w:val="left"/>
        <w:rPr>
          <w:rFonts w:ascii="Arial" w:hAnsi="Arial"/>
          <w:sz w:val="18"/>
        </w:rPr>
      </w:pPr>
      <w:r>
        <w:rPr>
          <w:rFonts w:ascii="Arial" w:hAnsi="Arial"/>
          <w:b/>
          <w:sz w:val="18"/>
        </w:rPr>
        <w:t xml:space="preserve">Resolved: </w:t>
      </w:r>
      <w:r>
        <w:rPr>
          <w:rFonts w:ascii="Arial" w:hAnsi="Arial"/>
          <w:sz w:val="18"/>
        </w:rPr>
        <w:t xml:space="preserve">Given the company’s growing GHG emissions and the challenge of meeting its goals, shareholders request Microsoft disclose </w:t>
      </w:r>
      <w:r>
        <w:rPr>
          <w:rFonts w:ascii="Arial" w:hAnsi="Arial"/>
          <w:i/>
          <w:sz w:val="18"/>
        </w:rPr>
        <w:t>additional information</w:t>
      </w:r>
      <w:r>
        <w:rPr>
          <w:rFonts w:ascii="Arial" w:hAnsi="Arial"/>
          <w:sz w:val="18"/>
        </w:rPr>
        <w:t xml:space="preserve"> illustrating how it will manage its climate commitments. This disclosure should be beyond existing disclosures, at reasonable cost, omitting proprietary information, and made annually. </w:t>
      </w:r>
    </w:p>
    <w:p>
      <w:pPr>
        <w:pStyle w:val="TextBody"/>
        <w:bidi w:val="0"/>
        <w:spacing w:before="240" w:after="0"/>
        <w:jc w:val="left"/>
        <w:rPr>
          <w:rFonts w:ascii="Arial" w:hAnsi="Arial"/>
          <w:b/>
          <w:color w:val="0075C9"/>
          <w:sz w:val="20"/>
        </w:rPr>
      </w:pPr>
      <w:r>
        <w:rPr>
          <w:rFonts w:ascii="Arial" w:hAnsi="Arial"/>
          <w:b/>
          <w:color w:val="0075C9"/>
          <w:sz w:val="20"/>
        </w:rPr>
        <w:t xml:space="preserve">Board Recommendation </w:t>
      </w:r>
    </w:p>
    <w:p>
      <w:pPr>
        <w:pStyle w:val="TextBody"/>
        <w:bidi w:val="0"/>
        <w:spacing w:before="120" w:after="0"/>
        <w:jc w:val="left"/>
        <w:rPr>
          <w:rFonts w:ascii="Arial" w:hAnsi="Arial"/>
          <w:b/>
          <w:i/>
          <w:color w:val="0075C9"/>
          <w:sz w:val="20"/>
        </w:rPr>
      </w:pPr>
      <w:r>
        <w:rPr>
          <w:rFonts w:ascii="Arial" w:hAnsi="Arial"/>
          <w:b/>
          <w:i/>
          <w:color w:val="0075C9"/>
          <w:sz w:val="20"/>
        </w:rPr>
        <w:t xml:space="preserve">The Board of Directors recommends a vote AGAINST the proposal for the following reasons: </w:t>
      </w:r>
    </w:p>
    <w:p>
      <w:pPr>
        <w:pStyle w:val="TextBody"/>
        <w:bidi w:val="0"/>
        <w:spacing w:before="120" w:after="0"/>
        <w:jc w:val="left"/>
        <w:rPr>
          <w:rFonts w:ascii="Arial" w:hAnsi="Arial"/>
          <w:b/>
          <w:sz w:val="18"/>
        </w:rPr>
      </w:pPr>
      <w:r>
        <w:rPr>
          <w:rFonts w:ascii="Arial" w:hAnsi="Arial"/>
          <w:b/>
          <w:sz w:val="18"/>
        </w:rPr>
        <w:t xml:space="preserve">COMPANY STATEMENT IN OPPOSITION </w:t>
      </w:r>
    </w:p>
    <w:p>
      <w:pPr>
        <w:pStyle w:val="TextBody"/>
        <w:bidi w:val="0"/>
        <w:spacing w:before="120" w:after="0"/>
        <w:jc w:val="left"/>
        <w:rPr>
          <w:rFonts w:ascii="Arial" w:hAnsi="Arial"/>
          <w:sz w:val="18"/>
        </w:rPr>
      </w:pPr>
      <w:r>
        <w:rPr>
          <w:rFonts w:ascii="Arial" w:hAnsi="Arial"/>
          <w:sz w:val="18"/>
        </w:rPr>
        <w:t xml:space="preserve">Microsoft is committed to transparency regarding our corporate-level environmental commitments and our progress toward achieving them. We believe our current disclosures already provide shareholders with extensive decision-useful information regarding Microsoft’s climate strategy, governance, potential risks, opportunities, performance against goals, and progress toward our environmental targets. The proposal does not identify an information gap that could prevent investors from evaluating Microsoft’s climate-related performance or oversight. </w:t>
      </w:r>
    </w:p>
    <w:p>
      <w:pPr>
        <w:pStyle w:val="TextBody"/>
        <w:bidi w:val="0"/>
        <w:spacing w:before="120" w:after="0"/>
        <w:jc w:val="left"/>
        <w:rPr>
          <w:rFonts w:ascii="Arial" w:hAnsi="Arial"/>
          <w:sz w:val="18"/>
        </w:rPr>
      </w:pPr>
      <w:r>
        <w:rPr>
          <w:rFonts w:ascii="Arial" w:hAnsi="Arial"/>
          <w:sz w:val="18"/>
        </w:rPr>
        <w:t xml:space="preserve">Microsoft established its ambitious climate and sustainability goals in 2020, and since then has provided extensive public reporting regarding the actions we are taking to achieve them. We disclose our greenhouse gas emissions, energy use, renewable energy procurement efforts, carbon removal portfolio, governance processes, key climate risks, and our progress toward our environmental commitments in numerous voluntary and regulatory disclosures which are publicly available and posted at </w:t>
      </w:r>
      <w:r>
        <w:rPr>
          <w:rFonts w:ascii="Arial" w:hAnsi="Arial"/>
          <w:sz w:val="18"/>
          <w:u w:val="single"/>
        </w:rPr>
        <w:t>microsoft.com/transparency</w:t>
      </w:r>
      <w:r>
        <w:rPr>
          <w:rFonts w:ascii="Arial" w:hAnsi="Arial"/>
          <w:sz w:val="18"/>
        </w:rPr>
        <w:t xml:space="preserve">. This includes our annual Environmental Sustainability Report, sustainability websites, reporting to CDP (formerly the Carbon Disclosure Project), climate-reporting aligned to standards from the International Sustainability Standards Board, regulatory disclosures such as California’s Voluntary Carbon Market Disclosures Act, and other public disclosures, including reporting on progress towards our approved near-term Science Based Target. Microsoft will also begin reporting under additional climate disclosure requirements from Australia, California, the European Union, and other jurisdictions as soon as October 2026, which will further supplement our environmental disclosures. </w:t>
      </w:r>
    </w:p>
    <w:p>
      <w:pPr>
        <w:pStyle w:val="TextBody"/>
        <w:bidi w:val="0"/>
        <w:spacing w:before="120" w:after="0"/>
        <w:jc w:val="left"/>
        <w:rPr>
          <w:rFonts w:ascii="Arial" w:hAnsi="Arial"/>
          <w:sz w:val="18"/>
        </w:rPr>
      </w:pPr>
      <w:r>
        <w:rPr>
          <w:rFonts w:ascii="Arial" w:hAnsi="Arial"/>
          <w:sz w:val="18"/>
        </w:rPr>
        <w:t xml:space="preserve">Importantly, in our 2026 Environmental Sustainability Report and other disclosures, Microsoft has been transparent not only about areas of progress but also about areas where achieving our goals has become more complex. We have publicly reported increases in emissions associated with the growth of our business, including the expansion of AI and cloud infrastructure, and continue to explain the investments and innovations we are pursuing to address those challenges. </w:t>
      </w:r>
    </w:p>
    <w:p>
      <w:pPr>
        <w:pStyle w:val="TextBody"/>
        <w:bidi w:val="0"/>
        <w:spacing w:before="120" w:after="0"/>
        <w:jc w:val="left"/>
        <w:rPr>
          <w:rFonts w:ascii="Arial" w:hAnsi="Arial"/>
          <w:sz w:val="18"/>
        </w:rPr>
      </w:pPr>
      <w:r>
        <w:rPr>
          <w:rFonts w:ascii="Arial" w:hAnsi="Arial"/>
          <w:sz w:val="18"/>
        </w:rPr>
        <w:t xml:space="preserve">Microsoft’s climate strategy is overseen through established governance and risk-management processes that evaluate environmental, operational, financial, legal, and reputational considerations across the business. Consistent with those processes, we regularly assess climate-related risks and opportunities and disclose material information to investors through our existing reporting. Requiring a separate, stand-alone report focused on speculative future outcomes would not meaningfully enhance shareholder understanding beyond the extensive information already available. </w:t>
      </w:r>
    </w:p>
    <w:p>
      <w:pPr>
        <w:pStyle w:val="TextBody"/>
        <w:bidi w:val="0"/>
        <w:spacing w:before="120" w:after="0"/>
        <w:jc w:val="left"/>
        <w:rPr>
          <w:rFonts w:ascii="Arial" w:hAnsi="Arial"/>
          <w:sz w:val="18"/>
        </w:rPr>
      </w:pPr>
      <w:r>
        <w:rPr>
          <w:rFonts w:ascii="Arial" w:hAnsi="Arial"/>
          <w:sz w:val="18"/>
        </w:rPr>
        <w:t xml:space="preserve">The proposal does not demonstrate that Microsoft’s existing disclosures are insufficient for investors to evaluate the company’s climate-related strategy, governance, potential risks, opportunities, and performance. Instead, it requests a collection of new disclosures that extend beyond not just legal and regulatory requirements, but beyond established voluntary climate-reporting frameworks and the types of disclosures commonly observed among peer companies. Among other things, the proposal seeks hypothetical scenario analyses, contingency plans, stress testing, anticipated emissions pathways, and other forward-looking information that is inherently uncertain and subject to change as technologies, market conditions, energy systems, and regulatory environments evolve. We remain focused on our Sustainability Report and other environmental reporting while also meeting new disclosure mandates arising globally. </w:t>
      </w:r>
    </w:p>
    <w:p>
      <w:pPr>
        <w:pStyle w:val="TextBody"/>
        <w:bidi w:val="0"/>
        <w:spacing w:lineRule="atLeast" w:line="160" w:before="0" w:after="40"/>
        <w:jc w:val="left"/>
        <w:rPr>
          <w:bdr w:val="single" w:sz="2" w:space="1" w:color="000000"/>
        </w:rPr>
      </w:pPr>
      <w:r>
        <w:rPr>
          <w:bdr w:val="single" w:sz="2" w:space="1" w:color="000000"/>
        </w:rPr>
        <w:t> </w:t>
      </w:r>
    </w:p>
    <w:tbl>
      <w:tblPr>
        <w:tblW w:w="8395" w:type="dxa"/>
        <w:jc w:val="left"/>
        <w:tblInd w:w="0" w:type="dxa"/>
        <w:tblLayout w:type="fixed"/>
        <w:tblCellMar>
          <w:top w:w="0" w:type="dxa"/>
          <w:left w:w="0" w:type="dxa"/>
          <w:bottom w:w="0" w:type="dxa"/>
          <w:right w:w="0" w:type="dxa"/>
        </w:tblCellMar>
      </w:tblPr>
      <w:tblGrid>
        <w:gridCol w:w="155"/>
        <w:gridCol w:w="8240"/>
      </w:tblGrid>
      <w:tr>
        <w:trPr/>
        <w:tc>
          <w:tcPr>
            <w:tcW w:w="155" w:type="dxa"/>
            <w:tcBorders/>
            <w:vAlign w:val="center"/>
          </w:tcPr>
          <w:p>
            <w:pPr>
              <w:pStyle w:val="TableContents"/>
              <w:bidi w:val="0"/>
              <w:spacing w:before="0" w:after="283"/>
              <w:jc w:val="left"/>
              <w:rPr/>
            </w:pPr>
            <w:r>
              <w:rPr/>
              <w:t>1</w:t>
            </w:r>
          </w:p>
        </w:tc>
        <w:tc>
          <w:tcPr>
            <w:tcW w:w="8240" w:type="dxa"/>
            <w:tcBorders/>
            <w:vAlign w:val="center"/>
          </w:tcPr>
          <w:p>
            <w:pPr>
              <w:pStyle w:val="TableContents"/>
              <w:bidi w:val="0"/>
              <w:spacing w:before="0" w:after="0"/>
              <w:jc w:val="left"/>
              <w:rPr>
                <w:rFonts w:ascii="Arial" w:hAnsi="Arial"/>
                <w:sz w:val="14"/>
              </w:rPr>
            </w:pPr>
            <w:r>
              <w:rPr>
                <w:rFonts w:ascii="Arial" w:hAnsi="Arial"/>
                <w:sz w:val="14"/>
              </w:rPr>
              <w:t xml:space="preserve">https://www.ball.com/getmedia/c40fe912-662a-4ce1-9cef-e1c3f96822a0/Ball-Climate-Transition-Plan-FINAL-March-2023.pdf#page=58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155"/>
        <w:gridCol w:w="8240"/>
      </w:tblGrid>
      <w:tr>
        <w:trPr/>
        <w:tc>
          <w:tcPr>
            <w:tcW w:w="155" w:type="dxa"/>
            <w:tcBorders/>
            <w:vAlign w:val="center"/>
          </w:tcPr>
          <w:p>
            <w:pPr>
              <w:pStyle w:val="TableContents"/>
              <w:bidi w:val="0"/>
              <w:spacing w:before="0" w:after="283"/>
              <w:jc w:val="left"/>
              <w:rPr/>
            </w:pPr>
            <w:r>
              <w:rPr/>
              <w:t>2</w:t>
            </w:r>
          </w:p>
        </w:tc>
        <w:tc>
          <w:tcPr>
            <w:tcW w:w="8240" w:type="dxa"/>
            <w:tcBorders/>
            <w:vAlign w:val="center"/>
          </w:tcPr>
          <w:p>
            <w:pPr>
              <w:pStyle w:val="TableContents"/>
              <w:bidi w:val="0"/>
              <w:spacing w:before="0" w:after="0"/>
              <w:jc w:val="left"/>
              <w:rPr>
                <w:rFonts w:ascii="Arial" w:hAnsi="Arial"/>
                <w:sz w:val="14"/>
              </w:rPr>
            </w:pPr>
            <w:r>
              <w:rPr>
                <w:rFonts w:ascii="Arial" w:hAnsi="Arial"/>
                <w:sz w:val="14"/>
              </w:rPr>
              <w:t xml:space="preserve">https://www.ball.com/getmedia/c40fe912-662a-4ce1-9cef-e1c3f96822a0/Ball-Climate-Transition-Plan-FINAL-March-2023.pdf#page=13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https://www.unepfi.org/themes/climate-change/recommendations-for-policy-makers-on-net-zero-action-aligning-commitments-with-science-based-no-low-overshoot-1-5-c-scenarios/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Proposal 5: Report on Human Rights Due Diligence </w:t>
      </w:r>
    </w:p>
    <w:p>
      <w:pPr>
        <w:pStyle w:val="TextBody"/>
        <w:bidi w:val="0"/>
        <w:spacing w:before="120" w:after="0"/>
        <w:jc w:val="left"/>
        <w:rPr>
          <w:rFonts w:ascii="Arial" w:hAnsi="Arial"/>
          <w:sz w:val="18"/>
        </w:rPr>
      </w:pPr>
      <w:r>
        <w:rPr>
          <w:rFonts w:ascii="Arial" w:hAnsi="Arial"/>
          <w:sz w:val="18"/>
        </w:rPr>
        <w:t xml:space="preserve">Religious of the Sacred Heart of Mary and co-filers have advised us that they intend to submit the following proposal for consideration at the Annual Meeting. </w:t>
      </w:r>
    </w:p>
    <w:p>
      <w:pPr>
        <w:pStyle w:val="TextBody"/>
        <w:bidi w:val="0"/>
        <w:spacing w:before="120" w:after="0"/>
        <w:jc w:val="left"/>
        <w:rPr>
          <w:rFonts w:ascii="Arial" w:hAnsi="Arial"/>
          <w:sz w:val="18"/>
        </w:rPr>
      </w:pPr>
      <w:r>
        <w:rPr>
          <w:rFonts w:ascii="Arial" w:hAnsi="Arial"/>
          <w:b/>
          <w:sz w:val="18"/>
        </w:rPr>
        <w:t>RESOLVED</w:t>
      </w:r>
      <w:r>
        <w:rPr>
          <w:rFonts w:ascii="Arial" w:hAnsi="Arial"/>
          <w:sz w:val="18"/>
        </w:rPr>
        <w:t xml:space="preserve">: Shareholders request the Board of Directors publish a report, at reasonable cost and omitting proprietary information, assessing the effectiveness of Microsoft’s human rights due diligence (“HRDD”) processes in preventing, identifying, and addressing customer misuse of Microsoft artificial intelligence (“AI”) and cloud products or services that violates human rights or international humanitarian law (“IHL”). </w:t>
      </w:r>
    </w:p>
    <w:p>
      <w:pPr>
        <w:pStyle w:val="TextBody"/>
        <w:bidi w:val="0"/>
        <w:spacing w:before="120" w:after="0"/>
        <w:jc w:val="left"/>
        <w:rPr>
          <w:rFonts w:ascii="Arial" w:hAnsi="Arial"/>
          <w:sz w:val="18"/>
        </w:rPr>
      </w:pPr>
      <w:r>
        <w:rPr>
          <w:rFonts w:ascii="Arial" w:hAnsi="Arial"/>
          <w:sz w:val="18"/>
        </w:rPr>
        <w:t xml:space="preserve">The UN Guiding Principles on Business and Human Rights (“UNGPs”) constitute the global authoritative framework outlining human rights responsibilities of businesses, and expectations are heightened for companies with business activities in conflict-affected and high-risk areas.1 Companies are expected to take all reasonable steps to ensure their products and services are not used to violate human rights2 and to transparently report on the effectiveness of their HRDD.3 </w:t>
      </w:r>
    </w:p>
    <w:p>
      <w:pPr>
        <w:pStyle w:val="TextBody"/>
        <w:bidi w:val="0"/>
        <w:spacing w:before="120" w:after="0"/>
        <w:jc w:val="left"/>
        <w:rPr>
          <w:rFonts w:ascii="Arial" w:hAnsi="Arial"/>
          <w:sz w:val="18"/>
        </w:rPr>
      </w:pPr>
      <w:r>
        <w:rPr>
          <w:rFonts w:ascii="Arial" w:hAnsi="Arial"/>
          <w:sz w:val="18"/>
        </w:rPr>
        <w:t xml:space="preserve">Microsoft states it conducts ongoing HRDD across its value chain, in line with its obligations under the UNGPs, but recent allegations and findings of severe customer misuse suggest Microsoft’s HRDD is ineffective.4 </w:t>
      </w:r>
    </w:p>
    <w:p>
      <w:pPr>
        <w:pStyle w:val="TextBody"/>
        <w:bidi w:val="0"/>
        <w:spacing w:before="120" w:after="0"/>
        <w:jc w:val="left"/>
        <w:rPr>
          <w:rFonts w:ascii="Arial" w:hAnsi="Arial"/>
          <w:sz w:val="18"/>
        </w:rPr>
      </w:pPr>
      <w:r>
        <w:rPr>
          <w:rFonts w:ascii="Arial" w:hAnsi="Arial"/>
          <w:sz w:val="18"/>
        </w:rPr>
        <w:t xml:space="preserve">For example, several reports have detailed Israel’s alleged use of Microsoft’s AI and cloud services and technologies in its attacks against Palestinians,5 which have been labeled war crimes and crimes against humanity.6 Many prominent international organizations and scholars believe these attacks constitute genocide.7 </w:t>
      </w:r>
    </w:p>
    <w:p>
      <w:pPr>
        <w:pStyle w:val="TextBody"/>
        <w:bidi w:val="0"/>
        <w:spacing w:before="120" w:after="0"/>
        <w:jc w:val="left"/>
        <w:rPr>
          <w:rFonts w:ascii="Arial" w:hAnsi="Arial"/>
          <w:sz w:val="18"/>
        </w:rPr>
      </w:pPr>
      <w:r>
        <w:rPr>
          <w:rFonts w:ascii="Arial" w:hAnsi="Arial"/>
          <w:sz w:val="18"/>
        </w:rPr>
        <w:t xml:space="preserve">In June 2026, Microsoft confirmed claims by The Guardian that Microsoft’s cloud was being used to store mass surveillance data on Palestinians, which led Microsoft to terminate one specific contract with an Israeli military unit.8 Importantly, it was The Guardian, not Microsoft’s own HRDD, that identified the misuse, which was based on “information [Microsoft] could not access.”9 Concerningly, Microsoft’s initial May 2025 internal assessments and external review found no evidence of misuse, while acknowledging it lacked “visibility into how customers use our software on their own servers or other devices.”10 This example highlights ineffective HRDD and suggests Microsoft may be unable to identify other instances of serious human rights or IHL violations. Microsoft still maintains extensive contracts with the Israeli military, purportedly connected to ongoing human rights violations against Palestinians.11 </w:t>
      </w:r>
    </w:p>
    <w:p>
      <w:pPr>
        <w:pStyle w:val="TextBody"/>
        <w:bidi w:val="0"/>
        <w:spacing w:before="120" w:after="0"/>
        <w:jc w:val="left"/>
        <w:rPr>
          <w:rFonts w:ascii="Arial" w:hAnsi="Arial"/>
          <w:sz w:val="18"/>
        </w:rPr>
      </w:pPr>
      <w:r>
        <w:rPr>
          <w:rFonts w:ascii="Arial" w:hAnsi="Arial"/>
          <w:sz w:val="18"/>
        </w:rPr>
        <w:t xml:space="preserve">Additionally, reports raise concerns about Microsoft’s cloud being used by Immigration and Customs Enforcement (“ICE”) in “facilitating an immigration crackdown.”12 Although Microsoft says it “do[es] not believe” its cloud is being used by ICE for mass surveillance, Microsoft employees have filed internal ethics reports highlighting these concerns.13 Microsoft also has a close partnership with Palantir Technologies, Inc.,14 which uses Microsoft’s cloud for its software and which has been linked to severe constitutional and human rights violations in the context of immigration enforcement.15 </w:t>
      </w:r>
    </w:p>
    <w:p>
      <w:pPr>
        <w:pStyle w:val="TextBody"/>
        <w:bidi w:val="0"/>
        <w:spacing w:before="120" w:after="0"/>
        <w:jc w:val="left"/>
        <w:rPr>
          <w:rFonts w:ascii="Arial" w:hAnsi="Arial"/>
          <w:sz w:val="18"/>
        </w:rPr>
      </w:pPr>
      <w:r>
        <w:rPr>
          <w:rFonts w:ascii="Arial" w:hAnsi="Arial"/>
          <w:sz w:val="18"/>
        </w:rPr>
        <w:t xml:space="preserve">Ineffective HRDD exposes Microsoft to material legal, operational, and reputational risks, some of which have already materialized: outspoken opposition from its own employees,16 a boycott and divestment campaign,17 an EU General Data Protection Regulation (“GDPR”) related to Palestinian human rights violations,18 and severe reputational damage. </w:t>
      </w:r>
    </w:p>
    <w:p>
      <w:pPr>
        <w:pStyle w:val="TextBody"/>
        <w:bidi w:val="0"/>
        <w:spacing w:lineRule="atLeast" w:line="160" w:before="0" w:after="40"/>
        <w:jc w:val="left"/>
        <w:rPr>
          <w:bdr w:val="single" w:sz="2" w:space="1" w:color="000000"/>
        </w:rPr>
      </w:pPr>
      <w:r>
        <w:rPr>
          <w:bdr w:val="single" w:sz="2" w:space="1" w:color="000000"/>
        </w:rPr>
        <w:t> </w:t>
      </w:r>
    </w:p>
    <w:tbl>
      <w:tblPr>
        <w:tblW w:w="6400" w:type="dxa"/>
        <w:jc w:val="left"/>
        <w:tblInd w:w="0" w:type="dxa"/>
        <w:tblLayout w:type="fixed"/>
        <w:tblCellMar>
          <w:top w:w="0" w:type="dxa"/>
          <w:left w:w="0" w:type="dxa"/>
          <w:bottom w:w="0" w:type="dxa"/>
          <w:right w:w="0" w:type="dxa"/>
        </w:tblCellMar>
      </w:tblPr>
      <w:tblGrid>
        <w:gridCol w:w="155"/>
        <w:gridCol w:w="6245"/>
      </w:tblGrid>
      <w:tr>
        <w:trPr/>
        <w:tc>
          <w:tcPr>
            <w:tcW w:w="155" w:type="dxa"/>
            <w:tcBorders/>
            <w:vAlign w:val="center"/>
          </w:tcPr>
          <w:p>
            <w:pPr>
              <w:pStyle w:val="TableContents"/>
              <w:bidi w:val="0"/>
              <w:spacing w:before="0" w:after="283"/>
              <w:jc w:val="left"/>
              <w:rPr/>
            </w:pPr>
            <w:r>
              <w:rPr/>
              <w:t>1</w:t>
            </w:r>
          </w:p>
        </w:tc>
        <w:tc>
          <w:tcPr>
            <w:tcW w:w="6245" w:type="dxa"/>
            <w:tcBorders/>
            <w:vAlign w:val="center"/>
          </w:tcPr>
          <w:p>
            <w:pPr>
              <w:pStyle w:val="TableContents"/>
              <w:bidi w:val="0"/>
              <w:spacing w:before="0" w:after="0"/>
              <w:jc w:val="left"/>
              <w:rPr>
                <w:rFonts w:ascii="Arial" w:hAnsi="Arial"/>
                <w:sz w:val="14"/>
              </w:rPr>
            </w:pPr>
            <w:r>
              <w:rPr>
                <w:rFonts w:ascii="Arial" w:hAnsi="Arial"/>
                <w:sz w:val="14"/>
              </w:rPr>
              <w:t xml:space="preserve">https://www.ohchr.org/sites/default/files/documents/publications/guidingprinciplesbusinesshr_en.pdf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155"/>
        <w:gridCol w:w="7640"/>
      </w:tblGrid>
      <w:tr>
        <w:trPr/>
        <w:tc>
          <w:tcPr>
            <w:tcW w:w="155" w:type="dxa"/>
            <w:tcBorders/>
            <w:vAlign w:val="center"/>
          </w:tcPr>
          <w:p>
            <w:pPr>
              <w:pStyle w:val="TableContents"/>
              <w:bidi w:val="0"/>
              <w:spacing w:before="0" w:after="283"/>
              <w:jc w:val="left"/>
              <w:rPr/>
            </w:pPr>
            <w:r>
              <w:rPr/>
              <w:t>2</w:t>
            </w:r>
          </w:p>
        </w:tc>
        <w:tc>
          <w:tcPr>
            <w:tcW w:w="7640" w:type="dxa"/>
            <w:tcBorders/>
            <w:vAlign w:val="center"/>
          </w:tcPr>
          <w:p>
            <w:pPr>
              <w:pStyle w:val="TableContents"/>
              <w:bidi w:val="0"/>
              <w:spacing w:before="0" w:after="0"/>
              <w:jc w:val="left"/>
              <w:rPr>
                <w:rFonts w:ascii="Arial" w:hAnsi="Arial"/>
                <w:sz w:val="14"/>
              </w:rPr>
            </w:pPr>
            <w:r>
              <w:rPr>
                <w:rFonts w:ascii="Arial" w:hAnsi="Arial"/>
                <w:sz w:val="14"/>
              </w:rPr>
              <w:t xml:space="preserve">https://www.ohchr.org/sites/default/files/Documents/Issues/Business/B-Tech/taking-action-address-human-rights-risks.pdf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55"/>
        <w:gridCol w:w="6245"/>
      </w:tblGrid>
      <w:tr>
        <w:trPr/>
        <w:tc>
          <w:tcPr>
            <w:tcW w:w="155" w:type="dxa"/>
            <w:tcBorders/>
            <w:vAlign w:val="center"/>
          </w:tcPr>
          <w:p>
            <w:pPr>
              <w:pStyle w:val="TableContents"/>
              <w:bidi w:val="0"/>
              <w:spacing w:before="0" w:after="283"/>
              <w:jc w:val="left"/>
              <w:rPr/>
            </w:pPr>
            <w:r>
              <w:rPr/>
              <w:t>3</w:t>
            </w:r>
          </w:p>
        </w:tc>
        <w:tc>
          <w:tcPr>
            <w:tcW w:w="6245" w:type="dxa"/>
            <w:tcBorders/>
            <w:vAlign w:val="center"/>
          </w:tcPr>
          <w:p>
            <w:pPr>
              <w:pStyle w:val="TableContents"/>
              <w:bidi w:val="0"/>
              <w:spacing w:before="0" w:after="0"/>
              <w:jc w:val="left"/>
              <w:rPr>
                <w:rFonts w:ascii="Arial" w:hAnsi="Arial"/>
                <w:sz w:val="14"/>
              </w:rPr>
            </w:pPr>
            <w:r>
              <w:rPr>
                <w:rFonts w:ascii="Arial" w:hAnsi="Arial"/>
                <w:sz w:val="14"/>
              </w:rPr>
              <w:t xml:space="preserve">https://www.ohchr.org/sites/default/files/documents/publications/guidingprinciplesbusinesshr_en.pdf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55"/>
        <w:gridCol w:w="6575"/>
      </w:tblGrid>
      <w:tr>
        <w:trPr/>
        <w:tc>
          <w:tcPr>
            <w:tcW w:w="155" w:type="dxa"/>
            <w:tcBorders/>
            <w:vAlign w:val="center"/>
          </w:tcPr>
          <w:p>
            <w:pPr>
              <w:pStyle w:val="TableContents"/>
              <w:bidi w:val="0"/>
              <w:spacing w:before="0" w:after="283"/>
              <w:jc w:val="left"/>
              <w:rPr/>
            </w:pPr>
            <w:r>
              <w:rPr/>
              <w:t>4</w:t>
            </w:r>
          </w:p>
        </w:tc>
        <w:tc>
          <w:tcPr>
            <w:tcW w:w="6575" w:type="dxa"/>
            <w:tcBorders/>
            <w:vAlign w:val="center"/>
          </w:tcPr>
          <w:p>
            <w:pPr>
              <w:pStyle w:val="TableContents"/>
              <w:bidi w:val="0"/>
              <w:spacing w:before="0" w:after="0"/>
              <w:jc w:val="left"/>
              <w:rPr>
                <w:rFonts w:ascii="Arial" w:hAnsi="Arial"/>
                <w:sz w:val="14"/>
              </w:rPr>
            </w:pPr>
            <w:r>
              <w:rPr>
                <w:rFonts w:ascii="Arial" w:hAnsi="Arial"/>
                <w:sz w:val="14"/>
              </w:rPr>
              <w:t xml:space="preserve">https://msblogs.thesourcemediaassets.com/sites/5/2025/05/Microsofts-Commitment-to-Human-Rights.pdf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5</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https://apnews.com/article/israel-palestinians-ai-technology-737bc17af7b03e98c29cec4e15d0f108; https://www.972mag.com/microsoft-azure-openai-israeli-army-cloud/; https://www.theguardian.com/world/2025/jan/23/israeli-military-gaza-war-microsoft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https://www.hrw.org/news/2024/11/14/israels-crimes-against-humanity-gaza; https://www.ohchr.org/en/press-releases/2024/10/un-commission-finds-war-crimes-and-crimes-against-humanity-israeli-attacks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7</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https://news.un.org/en/story/2024/03/1147976; https://www.ohchr.org/en/press-releases/2024/11/un-special-committee-finds-israels-warfare-methods-gaza-consistent-genocide; https://www.amnesty.org/en/documents/mde15/8668/2024/en/; https://www.hrw.org/report/2024/12/19/extermination-and-acts-genocide/israel-deliberately-depriving-palestinians-gaza; https://www.middleeasteye.net/news/top-genocide-scholars-unanimous-israel-committing-genocide-gaza-investigation-finds; https://www.btselem.org/sites/default/files/publications/202507_our_genocide_eng.pdf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8</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https://cdn-dynmedia-1.microsoft.com/is/content/microsoftcorp/microsoft/msc/documents/presentations/CSR/Summary-of-2025-External-Investigation-Follow-Up.pdf; https://blogs.microsoft.com/on-the-issues/2025/09/25/update-on-ongoing-microsoft-review/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155"/>
        <w:gridCol w:w="5675"/>
      </w:tblGrid>
      <w:tr>
        <w:trPr/>
        <w:tc>
          <w:tcPr>
            <w:tcW w:w="155" w:type="dxa"/>
            <w:tcBorders/>
            <w:vAlign w:val="center"/>
          </w:tcPr>
          <w:p>
            <w:pPr>
              <w:pStyle w:val="TableContents"/>
              <w:bidi w:val="0"/>
              <w:spacing w:before="0" w:after="283"/>
              <w:jc w:val="left"/>
              <w:rPr/>
            </w:pPr>
            <w:r>
              <w:rPr/>
              <w:t>9</w:t>
            </w:r>
          </w:p>
        </w:tc>
        <w:tc>
          <w:tcPr>
            <w:tcW w:w="5675" w:type="dxa"/>
            <w:tcBorders/>
            <w:vAlign w:val="center"/>
          </w:tcPr>
          <w:p>
            <w:pPr>
              <w:pStyle w:val="TableContents"/>
              <w:bidi w:val="0"/>
              <w:spacing w:before="0" w:after="0"/>
              <w:jc w:val="left"/>
              <w:rPr>
                <w:rFonts w:ascii="Arial" w:hAnsi="Arial"/>
                <w:sz w:val="14"/>
              </w:rPr>
            </w:pPr>
            <w:r>
              <w:rPr>
                <w:rFonts w:ascii="Arial" w:hAnsi="Arial"/>
                <w:sz w:val="14"/>
              </w:rPr>
              <w:t xml:space="preserve">https://blogs.microsoft.com/on-the-issues/2025/09/25/update-on-ongoing-microsoft-review/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275"/>
        <w:gridCol w:w="5540"/>
      </w:tblGrid>
      <w:tr>
        <w:trPr/>
        <w:tc>
          <w:tcPr>
            <w:tcW w:w="275" w:type="dxa"/>
            <w:tcBorders/>
            <w:vAlign w:val="center"/>
          </w:tcPr>
          <w:p>
            <w:pPr>
              <w:pStyle w:val="TableContents"/>
              <w:bidi w:val="0"/>
              <w:spacing w:before="0" w:after="283"/>
              <w:jc w:val="left"/>
              <w:rPr/>
            </w:pPr>
            <w:r>
              <w:rPr/>
              <w:t>10</w:t>
            </w:r>
          </w:p>
        </w:tc>
        <w:tc>
          <w:tcPr>
            <w:tcW w:w="5540" w:type="dxa"/>
            <w:tcBorders/>
            <w:vAlign w:val="center"/>
          </w:tcPr>
          <w:p>
            <w:pPr>
              <w:pStyle w:val="TableContents"/>
              <w:bidi w:val="0"/>
              <w:spacing w:before="0" w:after="0"/>
              <w:jc w:val="left"/>
              <w:rPr>
                <w:rFonts w:ascii="Arial" w:hAnsi="Arial"/>
                <w:sz w:val="14"/>
              </w:rPr>
            </w:pPr>
            <w:r>
              <w:rPr>
                <w:rFonts w:ascii="Arial" w:hAnsi="Arial"/>
                <w:sz w:val="14"/>
              </w:rPr>
              <w:t xml:space="preserve">https://blogs.microsoft.com/on-the-issues/2025/05/15/statement-technology-israel-gaza/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275"/>
        <w:gridCol w:w="7835"/>
      </w:tblGrid>
      <w:tr>
        <w:trPr/>
        <w:tc>
          <w:tcPr>
            <w:tcW w:w="275"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spacing w:before="0" w:after="0"/>
              <w:jc w:val="left"/>
              <w:rPr>
                <w:rFonts w:ascii="Arial" w:hAnsi="Arial"/>
                <w:sz w:val="14"/>
              </w:rPr>
            </w:pPr>
            <w:r>
              <w:rPr>
                <w:rFonts w:ascii="Arial" w:hAnsi="Arial"/>
                <w:sz w:val="14"/>
              </w:rPr>
              <w:t xml:space="preserve">https://www.accessnow.org/press-release/joint-letter-to-microsoft-regarding-israeli-military-use-of-azure-cloud-and-ai-services/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12</w:t>
            </w:r>
          </w:p>
        </w:tc>
        <w:tc>
          <w:tcPr>
            <w:tcW w:w="9930" w:type="dxa"/>
            <w:tcBorders/>
            <w:vAlign w:val="center"/>
          </w:tcPr>
          <w:p>
            <w:pPr>
              <w:pStyle w:val="TableContents"/>
              <w:bidi w:val="0"/>
              <w:spacing w:before="0" w:after="0"/>
              <w:jc w:val="left"/>
              <w:rPr>
                <w:rFonts w:ascii="Arial" w:hAnsi="Arial"/>
                <w:sz w:val="14"/>
              </w:rPr>
            </w:pPr>
            <w:r>
              <w:rPr>
                <w:rFonts w:ascii="Arial" w:hAnsi="Arial"/>
                <w:sz w:val="14"/>
              </w:rPr>
              <w:t xml:space="preserve">https://www.theguardian.com/us-news/2026/feb/17/ice-microsoft-technology-immigration-crackdown; https://www.wired.com/story/how-big-tech-is-powering-trumps-immigration-crackdown/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275"/>
        <w:gridCol w:w="6200"/>
      </w:tblGrid>
      <w:tr>
        <w:trPr/>
        <w:tc>
          <w:tcPr>
            <w:tcW w:w="275" w:type="dxa"/>
            <w:tcBorders/>
            <w:vAlign w:val="center"/>
          </w:tcPr>
          <w:p>
            <w:pPr>
              <w:pStyle w:val="TableContents"/>
              <w:bidi w:val="0"/>
              <w:spacing w:before="0" w:after="283"/>
              <w:jc w:val="left"/>
              <w:rPr/>
            </w:pPr>
            <w:r>
              <w:rPr/>
              <w:t>13</w:t>
            </w:r>
          </w:p>
        </w:tc>
        <w:tc>
          <w:tcPr>
            <w:tcW w:w="6200" w:type="dxa"/>
            <w:tcBorders/>
            <w:vAlign w:val="center"/>
          </w:tcPr>
          <w:p>
            <w:pPr>
              <w:pStyle w:val="TableContents"/>
              <w:bidi w:val="0"/>
              <w:spacing w:before="0" w:after="0"/>
              <w:jc w:val="left"/>
              <w:rPr>
                <w:rFonts w:ascii="Arial" w:hAnsi="Arial"/>
                <w:sz w:val="14"/>
              </w:rPr>
            </w:pPr>
            <w:r>
              <w:rPr>
                <w:rFonts w:ascii="Arial" w:hAnsi="Arial"/>
                <w:sz w:val="14"/>
              </w:rPr>
              <w:t xml:space="preserve">https://www.theguardian.com/us-news/2026/feb/17/ice-microsoft-technology-immigration-crackdown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275"/>
        <w:gridCol w:w="4760"/>
      </w:tblGrid>
      <w:tr>
        <w:trPr/>
        <w:tc>
          <w:tcPr>
            <w:tcW w:w="275" w:type="dxa"/>
            <w:tcBorders/>
            <w:vAlign w:val="center"/>
          </w:tcPr>
          <w:p>
            <w:pPr>
              <w:pStyle w:val="TableContents"/>
              <w:bidi w:val="0"/>
              <w:spacing w:before="0" w:after="283"/>
              <w:jc w:val="left"/>
              <w:rPr/>
            </w:pPr>
            <w:r>
              <w:rPr/>
              <w:t>14</w:t>
            </w:r>
          </w:p>
        </w:tc>
        <w:tc>
          <w:tcPr>
            <w:tcW w:w="4760" w:type="dxa"/>
            <w:tcBorders/>
            <w:vAlign w:val="center"/>
          </w:tcPr>
          <w:p>
            <w:pPr>
              <w:pStyle w:val="TableContents"/>
              <w:bidi w:val="0"/>
              <w:spacing w:before="0" w:after="0"/>
              <w:jc w:val="left"/>
              <w:rPr>
                <w:rFonts w:ascii="Arial" w:hAnsi="Arial"/>
                <w:sz w:val="14"/>
              </w:rPr>
            </w:pPr>
            <w:r>
              <w:rPr>
                <w:rFonts w:ascii="Arial" w:hAnsi="Arial"/>
                <w:sz w:val="14"/>
              </w:rPr>
              <w:t xml:space="preserve">https://afsc.org/sites/default/files/2026-04/palantir-tech-ecosystem-final.pdf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75"/>
        <w:gridCol w:w="4685"/>
      </w:tblGrid>
      <w:tr>
        <w:trPr/>
        <w:tc>
          <w:tcPr>
            <w:tcW w:w="275" w:type="dxa"/>
            <w:tcBorders/>
            <w:vAlign w:val="center"/>
          </w:tcPr>
          <w:p>
            <w:pPr>
              <w:pStyle w:val="TableContents"/>
              <w:bidi w:val="0"/>
              <w:spacing w:before="0" w:after="283"/>
              <w:jc w:val="left"/>
              <w:rPr/>
            </w:pPr>
            <w:r>
              <w:rPr/>
              <w:t>15</w:t>
            </w:r>
          </w:p>
        </w:tc>
        <w:tc>
          <w:tcPr>
            <w:tcW w:w="4685" w:type="dxa"/>
            <w:tcBorders/>
            <w:vAlign w:val="center"/>
          </w:tcPr>
          <w:p>
            <w:pPr>
              <w:pStyle w:val="TableContents"/>
              <w:bidi w:val="0"/>
              <w:spacing w:before="0" w:after="0"/>
              <w:jc w:val="left"/>
              <w:rPr>
                <w:rFonts w:ascii="Arial" w:hAnsi="Arial"/>
                <w:sz w:val="14"/>
              </w:rPr>
            </w:pPr>
            <w:r>
              <w:rPr>
                <w:rFonts w:ascii="Arial" w:hAnsi="Arial"/>
                <w:sz w:val="14"/>
              </w:rPr>
              <w:t xml:space="preserve">https://www.aclu.org/news/privacy-technology/palantir-deportation-roundup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275"/>
        <w:gridCol w:w="7100"/>
      </w:tblGrid>
      <w:tr>
        <w:trPr/>
        <w:tc>
          <w:tcPr>
            <w:tcW w:w="275" w:type="dxa"/>
            <w:tcBorders/>
            <w:vAlign w:val="center"/>
          </w:tcPr>
          <w:p>
            <w:pPr>
              <w:pStyle w:val="TableContents"/>
              <w:bidi w:val="0"/>
              <w:spacing w:before="0" w:after="283"/>
              <w:jc w:val="left"/>
              <w:rPr/>
            </w:pPr>
            <w:r>
              <w:rPr/>
              <w:t>16</w:t>
            </w:r>
          </w:p>
        </w:tc>
        <w:tc>
          <w:tcPr>
            <w:tcW w:w="7100" w:type="dxa"/>
            <w:tcBorders/>
            <w:vAlign w:val="center"/>
          </w:tcPr>
          <w:p>
            <w:pPr>
              <w:pStyle w:val="TableContents"/>
              <w:bidi w:val="0"/>
              <w:spacing w:before="0" w:after="0"/>
              <w:jc w:val="left"/>
              <w:rPr>
                <w:rFonts w:ascii="Arial" w:hAnsi="Arial"/>
                <w:sz w:val="14"/>
              </w:rPr>
            </w:pPr>
            <w:r>
              <w:rPr>
                <w:rFonts w:ascii="Arial" w:hAnsi="Arial"/>
                <w:sz w:val="14"/>
              </w:rPr>
              <w:t xml:space="preserve">https://noazureforapartheid.com/; https://www.thecanary.co/global/world-news/2026/06/04/microsoft-build-protest/ </w:t>
            </w:r>
          </w:p>
        </w:tc>
      </w:tr>
    </w:tbl>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pPr>
            <w:r>
              <w:rPr/>
              <w:t>17</w:t>
            </w:r>
          </w:p>
        </w:tc>
        <w:tc>
          <w:tcPr>
            <w:tcW w:w="2240" w:type="dxa"/>
            <w:tcBorders/>
            <w:vAlign w:val="center"/>
          </w:tcPr>
          <w:p>
            <w:pPr>
              <w:pStyle w:val="TableContents"/>
              <w:bidi w:val="0"/>
              <w:spacing w:before="0" w:after="0"/>
              <w:jc w:val="left"/>
              <w:rPr>
                <w:rFonts w:ascii="Arial" w:hAnsi="Arial"/>
                <w:sz w:val="14"/>
              </w:rPr>
            </w:pPr>
            <w:r>
              <w:rPr>
                <w:rFonts w:ascii="Arial" w:hAnsi="Arial"/>
                <w:sz w:val="14"/>
              </w:rPr>
              <w:t xml:space="preserve">https://bdsmovement.net/microsoft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275"/>
        <w:gridCol w:w="6305"/>
      </w:tblGrid>
      <w:tr>
        <w:trPr/>
        <w:tc>
          <w:tcPr>
            <w:tcW w:w="275" w:type="dxa"/>
            <w:tcBorders/>
            <w:vAlign w:val="center"/>
          </w:tcPr>
          <w:p>
            <w:pPr>
              <w:pStyle w:val="TableContents"/>
              <w:bidi w:val="0"/>
              <w:spacing w:before="0" w:after="283"/>
              <w:jc w:val="left"/>
              <w:rPr/>
            </w:pPr>
            <w:r>
              <w:rPr/>
              <w:t>18</w:t>
            </w:r>
          </w:p>
        </w:tc>
        <w:tc>
          <w:tcPr>
            <w:tcW w:w="6305" w:type="dxa"/>
            <w:tcBorders/>
            <w:vAlign w:val="center"/>
          </w:tcPr>
          <w:p>
            <w:pPr>
              <w:pStyle w:val="TableContents"/>
              <w:bidi w:val="0"/>
              <w:spacing w:before="0" w:after="0"/>
              <w:jc w:val="left"/>
              <w:rPr>
                <w:rFonts w:ascii="Arial" w:hAnsi="Arial"/>
                <w:sz w:val="14"/>
              </w:rPr>
            </w:pPr>
            <w:r>
              <w:rPr>
                <w:rFonts w:ascii="Arial" w:hAnsi="Arial"/>
                <w:sz w:val="14"/>
              </w:rPr>
              <w:t xml:space="preserve">https://www.iccl.ie/wp-content/uploads/2025/12/REDACTED-ICCL-GDPR-DPC-complaint-Microsoft.pdf </w:t>
            </w:r>
          </w:p>
        </w:tc>
      </w:tr>
    </w:tbl>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72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1" descr=""/>
                          <pic:cNvPicPr>
                            <a:picLocks noChangeAspect="1" noChangeArrowheads="1"/>
                          </pic:cNvPicPr>
                        </pic:nvPicPr>
                        <pic:blipFill>
                          <a:blip r:embed="rId112"/>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Board Recommendation </w:t>
      </w:r>
    </w:p>
    <w:p>
      <w:pPr>
        <w:pStyle w:val="TextBody"/>
        <w:bidi w:val="0"/>
        <w:spacing w:before="120" w:after="0"/>
        <w:jc w:val="left"/>
        <w:rPr>
          <w:rFonts w:ascii="Arial" w:hAnsi="Arial"/>
          <w:b/>
          <w:i/>
          <w:color w:val="0075C9"/>
          <w:sz w:val="20"/>
        </w:rPr>
      </w:pPr>
      <w:r>
        <w:rPr>
          <w:rFonts w:ascii="Arial" w:hAnsi="Arial"/>
          <w:b/>
          <w:i/>
          <w:color w:val="0075C9"/>
          <w:sz w:val="20"/>
        </w:rPr>
        <w:t xml:space="preserve">The Board of Directors recommends a vote AGAINST the proposal for the following reasons: </w:t>
      </w:r>
    </w:p>
    <w:p>
      <w:pPr>
        <w:pStyle w:val="TextBody"/>
        <w:bidi w:val="0"/>
        <w:spacing w:before="120" w:after="0"/>
        <w:jc w:val="left"/>
        <w:rPr>
          <w:rFonts w:ascii="Arial" w:hAnsi="Arial"/>
          <w:b/>
          <w:sz w:val="18"/>
        </w:rPr>
      </w:pPr>
      <w:r>
        <w:rPr>
          <w:rFonts w:ascii="Arial" w:hAnsi="Arial"/>
          <w:b/>
          <w:sz w:val="18"/>
        </w:rPr>
        <w:t xml:space="preserve">COMPANY STATEMENT IN OPPOSITION </w:t>
      </w:r>
    </w:p>
    <w:p>
      <w:pPr>
        <w:pStyle w:val="TextBody"/>
        <w:bidi w:val="0"/>
        <w:spacing w:before="120" w:after="0"/>
        <w:jc w:val="left"/>
        <w:rPr>
          <w:rFonts w:ascii="Arial" w:hAnsi="Arial"/>
          <w:sz w:val="18"/>
        </w:rPr>
      </w:pPr>
      <w:r>
        <w:rPr>
          <w:rFonts w:ascii="Arial" w:hAnsi="Arial"/>
          <w:sz w:val="18"/>
        </w:rPr>
        <w:t xml:space="preserve">Microsoft has a long-standing commitment to human rights outlined in its Global Human Rights Statement. As part of this commitment, we conduct ongoing human rights due diligence consistent with the UN Guiding Principles on Business and Human Rights (“UNGPs”), the Organisation for Economic Co-operation and Development (“OECD”) Guidelines for Multinational Enterprises, and other international standards. These processes are continuous and integrated into our operations to support us in identifying, understanding, and addressing human rights risks across our business. This work is informed by regular engagement with independent human rights experts and lessons learned over time, which helps us to continually adapt and strengthen our processes as technology and our business evolve. </w:t>
      </w:r>
    </w:p>
    <w:p>
      <w:pPr>
        <w:pStyle w:val="TextBody"/>
        <w:bidi w:val="0"/>
        <w:spacing w:before="120" w:after="0"/>
        <w:jc w:val="left"/>
        <w:rPr>
          <w:rFonts w:ascii="Arial" w:hAnsi="Arial"/>
          <w:sz w:val="18"/>
        </w:rPr>
      </w:pPr>
      <w:r>
        <w:rPr>
          <w:rFonts w:ascii="Arial" w:hAnsi="Arial"/>
          <w:sz w:val="18"/>
        </w:rPr>
        <w:t xml:space="preserve">Given this comprehensive approach, the Board believes the additional report requested by the shareholder proposal is unnecessary. Microsoft already does what the proposal seeks: it conducts rigorous, ongoing human rights due diligence and reports publicly on how the program works and how we act on what we learn. We assess effectiveness on an ongoing basis through internal evaluation and ongoing engagement with independent human rights experts and external stakeholders, including from civil society, academia, the investor community, industry, governments, and international organizations. Through this engagement, we aim to learn and share information about critical issues at the intersection of technology and human rights, which we believe is important to advancing our own efforts and those of the wider technology ecosystem. </w:t>
      </w:r>
    </w:p>
    <w:p>
      <w:pPr>
        <w:pStyle w:val="TextBody"/>
        <w:bidi w:val="0"/>
        <w:spacing w:before="120" w:after="0"/>
        <w:jc w:val="left"/>
        <w:rPr>
          <w:rFonts w:ascii="Arial" w:hAnsi="Arial"/>
          <w:sz w:val="18"/>
        </w:rPr>
      </w:pPr>
      <w:r>
        <w:rPr>
          <w:rFonts w:ascii="Arial" w:hAnsi="Arial"/>
          <w:sz w:val="18"/>
        </w:rPr>
        <w:t xml:space="preserve">Microsoft produces a robust annual human rights report detailing our policies and their application, including evolution over time, and numerous additional reports such as those providing detailed country-by-country data on our responses to law enforcement requests for customer information and government and other requests for content removal. In June 2026, Microsoft published a report summarizing an external investigation by Covington &amp; Burling LLP and the follow-up actions we are taking to strengthen our governance and oversight. (See </w:t>
      </w:r>
      <w:r>
        <w:rPr>
          <w:rFonts w:ascii="Arial" w:hAnsi="Arial"/>
          <w:sz w:val="18"/>
          <w:u w:val="single"/>
        </w:rPr>
        <w:t>aka.ms/2025InvestigationSummary</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Finally, we have published stand-alone disclosures on specific topics, including executive summaries of human rights impact assessments (“HRIAs”). We continue to work to enhance these disclosures over time, but believe the specific stand-alone report requested in this proposal is unnecessary and duplicative of existing reporting. </w:t>
      </w:r>
    </w:p>
    <w:p>
      <w:pPr>
        <w:pStyle w:val="TextBody"/>
        <w:bidi w:val="0"/>
        <w:spacing w:before="240" w:after="0"/>
        <w:jc w:val="left"/>
        <w:rPr>
          <w:rFonts w:ascii="Arial" w:hAnsi="Arial"/>
          <w:b/>
          <w:sz w:val="18"/>
        </w:rPr>
      </w:pPr>
      <w:r>
        <w:rPr>
          <w:rFonts w:ascii="Arial" w:hAnsi="Arial"/>
          <w:b/>
          <w:sz w:val="18"/>
        </w:rPr>
        <w:t xml:space="preserve">Our commitment to ongoing human rights due diligence </w:t>
      </w:r>
    </w:p>
    <w:p>
      <w:pPr>
        <w:pStyle w:val="TextBody"/>
        <w:bidi w:val="0"/>
        <w:spacing w:before="120" w:after="0"/>
        <w:jc w:val="left"/>
        <w:rPr>
          <w:rFonts w:ascii="Arial" w:hAnsi="Arial"/>
          <w:sz w:val="18"/>
        </w:rPr>
      </w:pPr>
      <w:r>
        <w:rPr>
          <w:rFonts w:ascii="Arial" w:hAnsi="Arial"/>
          <w:sz w:val="18"/>
        </w:rPr>
        <w:t xml:space="preserve">Microsoft is committed to conducting continuous human rights due diligence worldwide, in line with the UNGPs. This commitment is explained in our Global Human Rights Statement (see </w:t>
      </w:r>
      <w:r>
        <w:rPr>
          <w:rFonts w:ascii="Arial" w:hAnsi="Arial"/>
          <w:sz w:val="18"/>
          <w:u w:val="single"/>
        </w:rPr>
        <w:t>aka.ms/humanrights</w:t>
      </w:r>
      <w:r>
        <w:rPr>
          <w:rFonts w:ascii="Arial" w:hAnsi="Arial"/>
          <w:sz w:val="18"/>
        </w:rPr>
        <w:t xml:space="preserve">). Key features of our program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Regular Risk Assessments: </w:t>
            </w:r>
            <w:r>
              <w:rPr>
                <w:rFonts w:ascii="Arial" w:hAnsi="Arial"/>
                <w:sz w:val="18"/>
              </w:rPr>
              <w:t xml:space="preserve">We conduct ongoing human rights due diligence, including HRIAs at multiple levels (enterprise-wide, for specific products, deals, or relationships, and in sensitive regions) to identify actual or potential salient human rights risks and impacts that we may cause or contribute to or be directly linked to, either through our own activities or as a result of our business relationships. For complex business questions, HRIAs are often conducted by independent experts in business and human rights. </w:t>
            </w:r>
          </w:p>
        </w:tc>
      </w:tr>
    </w:tbl>
    <w:p>
      <w:pPr>
        <w:pStyle w:val="TextBody"/>
        <w:bidi w:val="0"/>
        <w:spacing w:before="120" w:after="0"/>
        <w:jc w:val="left"/>
        <w:rPr>
          <w:rFonts w:ascii="Arial" w:hAnsi="Arial"/>
          <w:sz w:val="18"/>
        </w:rPr>
      </w:pPr>
      <w:r>
        <w:rPr>
          <w:rFonts w:ascii="Arial" w:hAnsi="Arial"/>
          <w:sz w:val="18"/>
        </w:rPr>
        <w:t xml:space="preserve">In calendar years 2024 and 2025, we commissioned an independent corporate human rights saliency assessment to evaluate our end-to-end operations and affirm our priority areas of focus. The findings guide our risk management, mitigation, and remediation efforts and inform our internal training, governance structures, and operational safeguards. In tandem, we commissioned an independent HRIA of generative AI. These assessments involved stakeholder input and guide our risk mitigation strategies. </w:t>
      </w:r>
    </w:p>
    <w:p>
      <w:pPr>
        <w:pStyle w:val="TextBody"/>
        <w:bidi w:val="0"/>
        <w:spacing w:before="120" w:after="0"/>
        <w:jc w:val="left"/>
        <w:rPr>
          <w:rFonts w:ascii="Arial" w:hAnsi="Arial"/>
          <w:sz w:val="18"/>
        </w:rPr>
      </w:pPr>
      <w:r>
        <w:rPr>
          <w:rFonts w:ascii="Arial" w:hAnsi="Arial"/>
          <w:sz w:val="18"/>
        </w:rPr>
        <w:t xml:space="preserve">We apply our human rights due diligence approach to business decision-making across issues including data center siting, pre-sales contract reviews, new product or feature developments, and sensitive AI deployments. These reviews are designed to mitigate risks before a deployment proceeds, not only to detect them afterward. However, we recognize that not all risks are foreseeable, and technology is deployed and used in dynamic contexts. We value the role that external stakeholders, including civil society and others, play in alerting us to issues, and we place emphasis on ongoing engagement and mechanisms and reporting channels that inform our due diligence efforts and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Integration into Business Processes:</w:t>
            </w:r>
            <w:r>
              <w:rPr>
                <w:rFonts w:ascii="Arial" w:hAnsi="Arial"/>
                <w:sz w:val="18"/>
              </w:rPr>
              <w:t xml:space="preserve"> Human rights considerations are embedded into Microsoft’s policies and daily operations. Contractual terms prohibit misuse of our services to violate rights. Cross-functional teams work together to incorporate human rights safeguards in product design, market entry decisions, and supply chain management. This enables us to integrate rights-related considerations in core decision-making.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External Perspectives: </w:t>
            </w:r>
            <w:r>
              <w:rPr>
                <w:rFonts w:ascii="Arial" w:hAnsi="Arial"/>
                <w:sz w:val="18"/>
              </w:rPr>
              <w:t xml:space="preserve">Microsoft conducts regular engagement and consultation with external stakeholders including vulnerable populations or their trusted representatives to understand their perspectives and experiences. We also consult frequently with human rights experts to identify human rights risks and mitigation measures. Engagement is conducted through formal meetings, participation in multistakeholder fora, focus groups, surveys, and direct interviews. It is a key component of our human rights due diligence and risk management process, and the company’s human rights team includes a role primarily focused on stakeholder engagement.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Continuous Improvement: </w:t>
            </w:r>
            <w:r>
              <w:rPr>
                <w:rFonts w:ascii="Arial" w:hAnsi="Arial"/>
                <w:sz w:val="18"/>
              </w:rPr>
              <w:t xml:space="preserve">Our due diligence is on-going and adaptive. We update assessments when conditions change and learn from new challenges to refine our approach. Findings are assigned to accountable teams, tracked to implementation, and reported to governance bodies, so that mitigations are incorporated and learnings translate into concrete advancements in our policies, products, and customer relationships. This continuous cycle of assess-act-review epitomizes the UNGP concept of due diligence as a dynamic process, not a one-off report. </w:t>
            </w:r>
          </w:p>
        </w:tc>
      </w:tr>
    </w:tbl>
    <w:p>
      <w:pPr>
        <w:pStyle w:val="TextBody"/>
        <w:bidi w:val="0"/>
        <w:spacing w:before="240" w:after="0"/>
        <w:jc w:val="left"/>
        <w:rPr>
          <w:rFonts w:ascii="Arial" w:hAnsi="Arial"/>
          <w:b/>
          <w:sz w:val="18"/>
        </w:rPr>
      </w:pPr>
      <w:r>
        <w:rPr>
          <w:rFonts w:ascii="Arial" w:hAnsi="Arial"/>
          <w:b/>
          <w:sz w:val="18"/>
        </w:rPr>
        <w:t xml:space="preserve">Transparency and ongoing expert engagement </w:t>
      </w:r>
    </w:p>
    <w:p>
      <w:pPr>
        <w:pStyle w:val="TextBody"/>
        <w:bidi w:val="0"/>
        <w:spacing w:before="120" w:after="0"/>
        <w:jc w:val="left"/>
        <w:rPr>
          <w:rFonts w:ascii="Arial" w:hAnsi="Arial"/>
          <w:sz w:val="18"/>
        </w:rPr>
      </w:pPr>
      <w:r>
        <w:rPr>
          <w:rFonts w:ascii="Arial" w:hAnsi="Arial"/>
          <w:sz w:val="18"/>
        </w:rPr>
        <w:t xml:space="preserve">Microsoft provides extensive transparency about our human rights practices, and our program is continually informed by independent human rights experts. These disclosures demonstrate accountability for the effectiveness of our human rights due diligence.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Extensive Public Reporting: </w:t>
            </w:r>
            <w:r>
              <w:rPr>
                <w:rFonts w:ascii="Arial" w:hAnsi="Arial"/>
                <w:sz w:val="18"/>
              </w:rPr>
              <w:t xml:space="preserve">Microsoft has a strong track record of publicly reporting on its human rights commitments, processes, and progress. In December 2025, the company published its Human Rights Transparency Report, for the first time bringing together our legacy supply chain and human rights reports for a full value-chain review of human rights. This annual report details how we manage our salient human rights issues and what actions we took over the year. The report covering fiscal year 2026 will be published in December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Other public channels: </w:t>
            </w:r>
            <w:r>
              <w:rPr>
                <w:rFonts w:ascii="Arial" w:hAnsi="Arial"/>
                <w:sz w:val="18"/>
              </w:rPr>
              <w:t xml:space="preserve">Beyond the standalone human rights report, Microsoft communicates human rights due diligence through other channels, including our Global Human Rights Statement, a dedicated human rights website, and summaries of HRIAs and other due diligence. We regularly publish transparency reports at </w:t>
            </w:r>
            <w:r>
              <w:rPr>
                <w:rFonts w:ascii="Arial" w:hAnsi="Arial"/>
                <w:sz w:val="18"/>
                <w:u w:val="single"/>
              </w:rPr>
              <w:t>microsoft.com/transparency</w:t>
            </w:r>
            <w:r>
              <w:rPr>
                <w:rFonts w:ascii="Arial" w:hAnsi="Arial"/>
                <w:sz w:val="18"/>
              </w:rPr>
              <w:t xml:space="preserve">, including our Responsible AI Transparency Report, Environmental Sustainability Report, and additional transparency reports. Updates are also published regularly through our blogs and other public communication channels, covering topics like data center siting in rights-challenged markets and our approach to responsible AI, demonstrating how human rights due diligence is applied in specific contexts. </w:t>
            </w:r>
          </w:p>
        </w:tc>
      </w:tr>
    </w:tbl>
    <w:p>
      <w:pPr>
        <w:pStyle w:val="TextBody"/>
        <w:bidi w:val="0"/>
        <w:spacing w:before="240" w:after="0"/>
        <w:jc w:val="left"/>
        <w:rPr>
          <w:rFonts w:ascii="Arial" w:hAnsi="Arial"/>
          <w:b/>
          <w:sz w:val="18"/>
        </w:rPr>
      </w:pPr>
      <w:r>
        <w:rPr>
          <w:rFonts w:ascii="Arial" w:hAnsi="Arial"/>
          <w:b/>
          <w:sz w:val="18"/>
        </w:rPr>
        <w:t xml:space="preserve">Engagement with independent experts and assessments </w:t>
      </w:r>
    </w:p>
    <w:p>
      <w:pPr>
        <w:pStyle w:val="TextBody"/>
        <w:bidi w:val="0"/>
        <w:spacing w:before="120" w:after="0"/>
        <w:jc w:val="left"/>
        <w:rPr>
          <w:rFonts w:ascii="Arial" w:hAnsi="Arial"/>
          <w:sz w:val="18"/>
        </w:rPr>
      </w:pPr>
      <w:r>
        <w:rPr>
          <w:rFonts w:ascii="Arial" w:hAnsi="Arial"/>
          <w:sz w:val="18"/>
        </w:rPr>
        <w:t xml:space="preserve">We regularly consult independent human rights experts and participate in multistakeholder initiatives, which bring outside perspective to our due diligence and help us identify where to improve. Our corporate saliency assessment, repeated at regular intervals and conducted by independent business and human rights experts, provides a complete enterprise review of our practices. We participate in regulatory reporting that requires disclosure of our risk management and due diligence frameworks. Microsoft also undertakes voluntary assessments, such as our regular Global Network Initiative (“GNI”) Assessment, which involves a review by an accredited independent assessor to evaluate whether Microsoft is making a good faith effort to implement the GNI Principles on freedom of expression and privacy, with improvement over time. GNI publishes public assessment reports on its website. Beyond our regular assessments, Microsoft has also publicly shared a report summarizing an external investigation by Covington &amp; Burling LLP and the follow-up actions we are taking to strengthen our governance and oversight. (See </w:t>
      </w:r>
      <w:r>
        <w:rPr>
          <w:rFonts w:ascii="Arial" w:hAnsi="Arial"/>
          <w:sz w:val="18"/>
          <w:u w:val="single"/>
        </w:rPr>
        <w:t>aka.ms/2025InvestigationSummary</w:t>
      </w:r>
      <w:r>
        <w:rPr>
          <w:rFonts w:ascii="Arial" w:hAnsi="Arial"/>
          <w:sz w:val="18"/>
        </w:rPr>
        <w:t xml:space="preserve">) </w:t>
      </w:r>
    </w:p>
    <w:p>
      <w:pPr>
        <w:pStyle w:val="TextBody"/>
        <w:bidi w:val="0"/>
        <w:spacing w:before="240" w:after="0"/>
        <w:jc w:val="left"/>
        <w:rPr>
          <w:rFonts w:ascii="Arial" w:hAnsi="Arial"/>
          <w:b/>
          <w:sz w:val="18"/>
        </w:rPr>
      </w:pPr>
      <w:r>
        <w:rPr>
          <w:rFonts w:ascii="Arial" w:hAnsi="Arial"/>
          <w:b/>
          <w:sz w:val="18"/>
        </w:rPr>
        <w:t xml:space="preserve">Conclusion </w:t>
      </w:r>
    </w:p>
    <w:p>
      <w:pPr>
        <w:pStyle w:val="TextBody"/>
        <w:bidi w:val="0"/>
        <w:spacing w:before="120" w:after="0"/>
        <w:jc w:val="left"/>
        <w:rPr>
          <w:rFonts w:ascii="Arial" w:hAnsi="Arial"/>
          <w:sz w:val="18"/>
        </w:rPr>
      </w:pPr>
      <w:r>
        <w:rPr>
          <w:rFonts w:ascii="Arial" w:hAnsi="Arial"/>
          <w:sz w:val="18"/>
        </w:rPr>
        <w:t xml:space="preserve">Effective due diligence is not a one-time certification: it is a continuous process of identifying and assessing new information, investigating credible concerns, and taking action when warranted. Microsoft, like other technology providers, does not have visibility into every activity that customers conduct on their own systems. Our due diligence therefore relies on multiple, reinforcing mechanisms, including contractual terms prohibiting misuse of our services, risk assessments to identify, assess, and mitigate issues, pre-contract gating for sensitive features, escalation and investigation processes, ongoing engagement with independent experts and affected stakeholders, and prompt review of credible new information. </w:t>
      </w:r>
    </w:p>
    <w:p>
      <w:pPr>
        <w:pStyle w:val="TextBody"/>
        <w:bidi w:val="0"/>
        <w:spacing w:before="120" w:after="0"/>
        <w:jc w:val="left"/>
        <w:rPr>
          <w:rFonts w:ascii="Arial" w:hAnsi="Arial"/>
          <w:sz w:val="18"/>
        </w:rPr>
      </w:pPr>
      <w:r>
        <w:rPr>
          <w:rFonts w:ascii="Arial" w:hAnsi="Arial"/>
          <w:sz w:val="18"/>
        </w:rPr>
        <w:t xml:space="preserve">When concerns have been raised about how our technology is used, including in high-risk and conflict settings, we have investigated, engaged outside experts, published our findings, and, where warranted, changed or suspended our provision of services to customers. We have also fed learnings into ongoing process, policy, and procedure within our company. Most recently, we published a summary of the findings from that review (see </w:t>
      </w:r>
      <w:r>
        <w:rPr>
          <w:rFonts w:ascii="Arial" w:hAnsi="Arial"/>
          <w:sz w:val="18"/>
          <w:u w:val="single"/>
        </w:rPr>
        <w:t>aka.ms/mideastreviewupdate</w:t>
      </w:r>
      <w:r>
        <w:rPr>
          <w:rFonts w:ascii="Arial" w:hAnsi="Arial"/>
          <w:sz w:val="18"/>
        </w:rPr>
        <w:t xml:space="preserve">). The same escalation, review, and remediation process applies across our customer relationships, regardless of sector or geography.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74</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2" descr=""/>
                          <pic:cNvPicPr>
                            <a:picLocks noChangeAspect="1" noChangeArrowheads="1"/>
                          </pic:cNvPicPr>
                        </pic:nvPicPr>
                        <pic:blipFill>
                          <a:blip r:embed="rId113"/>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Under the UNGPs, credible information from external sources is a designed input to due diligence, not a substitute for it: a process that surfaces a concern, investigates it, and acts on it is a process that is working. </w:t>
      </w:r>
    </w:p>
    <w:p>
      <w:pPr>
        <w:pStyle w:val="TextBody"/>
        <w:bidi w:val="0"/>
        <w:spacing w:before="120" w:after="0"/>
        <w:jc w:val="left"/>
        <w:rPr>
          <w:rFonts w:ascii="Arial" w:hAnsi="Arial"/>
          <w:sz w:val="18"/>
        </w:rPr>
      </w:pPr>
      <w:r>
        <w:rPr>
          <w:rFonts w:ascii="Arial" w:hAnsi="Arial"/>
          <w:sz w:val="18"/>
        </w:rPr>
        <w:t xml:space="preserve">Because Microsoft already reports on how its due diligence works, engages independent third-party experts, assessors, and external stakeholders, and provides transparency on how it responds when concerns arise, the requested report would be duplicative. We will continue to refine and communicate our human rights efforts as part of our ongoing governance and transparency reporting. </w:t>
      </w:r>
    </w:p>
    <w:p>
      <w:pPr>
        <w:pStyle w:val="TextBody"/>
        <w:bidi w:val="0"/>
        <w:spacing w:before="240" w:after="0"/>
        <w:jc w:val="left"/>
        <w:rPr>
          <w:rFonts w:ascii="Arial" w:hAnsi="Arial"/>
          <w:b/>
          <w:sz w:val="24"/>
        </w:rPr>
      </w:pPr>
      <w:r>
        <w:rPr>
          <w:rFonts w:ascii="Arial" w:hAnsi="Arial"/>
          <w:b/>
          <w:sz w:val="24"/>
        </w:rPr>
        <w:t xml:space="preserve">Proposal 6: Report on Data Operations in Human Rights and Conflict Hotspots </w:t>
      </w:r>
    </w:p>
    <w:p>
      <w:pPr>
        <w:pStyle w:val="TextBody"/>
        <w:bidi w:val="0"/>
        <w:spacing w:before="120" w:after="0"/>
        <w:jc w:val="left"/>
        <w:rPr>
          <w:rFonts w:ascii="Arial" w:hAnsi="Arial"/>
          <w:sz w:val="18"/>
        </w:rPr>
      </w:pPr>
      <w:r>
        <w:rPr>
          <w:rFonts w:ascii="Arial" w:hAnsi="Arial"/>
          <w:sz w:val="18"/>
        </w:rPr>
        <w:t xml:space="preserve">Azzad Asset Management, Inc. has advised us that they intend to submit the following proposal for consideration at the Annual Meeting. </w:t>
      </w:r>
    </w:p>
    <w:p>
      <w:pPr>
        <w:pStyle w:val="TextBody"/>
        <w:bidi w:val="0"/>
        <w:spacing w:before="120" w:after="0"/>
        <w:jc w:val="left"/>
        <w:rPr>
          <w:rFonts w:ascii="Arial" w:hAnsi="Arial"/>
          <w:sz w:val="18"/>
        </w:rPr>
      </w:pPr>
      <w:r>
        <w:rPr>
          <w:rFonts w:ascii="Arial" w:hAnsi="Arial"/>
          <w:sz w:val="18"/>
        </w:rPr>
        <w:t xml:space="preserve">Resolved: Shareholders request the Board of Directors commission a report assessing the implications of siting Microsoft cloud data centers in countries of significant human rights concern, and the Company’s strategies for mitigating these impacts. </w:t>
      </w:r>
    </w:p>
    <w:p>
      <w:pPr>
        <w:pStyle w:val="TextBody"/>
        <w:bidi w:val="0"/>
        <w:spacing w:before="120" w:after="0"/>
        <w:jc w:val="left"/>
        <w:rPr>
          <w:rFonts w:ascii="Arial" w:hAnsi="Arial"/>
          <w:sz w:val="18"/>
        </w:rPr>
      </w:pPr>
      <w:r>
        <w:rPr>
          <w:rFonts w:ascii="Arial" w:hAnsi="Arial"/>
          <w:sz w:val="18"/>
        </w:rPr>
        <w:t xml:space="preserve">The report, prepared at reasonable cost and omitting confidential and proprietary information, should be published on the Company’s website within a year of the 2026 shareholders meeting. </w:t>
      </w:r>
    </w:p>
    <w:p>
      <w:pPr>
        <w:pStyle w:val="TextBody"/>
        <w:bidi w:val="0"/>
        <w:spacing w:before="240" w:after="0"/>
        <w:jc w:val="left"/>
        <w:rPr>
          <w:rFonts w:ascii="Arial" w:hAnsi="Arial"/>
          <w:b/>
          <w:sz w:val="18"/>
        </w:rPr>
      </w:pPr>
      <w:r>
        <w:rPr>
          <w:rFonts w:ascii="Arial" w:hAnsi="Arial"/>
          <w:b/>
          <w:sz w:val="18"/>
        </w:rPr>
        <w:t xml:space="preserve">Supporting Statement: </w:t>
      </w:r>
    </w:p>
    <w:p>
      <w:pPr>
        <w:pStyle w:val="TextBody"/>
        <w:bidi w:val="0"/>
        <w:spacing w:before="120" w:after="0"/>
        <w:jc w:val="left"/>
        <w:rPr>
          <w:rFonts w:ascii="Arial" w:hAnsi="Arial"/>
          <w:sz w:val="18"/>
        </w:rPr>
      </w:pPr>
      <w:r>
        <w:rPr>
          <w:rFonts w:ascii="Arial" w:hAnsi="Arial"/>
          <w:sz w:val="18"/>
        </w:rPr>
        <w:t xml:space="preserve">Shareholders are concerned by Microsoft’s plans to maintain and expand data center operations in locations that present significant human rights challenges. </w:t>
      </w:r>
    </w:p>
    <w:p>
      <w:pPr>
        <w:pStyle w:val="TextBody"/>
        <w:bidi w:val="0"/>
        <w:spacing w:before="120" w:after="0"/>
        <w:jc w:val="left"/>
        <w:rPr>
          <w:rFonts w:ascii="Arial" w:hAnsi="Arial"/>
          <w:sz w:val="18"/>
        </w:rPr>
      </w:pPr>
      <w:r>
        <w:rPr>
          <w:rFonts w:ascii="Arial" w:hAnsi="Arial"/>
          <w:sz w:val="18"/>
        </w:rPr>
        <w:t xml:space="preserve">Of particular note is the building of new data center capacity in Saudi Arabia and UAE, as well as the company’s existing data operations in Israel, and the issues around data security and surveillance that they give rise to. </w:t>
      </w:r>
    </w:p>
    <w:p>
      <w:pPr>
        <w:pStyle w:val="TextBody"/>
        <w:bidi w:val="0"/>
        <w:spacing w:before="120" w:after="0"/>
        <w:jc w:val="left"/>
        <w:rPr>
          <w:rFonts w:ascii="Arial" w:hAnsi="Arial"/>
          <w:sz w:val="18"/>
        </w:rPr>
      </w:pPr>
      <w:r>
        <w:rPr>
          <w:rFonts w:ascii="Arial" w:hAnsi="Arial"/>
          <w:sz w:val="18"/>
        </w:rPr>
        <w:t xml:space="preserve">All three governments have been linked to significant human rights concerns relating to surveillance, privacy, and freedom of expression. Freedom House has documented extensive surveillance authorities, restrictions on online expression, and government access to communications data in Saudi Arabia and the UAE.1 Microsoft’s provision of cloud and AI services to the Israeli government and military has likewise generated significant scrutiny, including allegations concerning surveillance of Palestinians, the storage and processing of surveillance-related data, and a GDPR complaint filed with Irish data protection authorities in 2025.2 </w:t>
      </w:r>
    </w:p>
    <w:p>
      <w:pPr>
        <w:pStyle w:val="TextBody"/>
        <w:bidi w:val="0"/>
        <w:spacing w:before="120" w:after="0"/>
        <w:jc w:val="left"/>
        <w:rPr>
          <w:rFonts w:ascii="Arial" w:hAnsi="Arial"/>
          <w:sz w:val="18"/>
        </w:rPr>
      </w:pPr>
      <w:r>
        <w:rPr>
          <w:rFonts w:ascii="Arial" w:hAnsi="Arial"/>
          <w:sz w:val="18"/>
        </w:rPr>
        <w:t xml:space="preserve">These concerns also present material risks to shareholders. Microsoft has announced plans to invest at least $80 billion in AI-enabled infrastructure, more than half in the United States, based on assumptions regarding future compute demand, energy consumption, and AI architectures that remain uncertain. Long-lived investments in jurisdictions presenting significant human rights, governance, and geopolitical risks may expose the Company to stranded assets, litigation, sanctions, regulatory action, operational disruptions, and reputational harm. </w:t>
      </w:r>
    </w:p>
    <w:p>
      <w:pPr>
        <w:pStyle w:val="TextBody"/>
        <w:bidi w:val="0"/>
        <w:spacing w:before="120" w:after="0"/>
        <w:jc w:val="left"/>
        <w:rPr>
          <w:rFonts w:ascii="Arial" w:hAnsi="Arial"/>
          <w:sz w:val="18"/>
        </w:rPr>
      </w:pPr>
      <w:r>
        <w:rPr>
          <w:rFonts w:ascii="Arial" w:hAnsi="Arial"/>
          <w:sz w:val="18"/>
        </w:rPr>
        <w:t xml:space="preserve">Although Microsoft states that it conducts human rights due diligence, stakeholder engagement, and HRIAs where appropriate, investors remain unable to assess the effectiveness of these processes because the company provides little information regarding where such assessments have been conducted, which stakeholders were consulted, what risks were identified, or how those risks were mitigated.3 Its recent review of the Israeli Ministry of Defense relationship addressed specific customer-use allegations, not the broader human rights implications of operating cloud infrastructure in countries of significant human rights concern.4 </w:t>
      </w:r>
    </w:p>
    <w:p>
      <w:pPr>
        <w:pStyle w:val="TextBody"/>
        <w:bidi w:val="0"/>
        <w:spacing w:before="120" w:after="0"/>
        <w:jc w:val="left"/>
        <w:rPr>
          <w:rFonts w:ascii="Arial" w:hAnsi="Arial"/>
          <w:sz w:val="18"/>
        </w:rPr>
      </w:pPr>
      <w:r>
        <w:rPr>
          <w:rFonts w:ascii="Arial" w:hAnsi="Arial"/>
          <w:sz w:val="18"/>
        </w:rPr>
        <w:t xml:space="preserve">A report sufficient to fulfill the proposal’s essential objectives would examine the scope, implementation, and robustness of the company’s human rights due diligence processes for siting cloud computing operations. It would assess, consistent with the Universal Declaration of Human Rights, the UN Guiding Principles on Business and Human Rights, and the Global Network Initiative Principles, how the company identifies, prevents, mitigates, and tracks impacts related to privacy, freedom of expression, and government access to data in conflict-affected or high-risk environments. </w:t>
      </w:r>
    </w:p>
    <w:p>
      <w:pPr>
        <w:pStyle w:val="TextBody"/>
        <w:bidi w:val="0"/>
        <w:spacing w:lineRule="atLeast" w:line="160" w:before="0" w:after="40"/>
        <w:jc w:val="left"/>
        <w:rPr>
          <w:bdr w:val="single" w:sz="2" w:space="1" w:color="000000"/>
        </w:rPr>
      </w:pPr>
      <w:r>
        <w:rPr>
          <w:bdr w:val="single" w:sz="2" w:space="1" w:color="000000"/>
        </w:rPr>
        <w:t> </w:t>
      </w:r>
    </w:p>
    <w:tbl>
      <w:tblPr>
        <w:tblW w:w="8815" w:type="dxa"/>
        <w:jc w:val="left"/>
        <w:tblInd w:w="0" w:type="dxa"/>
        <w:tblLayout w:type="fixed"/>
        <w:tblCellMar>
          <w:top w:w="0" w:type="dxa"/>
          <w:left w:w="0" w:type="dxa"/>
          <w:bottom w:w="0" w:type="dxa"/>
          <w:right w:w="0" w:type="dxa"/>
        </w:tblCellMar>
      </w:tblPr>
      <w:tblGrid>
        <w:gridCol w:w="155"/>
        <w:gridCol w:w="8660"/>
      </w:tblGrid>
      <w:tr>
        <w:trPr/>
        <w:tc>
          <w:tcPr>
            <w:tcW w:w="155" w:type="dxa"/>
            <w:tcBorders/>
            <w:vAlign w:val="center"/>
          </w:tcPr>
          <w:p>
            <w:pPr>
              <w:pStyle w:val="TableContents"/>
              <w:bidi w:val="0"/>
              <w:spacing w:before="0" w:after="283"/>
              <w:jc w:val="left"/>
              <w:rPr/>
            </w:pPr>
            <w:r>
              <w:rPr/>
              <w:t>1</w:t>
            </w:r>
          </w:p>
        </w:tc>
        <w:tc>
          <w:tcPr>
            <w:tcW w:w="8660" w:type="dxa"/>
            <w:tcBorders/>
            <w:vAlign w:val="center"/>
          </w:tcPr>
          <w:p>
            <w:pPr>
              <w:pStyle w:val="TableContents"/>
              <w:bidi w:val="0"/>
              <w:spacing w:before="0" w:after="0"/>
              <w:jc w:val="left"/>
              <w:rPr>
                <w:rFonts w:ascii="Arial" w:hAnsi="Arial"/>
                <w:sz w:val="14"/>
              </w:rPr>
            </w:pPr>
            <w:r>
              <w:rPr>
                <w:rFonts w:ascii="Arial" w:hAnsi="Arial"/>
                <w:sz w:val="14"/>
              </w:rPr>
              <w:t xml:space="preserve">https://freedomhouse.org/country/saudi-arabia/freedom-net/2025; https://freedomhouse.org/country/united-arab-emirates/freedom-net/2025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155"/>
        <w:gridCol w:w="6365"/>
      </w:tblGrid>
      <w:tr>
        <w:trPr/>
        <w:tc>
          <w:tcPr>
            <w:tcW w:w="155" w:type="dxa"/>
            <w:tcBorders/>
            <w:vAlign w:val="center"/>
          </w:tcPr>
          <w:p>
            <w:pPr>
              <w:pStyle w:val="TableContents"/>
              <w:bidi w:val="0"/>
              <w:spacing w:before="0" w:after="283"/>
              <w:jc w:val="left"/>
              <w:rPr/>
            </w:pPr>
            <w:r>
              <w:rPr/>
              <w:t>2</w:t>
            </w:r>
          </w:p>
        </w:tc>
        <w:tc>
          <w:tcPr>
            <w:tcW w:w="6365" w:type="dxa"/>
            <w:tcBorders/>
            <w:vAlign w:val="center"/>
          </w:tcPr>
          <w:p>
            <w:pPr>
              <w:pStyle w:val="TableContents"/>
              <w:bidi w:val="0"/>
              <w:spacing w:before="0" w:after="0"/>
              <w:jc w:val="left"/>
              <w:rPr>
                <w:rFonts w:ascii="Arial" w:hAnsi="Arial"/>
                <w:sz w:val="14"/>
              </w:rPr>
            </w:pPr>
            <w:r>
              <w:rPr>
                <w:rFonts w:ascii="Arial" w:hAnsi="Arial"/>
                <w:sz w:val="14"/>
              </w:rPr>
              <w:t xml:space="preserve">https://www.theguardian.com/world/2025/aug/06/microsoft-israeli-military-palestinian-phone-calls-cloud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https://www.microsoft.com/en-us/corporate-responsibility/human-rights-statement#tab-foundational-principles; https://cdn-dynmedia-1.microsoft.com/is/content/microsoftcorp/microsoft/msc/documents/presentations/CSR/Human-Rights-Transparency-Report-2025.pdf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0"/>
              <w:jc w:val="left"/>
              <w:rPr>
                <w:rFonts w:ascii="Arial" w:hAnsi="Arial"/>
                <w:sz w:val="14"/>
              </w:rPr>
            </w:pPr>
            <w:r>
              <w:rPr>
                <w:rFonts w:ascii="Arial" w:hAnsi="Arial"/>
                <w:sz w:val="14"/>
              </w:rPr>
              <w:t xml:space="preserve">https://cdn-dynmedia-1.microsoft.com/is/content/microsoftcorp/microsoft/msc/documents/presentations/CSR/Summary-of-2025-External-Investigation-Follow-Up.pdf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75C9"/>
          <w:sz w:val="20"/>
        </w:rPr>
      </w:pPr>
      <w:r>
        <w:rPr>
          <w:rFonts w:ascii="Arial" w:hAnsi="Arial"/>
          <w:b/>
          <w:color w:val="0075C9"/>
          <w:sz w:val="20"/>
        </w:rPr>
        <w:t xml:space="preserve">Board Recommendation </w:t>
      </w:r>
    </w:p>
    <w:p>
      <w:pPr>
        <w:pStyle w:val="TextBody"/>
        <w:bidi w:val="0"/>
        <w:spacing w:before="120" w:after="0"/>
        <w:jc w:val="left"/>
        <w:rPr>
          <w:rFonts w:ascii="Arial" w:hAnsi="Arial"/>
          <w:b/>
          <w:i/>
          <w:color w:val="0075C9"/>
          <w:sz w:val="20"/>
        </w:rPr>
      </w:pPr>
      <w:r>
        <w:rPr>
          <w:rFonts w:ascii="Arial" w:hAnsi="Arial"/>
          <w:b/>
          <w:i/>
          <w:color w:val="0075C9"/>
          <w:sz w:val="20"/>
        </w:rPr>
        <w:t xml:space="preserve">The Board of Directors recommends a vote AGAINST the proposal for the following reasons: </w:t>
      </w:r>
    </w:p>
    <w:p>
      <w:pPr>
        <w:pStyle w:val="TextBody"/>
        <w:bidi w:val="0"/>
        <w:spacing w:before="240" w:after="0"/>
        <w:jc w:val="left"/>
        <w:rPr>
          <w:rFonts w:ascii="Arial" w:hAnsi="Arial"/>
          <w:b/>
          <w:sz w:val="18"/>
        </w:rPr>
      </w:pPr>
      <w:r>
        <w:rPr>
          <w:rFonts w:ascii="Arial" w:hAnsi="Arial"/>
          <w:b/>
          <w:sz w:val="18"/>
        </w:rPr>
        <w:t xml:space="preserve">COMPANY STATEMENT IN OPPOSITION </w:t>
      </w:r>
    </w:p>
    <w:p>
      <w:pPr>
        <w:pStyle w:val="TextBody"/>
        <w:bidi w:val="0"/>
        <w:spacing w:before="120" w:after="0"/>
        <w:jc w:val="left"/>
        <w:rPr>
          <w:rFonts w:ascii="Arial" w:hAnsi="Arial"/>
          <w:sz w:val="18"/>
        </w:rPr>
      </w:pPr>
      <w:r>
        <w:rPr>
          <w:rFonts w:ascii="Arial" w:hAnsi="Arial"/>
          <w:sz w:val="18"/>
        </w:rPr>
        <w:t xml:space="preserve">The requested report is not necessary because Microsoft’s existing disclosures sufficiently address how the company manages the key human rights risks raised by the proposal. While the proposal seeks additional operational detail that it says it does not find in existing disclosures, Microsoft management and the Board believe shareholders have sufficient information to understand the Company’s approach and oversight of its human rights risks without requiring disclosure of sensitive site-specific assessments or security-related information. </w:t>
      </w:r>
    </w:p>
    <w:p>
      <w:pPr>
        <w:pStyle w:val="TextBody"/>
        <w:bidi w:val="0"/>
        <w:spacing w:before="120" w:after="0"/>
        <w:jc w:val="left"/>
        <w:rPr>
          <w:rFonts w:ascii="Arial" w:hAnsi="Arial"/>
          <w:sz w:val="18"/>
        </w:rPr>
      </w:pPr>
      <w:r>
        <w:rPr>
          <w:rFonts w:ascii="Arial" w:hAnsi="Arial"/>
          <w:sz w:val="18"/>
        </w:rPr>
        <w:t xml:space="preserve">Microsoft provides meaningful information regarding its human rights commitments and efforts, including its governance and oversight, programmatic approach, efforts to conduct stakeholder engagement, ongoing due diligence, and mitigation processes. Microsoft shares information publicly about these efforts in its annual Human Rights Transparency Report, on its website, and through summaries of its corporate human rights assessments which are updated periodically. Microsoft also participates in a variety of required and voluntary rights-related assessment and reporting processes. </w:t>
      </w:r>
    </w:p>
    <w:p>
      <w:pPr>
        <w:pStyle w:val="TextBody"/>
        <w:bidi w:val="0"/>
        <w:spacing w:before="120" w:after="0"/>
        <w:jc w:val="left"/>
        <w:rPr>
          <w:rFonts w:ascii="Arial" w:hAnsi="Arial"/>
          <w:sz w:val="18"/>
        </w:rPr>
      </w:pPr>
      <w:r>
        <w:rPr>
          <w:rFonts w:ascii="Arial" w:hAnsi="Arial"/>
          <w:sz w:val="18"/>
        </w:rPr>
        <w:t xml:space="preserve">Demand for cloud and AI services continues to grow globally as governments, enterprises, and communities increasingly rely on digital technologies to drive economic development and innovation. Customers, particularly multinational organizations, often seek local cloud infrastructure to meet performance, regulatory, and data sovereignty requirements. Microsoft and other cloud providers operate datacenters in numerous countries around the world to support local economies, expand access to digital technologies, and comply with laws governing where data may be stored and processed. Consistent with Microsoft’s mission, we work to bring the benefits of AI and cloud computing to customers globally while maintaining robust processes to identify and address human rights, security, privacy, and other risks. </w:t>
      </w:r>
    </w:p>
    <w:p>
      <w:pPr>
        <w:pStyle w:val="TextBody"/>
        <w:bidi w:val="0"/>
        <w:spacing w:before="120" w:after="0"/>
        <w:jc w:val="left"/>
        <w:rPr>
          <w:rFonts w:ascii="Arial" w:hAnsi="Arial"/>
          <w:sz w:val="18"/>
        </w:rPr>
      </w:pPr>
      <w:r>
        <w:rPr>
          <w:rFonts w:ascii="Arial" w:hAnsi="Arial"/>
          <w:sz w:val="18"/>
        </w:rPr>
        <w:t xml:space="preserve">As we detail below, Microsoft’s infrastructure investment decisions are subject to extensive review involving business, operational, legal, regulatory, security, and risk-management considerations. Human rights considerations are one important input among many factors evaluated. The proposal incorrectly suggests that infrastructure investment decisions are made without consideration of long-term geopolitical and operational risks. Reviews weigh the long-term geopolitical, regulatory, and operational risks the proposal raises, including the possibility that conditions in a market change after an investment is made. Where they do, we may adjust the services we offer, the customers we serve, and where customer data is stored, in addition to conducting on-going due diligence, as described below. </w:t>
      </w:r>
    </w:p>
    <w:p>
      <w:pPr>
        <w:pStyle w:val="TextBody"/>
        <w:bidi w:val="0"/>
        <w:spacing w:before="360" w:after="0"/>
        <w:jc w:val="left"/>
        <w:rPr>
          <w:rFonts w:ascii="Arial" w:hAnsi="Arial"/>
          <w:b/>
          <w:sz w:val="18"/>
        </w:rPr>
      </w:pPr>
      <w:r>
        <w:rPr>
          <w:rFonts w:ascii="Arial" w:hAnsi="Arial"/>
          <w:b/>
          <w:sz w:val="18"/>
        </w:rPr>
        <w:t xml:space="preserve">Microsoft Due Diligence Policies and Practices </w:t>
      </w:r>
    </w:p>
    <w:p>
      <w:pPr>
        <w:pStyle w:val="TextBody"/>
        <w:bidi w:val="0"/>
        <w:spacing w:before="120" w:after="0"/>
        <w:jc w:val="left"/>
        <w:rPr>
          <w:rFonts w:ascii="Arial" w:hAnsi="Arial"/>
          <w:sz w:val="18"/>
        </w:rPr>
      </w:pPr>
      <w:r>
        <w:rPr>
          <w:rFonts w:ascii="Arial" w:hAnsi="Arial"/>
          <w:sz w:val="18"/>
        </w:rPr>
        <w:t xml:space="preserve">Microsoft has articulated our human rights commitments and due diligence processes and provided ongoing public reporting on human rights (see </w:t>
      </w:r>
      <w:r>
        <w:rPr>
          <w:rFonts w:ascii="Arial" w:hAnsi="Arial"/>
          <w:sz w:val="18"/>
          <w:u w:val="single"/>
        </w:rPr>
        <w:t>aka.ms/humanrights</w:t>
      </w:r>
      <w:r>
        <w:rPr>
          <w:rFonts w:ascii="Arial" w:hAnsi="Arial"/>
          <w:sz w:val="18"/>
        </w:rPr>
        <w:t xml:space="preserve">). We have also made a public commitment to the Trusted Cloud Principles, which require us to respect internationally recognized rule of law and human rights standards. Finally, we have published an explanation of our approach to Operating Datacenters in Countries or Regions with Human Rights Challenges (see </w:t>
      </w:r>
      <w:r>
        <w:rPr>
          <w:rFonts w:ascii="Arial" w:hAnsi="Arial"/>
          <w:sz w:val="18"/>
          <w:u w:val="single"/>
        </w:rPr>
        <w:t>aka.ms/datacenters_humanrights</w:t>
      </w:r>
      <w:r>
        <w:rPr>
          <w:rFonts w:ascii="Arial" w:hAnsi="Arial"/>
          <w:sz w:val="18"/>
        </w:rPr>
        <w:t xml:space="preserve">) to provide transparency on our human rights related review processes for data center siting and operations. </w:t>
      </w:r>
    </w:p>
    <w:p>
      <w:pPr>
        <w:pStyle w:val="TextBody"/>
        <w:bidi w:val="0"/>
        <w:spacing w:before="120" w:after="0"/>
        <w:jc w:val="left"/>
        <w:rPr>
          <w:rFonts w:ascii="Arial" w:hAnsi="Arial"/>
          <w:sz w:val="18"/>
        </w:rPr>
      </w:pPr>
      <w:r>
        <w:rPr>
          <w:rFonts w:ascii="Arial" w:hAnsi="Arial"/>
          <w:sz w:val="18"/>
        </w:rPr>
        <w:t xml:space="preserve">Microsoft works to operate responsibly and in accordance with our global commitment to respect human rights and the rule of law. Microsoft’s approach is not limited to any particular country or project. We apply a global, risk-based due diligence framework to evaluate potential human rights impacts associated with our cloud operations and infrastructure investments, including in jurisdictions that present heightened human rights, governance, security, or geopolitical risks. </w:t>
      </w:r>
    </w:p>
    <w:p>
      <w:pPr>
        <w:pStyle w:val="TextBody"/>
        <w:bidi w:val="0"/>
        <w:spacing w:before="120" w:after="0"/>
        <w:jc w:val="left"/>
        <w:rPr>
          <w:rFonts w:ascii="Arial" w:hAnsi="Arial"/>
          <w:sz w:val="18"/>
        </w:rPr>
      </w:pPr>
      <w:r>
        <w:rPr>
          <w:rFonts w:ascii="Arial" w:hAnsi="Arial"/>
          <w:sz w:val="18"/>
        </w:rPr>
        <w:t xml:space="preserve">In particular, when considering expansion of our data center footprint to new countries, we are guided by the commitments found in our Global Human Rights Statement (see </w:t>
      </w:r>
      <w:r>
        <w:rPr>
          <w:rFonts w:ascii="Arial" w:hAnsi="Arial"/>
          <w:sz w:val="18"/>
          <w:u w:val="single"/>
        </w:rPr>
        <w:t>aka.ms/humanrights</w:t>
      </w:r>
      <w:r>
        <w:rPr>
          <w:rFonts w:ascii="Arial" w:hAnsi="Arial"/>
          <w:sz w:val="18"/>
        </w:rPr>
        <w:t xml:space="preserve">), which include that we conduct human rights due diligence in line with the UN Guiding Principles on Business and Human Rights. That due diligence is global and ongoing, and includes corporate-wide assessments, supply chain due diligence, and market-specific reviews. </w:t>
      </w:r>
    </w:p>
    <w:p>
      <w:pPr>
        <w:pStyle w:val="TextBody"/>
        <w:bidi w:val="0"/>
        <w:spacing w:before="120" w:after="0"/>
        <w:jc w:val="left"/>
        <w:rPr>
          <w:rFonts w:ascii="Arial" w:hAnsi="Arial"/>
          <w:sz w:val="18"/>
        </w:rPr>
      </w:pPr>
      <w:r>
        <w:rPr>
          <w:rFonts w:ascii="Arial" w:hAnsi="Arial"/>
          <w:sz w:val="18"/>
        </w:rPr>
        <w:t xml:space="preserve">To inform responsible market entry, including datacenter siting, we conduct extensive reviews, which include public assessment materials from trusted, independent third-party resources, including Freedom House reports, the World Justice Project Rule of Law Index, and the Transparency International Corruption Perceptions Index. We also regularly source additional input from outside counsel and other experts with international expertise in privacy and other human rights-related matters. Through collaboration from teams across the Company, we aim to develop a thorough and nuanced understanding of the applicable market and jurisdiction, including the potential risks to human rights.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76</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3" descr=""/>
                          <pic:cNvPicPr>
                            <a:picLocks noChangeAspect="1" noChangeArrowheads="1"/>
                          </pic:cNvPicPr>
                        </pic:nvPicPr>
                        <pic:blipFill>
                          <a:blip r:embed="rId114"/>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As appropriate, in certain geographies, we also conduct heightened due diligence via country-level human rights impact assessments that surface potential human rights risks, including risks to privacy, freedom of expression, and government access to data, as well as other risks associated with data center siting and operation, and identify potential mitigations to minimize those risks. We use what we learn from these studies to inform decision-making, develop and refine our policies and practices, mitigate risks, and improve our technologies and how we provide them to fulfill our commitment to human rights. We update these analyses as conditions and/or our engagement in the geography changes. </w:t>
      </w:r>
    </w:p>
    <w:p>
      <w:pPr>
        <w:pStyle w:val="TextBody"/>
        <w:bidi w:val="0"/>
        <w:spacing w:before="120" w:after="0"/>
        <w:jc w:val="left"/>
        <w:rPr>
          <w:rFonts w:ascii="Arial" w:hAnsi="Arial"/>
          <w:sz w:val="18"/>
        </w:rPr>
      </w:pPr>
      <w:r>
        <w:rPr>
          <w:rFonts w:ascii="Arial" w:hAnsi="Arial"/>
          <w:sz w:val="18"/>
        </w:rPr>
        <w:t xml:space="preserve">Beyond “go/no go” decisions, Microsoft also implements datacenter risk mitigation measures that typically take any or all of three forms: restrictions on specific types of services (e.g., not offering consumer services that collect personal data), technologies (e.g., not offering facial recognition technology), and/or specific types of customers (e.g., limiting access to higher risk customers). For example, in certain locations, we serve only enterprise customers and do not store consumer data to mitigate potential risks to the right to privacy and security, or we store data outside of the jurisdiction, rather than on site. Furthermore, all uses of Microsoft online services must comply with the Microsoft Services Agreement Code of Conduct (see </w:t>
      </w:r>
      <w:r>
        <w:rPr>
          <w:rFonts w:ascii="Arial" w:hAnsi="Arial"/>
          <w:sz w:val="18"/>
          <w:u w:val="single"/>
        </w:rPr>
        <w:t>aka.ms/servicesconduct</w:t>
      </w:r>
      <w:r>
        <w:rPr>
          <w:rFonts w:ascii="Arial" w:hAnsi="Arial"/>
          <w:sz w:val="18"/>
        </w:rPr>
        <w:t xml:space="preserve">), which prohibits use of our services to violate the rights of others, among other restrictions, and we have the right to suspend users for violations. </w:t>
      </w:r>
    </w:p>
    <w:p>
      <w:pPr>
        <w:pStyle w:val="TextBody"/>
        <w:bidi w:val="0"/>
        <w:spacing w:before="120" w:after="0"/>
        <w:jc w:val="left"/>
        <w:rPr>
          <w:rFonts w:ascii="Arial" w:hAnsi="Arial"/>
          <w:sz w:val="18"/>
        </w:rPr>
      </w:pPr>
      <w:r>
        <w:rPr>
          <w:rFonts w:ascii="Arial" w:hAnsi="Arial"/>
          <w:sz w:val="18"/>
        </w:rPr>
        <w:t xml:space="preserve">Among those key risks are requirements that Microsoft comply with legally binding government demands for customer data and requirements to restrict publication of certain content in jurisdictions where we locate data centers. Our commitment to the rule of law carries with it an obligation to comply with applicable local law. When we receive a government request for customer data or to remove content, we assess whether it is valid, legally binding, and consistent with applicable law and with international norms on human rights and the rule of law, and we report on the requests we receive country by country, as described below. </w:t>
      </w:r>
    </w:p>
    <w:p>
      <w:pPr>
        <w:pStyle w:val="TextBody"/>
        <w:bidi w:val="0"/>
        <w:spacing w:before="120" w:after="0"/>
        <w:jc w:val="left"/>
        <w:rPr>
          <w:rFonts w:ascii="Arial" w:hAnsi="Arial"/>
          <w:sz w:val="18"/>
        </w:rPr>
      </w:pPr>
      <w:r>
        <w:rPr>
          <w:rFonts w:ascii="Arial" w:hAnsi="Arial"/>
          <w:sz w:val="18"/>
        </w:rPr>
        <w:t xml:space="preserve">For example, Microsoft followed these processes in evaluating the establishment of a new cloud datacenter region in Saudi Arabia and in determining it could be operated in a way consistent with Microsoft’s commitment to respecting fundamental rights and focus on responsible cloud practices. Microsoft engaged an independent third party with expertise in human rights to support this review. Through a combination of research and stakeholder engagement with leading human rights experts, globally and regionally, the assessment team identified a range of salient human rights risks for Microsoft’s consideration. The assessment concluded with a series of potential risk mitigation actions. The mitigation actions identified fall within the categories described above: limits on the services and technologies we offer, limits on the customers we serve, and controls on where customer data is stored, in addition to on-going deal and other due diligence consistent with our approach globally. Consistent with our practice of updating these analyses as conditions change, we periodically refresh this assessment. Our approach and process are consistent globally, including in the jurisdictions mentioned in the proposal. </w:t>
      </w:r>
    </w:p>
    <w:p>
      <w:pPr>
        <w:pStyle w:val="TextBody"/>
        <w:bidi w:val="0"/>
        <w:spacing w:before="240" w:after="0"/>
        <w:jc w:val="left"/>
        <w:rPr>
          <w:rFonts w:ascii="Arial" w:hAnsi="Arial"/>
          <w:b/>
          <w:sz w:val="18"/>
        </w:rPr>
      </w:pPr>
      <w:r>
        <w:rPr>
          <w:rFonts w:ascii="Arial" w:hAnsi="Arial"/>
          <w:b/>
          <w:sz w:val="18"/>
        </w:rPr>
        <w:t xml:space="preserve">Trusted Cloud Principles </w:t>
      </w:r>
    </w:p>
    <w:p>
      <w:pPr>
        <w:pStyle w:val="TextBody"/>
        <w:bidi w:val="0"/>
        <w:spacing w:before="120" w:after="0"/>
        <w:jc w:val="left"/>
        <w:rPr>
          <w:rFonts w:ascii="Arial" w:hAnsi="Arial"/>
          <w:sz w:val="18"/>
        </w:rPr>
      </w:pPr>
      <w:r>
        <w:rPr>
          <w:rFonts w:ascii="Arial" w:hAnsi="Arial"/>
          <w:sz w:val="18"/>
        </w:rPr>
        <w:t xml:space="preserve">Customer and technical demand for more cloud computing infrastructure will continue to grow, including in underserved regions not currently equipped with modern IT infrastructure, and Microsoft is not the only provider of such services. When expanding into these regions, it is critical for competing providers to avoid a race to the bottom by maintaining a consistent approach grounded in international best practices. That is why we worked with other major cloud service providers to develop, agree to, and publish the Trusted Cloud Principles. With these principles, Microsoft and other leading cloud computing services companies publicly commit to: </w:t>
      </w:r>
    </w:p>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18"/>
              </w:rPr>
            </w:pPr>
            <w:r>
              <w:rPr>
                <w:rFonts w:ascii="Arial" w:hAnsi="Arial"/>
                <w:sz w:val="18"/>
              </w:rPr>
              <w:t xml:space="preserve">Maintain consistent human rights standards as we compete for cloud service business across the globe.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Work with governments to ensure the free flow of data, to promote public safety, and to protect privacy and data security in the cloud.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Support the adoption of laws that allow governments to request data through a transparent process that abides by internationally-recognized rule of law and human rights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Work with the tech sector, public interest groups, and policymakers around the world, particularly in the countries where we operate or plan to operate datacenters and cloud infrastructure, to ensure that laws and policies are substantially in line with the Trusted Cloud Principles. As part of our datacenter expansion in new countries, we review and assess these laws and policies prior to any expansion, and where necessary, we have successfully negotiated with Governments to establish processes and conditions, grounded in our principles, under which we will review law enforcement requests for data. </w:t>
            </w:r>
          </w:p>
        </w:tc>
      </w:tr>
    </w:tbl>
    <w:p>
      <w:pPr>
        <w:pStyle w:val="TextBody"/>
        <w:bidi w:val="0"/>
        <w:spacing w:before="240" w:after="0"/>
        <w:jc w:val="left"/>
        <w:rPr>
          <w:rFonts w:ascii="Arial" w:hAnsi="Arial"/>
          <w:b/>
          <w:sz w:val="18"/>
        </w:rPr>
      </w:pPr>
      <w:r>
        <w:rPr>
          <w:rFonts w:ascii="Arial" w:hAnsi="Arial"/>
          <w:b/>
          <w:sz w:val="18"/>
        </w:rPr>
        <w:t xml:space="preserve">Engagement with independent experts and assessments </w:t>
      </w:r>
    </w:p>
    <w:p>
      <w:pPr>
        <w:pStyle w:val="TextBody"/>
        <w:bidi w:val="0"/>
        <w:spacing w:before="120" w:after="0"/>
        <w:jc w:val="left"/>
        <w:rPr>
          <w:rFonts w:ascii="Arial" w:hAnsi="Arial"/>
          <w:sz w:val="18"/>
        </w:rPr>
      </w:pPr>
      <w:r>
        <w:rPr>
          <w:rFonts w:ascii="Arial" w:hAnsi="Arial"/>
          <w:sz w:val="18"/>
        </w:rPr>
        <w:t xml:space="preserve">We regularly consult independent human rights experts and participate in multistakeholder initiatives, which bring outside perspective to our due diligence and help us identify where to improve. Our corporate saliency assessment, repeated at regular intervals and conducted by independent business and human rights experts, provides a complete enterprise review of our practices.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participate in regulatory reporting that requires disclosure of our risk management and due diligence frameworks. Microsoft also undertakes voluntary assessments, such as our regular Global Network Initiative (“GNI”) Assessment, which involves a review by an accredited independent assessor to evaluate whether Microsoft is making a good faith effort to implement the GNI Principles on freedom of expression and privacy, with improvement over time. GNI publishes public assessment reports on its website. </w:t>
      </w:r>
    </w:p>
    <w:p>
      <w:pPr>
        <w:pStyle w:val="TextBody"/>
        <w:bidi w:val="0"/>
        <w:spacing w:before="240" w:after="0"/>
        <w:jc w:val="left"/>
        <w:rPr>
          <w:rFonts w:ascii="Arial" w:hAnsi="Arial"/>
          <w:b/>
          <w:sz w:val="18"/>
        </w:rPr>
      </w:pPr>
      <w:r>
        <w:rPr>
          <w:rFonts w:ascii="Arial" w:hAnsi="Arial"/>
          <w:b/>
          <w:sz w:val="18"/>
        </w:rPr>
        <w:t xml:space="preserve">Additional Microsoft Transparency and Reporting </w:t>
      </w:r>
    </w:p>
    <w:p>
      <w:pPr>
        <w:pStyle w:val="TextBody"/>
        <w:bidi w:val="0"/>
        <w:spacing w:before="120" w:after="0"/>
        <w:jc w:val="left"/>
        <w:rPr>
          <w:rFonts w:ascii="Arial" w:hAnsi="Arial"/>
          <w:sz w:val="18"/>
        </w:rPr>
      </w:pPr>
      <w:r>
        <w:rPr>
          <w:rFonts w:ascii="Arial" w:hAnsi="Arial"/>
          <w:sz w:val="18"/>
        </w:rPr>
        <w:t xml:space="preserve">For more than a decade, twice a year Microsoft publishes the number of legal demands for customer data that we receive from governments (including law enforcement, national security, and civil authorities) around the world. The reports are broken out country-by-country and provide granular data and percentages of government requests received, cases where we disclosed customer content, cases where we disclosed only subscriber/transactional data, cases where no data was found, and cases where Microsoft rejected requests for not meeting legal requirements. The reports detail Microsoft’s principles and policies for ensuring that Microsoft handles government requests in ways that meet our commitments to uphold customer privacy standards across jurisdictions. We provide similarly detailed twice annual reporting on how Microsoft responds to government requests to remove published content. These and related reports are available in the Digital Trust Reports section of </w:t>
      </w:r>
      <w:r>
        <w:rPr>
          <w:rFonts w:ascii="Arial" w:hAnsi="Arial"/>
          <w:sz w:val="18"/>
          <w:u w:val="single"/>
        </w:rPr>
        <w:t>microsoft.com/transparency</w:t>
      </w:r>
      <w:r>
        <w:rPr>
          <w:rFonts w:ascii="Arial" w:hAnsi="Arial"/>
          <w:sz w:val="18"/>
        </w:rPr>
        <w:t xml:space="preserve">, which also provides detailed FAQs on our policies and practices for responding to government requests. </w:t>
      </w:r>
    </w:p>
    <w:p>
      <w:pPr>
        <w:pStyle w:val="TextBody"/>
        <w:bidi w:val="0"/>
        <w:spacing w:before="120" w:after="0"/>
        <w:jc w:val="left"/>
        <w:rPr>
          <w:rFonts w:ascii="Arial" w:hAnsi="Arial"/>
          <w:sz w:val="18"/>
        </w:rPr>
      </w:pPr>
      <w:r>
        <w:rPr>
          <w:rFonts w:ascii="Arial" w:hAnsi="Arial"/>
          <w:sz w:val="18"/>
        </w:rPr>
        <w:t xml:space="preserve">We recognize that decisions on where and how we operate and provide our technologies can have significant impact on human rights. As we pursue our mission to empower every person and every organization on the planet to achieve more, we will continue to conduct due diligence to assess the impact of our technologies on human rights, engage and learn from stakeholders, and model responsible business practices and respect for human rights. </w:t>
      </w:r>
    </w:p>
    <w:p>
      <w:pPr>
        <w:pStyle w:val="TextBody"/>
        <w:bidi w:val="0"/>
        <w:spacing w:before="120" w:after="0"/>
        <w:jc w:val="left"/>
        <w:rPr>
          <w:rFonts w:ascii="Arial" w:hAnsi="Arial"/>
          <w:sz w:val="18"/>
        </w:rPr>
      </w:pPr>
      <w:r>
        <w:rPr>
          <w:rFonts w:ascii="Arial" w:hAnsi="Arial"/>
          <w:sz w:val="18"/>
        </w:rPr>
        <w:t xml:space="preserve">The proposal does not identify specific information necessary for shareholders to evaluate Company performance that is not already available through Microsoft’s existing disclosures. Rather, it requests another report covering processes, governance mechanisms, and risk-management approaches that Microsoft already describes publicly. </w:t>
      </w:r>
    </w:p>
    <w:p>
      <w:pPr>
        <w:pStyle w:val="TextBody"/>
        <w:bidi w:val="0"/>
        <w:spacing w:before="360" w:after="0"/>
        <w:jc w:val="left"/>
        <w:rPr>
          <w:rFonts w:ascii="Arial" w:hAnsi="Arial"/>
          <w:b/>
          <w:sz w:val="24"/>
        </w:rPr>
      </w:pPr>
      <w:r>
        <w:rPr>
          <w:rFonts w:ascii="Arial" w:hAnsi="Arial"/>
          <w:b/>
          <w:sz w:val="24"/>
        </w:rPr>
        <w:t xml:space="preserve">Proposal 7: Board Chair and CEO Separation </w:t>
      </w:r>
    </w:p>
    <w:p>
      <w:pPr>
        <w:pStyle w:val="TextBody"/>
        <w:bidi w:val="0"/>
        <w:spacing w:before="120" w:after="0"/>
        <w:jc w:val="left"/>
        <w:rPr>
          <w:rFonts w:ascii="Arial" w:hAnsi="Arial"/>
          <w:sz w:val="18"/>
        </w:rPr>
      </w:pPr>
      <w:r>
        <w:rPr>
          <w:rFonts w:ascii="Arial" w:hAnsi="Arial"/>
          <w:sz w:val="18"/>
        </w:rPr>
        <w:t xml:space="preserve">The New York State Common Retirement Fund has advised us that they intend to submit the following proposal for consideration at the Annual Meeting. </w:t>
      </w:r>
    </w:p>
    <w:p>
      <w:pPr>
        <w:pStyle w:val="TextBody"/>
        <w:bidi w:val="0"/>
        <w:spacing w:before="120" w:after="0"/>
        <w:jc w:val="left"/>
        <w:rPr>
          <w:rFonts w:ascii="Arial" w:hAnsi="Arial"/>
          <w:sz w:val="18"/>
        </w:rPr>
      </w:pPr>
      <w:r>
        <w:rPr>
          <w:rFonts w:ascii="Arial" w:hAnsi="Arial"/>
          <w:b/>
          <w:sz w:val="18"/>
        </w:rPr>
        <w:t>Resolved:</w:t>
      </w:r>
      <w:r>
        <w:rPr>
          <w:rFonts w:ascii="Arial" w:hAnsi="Arial"/>
          <w:sz w:val="18"/>
        </w:rPr>
        <w:t xml:space="preserve"> Shareholders request the Board of Directors of Microsoft Corporation adopt a policy, and amend the governing documents as necessary, to require that two separate people hold the office of Chairman of the Board and the office of Chief Executive Officer as follows:</w:t>
      </w:r>
    </w:p>
    <w:p>
      <w:pPr>
        <w:pStyle w:val="TextBody"/>
        <w:bidi w:val="0"/>
        <w:spacing w:before="120" w:after="0"/>
        <w:jc w:val="left"/>
        <w:rPr>
          <w:rFonts w:ascii="Arial" w:hAnsi="Arial"/>
          <w:sz w:val="18"/>
        </w:rPr>
      </w:pPr>
      <w:r>
        <w:rPr>
          <w:rFonts w:ascii="Arial" w:hAnsi="Arial"/>
          <w:sz w:val="18"/>
        </w:rPr>
        <w:t>Selection of the Chair: The Board requires the separation of the offices of the Chair and the CEO. Whenever possible, the Chair shall be an Independent Director, as defined by the Director Independence Guidelines. The Board may select a temporary Chair who is not an Independent Director to serve while the Board seeks an Independent Chair. The Chair should not be a former CEO of the company. Selection of the Chair shall be consistent with applicable law and existing contracts.</w:t>
      </w:r>
    </w:p>
    <w:p>
      <w:pPr>
        <w:pStyle w:val="TextBody"/>
        <w:bidi w:val="0"/>
        <w:spacing w:before="120" w:after="0"/>
        <w:jc w:val="left"/>
        <w:rPr>
          <w:rFonts w:ascii="Arial" w:hAnsi="Arial"/>
          <w:sz w:val="18"/>
        </w:rPr>
      </w:pPr>
      <w:r>
        <w:rPr>
          <w:rFonts w:ascii="Arial" w:hAnsi="Arial"/>
          <w:b/>
          <w:sz w:val="18"/>
        </w:rPr>
        <w:t>Supporting Statement:</w:t>
      </w:r>
      <w:r>
        <w:rPr>
          <w:rFonts w:ascii="Arial" w:hAnsi="Arial"/>
          <w:sz w:val="18"/>
        </w:rPr>
        <w:t xml:space="preserve"> The Board Chair and CEO roles, while often requiring similar skills, ultimately have differing responsibilities that are each key to the success of the Company. The CEO is responsible for the general charge and supervision of the business of the Corporation, while the Chair is designed to lead the Board of Directors in overseeing the Company’s integrity, risk management, succession planning, and CEO evaluation. One individual holding both offices diminishes the effectiveness of each role and compromises the Board’s responsibility for executive oversight.</w:t>
      </w:r>
    </w:p>
    <w:p>
      <w:pPr>
        <w:pStyle w:val="TextBody"/>
        <w:bidi w:val="0"/>
        <w:spacing w:before="120" w:after="0"/>
        <w:jc w:val="left"/>
        <w:rPr>
          <w:rFonts w:ascii="Arial" w:hAnsi="Arial"/>
          <w:sz w:val="18"/>
        </w:rPr>
      </w:pPr>
      <w:r>
        <w:rPr>
          <w:rFonts w:ascii="Arial" w:hAnsi="Arial"/>
          <w:sz w:val="18"/>
        </w:rPr>
        <w:t>The presence of a combined Chair-CEO on the Board can have a chilling effect on independent Board members’ willingness to push back on management decisions. According to the CFA Institute’s Research and Policy Center, combining the positions can cause executive directors to have undue influence on the Board’s decision-making process and impair the willingness of other directors to exercise independent judgment. A combined Chair-CEO also leads the very body charged with evaluating the CEO’s performance and succession, creating an inherent conflict of interest.</w:t>
      </w:r>
    </w:p>
    <w:p>
      <w:pPr>
        <w:pStyle w:val="TextBody"/>
        <w:bidi w:val="0"/>
        <w:spacing w:before="120" w:after="0"/>
        <w:jc w:val="left"/>
        <w:rPr>
          <w:rFonts w:ascii="Arial" w:hAnsi="Arial"/>
          <w:sz w:val="18"/>
        </w:rPr>
      </w:pPr>
      <w:r>
        <w:rPr>
          <w:rFonts w:ascii="Arial" w:hAnsi="Arial"/>
          <w:sz w:val="18"/>
        </w:rPr>
        <w:t>Microsoft has benefited from an independent chairmanship before. Former Lead Independent Director John Thompson served as the Board’s independent Chairman from February 2014 to June 2021 and presided over a period of significant growth for the Company while working alongside CEO Nadella. Recombining the roles in 2021 reversed a structure the Board itself deliberately chose.</w:t>
      </w:r>
    </w:p>
    <w:p>
      <w:pPr>
        <w:pStyle w:val="TextBody"/>
        <w:bidi w:val="0"/>
        <w:spacing w:before="120" w:after="0"/>
        <w:jc w:val="left"/>
        <w:rPr>
          <w:rFonts w:ascii="Arial" w:hAnsi="Arial"/>
          <w:sz w:val="18"/>
        </w:rPr>
      </w:pPr>
      <w:r>
        <w:rPr>
          <w:rFonts w:ascii="Arial" w:hAnsi="Arial"/>
          <w:sz w:val="18"/>
        </w:rPr>
        <w:t>The need for independent Board leadership is heightened by Microsoft’s generational capital commitments to AI and data center infrastructure, alongside workforce reductions in 2024 and 2025, and other labor controversies. Furthermore, this rapid data center expansion has triggered escalating regulatory, community, and public scrutiny regarding its massive power consumption and environmental impact.</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78</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4" descr=""/>
                          <pic:cNvPicPr>
                            <a:picLocks noChangeAspect="1" noChangeArrowheads="1"/>
                          </pic:cNvPicPr>
                        </pic:nvPicPr>
                        <pic:blipFill>
                          <a:blip r:embed="rId115"/>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An increasing number of companies and investors see the benefits of a separate Chair and CEO structure. In 2025, 42 percent of S&amp;P 500 Index company boards were chaired by an independent director, compared to 29 percent in 2015.</w:t>
      </w:r>
    </w:p>
    <w:p>
      <w:pPr>
        <w:pStyle w:val="TextBody"/>
        <w:bidi w:val="0"/>
        <w:spacing w:before="120" w:after="0"/>
        <w:jc w:val="left"/>
        <w:rPr>
          <w:rFonts w:ascii="Arial" w:hAnsi="Arial"/>
          <w:sz w:val="18"/>
        </w:rPr>
      </w:pPr>
      <w:r>
        <w:rPr>
          <w:rFonts w:ascii="Arial" w:hAnsi="Arial"/>
          <w:sz w:val="18"/>
        </w:rPr>
        <w:t>We urge Microsoft shareholders to support this proposal.</w:t>
      </w:r>
    </w:p>
    <w:p>
      <w:pPr>
        <w:pStyle w:val="TextBody"/>
        <w:bidi w:val="0"/>
        <w:spacing w:before="120" w:after="0"/>
        <w:jc w:val="left"/>
        <w:rPr>
          <w:rFonts w:ascii="Arial" w:hAnsi="Arial"/>
          <w:b/>
          <w:color w:val="0075C9"/>
          <w:sz w:val="20"/>
        </w:rPr>
      </w:pPr>
      <w:r>
        <w:rPr>
          <w:rFonts w:ascii="Arial" w:hAnsi="Arial"/>
          <w:b/>
          <w:color w:val="0075C9"/>
          <w:sz w:val="20"/>
        </w:rPr>
        <w:t xml:space="preserve">Board Recommendation </w:t>
      </w:r>
    </w:p>
    <w:p>
      <w:pPr>
        <w:pStyle w:val="TextBody"/>
        <w:bidi w:val="0"/>
        <w:spacing w:before="120" w:after="0"/>
        <w:jc w:val="left"/>
        <w:rPr>
          <w:rFonts w:ascii="Arial" w:hAnsi="Arial"/>
          <w:b/>
          <w:i/>
          <w:color w:val="0075C9"/>
          <w:sz w:val="20"/>
        </w:rPr>
      </w:pPr>
      <w:r>
        <w:rPr>
          <w:rFonts w:ascii="Arial" w:hAnsi="Arial"/>
          <w:b/>
          <w:i/>
          <w:color w:val="0075C9"/>
          <w:sz w:val="20"/>
        </w:rPr>
        <w:t xml:space="preserve">The Board of Directors recommends a vote AGAINST the proposal for the following reasons: </w:t>
      </w:r>
    </w:p>
    <w:p>
      <w:pPr>
        <w:pStyle w:val="TextBody"/>
        <w:bidi w:val="0"/>
        <w:spacing w:before="120" w:after="0"/>
        <w:jc w:val="left"/>
        <w:rPr>
          <w:rFonts w:ascii="Arial" w:hAnsi="Arial"/>
          <w:b/>
          <w:sz w:val="18"/>
        </w:rPr>
      </w:pPr>
      <w:r>
        <w:rPr>
          <w:rFonts w:ascii="Arial" w:hAnsi="Arial"/>
          <w:b/>
          <w:sz w:val="18"/>
        </w:rPr>
        <w:t xml:space="preserve">COMPANY STATEMENT IN OPPOSITION </w:t>
      </w:r>
    </w:p>
    <w:p>
      <w:pPr>
        <w:pStyle w:val="TextBody"/>
        <w:bidi w:val="0"/>
        <w:spacing w:before="120" w:after="0"/>
        <w:jc w:val="left"/>
        <w:rPr>
          <w:rFonts w:ascii="Arial" w:hAnsi="Arial"/>
          <w:sz w:val="18"/>
        </w:rPr>
      </w:pPr>
      <w:r>
        <w:rPr>
          <w:rFonts w:ascii="Arial" w:hAnsi="Arial"/>
          <w:sz w:val="18"/>
        </w:rPr>
        <w:t xml:space="preserve">The Board of Directors believes this proposal to require that two separate people hold the office of Chairman of the Board and the office of Chief Executive Officer is not in the best interest of Microsoft’s shareholders. In the Board’s opinion, it is important for the Board to retain discretion to determine the most effective leadership structure, ensuring the exercise of fiduciary judgment and the ability to respond to the Company’s evolving needs and shareholder interests. If the Company were to adopt a policy that required to Company to have an independent chair, that policy could unnecessarily and detrimentally restrict the Board’s ability to determine the leadership structure that best serves shareholders and could prevent the Board from selecting the individual it believes is most qualified to serve as Chair based on the company’s circumstances at a particular time. </w:t>
      </w:r>
    </w:p>
    <w:p>
      <w:pPr>
        <w:pStyle w:val="TextBody"/>
        <w:bidi w:val="0"/>
        <w:spacing w:before="120" w:after="0"/>
        <w:jc w:val="left"/>
        <w:rPr>
          <w:rFonts w:ascii="Arial" w:hAnsi="Arial"/>
          <w:sz w:val="18"/>
        </w:rPr>
      </w:pPr>
      <w:r>
        <w:rPr>
          <w:rFonts w:ascii="Arial" w:hAnsi="Arial"/>
          <w:sz w:val="18"/>
        </w:rPr>
        <w:t xml:space="preserve">As the needs of the business evolve, the Board believes it is important to maintain flexibility to determine the leadership structure best suited to serving the interests of the Company and its shareholders at any given time. Accordingly, the Microsoft Corporate Governance Guidelines state: “To ensure robust independent leadership on the Board, if the individual appointed as Chair is not an independent director, or when the independent directors determine that it is in the best interests of the Company, the independent directors will also annually appoint a Lead Independent Director.” The Board’s independent directors annually appoint a Chairman, considering the Company’s evolving needs, strategic priorities, and the unique skills of its leaders. Consistent with the Board’s belief in the importance of flexibility, there is no fixed policy as to whether the Chairman should be an independent director, an affiliated director, or a member of management. </w:t>
      </w:r>
    </w:p>
    <w:p>
      <w:pPr>
        <w:pStyle w:val="TextBody"/>
        <w:bidi w:val="0"/>
        <w:spacing w:before="120" w:after="0"/>
        <w:jc w:val="left"/>
        <w:rPr>
          <w:rFonts w:ascii="Arial" w:hAnsi="Arial"/>
          <w:sz w:val="18"/>
        </w:rPr>
      </w:pPr>
      <w:r>
        <w:rPr>
          <w:rFonts w:ascii="Arial" w:hAnsi="Arial"/>
          <w:sz w:val="18"/>
        </w:rPr>
        <w:t xml:space="preserve">The Board’s current structure, featuring a strong Lead Independent Director and robust corporate governance practices, provides effective oversight, accountability, and alignment with the interests of long-term shareholders. The Board’s leadership structure allocates authority, responsibility, and oversight between management and the independent members of the Board. </w:t>
      </w:r>
    </w:p>
    <w:p>
      <w:pPr>
        <w:pStyle w:val="TextBody"/>
        <w:bidi w:val="0"/>
        <w:spacing w:before="120" w:after="0"/>
        <w:jc w:val="left"/>
        <w:rPr>
          <w:rFonts w:ascii="Arial" w:hAnsi="Arial"/>
          <w:sz w:val="18"/>
        </w:rPr>
      </w:pPr>
      <w:r>
        <w:rPr>
          <w:rFonts w:ascii="Arial" w:hAnsi="Arial"/>
          <w:sz w:val="18"/>
        </w:rPr>
        <w:t xml:space="preserve">Currently, the Board believes that our CEO is the director best qualified to serve as Chair given his extensive knowledge of the company’s business, strategy, opportunities, and risks. For that reason, the independent directors have Satya Nadella as Chairman, leveraging his deep understanding of Microsoft’s business and technology platform, AI strategy, and global competitive landscape to elevate strategic opportunities and identify key risks for Board review. </w:t>
      </w:r>
    </w:p>
    <w:p>
      <w:pPr>
        <w:pStyle w:val="TextBody"/>
        <w:bidi w:val="0"/>
        <w:spacing w:before="120" w:after="0"/>
        <w:jc w:val="left"/>
        <w:rPr>
          <w:rFonts w:ascii="Arial" w:hAnsi="Arial"/>
          <w:sz w:val="18"/>
        </w:rPr>
      </w:pPr>
      <w:r>
        <w:rPr>
          <w:rFonts w:ascii="Arial" w:hAnsi="Arial"/>
          <w:sz w:val="18"/>
        </w:rPr>
        <w:t xml:space="preserve">As contemplated by the Corporate Governance Guidelines, when Mr. Nadella was appointed Chairman, the Board also appointed a Lead Independent Director. The Lead Independent Director at Microsoft is empowered with significant authority and responsibilities to ensure that: the Board’s independent oversight of management is robust, promotes effective communication between management and Directors, and supports consideration of key governance matters. As is described in the Board Leadership section of this proxy, Microsoft’s Lead Independent Director’s key responsibilities and authority include: </w:t>
      </w:r>
    </w:p>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125"/>
        <w:gridCol w:w="60"/>
        <w:gridCol w:w="68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Arial" w:hAnsi="Arial"/>
                <w:sz w:val="18"/>
              </w:rPr>
            </w:pPr>
            <w:r>
              <w:rPr>
                <w:rFonts w:ascii="Arial" w:hAnsi="Arial"/>
                <w:sz w:val="18"/>
              </w:rPr>
              <w:t xml:space="preserve">Chairing executive sessions and coordinating activities of the independent directors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125"/>
        <w:gridCol w:w="60"/>
        <w:gridCol w:w="47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Arial" w:hAnsi="Arial"/>
                <w:sz w:val="18"/>
              </w:rPr>
            </w:pPr>
            <w:r>
              <w:rPr>
                <w:rFonts w:ascii="Arial" w:hAnsi="Arial"/>
                <w:sz w:val="18"/>
              </w:rPr>
              <w:t xml:space="preserve">Leading the Board’s annual CEO performance evaluation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125"/>
        <w:gridCol w:w="60"/>
        <w:gridCol w:w="95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Arial" w:hAnsi="Arial"/>
                <w:sz w:val="18"/>
              </w:rPr>
            </w:pPr>
            <w:r>
              <w:rPr>
                <w:rFonts w:ascii="Arial" w:hAnsi="Arial"/>
                <w:sz w:val="18"/>
              </w:rPr>
              <w:t xml:space="preserve">Coordinating Board oversight of CEO succession planning, including maintenance of an emergency succession plan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125"/>
        <w:gridCol w:w="60"/>
        <w:gridCol w:w="81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Arial" w:hAnsi="Arial"/>
                <w:sz w:val="18"/>
              </w:rPr>
            </w:pPr>
            <w:r>
              <w:rPr>
                <w:rFonts w:ascii="Arial" w:hAnsi="Arial"/>
                <w:sz w:val="18"/>
              </w:rPr>
              <w:t xml:space="preserve">Shaping, reviewing, and has final authority to approve the agenda and schedule for Board meetings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25"/>
        <w:gridCol w:w="60"/>
        <w:gridCol w:w="35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jc w:val="left"/>
              <w:rPr>
                <w:rFonts w:ascii="Arial" w:hAnsi="Arial"/>
                <w:sz w:val="18"/>
              </w:rPr>
            </w:pPr>
            <w:r>
              <w:rPr>
                <w:rFonts w:ascii="Arial" w:hAnsi="Arial"/>
                <w:sz w:val="18"/>
              </w:rPr>
              <w:t xml:space="preserve">Chairing the annual shareholders meeting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125"/>
        <w:gridCol w:w="60"/>
        <w:gridCol w:w="66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Arial" w:hAnsi="Arial"/>
                <w:sz w:val="18"/>
              </w:rPr>
            </w:pPr>
            <w:r>
              <w:rPr>
                <w:rFonts w:ascii="Arial" w:hAnsi="Arial"/>
                <w:sz w:val="18"/>
              </w:rPr>
              <w:t xml:space="preserve">Acting as liaison between the independent directors and the Chairman and CEO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125"/>
        <w:gridCol w:w="60"/>
        <w:gridCol w:w="83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18"/>
              </w:rPr>
            </w:pPr>
            <w:r>
              <w:rPr>
                <w:rFonts w:ascii="Arial" w:hAnsi="Arial"/>
                <w:sz w:val="18"/>
              </w:rPr>
              <w:t xml:space="preserve">Authorizing retention of outside counsel, advisors, or other consultants who report directly to the Board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125"/>
        <w:gridCol w:w="60"/>
        <w:gridCol w:w="59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sz w:val="18"/>
              </w:rPr>
            </w:pPr>
            <w:r>
              <w:rPr>
                <w:rFonts w:ascii="Arial" w:hAnsi="Arial"/>
                <w:sz w:val="18"/>
              </w:rPr>
              <w:t xml:space="preserve">Leading the Board meetings when the Chairman and CEO is not present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125"/>
        <w:gridCol w:w="60"/>
        <w:gridCol w:w="3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Arial" w:hAnsi="Arial"/>
                <w:sz w:val="18"/>
              </w:rPr>
            </w:pPr>
            <w:r>
              <w:rPr>
                <w:rFonts w:ascii="Arial" w:hAnsi="Arial"/>
                <w:sz w:val="18"/>
              </w:rPr>
              <w:t xml:space="preserve">Calling meetings of the independent directors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125"/>
        <w:gridCol w:w="60"/>
        <w:gridCol w:w="69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Arial" w:hAnsi="Arial"/>
                <w:sz w:val="18"/>
              </w:rPr>
            </w:pPr>
            <w:r>
              <w:rPr>
                <w:rFonts w:ascii="Arial" w:hAnsi="Arial"/>
                <w:sz w:val="18"/>
              </w:rPr>
              <w:t xml:space="preserve">Representing the Board with internal and external audiences, including shareholders </w:t>
            </w:r>
          </w:p>
        </w:tc>
      </w:tr>
    </w:tbl>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025"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490"/>
        <w:gridCol w:w="60"/>
        <w:gridCol w:w="470"/>
        <w:gridCol w:w="60"/>
        <w:gridCol w:w="135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PROPOSALS TO</w:t>
              <w:br/>
              <w:t>BE VOTED ON DURING</w:t>
              <w:br/>
              <w:t>THE MEETING</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r>
              <w:rPr>
                <w:sz w:val="42"/>
              </w:rPr>
              <w:t>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INFORMATION   </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gridSpan w:val="3"/>
            <w:tcBorders/>
            <w:vAlign w:val="center"/>
          </w:tcPr>
          <w:p>
            <w:pPr>
              <w:pStyle w:val="TableContents"/>
              <w:pBdr>
                <w:top w:val="single" w:sz="48" w:space="1" w:color="0075C9"/>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Sandra Peterson currently serves as Lead Independent Director. In this role, Ms. Peterson has focused on recruiting and leading a highly qualified and independent Board, including overseeing long-term director succession and Board education efforts to ensure the Board’s skills and experience continue to align with Microsoft’s evolving strategic direction. She has broadened the Board’s engagement with leaders across Microsoft’s businesses and enhanced oversight of key strategic matters, including AI transformation, security, quality, capital allocation and deployment, and long-term growth. In addition, she directs the Board’s independent evaluation of CEO performance and plays a key role in executive succession planning. In consultation with the CEO, Vice Chair, and other directors, Ms. Peterson shapes the Board’s agenda and priorities and has final approval authority over Board meeting schedules and agendas. Throughout her tenure, she has proactively engaged with Microsoft’s shareholders to gather perspectives on governance practices, Board effectiveness, and other matters important to investors. </w:t>
      </w:r>
    </w:p>
    <w:p>
      <w:pPr>
        <w:pStyle w:val="TextBody"/>
        <w:bidi w:val="0"/>
        <w:spacing w:before="120" w:after="0"/>
        <w:jc w:val="left"/>
        <w:rPr>
          <w:rFonts w:ascii="Arial" w:hAnsi="Arial"/>
          <w:sz w:val="18"/>
        </w:rPr>
      </w:pPr>
      <w:r>
        <w:rPr>
          <w:rFonts w:ascii="Arial" w:hAnsi="Arial"/>
          <w:sz w:val="18"/>
        </w:rPr>
        <w:t xml:space="preserve">Microsoft maintains other leading corporate governance practices, including a majority-independent Board, fully independent key committees, annual director elections, Board and CEO performance evaluations, proxy access, and the right for shareholders to call special meetings. Consistent with their fiduciary duties under Washington state law, the Lead Independent Director and all independent directors are empowered to seek additional information from management as they deem appropriate. The Governance and Nominating Committee of the Board, comprised solely of independent directors, determines and recommends the slate of director nominees for election to the Board and recommends the composition of Board committees and committee chairs to the Board. The CEO is not a member of the Governance and Nominating Committee or any other committee and the Board and all Committees hold executive sessions without management present as a regular practice. These practices provide additional checks and balances to foster accountability. While some investors may favor an independent Chair model, there is no consensus that it produces superior governance or performance. Leading public companies use a range of structures, with effective oversight—not role separation—driving outcomes. </w:t>
      </w:r>
    </w:p>
    <w:p>
      <w:pPr>
        <w:pStyle w:val="TextBody"/>
        <w:bidi w:val="0"/>
        <w:spacing w:before="120" w:after="0"/>
        <w:jc w:val="left"/>
        <w:rPr>
          <w:rFonts w:ascii="Arial" w:hAnsi="Arial"/>
          <w:sz w:val="18"/>
        </w:rPr>
      </w:pPr>
      <w:r>
        <w:rPr>
          <w:rFonts w:ascii="Arial" w:hAnsi="Arial"/>
          <w:sz w:val="18"/>
        </w:rPr>
        <w:t xml:space="preserve">Finally, the proposal does not identify, and the Board does not believe there is, any governance deficiency, oversight failure, responsiveness concern, or performance concern that would be addressed by imposing a mandatory separation policy. Mr. Nadella was appointed CEO in February 2014 and Chairman in June 2021. </w:t>
      </w:r>
    </w:p>
    <w:p>
      <w:pPr>
        <w:pStyle w:val="TextBody"/>
        <w:bidi w:val="0"/>
        <w:spacing w:before="120" w:after="0"/>
        <w:jc w:val="left"/>
        <w:rPr>
          <w:rFonts w:ascii="Arial" w:hAnsi="Arial"/>
          <w:sz w:val="18"/>
        </w:rPr>
      </w:pPr>
      <w:r>
        <w:rPr>
          <w:rFonts w:ascii="Arial" w:hAnsi="Arial"/>
          <w:sz w:val="18"/>
        </w:rPr>
        <w:t xml:space="preserve">Mr. Nadella’s tenure as the combined CEO and Chairman has been marked by exceptional, sustained financial performance that has contributed to significant value creation for long-term shareholders. </w:t>
      </w:r>
    </w:p>
    <w:p>
      <w:pPr>
        <w:pStyle w:val="TextBody"/>
        <w:bidi w:val="0"/>
        <w:spacing w:before="120" w:after="0"/>
        <w:jc w:val="left"/>
        <w:rPr>
          <w:rFonts w:ascii="Arial" w:hAnsi="Arial"/>
          <w:sz w:val="18"/>
        </w:rPr>
      </w:pPr>
      <w:r>
        <w:rPr>
          <w:rFonts w:ascii="Arial" w:hAnsi="Arial"/>
          <w:sz w:val="18"/>
        </w:rPr>
        <w:t xml:space="preserve">The current leadership structure of our Board and our existing corporate governance practices have served our shareholders well.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80</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5" descr=""/>
                          <pic:cNvPicPr>
                            <a:picLocks noChangeAspect="1" noChangeArrowheads="1"/>
                          </pic:cNvPicPr>
                        </pic:nvPicPr>
                        <pic:blipFill>
                          <a:blip r:embed="rId116"/>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5</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INFORMATION</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pBdr>
                <w:top w:val="single" w:sz="48" w:space="1" w:color="0075C9"/>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50"/>
        </w:rPr>
      </w:pPr>
      <w:bookmarkStart w:id="45" w:name="toc61756_42"/>
      <w:bookmarkEnd w:id="45"/>
      <w:r>
        <w:rPr>
          <w:rFonts w:ascii="Arial" w:hAnsi="Arial"/>
          <w:b/>
          <w:sz w:val="50"/>
        </w:rPr>
        <w:t xml:space="preserve">5. Information About the Meeting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46" w:name="toc61756_43"/>
      <w:bookmarkEnd w:id="46"/>
      <w:r>
        <w:rPr>
          <w:rFonts w:ascii="Arial" w:hAnsi="Arial"/>
          <w:b/>
          <w:color w:val="0075C9"/>
          <w:sz w:val="28"/>
        </w:rPr>
        <w:t xml:space="preserve">Date, Time, and Place of Meeting </w:t>
      </w:r>
    </w:p>
    <w:p>
      <w:pPr>
        <w:pStyle w:val="TextBody"/>
        <w:bidi w:val="0"/>
        <w:spacing w:before="120" w:after="0"/>
        <w:jc w:val="left"/>
        <w:rPr>
          <w:rFonts w:ascii="Arial" w:hAnsi="Arial"/>
          <w:sz w:val="18"/>
        </w:rPr>
      </w:pPr>
      <w:r>
        <w:rPr>
          <w:rFonts w:ascii="Arial" w:hAnsi="Arial"/>
          <w:b/>
          <w:color w:val="0075C9"/>
          <w:sz w:val="18"/>
        </w:rPr>
        <w:t xml:space="preserve">Date: </w:t>
      </w:r>
      <w:r>
        <w:rPr>
          <w:rFonts w:ascii="Arial" w:hAnsi="Arial"/>
          <w:sz w:val="18"/>
        </w:rPr>
        <w:t xml:space="preserve">December 8, 2026 </w:t>
      </w:r>
    </w:p>
    <w:p>
      <w:pPr>
        <w:pStyle w:val="TextBody"/>
        <w:bidi w:val="0"/>
        <w:spacing w:before="0" w:after="0"/>
        <w:jc w:val="left"/>
        <w:rPr>
          <w:rFonts w:ascii="Arial" w:hAnsi="Arial"/>
          <w:sz w:val="18"/>
        </w:rPr>
      </w:pPr>
      <w:r>
        <w:rPr>
          <w:rFonts w:ascii="Arial" w:hAnsi="Arial"/>
          <w:b/>
          <w:color w:val="0075C9"/>
          <w:sz w:val="18"/>
        </w:rPr>
        <w:t xml:space="preserve">Time: </w:t>
      </w:r>
      <w:r>
        <w:rPr>
          <w:rFonts w:ascii="Arial" w:hAnsi="Arial"/>
          <w:sz w:val="18"/>
        </w:rPr>
        <w:t xml:space="preserve">8:30 a.m. Pacific Time </w:t>
      </w:r>
    </w:p>
    <w:p>
      <w:pPr>
        <w:pStyle w:val="TextBody"/>
        <w:bidi w:val="0"/>
        <w:spacing w:before="0" w:after="0"/>
        <w:jc w:val="left"/>
        <w:rPr>
          <w:rFonts w:ascii="Arial" w:hAnsi="Arial"/>
          <w:sz w:val="18"/>
        </w:rPr>
      </w:pPr>
      <w:r>
        <w:rPr>
          <w:rFonts w:ascii="Arial" w:hAnsi="Arial"/>
          <w:b/>
          <w:color w:val="0075C9"/>
          <w:sz w:val="18"/>
        </w:rPr>
        <w:t xml:space="preserve">Virtual Meeting Location: </w:t>
      </w:r>
      <w:r>
        <w:rPr>
          <w:rFonts w:ascii="Arial" w:hAnsi="Arial"/>
          <w:sz w:val="18"/>
          <w:u w:val="single"/>
        </w:rPr>
        <w:t>virtualshareholdermeeting.com/MSFT26</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This Proxy Statement was first mailed to shareholders on or about October 22, 2026. It is furnished in connection with the solicitation of proxies by the Board of Directors of Microsoft Corporation to be voted during the Annual Meeting for the purposes set forth in the accompanying Notice of Annual Meeting. </w:t>
      </w:r>
    </w:p>
    <w:p>
      <w:pPr>
        <w:pStyle w:val="TextBody"/>
        <w:bidi w:val="0"/>
        <w:spacing w:before="120" w:after="0"/>
        <w:jc w:val="left"/>
        <w:rPr>
          <w:rFonts w:ascii="Arial" w:hAnsi="Arial"/>
          <w:sz w:val="18"/>
        </w:rPr>
      </w:pPr>
      <w:r>
        <w:rPr>
          <w:rFonts w:ascii="Arial" w:hAnsi="Arial"/>
          <w:sz w:val="18"/>
        </w:rPr>
        <w:t xml:space="preserve">Shareholders who execute proxies retain the right to revoke them at any time before the shares are voted by proxy during the meeting. A shareholder may revoke a proxy by timely executing and delivering, by Internet, telephone, or mail, another proxy dated as of a later date, or by delivering a signed statement to our Corporate Secretary at or prior to the Annual Meeting.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47" w:name="toc61756_44"/>
      <w:bookmarkEnd w:id="47"/>
      <w:r>
        <w:rPr>
          <w:rFonts w:ascii="Arial" w:hAnsi="Arial"/>
          <w:b/>
          <w:color w:val="0075C9"/>
          <w:sz w:val="28"/>
        </w:rPr>
        <w:t xml:space="preserve">Proxy Materials are Available on the Internet </w:t>
      </w:r>
    </w:p>
    <w:p>
      <w:pPr>
        <w:pStyle w:val="TextBody"/>
        <w:bidi w:val="0"/>
        <w:spacing w:before="120" w:after="0"/>
        <w:jc w:val="left"/>
        <w:rPr>
          <w:rFonts w:ascii="Arial" w:hAnsi="Arial"/>
          <w:sz w:val="18"/>
        </w:rPr>
      </w:pPr>
      <w:r>
        <w:rPr>
          <w:rFonts w:ascii="Arial" w:hAnsi="Arial"/>
          <w:sz w:val="18"/>
        </w:rPr>
        <w:t xml:space="preserve">We are furnishing proxy materials to our shareholders primarily via the Internet instead of mailing printed copies of those materials to each shareholder. By doing so, we save costs and reduce the environmental impact of our Annual Meeting. On October 22, 2026, we mailed a Notice of Internet Availability of Proxy Materials to certain of our shareholders. The Notice contains instructions about how to access our proxy materials and vote online or by telephone. If you would like to receive a paper copy of our proxy materials, please follow the instructions included in the Notice of Internet Availability of Proxy Materials. If you previously chose to receive our proxy materials electronically, you will continue to receive access to these materials via email unless you elect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48" w:name="toc61756_45"/>
      <w:bookmarkEnd w:id="48"/>
      <w:r>
        <w:rPr>
          <w:rFonts w:ascii="Arial" w:hAnsi="Arial"/>
          <w:b/>
          <w:color w:val="0075C9"/>
          <w:sz w:val="28"/>
        </w:rPr>
        <w:t xml:space="preserve">Participating in the Annual Meeting </w:t>
      </w:r>
    </w:p>
    <w:p>
      <w:pPr>
        <w:pStyle w:val="TextBody"/>
        <w:bidi w:val="0"/>
        <w:spacing w:before="120" w:after="0"/>
        <w:jc w:val="left"/>
        <w:rPr>
          <w:rFonts w:ascii="Arial" w:hAnsi="Arial"/>
          <w:sz w:val="18"/>
        </w:rPr>
      </w:pPr>
      <w:r>
        <w:rPr>
          <w:rFonts w:ascii="Arial" w:hAnsi="Arial"/>
          <w:sz w:val="18"/>
        </w:rPr>
        <w:t xml:space="preserve">This year’s virtual Annual Meeting will be conducted at </w:t>
      </w:r>
      <w:r>
        <w:rPr>
          <w:rFonts w:ascii="Arial" w:hAnsi="Arial"/>
          <w:sz w:val="18"/>
          <w:u w:val="single"/>
        </w:rPr>
        <w:t>virtualshareholdermeeting.com/MSFT26</w:t>
      </w:r>
      <w:r>
        <w:rPr>
          <w:rFonts w:ascii="Arial" w:hAnsi="Arial"/>
          <w:sz w:val="18"/>
        </w:rPr>
        <w:t xml:space="preserve"> on December 8, 2026 at 8:30 a.m.</w:t>
      </w:r>
      <w:r>
        <w:rPr>
          <w:rFonts w:ascii="Arial" w:hAnsi="Arial"/>
          <w:sz w:val="18"/>
          <w:u w:val="single"/>
        </w:rPr>
        <w:t xml:space="preserve"> </w:t>
      </w:r>
      <w:r>
        <w:rPr>
          <w:rFonts w:ascii="Arial" w:hAnsi="Arial"/>
          <w:sz w:val="18"/>
        </w:rPr>
        <w:t xml:space="preserve">Pacific Time. You are entitled to participate in the Annual Meeting if you were a shareholder as of the close of business on September 30, 2026, the record date, or hold a valid proxy for the meeting. To be admitted to the Annual Meeting, you must enter the 16-digit Control Number found next to the label “Control Number” on your Notice of Internet Availability, proxy card, or voting instruction form, or in the email sending you the Proxy Statement. If you are a beneficial shareholder, you may contact the bank, broker, or other institution where you hold your account if you have questions about obtaining your Control Number. </w:t>
      </w:r>
    </w:p>
    <w:p>
      <w:pPr>
        <w:pStyle w:val="TextBody"/>
        <w:bidi w:val="0"/>
        <w:spacing w:before="120" w:after="0"/>
        <w:jc w:val="left"/>
        <w:rPr>
          <w:rFonts w:ascii="Arial" w:hAnsi="Arial"/>
          <w:sz w:val="18"/>
        </w:rPr>
      </w:pPr>
      <w:r>
        <w:rPr>
          <w:rFonts w:ascii="Arial" w:hAnsi="Arial"/>
          <w:sz w:val="18"/>
        </w:rPr>
        <w:t xml:space="preserve">The meeting will be followed by a question and answer session. Questions may be submitted in advance of the meeting beginning on October 22, 2026 at </w:t>
      </w:r>
      <w:r>
        <w:rPr>
          <w:rFonts w:ascii="Arial" w:hAnsi="Arial"/>
          <w:sz w:val="18"/>
          <w:u w:val="single"/>
        </w:rPr>
        <w:t>proxyvote.com</w:t>
      </w:r>
      <w:r>
        <w:rPr>
          <w:rFonts w:ascii="Arial" w:hAnsi="Arial"/>
          <w:sz w:val="18"/>
        </w:rPr>
        <w:t xml:space="preserve"> after logging in with your Control Number, or during the Annual Meeting through </w:t>
      </w:r>
      <w:r>
        <w:rPr>
          <w:rFonts w:ascii="Arial" w:hAnsi="Arial"/>
          <w:sz w:val="18"/>
          <w:u w:val="single"/>
        </w:rPr>
        <w:t>virtualshareholdermeeting.com/MSFT26</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We recommend that you access the Annual Meeting before it begins. Online check-in opens approximately thirty minutes before the start of the meeting. If you have difficulty accessing the meeting, please call 1-844-986-0822 (toll free) or 303-562-9302 (international). We will have technicians available to assist you.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49" w:name="toc61756_46"/>
      <w:bookmarkEnd w:id="49"/>
      <w:r>
        <w:rPr>
          <w:rFonts w:ascii="Arial" w:hAnsi="Arial"/>
          <w:b/>
          <w:color w:val="0075C9"/>
          <w:sz w:val="28"/>
        </w:rPr>
        <w:t xml:space="preserve">Soliciting Proxies </w:t>
      </w:r>
    </w:p>
    <w:p>
      <w:pPr>
        <w:pStyle w:val="TextBody"/>
        <w:bidi w:val="0"/>
        <w:spacing w:before="120" w:after="0"/>
        <w:jc w:val="left"/>
        <w:rPr>
          <w:rFonts w:ascii="Arial" w:hAnsi="Arial"/>
          <w:sz w:val="18"/>
        </w:rPr>
      </w:pPr>
      <w:r>
        <w:rPr>
          <w:rFonts w:ascii="Arial" w:hAnsi="Arial"/>
          <w:sz w:val="18"/>
        </w:rPr>
        <w:t xml:space="preserve">The Board of Directors is soliciting the proxy accompanying this Proxy Statement. Proxies may be solicited by officers, directors, and employees of Microsoft, none of whom will receive any additional compensation for their services. D.F. King &amp; Co., Inc. may solicit proxies at a cost we anticipate will not exceed $20,000. These solicitations may be made personally or by mail, telephone, messenger, email, or other electronic transmission. Microsoft will pay persons holding shares of common stock in their names or in the names of nominees, but not owning such shares beneficially, such as brokerage houses, banks, and other fiduciaries, for the expense of forwarding solicitation materials to their principals. Microsoft will pay all proxy solicitation costs.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81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5</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INFORMATION</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pBdr>
                <w:top w:val="single" w:sz="48" w:space="1" w:color="0075C9"/>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50" w:name="toc61756_47"/>
      <w:bookmarkEnd w:id="50"/>
      <w:r>
        <w:rPr>
          <w:rFonts w:ascii="Arial" w:hAnsi="Arial"/>
          <w:b/>
          <w:color w:val="0075C9"/>
          <w:sz w:val="28"/>
        </w:rPr>
        <w:t xml:space="preserve">Householding </w:t>
      </w:r>
    </w:p>
    <w:p>
      <w:pPr>
        <w:pStyle w:val="TextBody"/>
        <w:bidi w:val="0"/>
        <w:spacing w:before="120" w:after="0"/>
        <w:jc w:val="left"/>
        <w:rPr>
          <w:rFonts w:ascii="Arial" w:hAnsi="Arial"/>
          <w:sz w:val="18"/>
        </w:rPr>
      </w:pPr>
      <w:r>
        <w:rPr>
          <w:rFonts w:ascii="Arial" w:hAnsi="Arial"/>
          <w:sz w:val="18"/>
        </w:rPr>
        <w:t xml:space="preserve">We deliver a single Proxy Statement and Annual Report, along with individual proxy cards or individual Notices of Internet Availability, to certain shareholders sharing the same address unless we have received contrary instructions. If you are a registered shareholder and would like to either participate in householding or receive separate copies of this year’s and/or future proxy materials, please contact our transfer agent, Computershare, by mail at P.O. Box 43006, Providence, RI, 02940-3078; by phone at 800-285-7772, option 1; or by email at </w:t>
      </w:r>
      <w:r>
        <w:rPr>
          <w:rFonts w:ascii="Arial" w:hAnsi="Arial"/>
          <w:sz w:val="18"/>
          <w:u w:val="single"/>
        </w:rPr>
        <w:t>web.queries@computershare.com</w:t>
      </w:r>
      <w:r>
        <w:rPr>
          <w:rFonts w:ascii="Arial" w:hAnsi="Arial"/>
          <w:sz w:val="18"/>
        </w:rPr>
        <w:t xml:space="preserve">. If you are a beneficial shareholder, you may contact the broker or bank where you hold the account.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51" w:name="toc61756_48"/>
      <w:bookmarkEnd w:id="51"/>
      <w:r>
        <w:rPr>
          <w:rFonts w:ascii="Arial" w:hAnsi="Arial"/>
          <w:b/>
          <w:color w:val="0075C9"/>
          <w:sz w:val="28"/>
        </w:rPr>
        <w:t xml:space="preserve">Election of Directors </w:t>
      </w:r>
    </w:p>
    <w:p>
      <w:pPr>
        <w:pStyle w:val="TextBody"/>
        <w:bidi w:val="0"/>
        <w:spacing w:before="120" w:after="0"/>
        <w:jc w:val="left"/>
        <w:rPr>
          <w:rFonts w:ascii="Arial" w:hAnsi="Arial"/>
          <w:sz w:val="18"/>
        </w:rPr>
      </w:pPr>
      <w:r>
        <w:rPr>
          <w:rFonts w:ascii="Arial" w:hAnsi="Arial"/>
          <w:sz w:val="18"/>
        </w:rPr>
        <w:t xml:space="preserve">Twelve directors are to be elected during the Annual Meeting to hold office until the next annual meeting and until their respective successors are elected and qualified. If, for any reason, no directors are elected at an annual meeting, a slate of directors may be elected at a special meeting of shareholders called for that purpose in the manner provided by our Bylaws. The accompanying proxy will be voted in favor of the nominees presented in Part 1 – Board of Directors and Governance to serve as directors unless the shareholder indicates to the contrary on the proxy. All of this year’s nominees are current directors, except Mr. Collison. The Board expects that each of the nominees will be available for election, but if any of them is unable to serve at the time the election occurs, the proxy will be voted for the election of another nominee designated by our Board. A nominee who does not receive a majority of the votes cast will not be elected. Except as explained in the next paragraph, an incumbent director who is not elected because he or she does not receive a majority vote will continue to serve as a holdover director until the earliest of: (a) 90 days after the date on which the election inspector determines the voting results as to that director; (b) the date on which the Board of Directors appoints an individual to fill the office held by that director; or (c) the date of that director’s resignation. </w:t>
      </w:r>
    </w:p>
    <w:p>
      <w:pPr>
        <w:pStyle w:val="TextBody"/>
        <w:bidi w:val="0"/>
        <w:spacing w:before="120" w:after="0"/>
        <w:jc w:val="left"/>
        <w:rPr>
          <w:rFonts w:ascii="Arial" w:hAnsi="Arial"/>
          <w:sz w:val="18"/>
        </w:rPr>
      </w:pPr>
      <w:r>
        <w:rPr>
          <w:rFonts w:ascii="Arial" w:hAnsi="Arial"/>
          <w:sz w:val="18"/>
        </w:rPr>
        <w:t xml:space="preserve">The Board of Directors may fill any vacancy resulting from the non-election of a director, or fill the office held by a holdover director, as provided in our Bylaws. The Governance and Nominating Committee will consider promptly whether to fill the office of a nominee who fails to receive a majority vote and make a recommendation to our Board about filling the office. </w:t>
      </w:r>
    </w:p>
    <w:p>
      <w:pPr>
        <w:pStyle w:val="TextBody"/>
        <w:bidi w:val="0"/>
        <w:spacing w:before="120" w:after="0"/>
        <w:jc w:val="left"/>
        <w:rPr>
          <w:rFonts w:ascii="Arial" w:hAnsi="Arial"/>
          <w:sz w:val="18"/>
        </w:rPr>
      </w:pPr>
      <w:r>
        <w:rPr>
          <w:rFonts w:ascii="Arial" w:hAnsi="Arial"/>
          <w:sz w:val="18"/>
        </w:rPr>
        <w:t xml:space="preserve">The Board of Directors will act on the Governance and Nominating Committee’s recommendation and within 90 days after certification of the shareholder vote will disclose publicly its decision. </w:t>
      </w:r>
    </w:p>
    <w:p>
      <w:pPr>
        <w:pStyle w:val="TextBody"/>
        <w:bidi w:val="0"/>
        <w:spacing w:before="120" w:after="0"/>
        <w:jc w:val="left"/>
        <w:rPr>
          <w:rFonts w:ascii="Arial" w:hAnsi="Arial"/>
          <w:sz w:val="18"/>
        </w:rPr>
      </w:pPr>
      <w:r>
        <w:rPr>
          <w:rFonts w:ascii="Arial" w:hAnsi="Arial"/>
          <w:sz w:val="18"/>
        </w:rPr>
        <w:t xml:space="preserve">Additional details about this process are specified in our Bylaws, which are available on our website at </w:t>
      </w:r>
    </w:p>
    <w:p>
      <w:pPr>
        <w:pStyle w:val="TextBody"/>
        <w:bidi w:val="0"/>
        <w:spacing w:before="0" w:after="0"/>
        <w:jc w:val="left"/>
        <w:rPr>
          <w:rFonts w:ascii="Arial" w:hAnsi="Arial"/>
          <w:sz w:val="18"/>
        </w:rPr>
      </w:pPr>
      <w:r>
        <w:rPr>
          <w:rFonts w:ascii="Arial" w:hAnsi="Arial"/>
          <w:sz w:val="18"/>
          <w:u w:val="single"/>
        </w:rPr>
        <w:t>aka.ms/policiesandguidelines</w:t>
      </w:r>
      <w:r>
        <w:rPr>
          <w:rFonts w:ascii="Arial" w:hAnsi="Arial"/>
          <w:sz w:val="18"/>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52" w:name="toc61756_49"/>
      <w:bookmarkEnd w:id="52"/>
      <w:r>
        <w:rPr>
          <w:rFonts w:ascii="Arial" w:hAnsi="Arial"/>
          <w:b/>
          <w:color w:val="0075C9"/>
          <w:sz w:val="28"/>
        </w:rPr>
        <w:t xml:space="preserve">Voting </w:t>
      </w:r>
    </w:p>
    <w:p>
      <w:pPr>
        <w:pStyle w:val="TextBody"/>
        <w:bidi w:val="0"/>
        <w:spacing w:before="120" w:after="0"/>
        <w:jc w:val="left"/>
        <w:rPr>
          <w:rFonts w:ascii="Arial" w:hAnsi="Arial"/>
          <w:b/>
          <w:sz w:val="24"/>
        </w:rPr>
      </w:pPr>
      <w:bookmarkStart w:id="53" w:name="toc61756_50"/>
      <w:bookmarkEnd w:id="53"/>
      <w:r>
        <w:rPr>
          <w:rFonts w:ascii="Arial" w:hAnsi="Arial"/>
          <w:b/>
          <w:sz w:val="24"/>
        </w:rPr>
        <w:t xml:space="preserve">Shareholders Entitled to Vote; Quorum </w:t>
      </w:r>
    </w:p>
    <w:p>
      <w:pPr>
        <w:pStyle w:val="TextBody"/>
        <w:bidi w:val="0"/>
        <w:spacing w:before="120" w:after="0"/>
        <w:jc w:val="left"/>
        <w:rPr>
          <w:rFonts w:ascii="Arial" w:hAnsi="Arial"/>
          <w:sz w:val="18"/>
        </w:rPr>
      </w:pPr>
      <w:r>
        <w:rPr>
          <w:rFonts w:ascii="Arial" w:hAnsi="Arial"/>
          <w:sz w:val="18"/>
        </w:rPr>
        <w:t xml:space="preserve">Shareholders of record at the close of business on September 30, 2026, will be entitled to vote during the Annual Meeting on the basis of one vote for each share held. Shareholders as of the record date are encouraged to vote prior to the meeting (1) via the Internet, (2) by phone, or (3) if you received your proxy materials by mail, by signing, dating, and returning the enclosed proxy card or voting instruction form. On September 30, 2026, there were 7,426,426,719 shares of common stock outstanding, held of record by 73,581 shareholders. </w:t>
      </w:r>
    </w:p>
    <w:p>
      <w:pPr>
        <w:pStyle w:val="TextBody"/>
        <w:bidi w:val="0"/>
        <w:spacing w:before="120" w:after="0"/>
        <w:jc w:val="left"/>
        <w:rPr>
          <w:rFonts w:ascii="Arial" w:hAnsi="Arial"/>
          <w:sz w:val="18"/>
        </w:rPr>
      </w:pPr>
      <w:r>
        <w:rPr>
          <w:rFonts w:ascii="Arial" w:hAnsi="Arial"/>
          <w:sz w:val="18"/>
        </w:rPr>
        <w:t xml:space="preserve">A majority of the outstanding shares of Microsoft common stock is required to constitute a quorum for the transaction of business at the Annual Meeting. The shares of a shareholder whose ballot on any or all proposals is marked as “abstain” or, in the case of an uncontested election of directors, “withheld,” will be included in the number of shares present during the Annual Meeting to determine whether a quorum is present. </w:t>
      </w:r>
    </w:p>
    <w:p>
      <w:pPr>
        <w:pStyle w:val="TextBody"/>
        <w:bidi w:val="0"/>
        <w:spacing w:before="360" w:after="0"/>
        <w:jc w:val="left"/>
        <w:rPr>
          <w:rFonts w:ascii="Arial" w:hAnsi="Arial"/>
          <w:b/>
          <w:sz w:val="24"/>
        </w:rPr>
      </w:pPr>
      <w:bookmarkStart w:id="54" w:name="toc61756_51"/>
      <w:bookmarkEnd w:id="54"/>
      <w:r>
        <w:rPr>
          <w:rFonts w:ascii="Arial" w:hAnsi="Arial"/>
          <w:b/>
          <w:sz w:val="24"/>
        </w:rPr>
        <w:t xml:space="preserve">Vote Required; Effect of Abstentions and Broker Non-Votes </w:t>
      </w:r>
    </w:p>
    <w:p>
      <w:pPr>
        <w:pStyle w:val="TextBody"/>
        <w:bidi w:val="0"/>
        <w:spacing w:before="120" w:after="0"/>
        <w:jc w:val="left"/>
        <w:rPr>
          <w:rFonts w:ascii="Arial" w:hAnsi="Arial"/>
          <w:sz w:val="18"/>
        </w:rPr>
      </w:pPr>
      <w:r>
        <w:rPr>
          <w:rFonts w:ascii="Arial" w:hAnsi="Arial"/>
          <w:sz w:val="18"/>
        </w:rPr>
        <w:t xml:space="preserve">For each nominee and proposal submitted to the shareholders for a vote, approval requires a vote of the majority of the votes cast. A majority of votes cast means the number of shares cast “for” a nominee or proposal exceeds the number of shares cast “against” that nominee or proposal. Abstentions will not be counted as votes cast. Uninstructed shares will not be counted as votes cast except with respect to the ratification of the selection of our independent auditor, for which brokers and custodians have discretion to vote. A ballot for a nominee that is marked “withheld” will also not be counted as a vote cast. </w:t>
      </w:r>
    </w:p>
    <w:p>
      <w:pPr>
        <w:pStyle w:val="TextBody"/>
        <w:bidi w:val="0"/>
        <w:spacing w:before="0" w:after="0"/>
        <w:jc w:val="left"/>
        <w:rPr/>
      </w:pPr>
      <w:r>
        <w:rPr/>
        <w:t> </w:t>
      </w:r>
    </w:p>
    <w:p>
      <w:pPr>
        <w:pStyle w:val="TextBody"/>
        <w:bidi w:val="0"/>
        <w:spacing w:before="0" w:after="0"/>
        <w:jc w:val="left"/>
        <w:rPr/>
      </w:pPr>
      <w:r>
        <w:rPr/>
        <w:t> </w:t>
      </w:r>
    </w:p>
    <w:tbl>
      <w:tblPr>
        <w:tblW w:w="1355" w:type="dxa"/>
        <w:jc w:val="left"/>
        <w:tblInd w:w="0" w:type="dxa"/>
        <w:tblLayout w:type="fixed"/>
        <w:tblCellMar>
          <w:top w:w="0" w:type="dxa"/>
          <w:left w:w="0" w:type="dxa"/>
          <w:bottom w:w="0" w:type="dxa"/>
          <w:right w:w="0" w:type="dxa"/>
        </w:tblCellMar>
      </w:tblPr>
      <w:tblGrid>
        <w:gridCol w:w="275"/>
        <w:gridCol w:w="120"/>
        <w:gridCol w:w="960"/>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82</w:t>
            </w:r>
          </w:p>
        </w:tc>
        <w:tc>
          <w:tcPr>
            <w:tcW w:w="12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0"/>
              <w:jc w:val="left"/>
              <w:rPr/>
            </w:pPr>
            <w:r>
              <w:rPr/>
              <w:drawing>
                <wp:inline distT="0" distB="0" distL="0" distR="0">
                  <wp:extent cx="561975" cy="116205"/>
                  <wp:effectExtent l="0" t="0" r="0" b="0"/>
                  <wp:docPr id="1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6" descr=""/>
                          <pic:cNvPicPr>
                            <a:picLocks noChangeAspect="1" noChangeArrowheads="1"/>
                          </pic:cNvPicPr>
                        </pic:nvPicPr>
                        <pic:blipFill>
                          <a:blip r:embed="rId117"/>
                          <a:stretch>
                            <a:fillRect/>
                          </a:stretch>
                        </pic:blipFill>
                        <pic:spPr bwMode="auto">
                          <a:xfrm>
                            <a:off x="0" y="0"/>
                            <a:ext cx="561975" cy="116205"/>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5</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INFORMATION</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pBdr>
                <w:top w:val="single" w:sz="48" w:space="1" w:color="0075C9"/>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summarizes the votes required for passage of each proposal and the effect of abstentions and uninstructed shares held by brokers. </w:t>
      </w:r>
    </w:p>
    <w:p>
      <w:pPr>
        <w:pStyle w:val="TextBody"/>
        <w:bidi w:val="0"/>
        <w:spacing w:before="0" w:after="0"/>
        <w:jc w:val="left"/>
        <w:rPr/>
      </w:pPr>
      <w:r>
        <w:rPr/>
        <w:t> </w:t>
      </w:r>
    </w:p>
    <w:tbl>
      <w:tblPr>
        <w:tblW w:w="10070" w:type="dxa"/>
        <w:jc w:val="left"/>
        <w:tblInd w:w="0" w:type="dxa"/>
        <w:tblLayout w:type="fixed"/>
        <w:tblCellMar>
          <w:top w:w="0" w:type="dxa"/>
          <w:left w:w="0" w:type="dxa"/>
          <w:bottom w:w="0" w:type="dxa"/>
          <w:right w:w="0" w:type="dxa"/>
        </w:tblCellMar>
      </w:tblPr>
      <w:tblGrid>
        <w:gridCol w:w="4655"/>
        <w:gridCol w:w="120"/>
        <w:gridCol w:w="2060"/>
        <w:gridCol w:w="120"/>
        <w:gridCol w:w="1220"/>
        <w:gridCol w:w="120"/>
        <w:gridCol w:w="1775"/>
      </w:tblGrid>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8"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060"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Votes Required</w:t>
            </w:r>
          </w:p>
          <w:p>
            <w:pPr>
              <w:pStyle w:val="TableContents"/>
              <w:bidi w:val="0"/>
              <w:spacing w:before="0" w:after="20"/>
              <w:jc w:val="left"/>
              <w:rPr>
                <w:rFonts w:ascii="Arial" w:hAnsi="Arial"/>
                <w:b/>
                <w:sz w:val="18"/>
              </w:rPr>
            </w:pPr>
            <w:r>
              <w:rPr>
                <w:rFonts w:ascii="Arial" w:hAnsi="Arial"/>
                <w:b/>
                <w:sz w:val="18"/>
              </w:rPr>
              <w:t>for Approval</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tcMar>
              <w:bottom w:w="40" w:type="dxa"/>
            </w:tcMar>
            <w:vAlign w:val="center"/>
          </w:tcPr>
          <w:p>
            <w:pPr>
              <w:pStyle w:val="TableContents"/>
              <w:bidi w:val="0"/>
              <w:spacing w:before="0" w:after="283"/>
              <w:jc w:val="left"/>
              <w:rPr>
                <w:b/>
              </w:rPr>
            </w:pPr>
            <w:r>
              <w:rPr>
                <w:b/>
              </w:rPr>
              <w:t>Abstentions</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775"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Uninstructed</w:t>
            </w:r>
          </w:p>
          <w:p>
            <w:pPr>
              <w:pStyle w:val="TableContents"/>
              <w:bidi w:val="0"/>
              <w:spacing w:before="0" w:after="20"/>
              <w:jc w:val="left"/>
              <w:rPr>
                <w:rFonts w:ascii="Arial" w:hAnsi="Arial"/>
                <w:b/>
                <w:sz w:val="18"/>
              </w:rPr>
            </w:pPr>
            <w:r>
              <w:rPr>
                <w:rFonts w:ascii="Arial" w:hAnsi="Arial"/>
                <w:b/>
                <w:sz w:val="18"/>
              </w:rPr>
              <w:t>Shares</w:t>
            </w:r>
          </w:p>
        </w:tc>
      </w:tr>
      <w:tr>
        <w:trPr/>
        <w:tc>
          <w:tcPr>
            <w:tcW w:w="10070" w:type="dxa"/>
            <w:gridSpan w:val="7"/>
            <w:tcBorders/>
            <w:vAlign w:val="center"/>
          </w:tcPr>
          <w:p>
            <w:pPr>
              <w:pStyle w:val="TableContents"/>
              <w:bidi w:val="0"/>
              <w:spacing w:before="0" w:after="283"/>
              <w:jc w:val="left"/>
              <w:rPr>
                <w:sz w:val="4"/>
                <w:szCs w:val="4"/>
              </w:rPr>
            </w:pPr>
            <w:r>
              <w:rPr>
                <w:sz w:val="4"/>
                <w:szCs w:val="4"/>
              </w:rPr>
            </w:r>
          </w:p>
        </w:tc>
      </w:tr>
      <w:tr>
        <w:trPr/>
        <w:tc>
          <w:tcPr>
            <w:tcW w:w="10070" w:type="dxa"/>
            <w:gridSpan w:val="7"/>
            <w:tcBorders>
              <w:bottom w:val="single" w:sz="6" w:space="0" w:color="59595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Management Proposals</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Election of 12 Directors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Advisory Vote to Approve Named</w:t>
            </w:r>
          </w:p>
          <w:p>
            <w:pPr>
              <w:pStyle w:val="TableContents"/>
              <w:bidi w:val="0"/>
              <w:spacing w:before="0" w:after="20"/>
              <w:jc w:val="left"/>
              <w:rPr>
                <w:rFonts w:ascii="Arial" w:hAnsi="Arial"/>
                <w:sz w:val="18"/>
              </w:rPr>
            </w:pPr>
            <w:r>
              <w:rPr>
                <w:rFonts w:ascii="Arial" w:hAnsi="Arial"/>
                <w:sz w:val="18"/>
              </w:rPr>
              <w:t>Executive Officer Compensation (“say-on-pay vote”)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595959"/>
            </w:tcBorders>
            <w:tcMar>
              <w:bottom w:w="28" w:type="dxa"/>
            </w:tcMar>
            <w:vAlign w:val="center"/>
          </w:tcPr>
          <w:p>
            <w:pPr>
              <w:pStyle w:val="TableContents"/>
              <w:bidi w:val="0"/>
              <w:spacing w:before="0" w:after="0"/>
              <w:jc w:val="left"/>
              <w:rPr>
                <w:rFonts w:ascii="Arial" w:hAnsi="Arial"/>
                <w:sz w:val="18"/>
              </w:rPr>
            </w:pPr>
            <w:r>
              <w:rPr>
                <w:rFonts w:ascii="Arial" w:hAnsi="Arial"/>
                <w:sz w:val="18"/>
              </w:rPr>
              <w:t>Ratification of the Selection of Deloitte &amp; Touche LLP</w:t>
            </w:r>
          </w:p>
          <w:p>
            <w:pPr>
              <w:pStyle w:val="TableContents"/>
              <w:bidi w:val="0"/>
              <w:spacing w:before="0" w:after="20"/>
              <w:jc w:val="left"/>
              <w:rPr>
                <w:rFonts w:ascii="Arial" w:hAnsi="Arial"/>
                <w:sz w:val="18"/>
              </w:rPr>
            </w:pPr>
            <w:r>
              <w:rPr>
                <w:rFonts w:ascii="Arial" w:hAnsi="Arial"/>
                <w:sz w:val="18"/>
              </w:rPr>
              <w:t>as our Independent Auditor for Fiscal Year 2027</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2060" w:type="dxa"/>
            <w:tcBorders>
              <w:bottom w:val="single" w:sz="6" w:space="0" w:color="59595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220" w:type="dxa"/>
            <w:tcBorders>
              <w:bottom w:val="single" w:sz="6" w:space="0" w:color="59595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1775" w:type="dxa"/>
            <w:tcBorders>
              <w:bottom w:val="single" w:sz="6" w:space="0" w:color="595959"/>
            </w:tcBorders>
            <w:tcMar>
              <w:bottom w:w="28" w:type="dxa"/>
            </w:tcMar>
            <w:vAlign w:val="center"/>
          </w:tcPr>
          <w:p>
            <w:pPr>
              <w:pStyle w:val="TableContents"/>
              <w:bidi w:val="0"/>
              <w:spacing w:before="0" w:after="283"/>
              <w:jc w:val="left"/>
              <w:rPr/>
            </w:pPr>
            <w:r>
              <w:rPr/>
              <w:t>Discretionary vote</w:t>
            </w:r>
          </w:p>
        </w:tc>
      </w:tr>
      <w:tr>
        <w:trPr/>
        <w:tc>
          <w:tcPr>
            <w:tcW w:w="10070" w:type="dxa"/>
            <w:gridSpan w:val="7"/>
            <w:tcBorders/>
            <w:vAlign w:val="center"/>
          </w:tcPr>
          <w:p>
            <w:pPr>
              <w:pStyle w:val="TableContents"/>
              <w:bidi w:val="0"/>
              <w:spacing w:before="0" w:after="283"/>
              <w:jc w:val="left"/>
              <w:rPr>
                <w:sz w:val="4"/>
                <w:szCs w:val="4"/>
              </w:rPr>
            </w:pPr>
            <w:r>
              <w:rPr>
                <w:sz w:val="4"/>
                <w:szCs w:val="4"/>
              </w:rPr>
            </w:r>
          </w:p>
        </w:tc>
      </w:tr>
      <w:tr>
        <w:trPr/>
        <w:tc>
          <w:tcPr>
            <w:tcW w:w="10070" w:type="dxa"/>
            <w:gridSpan w:val="7"/>
            <w:tcBorders>
              <w:bottom w:val="single" w:sz="6" w:space="0" w:color="595959"/>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Shareholder Proposals</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Additional Disclosures Meeting Climate Commitments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Report on Human Rights Due Diligence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Report on Data Operations in Human Rights and Conflict</w:t>
            </w:r>
          </w:p>
          <w:p>
            <w:pPr>
              <w:pStyle w:val="TableContents"/>
              <w:bidi w:val="0"/>
              <w:spacing w:before="0" w:after="20"/>
              <w:jc w:val="left"/>
              <w:rPr>
                <w:rFonts w:ascii="Arial" w:hAnsi="Arial"/>
                <w:sz w:val="18"/>
              </w:rPr>
            </w:pPr>
            <w:r>
              <w:rPr>
                <w:rFonts w:ascii="Arial" w:hAnsi="Arial"/>
                <w:sz w:val="18"/>
              </w:rPr>
              <w:t>Hotspots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75C9"/>
            </w:tcBorders>
            <w:tcMar>
              <w:bottom w:w="28" w:type="dxa"/>
            </w:tcMar>
            <w:vAlign w:val="center"/>
          </w:tcPr>
          <w:p>
            <w:pPr>
              <w:pStyle w:val="TableContents"/>
              <w:bidi w:val="0"/>
              <w:spacing w:before="0" w:after="0"/>
              <w:jc w:val="left"/>
              <w:rPr>
                <w:rFonts w:ascii="Arial" w:hAnsi="Arial"/>
                <w:sz w:val="18"/>
              </w:rPr>
            </w:pPr>
            <w:r>
              <w:rPr>
                <w:rFonts w:ascii="Arial" w:hAnsi="Arial"/>
                <w:sz w:val="18"/>
              </w:rPr>
              <w:t>Board Chair and CEO Separation</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060" w:type="dxa"/>
            <w:tcBorders>
              <w:bottom w:val="single" w:sz="6" w:space="0" w:color="0075C9"/>
            </w:tcBorders>
            <w:tcMar>
              <w:bottom w:w="28" w:type="dxa"/>
            </w:tcMar>
            <w:vAlign w:val="center"/>
          </w:tcPr>
          <w:p>
            <w:pPr>
              <w:pStyle w:val="TableContents"/>
              <w:bidi w:val="0"/>
              <w:spacing w:before="0" w:after="283"/>
              <w:jc w:val="left"/>
              <w:rPr/>
            </w:pPr>
            <w:r>
              <w:rPr/>
              <w:t>Majority of votes 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220" w:type="dxa"/>
            <w:tcBorders>
              <w:bottom w:val="single" w:sz="6" w:space="0" w:color="0075C9"/>
            </w:tcBorders>
            <w:tcMar>
              <w:bottom w:w="28" w:type="dxa"/>
            </w:tcMar>
            <w:vAlign w:val="center"/>
          </w:tcPr>
          <w:p>
            <w:pPr>
              <w:pStyle w:val="TableContents"/>
              <w:bidi w:val="0"/>
              <w:spacing w:before="0" w:after="283"/>
              <w:jc w:val="left"/>
              <w:rPr/>
            </w:pPr>
            <w:r>
              <w:rPr/>
              <w:t>No effect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1775" w:type="dxa"/>
            <w:tcBorders>
              <w:bottom w:val="single" w:sz="6" w:space="0" w:color="0075C9"/>
            </w:tcBorders>
            <w:tcMar>
              <w:bottom w:w="28" w:type="dxa"/>
            </w:tcMar>
            <w:vAlign w:val="center"/>
          </w:tcPr>
          <w:p>
            <w:pPr>
              <w:pStyle w:val="TableContents"/>
              <w:bidi w:val="0"/>
              <w:spacing w:before="0" w:after="283"/>
              <w:jc w:val="left"/>
              <w:rPr/>
            </w:pPr>
            <w:r>
              <w:rPr/>
              <w:t>No effect</w:t>
            </w:r>
          </w:p>
        </w:tc>
      </w:tr>
    </w:tbl>
    <w:p>
      <w:pPr>
        <w:pStyle w:val="TextBody"/>
        <w:bidi w:val="0"/>
        <w:spacing w:before="240" w:after="0"/>
        <w:jc w:val="left"/>
        <w:rPr>
          <w:rFonts w:ascii="Arial" w:hAnsi="Arial"/>
          <w:b/>
          <w:sz w:val="24"/>
        </w:rPr>
      </w:pPr>
      <w:bookmarkStart w:id="55" w:name="toc61756_52"/>
      <w:bookmarkEnd w:id="55"/>
      <w:r>
        <w:rPr>
          <w:rFonts w:ascii="Arial" w:hAnsi="Arial"/>
          <w:b/>
          <w:sz w:val="24"/>
        </w:rPr>
        <w:t xml:space="preserve">Vote Confidentiality </w:t>
      </w:r>
    </w:p>
    <w:p>
      <w:pPr>
        <w:pStyle w:val="TextBody"/>
        <w:bidi w:val="0"/>
        <w:spacing w:before="120" w:after="0"/>
        <w:jc w:val="left"/>
        <w:rPr>
          <w:rFonts w:ascii="Arial" w:hAnsi="Arial"/>
          <w:sz w:val="18"/>
        </w:rPr>
      </w:pPr>
      <w:r>
        <w:rPr>
          <w:rFonts w:ascii="Arial" w:hAnsi="Arial"/>
          <w:sz w:val="18"/>
        </w:rPr>
        <w:t xml:space="preserve">We maintain the confidentiality of the votes of individual shareholders. Ballots, proxy forms, and voting instructions returned to brokerage firms, banks, and other holders of record are kept confidential. Only the proxy solicitor, proxy tabulator, and inspector of election have access to the ballots, proxy forms, and voting instructions. The proxy solicitor and the proxy tabulator will disclose information taken from the ballots, proxy forms, and voting instructions only if there is a proxy contest, if the shareholder authorizes disclosure, to defend legal claims, or as otherwise required by law. If you write comments on your proxy card or ballot, management may learn how you voted in reviewing your comments. </w:t>
      </w:r>
    </w:p>
    <w:p>
      <w:pPr>
        <w:pStyle w:val="TextBody"/>
        <w:bidi w:val="0"/>
        <w:spacing w:before="240" w:after="0"/>
        <w:jc w:val="left"/>
        <w:rPr>
          <w:rFonts w:ascii="Arial" w:hAnsi="Arial"/>
          <w:b/>
          <w:sz w:val="24"/>
        </w:rPr>
      </w:pPr>
      <w:bookmarkStart w:id="56" w:name="toc61756_53"/>
      <w:bookmarkEnd w:id="56"/>
      <w:r>
        <w:rPr>
          <w:rFonts w:ascii="Arial" w:hAnsi="Arial"/>
          <w:b/>
          <w:sz w:val="24"/>
        </w:rPr>
        <w:t xml:space="preserve">Tabulation of Votes </w:t>
      </w:r>
    </w:p>
    <w:p>
      <w:pPr>
        <w:pStyle w:val="TextBody"/>
        <w:bidi w:val="0"/>
        <w:spacing w:before="120" w:after="0"/>
        <w:jc w:val="left"/>
        <w:rPr>
          <w:rFonts w:ascii="Arial" w:hAnsi="Arial"/>
          <w:sz w:val="18"/>
        </w:rPr>
      </w:pPr>
      <w:r>
        <w:rPr>
          <w:rFonts w:ascii="Arial" w:hAnsi="Arial"/>
          <w:sz w:val="18"/>
        </w:rPr>
        <w:t xml:space="preserve">Our independent election inspector, Broadridge Financial Services, will tabulate votes cast by proxy or electronically during the meeting. We expect to publish the final vote tabulation on our website at </w:t>
      </w:r>
      <w:r>
        <w:rPr>
          <w:rFonts w:ascii="Arial" w:hAnsi="Arial"/>
          <w:sz w:val="18"/>
          <w:u w:val="single"/>
        </w:rPr>
        <w:t>microsoft.com/investor/corporate-governance/votingresults</w:t>
      </w:r>
      <w:r>
        <w:rPr>
          <w:rFonts w:ascii="Arial" w:hAnsi="Arial"/>
          <w:sz w:val="18"/>
        </w:rPr>
        <w:t xml:space="preserve"> and report the results in a Form 8-K filed with the Securities and Exchange Commission (“SEC”) within four business days after the Annual Meeting. </w:t>
      </w:r>
    </w:p>
    <w:p>
      <w:pPr>
        <w:pStyle w:val="TextBody"/>
        <w:bidi w:val="0"/>
        <w:spacing w:before="240" w:after="0"/>
        <w:jc w:val="left"/>
        <w:rPr>
          <w:rFonts w:ascii="Arial" w:hAnsi="Arial"/>
          <w:b/>
          <w:sz w:val="24"/>
        </w:rPr>
      </w:pPr>
      <w:bookmarkStart w:id="57" w:name="toc61756_54"/>
      <w:bookmarkEnd w:id="57"/>
      <w:r>
        <w:rPr>
          <w:rFonts w:ascii="Arial" w:hAnsi="Arial"/>
          <w:b/>
          <w:sz w:val="24"/>
        </w:rPr>
        <w:t xml:space="preserve">Where to Find More Proxy Voting Information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125"/>
        <w:gridCol w:w="60"/>
        <w:gridCol w:w="94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sz w:val="18"/>
              </w:rPr>
            </w:pPr>
            <w:r>
              <w:rPr>
                <w:rFonts w:ascii="Arial" w:hAnsi="Arial"/>
                <w:sz w:val="18"/>
              </w:rPr>
              <w:t xml:space="preserve">The SEC website has a variety of information about the proxy voting process at </w:t>
            </w:r>
            <w:r>
              <w:rPr>
                <w:rFonts w:ascii="Arial" w:hAnsi="Arial"/>
                <w:sz w:val="18"/>
                <w:u w:val="single"/>
              </w:rPr>
              <w:t xml:space="preserve">sec.gov/spotlight/proxymatters.shtml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Contact the Microsoft Investor Relations department through our website at </w:t>
            </w:r>
            <w:r>
              <w:rPr>
                <w:rFonts w:ascii="Arial" w:hAnsi="Arial"/>
                <w:sz w:val="18"/>
                <w:u w:val="single"/>
              </w:rPr>
              <w:t>microsoft.com/investor</w:t>
            </w:r>
            <w:r>
              <w:rPr>
                <w:rFonts w:ascii="Arial" w:hAnsi="Arial"/>
                <w:sz w:val="18"/>
              </w:rPr>
              <w:t xml:space="preserve"> or by phone at 425-706-4400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125"/>
        <w:gridCol w:w="60"/>
        <w:gridCol w:w="59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Arial" w:hAnsi="Arial"/>
                <w:sz w:val="18"/>
              </w:rPr>
            </w:pPr>
            <w:r>
              <w:rPr>
                <w:rFonts w:ascii="Arial" w:hAnsi="Arial"/>
                <w:sz w:val="18"/>
              </w:rPr>
              <w:t xml:space="preserve">You may view our Annual Report and vote your shares at </w:t>
            </w:r>
            <w:r>
              <w:rPr>
                <w:rFonts w:ascii="Arial" w:hAnsi="Arial"/>
                <w:sz w:val="18"/>
                <w:u w:val="single"/>
              </w:rPr>
              <w:t>proxyvote.com</w:t>
            </w:r>
            <w:r>
              <w:rPr>
                <w:rFonts w:ascii="Arial" w:hAnsi="Arial"/>
                <w:sz w:val="18"/>
              </w:rPr>
              <w:t xml:space="preserve">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125"/>
        <w:gridCol w:w="60"/>
        <w:gridCol w:w="61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sz w:val="18"/>
              </w:rPr>
            </w:pPr>
            <w:r>
              <w:rPr>
                <w:rFonts w:ascii="Arial" w:hAnsi="Arial"/>
                <w:sz w:val="18"/>
              </w:rPr>
              <w:t xml:space="preserve">Contact the broker or bank through which you beneficially own your shares </w:t>
            </w:r>
          </w:p>
        </w:tc>
      </w:tr>
    </w:tbl>
    <w:p>
      <w:pPr>
        <w:pStyle w:val="TextBody"/>
        <w:bidi w:val="0"/>
        <w:spacing w:before="240" w:after="0"/>
        <w:jc w:val="left"/>
        <w:rPr>
          <w:rFonts w:ascii="Arial" w:hAnsi="Arial"/>
          <w:b/>
          <w:sz w:val="24"/>
        </w:rPr>
      </w:pPr>
      <w:bookmarkStart w:id="58" w:name="toc61756_55"/>
      <w:bookmarkEnd w:id="58"/>
      <w:r>
        <w:rPr>
          <w:rFonts w:ascii="Arial" w:hAnsi="Arial"/>
          <w:b/>
          <w:sz w:val="24"/>
        </w:rPr>
        <w:t xml:space="preserve">Where to Find our Corporate Governance Documents </w:t>
      </w:r>
    </w:p>
    <w:p>
      <w:pPr>
        <w:pStyle w:val="TextBody"/>
        <w:bidi w:val="0"/>
        <w:spacing w:before="120" w:after="0"/>
        <w:jc w:val="left"/>
        <w:rPr>
          <w:rFonts w:ascii="Arial" w:hAnsi="Arial"/>
          <w:sz w:val="18"/>
        </w:rPr>
      </w:pPr>
      <w:r>
        <w:rPr>
          <w:rFonts w:ascii="Arial" w:hAnsi="Arial"/>
          <w:sz w:val="18"/>
        </w:rPr>
        <w:t xml:space="preserve">Copies of our Board committee charters and other governance documents listed in Part 1 – Board of Directors and Governance can be found at </w:t>
      </w:r>
      <w:r>
        <w:rPr>
          <w:rFonts w:ascii="Arial" w:hAnsi="Arial"/>
          <w:sz w:val="18"/>
          <w:u w:val="single"/>
        </w:rPr>
        <w:t>aka.ms/policiesandguidelines</w:t>
      </w:r>
      <w:r>
        <w:rPr>
          <w:rFonts w:ascii="Arial" w:hAnsi="Arial"/>
          <w:sz w:val="18"/>
        </w:rPr>
        <w:t xml:space="preserve">. We will provide any of the foregoing information to a shareholder without charge upon written request to MSC 123/9999, Office of the Corporate Secretary, Microsoft Corporation, One Microsoft Way, Redmond, WA 98052-6399.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83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5</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INFORMATION</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pBdr>
                <w:top w:val="single" w:sz="48" w:space="1" w:color="0075C9"/>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59" w:name="toc61756_56"/>
      <w:bookmarkEnd w:id="59"/>
      <w:r>
        <w:rPr>
          <w:rFonts w:ascii="Arial" w:hAnsi="Arial"/>
          <w:b/>
          <w:color w:val="0075C9"/>
          <w:sz w:val="28"/>
        </w:rPr>
        <w:t xml:space="preserve">Proposals by Shareholders for 2027 Annual Meeting </w:t>
      </w:r>
    </w:p>
    <w:p>
      <w:pPr>
        <w:pStyle w:val="TextBody"/>
        <w:bidi w:val="0"/>
        <w:spacing w:before="120" w:after="0"/>
        <w:jc w:val="left"/>
        <w:rPr>
          <w:rFonts w:ascii="Arial" w:hAnsi="Arial"/>
          <w:sz w:val="18"/>
        </w:rPr>
      </w:pPr>
      <w:r>
        <w:rPr>
          <w:rFonts w:ascii="Arial" w:hAnsi="Arial"/>
          <w:sz w:val="18"/>
        </w:rPr>
        <w:t xml:space="preserve">Any shareholder who wishes to submit a proposal, director nomination, or to present matters at next year’s shareholders meeting should comply with applicable Bylaws and SEC requirements, which are identified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6"/>
        <w:gridCol w:w="120"/>
        <w:gridCol w:w="2545"/>
        <w:gridCol w:w="120"/>
        <w:gridCol w:w="4634"/>
      </w:tblGrid>
      <w:tr>
        <w:trPr/>
        <w:tc>
          <w:tcPr>
            <w:tcW w:w="27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34" w:type="dxa"/>
            <w:tcBorders/>
            <w:vAlign w:val="center"/>
          </w:tcPr>
          <w:p>
            <w:pPr>
              <w:pStyle w:val="TableContents"/>
              <w:bidi w:val="0"/>
              <w:spacing w:before="0" w:after="283"/>
              <w:jc w:val="left"/>
              <w:rPr>
                <w:sz w:val="4"/>
                <w:szCs w:val="4"/>
              </w:rPr>
            </w:pPr>
            <w:r>
              <w:rPr>
                <w:sz w:val="4"/>
                <w:szCs w:val="4"/>
              </w:rPr>
            </w:r>
          </w:p>
        </w:tc>
      </w:tr>
      <w:tr>
        <w:trPr/>
        <w:tc>
          <w:tcPr>
            <w:tcW w:w="2786" w:type="dxa"/>
            <w:tcBorders>
              <w:bottom w:val="single" w:sz="8" w:space="0" w:color="000000"/>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Submission</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2545" w:type="dxa"/>
            <w:tcBorders>
              <w:bottom w:val="single" w:sz="8" w:space="0" w:color="000000"/>
            </w:tcBorders>
            <w:tcMar>
              <w:bottom w:w="40" w:type="dxa"/>
            </w:tcMar>
            <w:vAlign w:val="center"/>
          </w:tcPr>
          <w:p>
            <w:pPr>
              <w:pStyle w:val="TableContents"/>
              <w:bidi w:val="0"/>
              <w:spacing w:before="0" w:after="283"/>
              <w:jc w:val="right"/>
              <w:rPr>
                <w:b/>
              </w:rPr>
            </w:pPr>
            <w:r>
              <w:rPr>
                <w:b/>
              </w:rPr>
              <w:t>Rules and Requirements 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634" w:type="dxa"/>
            <w:tcBorders>
              <w:bottom w:val="single" w:sz="8" w:space="0" w:color="000000"/>
            </w:tcBorders>
            <w:tcMar>
              <w:bottom w:w="40" w:type="dxa"/>
            </w:tcMar>
            <w:vAlign w:val="center"/>
          </w:tcPr>
          <w:p>
            <w:pPr>
              <w:pStyle w:val="TableContents"/>
              <w:bidi w:val="0"/>
              <w:spacing w:before="0" w:after="283"/>
              <w:jc w:val="left"/>
              <w:rPr/>
            </w:pPr>
            <w:r>
              <w:rPr/>
              <w:t>   </w:t>
            </w:r>
            <w:r>
              <w:rPr>
                <w:b/>
              </w:rPr>
              <w:t>Deadline</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2786"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color w:val="0075C9"/>
                <w:sz w:val="18"/>
              </w:rPr>
              <w:t>Shareholder Proposals for Inclusion in Next Year’s Annual Meeting Proxy Materials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SEC Rule 14a-8 as in effect</w:t>
              <w:br/>
              <w:t>on January 1, 2026</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4634"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No later than close of business (5:30 p.m. Pacific Time) on June 24, 2027</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2786"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color w:val="0075C9"/>
                <w:sz w:val="18"/>
              </w:rPr>
              <w:t>Proxy Access Director Nominees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Section 1.14 of Bylaws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4634"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Between May 25, 2027, and close of business on June 24, 2027, assuming we do not change the date of our 2027 meeting date to be more than 30 days before or 60 days after the first anniversary of the date this definitive Proxy Statement is first released to shareholders</w:t>
            </w:r>
          </w:p>
        </w:tc>
      </w:tr>
      <w:tr>
        <w:trPr/>
        <w:tc>
          <w:tcPr>
            <w:tcW w:w="2786"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2786" w:type="dxa"/>
            <w:tcBorders>
              <w:bottom w:val="single" w:sz="6" w:space="0" w:color="0075C9"/>
            </w:tcBorders>
            <w:tcMar>
              <w:bottom w:w="40" w:type="dxa"/>
            </w:tcMar>
            <w:vAlign w:val="center"/>
          </w:tcPr>
          <w:p>
            <w:pPr>
              <w:pStyle w:val="TableContents"/>
              <w:bidi w:val="0"/>
              <w:spacing w:before="0" w:after="0"/>
              <w:jc w:val="left"/>
              <w:rPr>
                <w:rFonts w:ascii="Arial" w:hAnsi="Arial"/>
                <w:color w:val="0075C9"/>
                <w:sz w:val="18"/>
              </w:rPr>
            </w:pPr>
            <w:r>
              <w:rPr>
                <w:rFonts w:ascii="Arial" w:hAnsi="Arial"/>
                <w:color w:val="0075C9"/>
                <w:sz w:val="18"/>
              </w:rPr>
              <w:t>Notice Provision for Other Items of Business or non-Proxy Access Director Nominees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2545"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Section 1.13 of Bylaws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4634"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Between August 10, 2027, and close of business on September 9, 2027, assuming we do not change the date of our 2027 meeting to be more than 30 days before or 60 days after the first anniversary date of our 2026 Annual Meeting</w:t>
            </w:r>
          </w:p>
        </w:tc>
      </w:tr>
    </w:tbl>
    <w:p>
      <w:pPr>
        <w:pStyle w:val="TextBody"/>
        <w:bidi w:val="0"/>
        <w:spacing w:before="240" w:after="0"/>
        <w:jc w:val="left"/>
        <w:rPr>
          <w:rFonts w:ascii="Arial" w:hAnsi="Arial"/>
          <w:b/>
          <w:sz w:val="24"/>
        </w:rPr>
      </w:pPr>
      <w:r>
        <w:rPr>
          <w:rFonts w:ascii="Arial" w:hAnsi="Arial"/>
          <w:b/>
          <w:sz w:val="24"/>
        </w:rPr>
        <w:t xml:space="preserve">Where to Submit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2"/>
        <w:gridCol w:w="60"/>
        <w:gridCol w:w="1325"/>
        <w:gridCol w:w="120"/>
        <w:gridCol w:w="8358"/>
      </w:tblGrid>
      <w:tr>
        <w:trPr/>
        <w:tc>
          <w:tcPr>
            <w:tcW w:w="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58" w:type="dxa"/>
            <w:tcBorders/>
            <w:vAlign w:val="center"/>
          </w:tcPr>
          <w:p>
            <w:pPr>
              <w:pStyle w:val="TableContents"/>
              <w:bidi w:val="0"/>
              <w:spacing w:before="0" w:after="283"/>
              <w:jc w:val="left"/>
              <w:rPr>
                <w:sz w:val="4"/>
                <w:szCs w:val="4"/>
              </w:rPr>
            </w:pPr>
            <w:r>
              <w:rPr>
                <w:sz w:val="4"/>
                <w:szCs w:val="4"/>
              </w:rPr>
            </w:r>
          </w:p>
        </w:tc>
      </w:tr>
      <w:tr>
        <w:trPr/>
        <w:tc>
          <w:tcPr>
            <w:tcW w:w="342" w:type="dxa"/>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c>
          <w:tcPr>
            <w:tcW w:w="8478"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center"/>
          </w:tcPr>
          <w:p>
            <w:pPr>
              <w:pStyle w:val="TableContents"/>
              <w:bidi w:val="0"/>
              <w:spacing w:before="0" w:after="283"/>
              <w:jc w:val="left"/>
              <w:rPr/>
            </w:pPr>
            <w:r>
              <w:rPr/>
              <w:drawing>
                <wp:inline distT="0" distB="0" distL="0" distR="0">
                  <wp:extent cx="130175" cy="236220"/>
                  <wp:effectExtent l="0" t="0" r="0" b="0"/>
                  <wp:docPr id="1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7" descr=""/>
                          <pic:cNvPicPr>
                            <a:picLocks noChangeAspect="1" noChangeArrowheads="1"/>
                          </pic:cNvPicPr>
                        </pic:nvPicPr>
                        <pic:blipFill>
                          <a:blip r:embed="rId118"/>
                          <a:stretch>
                            <a:fillRect/>
                          </a:stretch>
                        </pic:blipFill>
                        <pic:spPr bwMode="auto">
                          <a:xfrm>
                            <a:off x="0" y="0"/>
                            <a:ext cx="130175" cy="2362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olor w:val="0075C9"/>
              </w:rPr>
            </w:pPr>
            <w:r>
              <w:rPr>
                <w:color w:val="0075C9"/>
              </w:rPr>
              <w:t>Electronically</w:t>
            </w:r>
          </w:p>
        </w:tc>
        <w:tc>
          <w:tcPr>
            <w:tcW w:w="120" w:type="dxa"/>
            <w:tcBorders/>
            <w:vAlign w:val="center"/>
          </w:tcPr>
          <w:p>
            <w:pPr>
              <w:pStyle w:val="TableContents"/>
              <w:bidi w:val="0"/>
              <w:spacing w:before="0" w:after="283"/>
              <w:jc w:val="left"/>
              <w:rPr/>
            </w:pPr>
            <w:r>
              <w:rPr/>
              <w:t>  </w:t>
            </w:r>
          </w:p>
        </w:tc>
        <w:tc>
          <w:tcPr>
            <w:tcW w:w="8358" w:type="dxa"/>
            <w:tcBorders/>
            <w:vAlign w:val="center"/>
          </w:tcPr>
          <w:p>
            <w:pPr>
              <w:pStyle w:val="TableContents"/>
              <w:bidi w:val="0"/>
              <w:spacing w:before="0" w:after="0"/>
              <w:jc w:val="left"/>
              <w:rPr>
                <w:rFonts w:ascii="Arial" w:hAnsi="Arial"/>
                <w:sz w:val="18"/>
                <w:u w:val="single"/>
              </w:rPr>
            </w:pPr>
            <w:r>
              <w:rPr>
                <w:rFonts w:ascii="Arial" w:hAnsi="Arial"/>
                <w:sz w:val="18"/>
                <w:u w:val="single"/>
              </w:rPr>
              <w:t>askboard@microsoft.com</w:t>
            </w:r>
          </w:p>
        </w:tc>
      </w:tr>
      <w:tr>
        <w:trPr/>
        <w:tc>
          <w:tcPr>
            <w:tcW w:w="342" w:type="dxa"/>
            <w:tcBorders/>
            <w:vAlign w:val="center"/>
          </w:tcPr>
          <w:p>
            <w:pPr>
              <w:pStyle w:val="TableContents"/>
              <w:bidi w:val="0"/>
              <w:spacing w:before="0" w:after="283"/>
              <w:jc w:val="left"/>
              <w:rPr>
                <w:sz w:val="4"/>
                <w:szCs w:val="4"/>
              </w:rPr>
            </w:pPr>
            <w:r>
              <w:rPr>
                <w:sz w:val="4"/>
                <w:szCs w:val="4"/>
              </w:rPr>
            </w:r>
          </w:p>
        </w:tc>
        <w:tc>
          <w:tcPr>
            <w:tcW w:w="1385" w:type="dxa"/>
            <w:gridSpan w:val="2"/>
            <w:tcBorders/>
            <w:vAlign w:val="center"/>
          </w:tcPr>
          <w:p>
            <w:pPr>
              <w:pStyle w:val="TableContents"/>
              <w:bidi w:val="0"/>
              <w:spacing w:before="0" w:after="283"/>
              <w:jc w:val="left"/>
              <w:rPr>
                <w:sz w:val="4"/>
                <w:szCs w:val="4"/>
              </w:rPr>
            </w:pPr>
            <w:r>
              <w:rPr>
                <w:sz w:val="4"/>
                <w:szCs w:val="4"/>
              </w:rPr>
            </w:r>
          </w:p>
        </w:tc>
        <w:tc>
          <w:tcPr>
            <w:tcW w:w="8478"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vAlign w:val="center"/>
          </w:tcPr>
          <w:p>
            <w:pPr>
              <w:pStyle w:val="TableContents"/>
              <w:bidi w:val="0"/>
              <w:spacing w:before="0" w:after="283"/>
              <w:jc w:val="left"/>
              <w:rPr/>
            </w:pPr>
            <w:r>
              <w:rPr/>
              <w:drawing>
                <wp:inline distT="0" distB="0" distL="0" distR="0">
                  <wp:extent cx="179705" cy="125730"/>
                  <wp:effectExtent l="0" t="0" r="0" b="0"/>
                  <wp:docPr id="1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8" descr=""/>
                          <pic:cNvPicPr>
                            <a:picLocks noChangeAspect="1" noChangeArrowheads="1"/>
                          </pic:cNvPicPr>
                        </pic:nvPicPr>
                        <pic:blipFill>
                          <a:blip r:embed="rId119"/>
                          <a:stretch>
                            <a:fillRect/>
                          </a:stretch>
                        </pic:blipFill>
                        <pic:spPr bwMode="auto">
                          <a:xfrm>
                            <a:off x="0" y="0"/>
                            <a:ext cx="179705" cy="12573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color w:val="0075C9"/>
              </w:rPr>
            </w:pPr>
            <w:r>
              <w:rPr>
                <w:color w:val="0075C9"/>
              </w:rPr>
              <w:t>By Mail</w:t>
            </w:r>
          </w:p>
        </w:tc>
        <w:tc>
          <w:tcPr>
            <w:tcW w:w="120" w:type="dxa"/>
            <w:tcBorders/>
            <w:vAlign w:val="center"/>
          </w:tcPr>
          <w:p>
            <w:pPr>
              <w:pStyle w:val="TableContents"/>
              <w:bidi w:val="0"/>
              <w:spacing w:before="0" w:after="283"/>
              <w:jc w:val="left"/>
              <w:rPr/>
            </w:pPr>
            <w:r>
              <w:rPr/>
              <w:t>  </w:t>
            </w:r>
          </w:p>
        </w:tc>
        <w:tc>
          <w:tcPr>
            <w:tcW w:w="8358" w:type="dxa"/>
            <w:tcBorders/>
            <w:vAlign w:val="center"/>
          </w:tcPr>
          <w:p>
            <w:pPr>
              <w:pStyle w:val="TableContents"/>
              <w:bidi w:val="0"/>
              <w:spacing w:before="0" w:after="0"/>
              <w:jc w:val="left"/>
              <w:rPr>
                <w:rFonts w:ascii="Arial" w:hAnsi="Arial"/>
                <w:sz w:val="18"/>
              </w:rPr>
            </w:pPr>
            <w:r>
              <w:rPr>
                <w:rFonts w:ascii="Arial" w:hAnsi="Arial"/>
                <w:sz w:val="18"/>
              </w:rPr>
              <w:t>MSC 123/9999, Office of the Corporate Secretary, Microsoft Corporation, One Microsoft Way, Redmond, Washington 98052-6399</w:t>
            </w:r>
          </w:p>
        </w:tc>
      </w:tr>
    </w:tbl>
    <w:p>
      <w:pPr>
        <w:pStyle w:val="TextBody"/>
        <w:bidi w:val="0"/>
        <w:spacing w:before="120" w:after="0"/>
        <w:jc w:val="left"/>
        <w:rPr>
          <w:rFonts w:ascii="Arial" w:hAnsi="Arial"/>
          <w:sz w:val="18"/>
        </w:rPr>
      </w:pPr>
      <w:r>
        <w:rPr>
          <w:rFonts w:ascii="Arial" w:hAnsi="Arial"/>
          <w:sz w:val="18"/>
        </w:rPr>
        <w:t xml:space="preserve">Shareholders who intend to solicit proxies in reliance on the SEC’s universal proxy rule for director nominees submitted under the advance notice requirements of our Bylaws must comply with the additional requirements of Rule 14a-19(b). We encourage shareholders who wish to submit a proposal or nomination to seek independent counsel. Microsoft will not consider any proposal or nomination that is not timely or otherwise does not meet the Bylaw and SEC requirements identified in the table above. We reserve the right to reject, rule out of order, or take other appropriate action with respect to any proposal that does not comply with these and other applicable requirements. </w:t>
      </w:r>
    </w:p>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bookmarkStart w:id="60" w:name="toc61756_57"/>
      <w:bookmarkEnd w:id="60"/>
      <w:r>
        <w:rPr>
          <w:rFonts w:ascii="Arial" w:hAnsi="Arial"/>
          <w:b/>
          <w:color w:val="0075C9"/>
          <w:sz w:val="28"/>
        </w:rPr>
        <w:t xml:space="preserve">Other Business </w:t>
      </w:r>
    </w:p>
    <w:p>
      <w:pPr>
        <w:pStyle w:val="TextBody"/>
        <w:bidi w:val="0"/>
        <w:spacing w:before="120" w:after="0"/>
        <w:jc w:val="left"/>
        <w:rPr>
          <w:rFonts w:ascii="Arial" w:hAnsi="Arial"/>
          <w:sz w:val="18"/>
        </w:rPr>
      </w:pPr>
      <w:r>
        <w:rPr>
          <w:rFonts w:ascii="Arial" w:hAnsi="Arial"/>
          <w:sz w:val="18"/>
        </w:rPr>
        <w:t xml:space="preserve">The Board of Directors does not intend to bring any other business before the Annual Meeting, and so far as is known to our Board, no matters are to be brought before the meeting other than as specified in the notice of meeting. In addition to the scheduled items of business, the meeting may consider such other business as may properly come before the meeting or any adjournment or postponement thereof, including procedural matters and matters relating to the conduct of the meeting. If other business is properly brought before the meeting, the persons voting proxies will vote in accordance with their best judgment. </w:t>
      </w:r>
    </w:p>
    <w:p>
      <w:pPr>
        <w:pStyle w:val="TextBody"/>
        <w:bidi w:val="0"/>
        <w:spacing w:before="120" w:after="0"/>
        <w:jc w:val="left"/>
        <w:rPr>
          <w:rFonts w:ascii="Arial" w:hAnsi="Arial"/>
          <w:sz w:val="18"/>
        </w:rPr>
      </w:pPr>
      <w:r>
        <w:rPr>
          <w:rFonts w:ascii="Arial" w:hAnsi="Arial"/>
          <w:sz w:val="18"/>
        </w:rPr>
        <w:t xml:space="preserve">Representatives of Deloitte &amp; Touche will attend the Annual Meeting, have an opportunity to make a statement if they desire to do so, and be available to respond to appropriate questions. </w:t>
      </w:r>
    </w:p>
    <w:p>
      <w:pPr>
        <w:pStyle w:val="TextBody"/>
        <w:bidi w:val="0"/>
        <w:spacing w:before="120" w:after="0"/>
        <w:jc w:val="left"/>
        <w:rPr>
          <w:rFonts w:ascii="Arial" w:hAnsi="Arial"/>
          <w:sz w:val="18"/>
        </w:rPr>
      </w:pPr>
      <w:r>
        <w:rPr>
          <w:rFonts w:ascii="Arial" w:hAnsi="Arial"/>
          <w:sz w:val="18"/>
        </w:rPr>
        <w:t xml:space="preserve">DATED: Redmond, Washington, October 21, 2026. </w:t>
      </w:r>
    </w:p>
    <w:p>
      <w:pPr>
        <w:pStyle w:val="TextBody"/>
        <w:bidi w:val="0"/>
        <w:spacing w:before="0" w:after="0"/>
        <w:jc w:val="left"/>
        <w:rPr/>
      </w:pPr>
      <w:r>
        <w:rPr/>
        <w:t> </w:t>
      </w:r>
    </w:p>
    <w:p>
      <w:pPr>
        <w:pStyle w:val="TextBody"/>
        <w:bidi w:val="0"/>
        <w:spacing w:before="0" w:after="0"/>
        <w:jc w:val="left"/>
        <w:rPr/>
      </w:pPr>
      <w:r>
        <w:rPr/>
        <w:t> </w:t>
      </w:r>
    </w:p>
    <w:tbl>
      <w:tblPr>
        <w:tblW w:w="1354" w:type="dxa"/>
        <w:jc w:val="left"/>
        <w:tblInd w:w="0" w:type="dxa"/>
        <w:tblLayout w:type="fixed"/>
        <w:tblCellMar>
          <w:top w:w="0" w:type="dxa"/>
          <w:left w:w="0" w:type="dxa"/>
          <w:bottom w:w="0" w:type="dxa"/>
          <w:right w:w="0" w:type="dxa"/>
        </w:tblCellMar>
      </w:tblPr>
      <w:tblGrid>
        <w:gridCol w:w="275"/>
        <w:gridCol w:w="120"/>
        <w:gridCol w:w="959"/>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color w:val="0075C9"/>
              </w:rPr>
            </w:pPr>
            <w:r>
              <w:rPr>
                <w:b/>
                <w:color w:val="0075C9"/>
              </w:rPr>
              <w:t>84</w:t>
            </w:r>
          </w:p>
        </w:tc>
        <w:tc>
          <w:tcPr>
            <w:tcW w:w="120"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0"/>
              <w:jc w:val="left"/>
              <w:rPr/>
            </w:pPr>
            <w:r>
              <w:rPr/>
              <w:drawing>
                <wp:inline distT="0" distB="0" distL="0" distR="0">
                  <wp:extent cx="561340" cy="115570"/>
                  <wp:effectExtent l="0" t="0" r="0" b="0"/>
                  <wp:docPr id="1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9" descr=""/>
                          <pic:cNvPicPr>
                            <a:picLocks noChangeAspect="1" noChangeArrowheads="1"/>
                          </pic:cNvPicPr>
                        </pic:nvPicPr>
                        <pic:blipFill>
                          <a:blip r:embed="rId120"/>
                          <a:stretch>
                            <a:fillRect/>
                          </a:stretch>
                        </pic:blipFill>
                        <pic:spPr bwMode="auto">
                          <a:xfrm>
                            <a:off x="0" y="0"/>
                            <a:ext cx="561340" cy="115570"/>
                          </a:xfrm>
                          <a:prstGeom prst="rect">
                            <a:avLst/>
                          </a:prstGeom>
                        </pic:spPr>
                      </pic:pic>
                    </a:graphicData>
                  </a:graphic>
                </wp:inline>
              </w:drawing>
            </w:r>
            <w:r>
              <w:rPr/>
              <w:t xml:space="preserv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650" w:type="dxa"/>
        <w:jc w:val="left"/>
        <w:tblInd w:w="0" w:type="dxa"/>
        <w:tblLayout w:type="fixed"/>
        <w:tblCellMar>
          <w:top w:w="0" w:type="dxa"/>
          <w:left w:w="0" w:type="dxa"/>
          <w:bottom w:w="0" w:type="dxa"/>
          <w:right w:w="0" w:type="dxa"/>
        </w:tblCellMar>
      </w:tblPr>
      <w:tblGrid>
        <w:gridCol w:w="245"/>
        <w:gridCol w:w="60"/>
        <w:gridCol w:w="1370"/>
        <w:gridCol w:w="60"/>
        <w:gridCol w:w="230"/>
        <w:gridCol w:w="60"/>
        <w:gridCol w:w="1790"/>
        <w:gridCol w:w="60"/>
        <w:gridCol w:w="230"/>
        <w:gridCol w:w="60"/>
        <w:gridCol w:w="2075"/>
        <w:gridCol w:w="60"/>
        <w:gridCol w:w="230"/>
        <w:gridCol w:w="60"/>
        <w:gridCol w:w="1760"/>
        <w:gridCol w:w="60"/>
        <w:gridCol w:w="230"/>
        <w:gridCol w:w="60"/>
        <w:gridCol w:w="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2"/>
              </w:rPr>
            </w:pPr>
            <w:r>
              <w:rPr>
                <w:sz w:val="42"/>
              </w:rPr>
              <w:t>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14"/>
              </w:rPr>
            </w:pPr>
            <w:r>
              <w:rPr>
                <w:rFonts w:ascii="Arial" w:hAnsi="Arial"/>
                <w:sz w:val="14"/>
              </w:rPr>
              <w:t>BOARD OF</w:t>
            </w:r>
          </w:p>
          <w:p>
            <w:pPr>
              <w:pStyle w:val="TableContents"/>
              <w:bidi w:val="0"/>
              <w:spacing w:before="0" w:after="0"/>
              <w:jc w:val="left"/>
              <w:rPr>
                <w:rFonts w:ascii="Arial" w:hAnsi="Arial"/>
                <w:sz w:val="14"/>
              </w:rPr>
            </w:pPr>
            <w:r>
              <w:rPr>
                <w:rFonts w:ascii="Arial" w:hAnsi="Arial"/>
                <w:sz w:val="14"/>
              </w:rPr>
              <w:t>DIRECTORS AND  </w:t>
              <w:br/>
              <w:t>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2</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NAMED</w:t>
              <w:br/>
              <w:t>EXECUTIVE OFFICER   </w:t>
              <w:br/>
              <w:t>COMPENSATION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3</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AUDIT AND</w:t>
              <w:br/>
              <w:t>FINANCE COMMITTEE MATTERS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2"/>
              </w:rPr>
            </w:pPr>
            <w:r>
              <w:rPr>
                <w:sz w:val="42"/>
              </w:rPr>
              <w:t>4</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14"/>
              </w:rPr>
            </w:pPr>
            <w:r>
              <w:rPr>
                <w:rFonts w:ascii="Arial" w:hAnsi="Arial"/>
                <w:sz w:val="14"/>
              </w:rPr>
              <w:t>PROPOSALS TO</w:t>
              <w:br/>
              <w:t>BE VOTED ON DURING  </w:t>
              <w:br/>
              <w:t>THE MEETING</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75C9"/>
                <w:sz w:val="42"/>
              </w:rPr>
            </w:pPr>
            <w:r>
              <w:rPr>
                <w:color w:val="0075C9"/>
                <w:sz w:val="42"/>
              </w:rPr>
              <w:t>5</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0075C9"/>
                <w:sz w:val="14"/>
              </w:rPr>
            </w:pPr>
            <w:r>
              <w:rPr>
                <w:rFonts w:ascii="Arial" w:hAnsi="Arial"/>
                <w:color w:val="0075C9"/>
                <w:sz w:val="14"/>
              </w:rPr>
              <w:t>INFORMATION</w:t>
              <w:br/>
              <w:t>ABOUT THE</w:t>
              <w:br/>
              <w:t>MEETING</w:t>
            </w:r>
          </w:p>
        </w:tc>
      </w:tr>
      <w:tr>
        <w:trPr/>
        <w:tc>
          <w:tcPr>
            <w:tcW w:w="167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5"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pBdr>
                <w:top w:val="single" w:sz="48" w:space="1" w:color="0075C9"/>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75C9"/>
        </w:rPr>
      </w:pPr>
      <w:r>
        <w:rPr>
          <w:bdr w:val="single" w:sz="2" w:space="1" w:color="0075C9"/>
        </w:rPr>
        <w:t> </w:t>
      </w:r>
    </w:p>
    <w:p>
      <w:pPr>
        <w:pStyle w:val="TextBody"/>
        <w:bidi w:val="0"/>
        <w:spacing w:before="80" w:after="0"/>
        <w:jc w:val="left"/>
        <w:rPr>
          <w:rFonts w:ascii="Arial" w:hAnsi="Arial"/>
          <w:b/>
          <w:color w:val="0075C9"/>
          <w:sz w:val="28"/>
        </w:rPr>
      </w:pPr>
      <w:r>
        <w:rPr>
          <w:rFonts w:ascii="Arial" w:hAnsi="Arial"/>
          <w:b/>
          <w:color w:val="0075C9"/>
          <w:sz w:val="28"/>
        </w:rPr>
        <w:t xml:space="preserve">Helpful Resources </w:t>
      </w:r>
    </w:p>
    <w:p>
      <w:pPr>
        <w:pStyle w:val="TextBody"/>
        <w:bidi w:val="0"/>
        <w:spacing w:before="280" w:after="0"/>
        <w:jc w:val="left"/>
        <w:rPr>
          <w:rFonts w:ascii="Arial" w:hAnsi="Arial"/>
          <w:i/>
          <w:sz w:val="18"/>
        </w:rPr>
      </w:pPr>
      <w:r>
        <w:rPr>
          <w:rFonts w:ascii="Arial" w:hAnsi="Arial"/>
          <w:i/>
          <w:sz w:val="18"/>
        </w:rPr>
        <w:t xml:space="preserve">This Proxy Statement includes several website addresses and references to additional materials found on those websites. These websites and materials are not incorporated by reference herein.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3890"/>
        <w:gridCol w:w="120"/>
        <w:gridCol w:w="5060"/>
      </w:tblGrid>
      <w:tr>
        <w:trPr/>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59595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Annual Meeting</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50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Meeting Website</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proxyvote.com</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Meeting Materials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microsoft.com/en-us/investor/annual-meeting</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Online Voting</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proxyvote.com</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Webcast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virtualshareholdermeeting.com/MSFT26</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SEC Website on Proxy Matters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sec.gov/spotlight/proxymatters/proxy_materials.shtml</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Electronic Delivery of Future Proxy Materials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proxyvote.com</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59595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Board of Directors</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50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Board of Directors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aka.ms/BoardMembers</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Board Committees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aka.ms/BoardCommittees</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Corporate Governance Policies and Guidelines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aka.ms/policiesandguidelines</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Contact the Board</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askboard@microsoft.com</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59595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Financial Reporting</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50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Annual Report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microsoft.com/en-us/Investor/annual-reports</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Filings and Reports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microsoft.com/en-us/Investor/sec-filings</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595959"/>
            </w:tcBorders>
            <w:tcMar>
              <w:bottom w:w="40" w:type="dxa"/>
            </w:tcMar>
            <w:vAlign w:val="center"/>
          </w:tcPr>
          <w:p>
            <w:pPr>
              <w:pStyle w:val="TableContents"/>
              <w:bidi w:val="0"/>
              <w:spacing w:before="0" w:after="0"/>
              <w:jc w:val="left"/>
              <w:rPr>
                <w:rFonts w:ascii="Arial" w:hAnsi="Arial"/>
                <w:b/>
                <w:color w:val="0075C9"/>
                <w:sz w:val="18"/>
              </w:rPr>
            </w:pPr>
            <w:r>
              <w:rPr>
                <w:rFonts w:ascii="Arial" w:hAnsi="Arial"/>
                <w:b/>
                <w:color w:val="0075C9"/>
                <w:sz w:val="18"/>
              </w:rPr>
              <w:t>Additional Company Information</w:t>
            </w:r>
          </w:p>
        </w:tc>
        <w:tc>
          <w:tcPr>
            <w:tcW w:w="120" w:type="dxa"/>
            <w:tcBorders>
              <w:bottom w:val="single" w:sz="6" w:space="0" w:color="595959"/>
            </w:tcBorders>
            <w:tcMar>
              <w:bottom w:w="28" w:type="dxa"/>
            </w:tcMar>
            <w:vAlign w:val="center"/>
          </w:tcPr>
          <w:p>
            <w:pPr>
              <w:pStyle w:val="TableContents"/>
              <w:bidi w:val="0"/>
              <w:spacing w:before="0" w:after="283"/>
              <w:jc w:val="left"/>
              <w:rPr/>
            </w:pPr>
            <w:r>
              <w:rPr/>
              <w:t>  </w:t>
            </w:r>
          </w:p>
        </w:tc>
        <w:tc>
          <w:tcPr>
            <w:tcW w:w="5060" w:type="dxa"/>
            <w:tcBorders>
              <w:bottom w:val="single" w:sz="6" w:space="0" w:color="59595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Executive Team</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news.microsoft.com/source/leadership/</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Investor Relations</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microsoft.com/investor</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Corporate Responsibility</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microsoft.com/csr</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Reports Hub</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microsoft.com/transparency</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0075C9"/>
            </w:tcBorders>
            <w:tcMar>
              <w:bottom w:w="40" w:type="dxa"/>
            </w:tcMar>
            <w:vAlign w:val="center"/>
          </w:tcPr>
          <w:p>
            <w:pPr>
              <w:pStyle w:val="TableContents"/>
              <w:bidi w:val="0"/>
              <w:spacing w:before="0" w:after="0"/>
              <w:jc w:val="left"/>
              <w:rPr>
                <w:rFonts w:ascii="Arial" w:hAnsi="Arial"/>
                <w:sz w:val="18"/>
              </w:rPr>
            </w:pPr>
            <w:r>
              <w:rPr>
                <w:rFonts w:ascii="Arial" w:hAnsi="Arial"/>
                <w:sz w:val="18"/>
              </w:rPr>
              <w:t>Public Policy Engagement</w:t>
            </w:r>
          </w:p>
        </w:tc>
        <w:tc>
          <w:tcPr>
            <w:tcW w:w="120" w:type="dxa"/>
            <w:tcBorders>
              <w:bottom w:val="single" w:sz="6" w:space="0" w:color="0075C9"/>
            </w:tcBorders>
            <w:tcMar>
              <w:bottom w:w="28" w:type="dxa"/>
            </w:tcMar>
            <w:vAlign w:val="center"/>
          </w:tcPr>
          <w:p>
            <w:pPr>
              <w:pStyle w:val="TableContents"/>
              <w:bidi w:val="0"/>
              <w:spacing w:before="0" w:after="283"/>
              <w:jc w:val="left"/>
              <w:rPr/>
            </w:pPr>
            <w:r>
              <w:rPr/>
              <w:t>  </w:t>
            </w:r>
          </w:p>
        </w:tc>
        <w:tc>
          <w:tcPr>
            <w:tcW w:w="5060" w:type="dxa"/>
            <w:tcBorders>
              <w:bottom w:val="single" w:sz="6" w:space="0" w:color="0075C9"/>
            </w:tcBorders>
            <w:tcMar>
              <w:bottom w:w="40" w:type="dxa"/>
            </w:tcMar>
            <w:vAlign w:val="center"/>
          </w:tcPr>
          <w:p>
            <w:pPr>
              <w:pStyle w:val="TableContents"/>
              <w:bidi w:val="0"/>
              <w:spacing w:before="0" w:after="283"/>
              <w:jc w:val="left"/>
              <w:rPr/>
            </w:pPr>
            <w:r>
              <w:rPr/>
              <w:t>microsoft.com/public-policy-engagement</w:t>
            </w:r>
          </w:p>
        </w:tc>
      </w:tr>
    </w:tbl>
    <w:p>
      <w:pPr>
        <w:pStyle w:val="TextBody"/>
        <w:bidi w:val="0"/>
        <w:spacing w:before="720" w:after="0"/>
        <w:jc w:val="left"/>
        <w:rPr>
          <w:rFonts w:ascii="Arial" w:hAnsi="Arial"/>
          <w:b/>
          <w:sz w:val="24"/>
        </w:rPr>
      </w:pPr>
      <w:r>
        <w:rPr>
          <w:rFonts w:ascii="Arial" w:hAnsi="Arial"/>
          <w:b/>
          <w:sz w:val="24"/>
        </w:rPr>
        <w:t xml:space="preserve">Note About Forward-Looking Statements </w:t>
      </w:r>
    </w:p>
    <w:p>
      <w:pPr>
        <w:pStyle w:val="TextBody"/>
        <w:bidi w:val="0"/>
        <w:spacing w:before="120" w:after="0"/>
        <w:jc w:val="left"/>
        <w:rPr>
          <w:rFonts w:ascii="Arial" w:hAnsi="Arial"/>
          <w:sz w:val="18"/>
        </w:rPr>
      </w:pPr>
      <w:r>
        <w:rPr>
          <w:rFonts w:ascii="Arial" w:hAnsi="Arial"/>
          <w:sz w:val="18"/>
        </w:rPr>
        <w:t xml:space="preserve">This Proxy Statement includes estimates, projections, and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Proxy Summary, Part 2 – Named Executive Officer Compensation, and Part 4 – Proposals to be Voted on During the Meeting. These forward-looking statements generally are identified by the words “believe,” “project,” “expect,” “anticipate,” “estimate,” “intend,” “strategy,” “future,” “opportunity,” “plan,” “may,” “should,” “will,” “would,” “could,”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sections of our Forms 10-K and 10-Q. Readers are cautioned not to place undue reliance on forward-looking statements, which speak only as of the date they are made. We undertake no obligation to update or revise publicly any forward-looking statements, whether because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045"/>
        <w:gridCol w:w="60"/>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color w:val="0075C9"/>
              </w:rPr>
            </w:pPr>
            <w:r>
              <w:rPr>
                <w:b/>
                <w:color w:val="0075C9"/>
              </w:rPr>
              <w:t>85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color w:val="0075C9"/>
          <w:sz w:val="48"/>
          <w:bdr w:val="single" w:sz="16" w:space="1" w:color="0075C9"/>
        </w:rPr>
      </w:pPr>
      <w:r>
        <w:rPr>
          <w:rFonts w:ascii="Arial" w:hAnsi="Arial"/>
          <w:b/>
          <w:color w:val="0075C9"/>
          <w:sz w:val="48"/>
          <w:bdr w:val="single" w:sz="16" w:space="1" w:color="0075C9"/>
        </w:rPr>
        <w:t xml:space="preserve">Microsoft Employee Giving </w:t>
      </w:r>
    </w:p>
    <w:p>
      <w:pPr>
        <w:pStyle w:val="TextBody"/>
        <w:bidi w:val="0"/>
        <w:spacing w:before="840" w:after="0"/>
        <w:jc w:val="center"/>
        <w:rPr>
          <w:rFonts w:ascii="Arial" w:hAnsi="Arial"/>
          <w:sz w:val="18"/>
          <w:bdr w:val="single" w:sz="16" w:space="1" w:color="0075C9"/>
        </w:rPr>
      </w:pPr>
      <w:r>
        <w:rPr>
          <w:rFonts w:ascii="Arial" w:hAnsi="Arial"/>
          <w:sz w:val="18"/>
          <w:bdr w:val="single" w:sz="16" w:space="1" w:color="0075C9"/>
        </w:rPr>
        <w:t xml:space="preserve">Microsoft employees are passionate about giving time, money, and skills to address the issues facing our world. It’s part of our culture and how we live our mission – that’s why our employees have given </w:t>
      </w:r>
      <w:r>
        <w:rPr>
          <w:rFonts w:ascii="Arial" w:hAnsi="Arial"/>
          <w:b/>
          <w:sz w:val="18"/>
          <w:bdr w:val="single" w:sz="16" w:space="1" w:color="0075C9"/>
        </w:rPr>
        <w:t>$250.0</w:t>
      </w:r>
      <w:r>
        <w:rPr>
          <w:rFonts w:ascii="Arial" w:hAnsi="Arial"/>
          <w:sz w:val="18"/>
          <w:bdr w:val="single" w:sz="16" w:space="1" w:color="0075C9"/>
        </w:rPr>
        <w:t xml:space="preserve"> million with corporate match in fiscal year 2026. Over the last three years, Microsoft and our employees have donated </w:t>
      </w:r>
      <w:r>
        <w:rPr>
          <w:rFonts w:ascii="Arial" w:hAnsi="Arial"/>
          <w:b/>
          <w:sz w:val="18"/>
          <w:bdr w:val="single" w:sz="16" w:space="1" w:color="0075C9"/>
        </w:rPr>
        <w:t>$763.7</w:t>
      </w:r>
      <w:r>
        <w:rPr>
          <w:rFonts w:ascii="Arial" w:hAnsi="Arial"/>
          <w:sz w:val="18"/>
          <w:bdr w:val="single" w:sz="16" w:space="1" w:color="0075C9"/>
        </w:rPr>
        <w:t xml:space="preserve"> million with corporate match around the world via our Employee Give program. </w:t>
      </w:r>
    </w:p>
    <w:p>
      <w:pPr>
        <w:pStyle w:val="TextBody"/>
        <w:bidi w:val="0"/>
        <w:spacing w:before="0" w:after="0"/>
        <w:jc w:val="left"/>
        <w:rPr>
          <w:bdr w:val="single" w:sz="16" w:space="1" w:color="0075C9"/>
        </w:rPr>
      </w:pPr>
      <w:r>
        <w:rPr>
          <w:bdr w:val="single" w:sz="16" w:space="1" w:color="0075C9"/>
        </w:rPr>
        <w:t> </w:t>
      </w:r>
    </w:p>
    <w:p>
      <w:pPr>
        <w:pStyle w:val="TextBody"/>
        <w:bidi w:val="0"/>
        <w:spacing w:before="0" w:after="0"/>
        <w:jc w:val="left"/>
        <w:rPr>
          <w:bdr w:val="single" w:sz="16" w:space="1" w:color="0075C9"/>
        </w:rPr>
      </w:pPr>
      <w:r>
        <w:rPr>
          <w:bdr w:val="single" w:sz="16" w:space="1" w:color="0075C9"/>
        </w:rPr>
        <w:t> </w:t>
      </w:r>
    </w:p>
    <w:p>
      <w:pPr>
        <w:pStyle w:val="TextBody"/>
        <w:bidi w:val="0"/>
        <w:spacing w:before="0" w:after="0"/>
        <w:jc w:val="center"/>
        <w:rPr>
          <w:bdr w:val="single" w:sz="16" w:space="1" w:color="0075C9"/>
        </w:rPr>
      </w:pPr>
      <w:r>
        <w:rPr>
          <w:bdr w:val="single" w:sz="16" w:space="1" w:color="0075C9"/>
        </w:rPr>
        <w:drawing>
          <wp:inline distT="0" distB="0" distL="0" distR="0">
            <wp:extent cx="3772535" cy="3755390"/>
            <wp:effectExtent l="0" t="0" r="0" b="0"/>
            <wp:docPr id="1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0" descr=""/>
                    <pic:cNvPicPr>
                      <a:picLocks noChangeAspect="1" noChangeArrowheads="1"/>
                    </pic:cNvPicPr>
                  </pic:nvPicPr>
                  <pic:blipFill>
                    <a:blip r:embed="rId121"/>
                    <a:stretch>
                      <a:fillRect/>
                    </a:stretch>
                  </pic:blipFill>
                  <pic:spPr bwMode="auto">
                    <a:xfrm>
                      <a:off x="0" y="0"/>
                      <a:ext cx="3772535" cy="3755390"/>
                    </a:xfrm>
                    <a:prstGeom prst="rect">
                      <a:avLst/>
                    </a:prstGeom>
                  </pic:spPr>
                </pic:pic>
              </a:graphicData>
            </a:graphic>
          </wp:inline>
        </w:drawing>
      </w:r>
      <w:r>
        <w:rPr>
          <w:bdr w:val="single" w:sz="16" w:space="1" w:color="0075C9"/>
        </w:rPr>
        <w:t xml:space="preserve"> </w:t>
      </w:r>
    </w:p>
    <w:p>
      <w:pPr>
        <w:pStyle w:val="TextBody"/>
        <w:bidi w:val="0"/>
        <w:spacing w:before="480" w:after="0"/>
        <w:jc w:val="left"/>
        <w:rPr>
          <w:rFonts w:ascii="Arial" w:hAnsi="Arial"/>
          <w:b/>
          <w:color w:val="0075C9"/>
          <w:sz w:val="28"/>
          <w:bdr w:val="single" w:sz="16" w:space="1" w:color="0075C9"/>
        </w:rPr>
      </w:pPr>
      <w:r>
        <w:rPr>
          <w:rFonts w:ascii="Arial" w:hAnsi="Arial"/>
          <w:b/>
          <w:color w:val="0075C9"/>
          <w:sz w:val="28"/>
          <w:bdr w:val="single" w:sz="16" w:space="1" w:color="0075C9"/>
        </w:rPr>
        <w:t xml:space="preserve">Drive More Impact with Nonprofit Offers from Microsoft </w:t>
      </w:r>
    </w:p>
    <w:p>
      <w:pPr>
        <w:pStyle w:val="TextBody"/>
        <w:bidi w:val="0"/>
        <w:spacing w:before="120" w:after="0"/>
        <w:jc w:val="left"/>
        <w:rPr>
          <w:rFonts w:ascii="Arial" w:hAnsi="Arial"/>
          <w:sz w:val="18"/>
          <w:bdr w:val="single" w:sz="16" w:space="1" w:color="0075C9"/>
        </w:rPr>
      </w:pPr>
      <w:r>
        <w:rPr>
          <w:rFonts w:ascii="Arial" w:hAnsi="Arial"/>
          <w:sz w:val="18"/>
          <w:bdr w:val="single" w:sz="16" w:space="1" w:color="0075C9"/>
        </w:rPr>
        <w:t xml:space="preserve">Microsoft is committed to providing relevant, affordable, and innovative cloud and AI solutions to help nonprofits tackle the world’s biggest challenges. To ensure affordable access to technology, Microsoft provides grants and discounts for Microsoft cloud solutions including Microsoft 365, Azure, and Dynamics 365 to nonprofits around the globe, along with helping nonprofit professionals with digital and AI skills to accelerate mission impact. Get started at Microsoft.com/Nonprofits. </w:t>
      </w:r>
    </w:p>
    <w:p>
      <w:pPr>
        <w:pStyle w:val="TextBody"/>
        <w:bidi w:val="0"/>
        <w:spacing w:before="0" w:after="0"/>
        <w:jc w:val="left"/>
        <w:rPr/>
      </w:pPr>
      <w:r>
        <w:rPr/>
        <w:t> </w:t>
      </w:r>
    </w:p>
    <w:tbl>
      <w:tblPr>
        <w:tblW w:w="3777" w:type="dxa"/>
        <w:jc w:val="left"/>
        <w:tblInd w:w="0" w:type="dxa"/>
        <w:tblLayout w:type="fixed"/>
        <w:tblCellMar>
          <w:top w:w="0" w:type="dxa"/>
          <w:left w:w="0" w:type="dxa"/>
          <w:bottom w:w="0" w:type="dxa"/>
          <w:right w:w="0" w:type="dxa"/>
        </w:tblCellMar>
      </w:tblPr>
      <w:tblGrid>
        <w:gridCol w:w="2085"/>
        <w:gridCol w:w="120"/>
        <w:gridCol w:w="1572"/>
      </w:tblGrid>
      <w:tr>
        <w:trPr/>
        <w:tc>
          <w:tcPr>
            <w:tcW w:w="2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2085" w:type="dxa"/>
            <w:tcBorders/>
            <w:vAlign w:val="center"/>
          </w:tcPr>
          <w:p>
            <w:pPr>
              <w:pStyle w:val="TableContents"/>
              <w:bidi w:val="0"/>
              <w:spacing w:before="0" w:after="0"/>
              <w:jc w:val="left"/>
              <w:rPr/>
            </w:pPr>
            <w:r>
              <w:rPr/>
              <w:drawing>
                <wp:inline distT="0" distB="0" distL="0" distR="0">
                  <wp:extent cx="1276350" cy="582930"/>
                  <wp:effectExtent l="0" t="0" r="0" b="0"/>
                  <wp:docPr id="1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1" descr=""/>
                          <pic:cNvPicPr>
                            <a:picLocks noChangeAspect="1" noChangeArrowheads="1"/>
                          </pic:cNvPicPr>
                        </pic:nvPicPr>
                        <pic:blipFill>
                          <a:blip r:embed="rId122"/>
                          <a:stretch>
                            <a:fillRect/>
                          </a:stretch>
                        </pic:blipFill>
                        <pic:spPr bwMode="auto">
                          <a:xfrm>
                            <a:off x="0" y="0"/>
                            <a:ext cx="1276350" cy="582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0"/>
              <w:jc w:val="right"/>
              <w:rPr/>
            </w:pPr>
            <w:r>
              <w:rPr/>
              <w:drawing>
                <wp:inline distT="0" distB="0" distL="0" distR="0">
                  <wp:extent cx="950595" cy="203200"/>
                  <wp:effectExtent l="0" t="0" r="0" b="0"/>
                  <wp:docPr id="1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2" descr=""/>
                          <pic:cNvPicPr>
                            <a:picLocks noChangeAspect="1" noChangeArrowheads="1"/>
                          </pic:cNvPicPr>
                        </pic:nvPicPr>
                        <pic:blipFill>
                          <a:blip r:embed="rId123"/>
                          <a:stretch>
                            <a:fillRect/>
                          </a:stretch>
                        </pic:blipFill>
                        <pic:spPr bwMode="auto">
                          <a:xfrm>
                            <a:off x="0" y="0"/>
                            <a:ext cx="950595" cy="203200"/>
                          </a:xfrm>
                          <a:prstGeom prst="rect">
                            <a:avLst/>
                          </a:prstGeom>
                        </pic:spPr>
                      </pic:pic>
                    </a:graphicData>
                  </a:graphic>
                </wp:inline>
              </w:drawing>
            </w:r>
            <w:r>
              <w:rPr/>
              <w:t xml:space="preserve"> </w:t>
            </w:r>
          </w:p>
        </w:tc>
      </w:tr>
    </w:tbl>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1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3" descr=""/>
                    <pic:cNvPicPr>
                      <a:picLocks noChangeAspect="1" noChangeArrowheads="1"/>
                    </pic:cNvPicPr>
                  </pic:nvPicPr>
                  <pic:blipFill>
                    <a:blip r:embed="rId12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C/O PROXY SERVICES P.O. BOX 9163 FARMINGDALE, NY 11735 SCAN TO VIEW MATERIALS &amp; VOTE VOTE BY INTERNET Before The Meeting - Go to www.proxyvote.com or scan the QR code above Use the Internet to transmit your voting instructions and for electronic delivery of information up until 11:59 p.m. Eastern Time on December 7, 2026. Have your proxy card in hand when you access the website and follow the instructions to obtain your records and to create an electronic voting instruction form. During The Meeting - Go to www.virtualshareholdermeeting.com/MSFT26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December 7,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T03697-P56195-Z93573 KEEP THIS PORTION FOR YOUR RECORDS THIS PROXY CARD IS VALID ONLY WHEN SIGNED AND DATED. DETACH AND RETURN THIS PORTION ONLY MICROSOFT CORPORATION The Board of Directors recommends a vote “FOR” EACH OF THE FOLLOWING NOMINEES, “FOR” Proposals 2 and 3 1. Election of Directors: For Against Abstain 1a. John Collison 1b. Carmine Di Sibio For Against Abstain 1c. Teri L. List 2. Advisory Vote to Approve Named Executive Officer Compensation (“say-on-pay vote”) 1d. Catherine MacGregor 3. Ratification of the Selection of Deloitte &amp; Touche LLP as our Independent Auditor for Fiscal Year 2027 1e. Mark A. L. Mason The Board of Directors recommends a vote “AGAINST” Proposals 4 through 7. For Against Abstain 1f. Satya Nadella 4. Additional Disclosures Meeting Climate Commitments 1g. Sandra E. Peterson 5. Report on Human Rights Due Diligence 1h. Penny S. Pritzker 6. Report on Data Operations in Human Rights and Conflict Hotspots 1i. John David Rainey 7. Board Chair and CEO Separation 1j. Charles W. Scharf 1k. John W. Stanton 1l. Emma N. Walmsley Note: Please sign exactly as your name or names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1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4" descr=""/>
                    <pic:cNvPicPr>
                      <a:picLocks noChangeAspect="1" noChangeArrowheads="1"/>
                    </pic:cNvPicPr>
                  </pic:nvPicPr>
                  <pic:blipFill>
                    <a:blip r:embed="rId12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Annual Shareholders Meeting Information: www.virtualshareholdermeeting.com/MSFT26 Date: December 8, 2026 Time: 8:30 AM PT Important Notice Regarding the Availability of Proxy Materials for the Annual Shareholders Meeting: The Notice and Proxy Statement and Annual Report are available at www.proxyvote.com. T03698-P56195-Z93573 MICROSOFT CORPORATION This Proxy is Solicited on Behalf of the Board of Directors The undersigned hereby appoints SANDRA E. PETERSON and SATYA NADELLA, and each of them, with full power of substitution, as proxies to vote all the shares the undersigned is entitled to vote at the Annual Shareholders Meeting of the Company to be held virtually December 8, 2026 at 8:30 a.m. Pacific Time and at any adjournments thereof. Such shares shall be voted as indicated with respect to the proposals listed on the reverse side hereof and in the discretion of the proxies on such other matters as may properly come before the meeting or any adjournment thereof in accordance with and as described in the Notice and Proxy Statement of the Annual Shareholders Meeting. This proxy, when properly executed, will be voted in the manner directed herein. If no such direction is made as to any item, this proxy will be voted in accordance with the Board of Directors’ recommendations.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6.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0.jpeg"/><Relationship Id="rId18" Type="http://schemas.openxmlformats.org/officeDocument/2006/relationships/image" Target="media/image15.jpeg"/><Relationship Id="rId19" Type="http://schemas.openxmlformats.org/officeDocument/2006/relationships/image" Target="media/image15.jpeg"/><Relationship Id="rId20" Type="http://schemas.openxmlformats.org/officeDocument/2006/relationships/image" Target="media/image15.jpeg"/><Relationship Id="rId21" Type="http://schemas.openxmlformats.org/officeDocument/2006/relationships/image" Target="media/image15.jpeg"/><Relationship Id="rId22" Type="http://schemas.openxmlformats.org/officeDocument/2006/relationships/image" Target="media/image10.jpeg"/><Relationship Id="rId23" Type="http://schemas.openxmlformats.org/officeDocument/2006/relationships/image" Target="media/image16.jpeg"/><Relationship Id="rId24" Type="http://schemas.openxmlformats.org/officeDocument/2006/relationships/image" Target="media/image10.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10.jpeg"/><Relationship Id="rId33" Type="http://schemas.openxmlformats.org/officeDocument/2006/relationships/image" Target="media/image10.jpeg"/><Relationship Id="rId34" Type="http://schemas.openxmlformats.org/officeDocument/2006/relationships/image" Target="media/image10.jpeg"/><Relationship Id="rId35" Type="http://schemas.openxmlformats.org/officeDocument/2006/relationships/image" Target="media/image10.jpeg"/><Relationship Id="rId36" Type="http://schemas.openxmlformats.org/officeDocument/2006/relationships/image" Target="media/image10.jpeg"/><Relationship Id="rId37" Type="http://schemas.openxmlformats.org/officeDocument/2006/relationships/image" Target="media/image24.jpeg"/><Relationship Id="rId38" Type="http://schemas.openxmlformats.org/officeDocument/2006/relationships/image" Target="media/image10.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10.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10.jpeg"/><Relationship Id="rId51" Type="http://schemas.openxmlformats.org/officeDocument/2006/relationships/image" Target="media/image35.jpeg"/><Relationship Id="rId52" Type="http://schemas.openxmlformats.org/officeDocument/2006/relationships/image" Target="media/image36.jpeg"/><Relationship Id="rId53" Type="http://schemas.openxmlformats.org/officeDocument/2006/relationships/image" Target="media/image37.jpeg"/><Relationship Id="rId54" Type="http://schemas.openxmlformats.org/officeDocument/2006/relationships/image" Target="media/image38.jpeg"/><Relationship Id="rId55" Type="http://schemas.openxmlformats.org/officeDocument/2006/relationships/image" Target="media/image10.jpeg"/><Relationship Id="rId56" Type="http://schemas.openxmlformats.org/officeDocument/2006/relationships/image" Target="media/image39.jpeg"/><Relationship Id="rId57" Type="http://schemas.openxmlformats.org/officeDocument/2006/relationships/image" Target="media/image40.jpeg"/><Relationship Id="rId58" Type="http://schemas.openxmlformats.org/officeDocument/2006/relationships/image" Target="media/image41.jpeg"/><Relationship Id="rId59" Type="http://schemas.openxmlformats.org/officeDocument/2006/relationships/image" Target="media/image42.jpeg"/><Relationship Id="rId60" Type="http://schemas.openxmlformats.org/officeDocument/2006/relationships/image" Target="media/image10.jpeg"/><Relationship Id="rId61" Type="http://schemas.openxmlformats.org/officeDocument/2006/relationships/image" Target="media/image43.jpeg"/><Relationship Id="rId62" Type="http://schemas.openxmlformats.org/officeDocument/2006/relationships/image" Target="media/image44.jpeg"/><Relationship Id="rId63" Type="http://schemas.openxmlformats.org/officeDocument/2006/relationships/image" Target="media/image10.jpeg"/><Relationship Id="rId64" Type="http://schemas.openxmlformats.org/officeDocument/2006/relationships/image" Target="media/image10.jpeg"/><Relationship Id="rId65" Type="http://schemas.openxmlformats.org/officeDocument/2006/relationships/image" Target="media/image15.jpeg"/><Relationship Id="rId66" Type="http://schemas.openxmlformats.org/officeDocument/2006/relationships/image" Target="media/image15.jpeg"/><Relationship Id="rId67" Type="http://schemas.openxmlformats.org/officeDocument/2006/relationships/image" Target="media/image15.jpeg"/><Relationship Id="rId68" Type="http://schemas.openxmlformats.org/officeDocument/2006/relationships/image" Target="media/image15.jpeg"/><Relationship Id="rId69" Type="http://schemas.openxmlformats.org/officeDocument/2006/relationships/image" Target="media/image45.jpeg"/><Relationship Id="rId70" Type="http://schemas.openxmlformats.org/officeDocument/2006/relationships/image" Target="media/image46.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10.jpe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image" Target="media/image10.jpeg"/><Relationship Id="rId77" Type="http://schemas.openxmlformats.org/officeDocument/2006/relationships/image" Target="media/image49.jpeg"/><Relationship Id="rId78" Type="http://schemas.openxmlformats.org/officeDocument/2006/relationships/image" Target="media/image50.jpeg"/><Relationship Id="rId79" Type="http://schemas.openxmlformats.org/officeDocument/2006/relationships/image" Target="media/image51.jpeg"/><Relationship Id="rId80" Type="http://schemas.openxmlformats.org/officeDocument/2006/relationships/image" Target="media/image52.jpeg"/><Relationship Id="rId81" Type="http://schemas.openxmlformats.org/officeDocument/2006/relationships/image" Target="media/image10.jpeg"/><Relationship Id="rId82" Type="http://schemas.openxmlformats.org/officeDocument/2006/relationships/image" Target="media/image53.jpeg"/><Relationship Id="rId83" Type="http://schemas.openxmlformats.org/officeDocument/2006/relationships/image" Target="media/image10.jpeg"/><Relationship Id="rId84" Type="http://schemas.openxmlformats.org/officeDocument/2006/relationships/image" Target="media/image10.jpeg"/><Relationship Id="rId85" Type="http://schemas.openxmlformats.org/officeDocument/2006/relationships/image" Target="media/image10.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0.jpeg"/><Relationship Id="rId89" Type="http://schemas.openxmlformats.org/officeDocument/2006/relationships/image" Target="media/image10.jpeg"/><Relationship Id="rId90" Type="http://schemas.openxmlformats.org/officeDocument/2006/relationships/image" Target="media/image10.jpeg"/><Relationship Id="rId91" Type="http://schemas.openxmlformats.org/officeDocument/2006/relationships/image" Target="media/image10.jpeg"/><Relationship Id="rId92" Type="http://schemas.openxmlformats.org/officeDocument/2006/relationships/image" Target="media/image54.jpeg"/><Relationship Id="rId93" Type="http://schemas.openxmlformats.org/officeDocument/2006/relationships/image" Target="media/image55.jpeg"/><Relationship Id="rId94" Type="http://schemas.openxmlformats.org/officeDocument/2006/relationships/image" Target="media/image10.jpeg"/><Relationship Id="rId95" Type="http://schemas.openxmlformats.org/officeDocument/2006/relationships/image" Target="media/image10.jpeg"/><Relationship Id="rId96" Type="http://schemas.openxmlformats.org/officeDocument/2006/relationships/image" Target="media/image10.jpeg"/><Relationship Id="rId97" Type="http://schemas.openxmlformats.org/officeDocument/2006/relationships/image" Target="media/image10.jpeg"/><Relationship Id="rId98" Type="http://schemas.openxmlformats.org/officeDocument/2006/relationships/image" Target="media/image56.jpeg"/><Relationship Id="rId99" Type="http://schemas.openxmlformats.org/officeDocument/2006/relationships/image" Target="media/image57.jpeg"/><Relationship Id="rId100" Type="http://schemas.openxmlformats.org/officeDocument/2006/relationships/image" Target="media/image58.jpeg"/><Relationship Id="rId101" Type="http://schemas.openxmlformats.org/officeDocument/2006/relationships/image" Target="media/image59.jpeg"/><Relationship Id="rId102" Type="http://schemas.openxmlformats.org/officeDocument/2006/relationships/image" Target="media/image60.jpeg"/><Relationship Id="rId103" Type="http://schemas.openxmlformats.org/officeDocument/2006/relationships/image" Target="media/image61.jpeg"/><Relationship Id="rId104" Type="http://schemas.openxmlformats.org/officeDocument/2006/relationships/image" Target="media/image62.jpeg"/><Relationship Id="rId105" Type="http://schemas.openxmlformats.org/officeDocument/2006/relationships/image" Target="media/image63.jpeg"/><Relationship Id="rId106" Type="http://schemas.openxmlformats.org/officeDocument/2006/relationships/image" Target="media/image64.jpeg"/><Relationship Id="rId107" Type="http://schemas.openxmlformats.org/officeDocument/2006/relationships/image" Target="media/image65.jpeg"/><Relationship Id="rId108" Type="http://schemas.openxmlformats.org/officeDocument/2006/relationships/image" Target="media/image66.jpeg"/><Relationship Id="rId109" Type="http://schemas.openxmlformats.org/officeDocument/2006/relationships/image" Target="media/image67.jpeg"/><Relationship Id="rId110" Type="http://schemas.openxmlformats.org/officeDocument/2006/relationships/image" Target="media/image10.jpeg"/><Relationship Id="rId111" Type="http://schemas.openxmlformats.org/officeDocument/2006/relationships/image" Target="media/image10.jpeg"/><Relationship Id="rId112" Type="http://schemas.openxmlformats.org/officeDocument/2006/relationships/image" Target="media/image10.jpeg"/><Relationship Id="rId113" Type="http://schemas.openxmlformats.org/officeDocument/2006/relationships/image" Target="media/image10.jpeg"/><Relationship Id="rId114" Type="http://schemas.openxmlformats.org/officeDocument/2006/relationships/image" Target="media/image10.jpeg"/><Relationship Id="rId115" Type="http://schemas.openxmlformats.org/officeDocument/2006/relationships/image" Target="media/image10.jpeg"/><Relationship Id="rId116" Type="http://schemas.openxmlformats.org/officeDocument/2006/relationships/image" Target="media/image10.jpeg"/><Relationship Id="rId117" Type="http://schemas.openxmlformats.org/officeDocument/2006/relationships/image" Target="media/image10.jpeg"/><Relationship Id="rId118" Type="http://schemas.openxmlformats.org/officeDocument/2006/relationships/image" Target="media/image11.jpeg"/><Relationship Id="rId119" Type="http://schemas.openxmlformats.org/officeDocument/2006/relationships/image" Target="media/image13.jpeg"/><Relationship Id="rId120" Type="http://schemas.openxmlformats.org/officeDocument/2006/relationships/image" Target="media/image10.jpeg"/><Relationship Id="rId121" Type="http://schemas.openxmlformats.org/officeDocument/2006/relationships/image" Target="media/image68.jpeg"/><Relationship Id="rId122" Type="http://schemas.openxmlformats.org/officeDocument/2006/relationships/image" Target="media/image69.jpeg"/><Relationship Id="rId123" Type="http://schemas.openxmlformats.org/officeDocument/2006/relationships/image" Target="media/image2.jpeg"/><Relationship Id="rId124" Type="http://schemas.openxmlformats.org/officeDocument/2006/relationships/image" Target="media/image70.jpeg"/><Relationship Id="rId125" Type="http://schemas.openxmlformats.org/officeDocument/2006/relationships/image" Target="media/image71.jpeg"/><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46219</Words>
  <Characters>272900</Characters>
  <CharactersWithSpaces>325383</CharactersWithSpaces>
  <Paragraphs>12829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