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186690</wp:posOffset>
            </wp:positionV>
            <wp:extent cx="2734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171450</wp:posOffset>
            </wp:positionV>
            <wp:extent cx="273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149225</wp:posOffset>
            </wp:positionV>
            <wp:extent cx="273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125095</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2240" w:type="dxa"/>
            <w:vAlign w:val="bottom"/>
          </w:tcPr>
          <w:p>
            <w:pPr>
              <w:jc w:val="center"/>
              <w:ind w:right="445"/>
              <w:spacing w:after="0"/>
              <w:rPr>
                <w:sz w:val="20"/>
                <w:szCs w:val="20"/>
                <w:color w:val="auto"/>
              </w:rPr>
            </w:pPr>
            <w:r>
              <w:rPr>
                <w:rFonts w:ascii="Arial" w:cs="Arial" w:eastAsia="Arial" w:hAnsi="Arial"/>
                <w:sz w:val="18"/>
                <w:szCs w:val="18"/>
                <w:b w:val="1"/>
                <w:bCs w:val="1"/>
                <w:color w:val="auto"/>
              </w:rPr>
              <w:t>Washington</w:t>
            </w:r>
          </w:p>
        </w:tc>
        <w:tc>
          <w:tcPr>
            <w:tcW w:w="5860" w:type="dxa"/>
            <w:vAlign w:val="bottom"/>
          </w:tcPr>
          <w:p>
            <w:pPr>
              <w:ind w:left="2460"/>
              <w:spacing w:after="0"/>
              <w:rPr>
                <w:sz w:val="20"/>
                <w:szCs w:val="20"/>
                <w:color w:val="auto"/>
              </w:rPr>
            </w:pPr>
            <w:r>
              <w:rPr>
                <w:rFonts w:ascii="Arial" w:cs="Arial" w:eastAsia="Arial" w:hAnsi="Arial"/>
                <w:sz w:val="18"/>
                <w:szCs w:val="18"/>
                <w:b w:val="1"/>
                <w:bCs w:val="1"/>
                <w:color w:val="auto"/>
              </w:rPr>
              <w:t>001-37845</w:t>
            </w:r>
          </w:p>
        </w:tc>
        <w:tc>
          <w:tcPr>
            <w:tcW w:w="1820" w:type="dxa"/>
            <w:vAlign w:val="bottom"/>
          </w:tcPr>
          <w:p>
            <w:pPr>
              <w:jc w:val="center"/>
              <w:ind w:left="585"/>
              <w:spacing w:after="0"/>
              <w:rPr>
                <w:sz w:val="20"/>
                <w:szCs w:val="20"/>
                <w:color w:val="auto"/>
              </w:rPr>
            </w:pPr>
            <w:r>
              <w:rPr>
                <w:rFonts w:ascii="Arial" w:cs="Arial" w:eastAsia="Arial" w:hAnsi="Arial"/>
                <w:sz w:val="18"/>
                <w:szCs w:val="18"/>
                <w:b w:val="1"/>
                <w:bCs w:val="1"/>
                <w:color w:val="auto"/>
                <w:w w:val="99"/>
              </w:rPr>
              <w:t>91-1144442</w:t>
            </w:r>
          </w:p>
        </w:tc>
      </w:tr>
      <w:tr>
        <w:trPr>
          <w:trHeight w:val="148"/>
        </w:trPr>
        <w:tc>
          <w:tcPr>
            <w:tcW w:w="2240" w:type="dxa"/>
            <w:vAlign w:val="bottom"/>
          </w:tcPr>
          <w:p>
            <w:pPr>
              <w:jc w:val="center"/>
              <w:ind w:right="425"/>
              <w:spacing w:after="0"/>
              <w:rPr>
                <w:sz w:val="20"/>
                <w:szCs w:val="20"/>
                <w:color w:val="auto"/>
              </w:rPr>
            </w:pPr>
            <w:r>
              <w:rPr>
                <w:rFonts w:ascii="Arial" w:cs="Arial" w:eastAsia="Arial" w:hAnsi="Arial"/>
                <w:sz w:val="13"/>
                <w:szCs w:val="13"/>
                <w:b w:val="1"/>
                <w:bCs w:val="1"/>
                <w:color w:val="auto"/>
              </w:rPr>
              <w:t>(State or Other Jurisdiction</w:t>
            </w:r>
          </w:p>
        </w:tc>
        <w:tc>
          <w:tcPr>
            <w:tcW w:w="5860" w:type="dxa"/>
            <w:vAlign w:val="bottom"/>
          </w:tcPr>
          <w:p>
            <w:pPr>
              <w:ind w:left="2460"/>
              <w:spacing w:after="0"/>
              <w:rPr>
                <w:sz w:val="20"/>
                <w:szCs w:val="20"/>
                <w:color w:val="auto"/>
              </w:rPr>
            </w:pPr>
            <w:r>
              <w:rPr>
                <w:rFonts w:ascii="Arial" w:cs="Arial" w:eastAsia="Arial" w:hAnsi="Arial"/>
                <w:sz w:val="13"/>
                <w:szCs w:val="13"/>
                <w:b w:val="1"/>
                <w:bCs w:val="1"/>
                <w:color w:val="auto"/>
              </w:rPr>
              <w:t>(Commission</w:t>
            </w:r>
          </w:p>
        </w:tc>
        <w:tc>
          <w:tcPr>
            <w:tcW w:w="1820" w:type="dxa"/>
            <w:vAlign w:val="bottom"/>
          </w:tcPr>
          <w:p>
            <w:pPr>
              <w:jc w:val="center"/>
              <w:ind w:left="585"/>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2240" w:type="dxa"/>
            <w:vAlign w:val="bottom"/>
          </w:tcPr>
          <w:p>
            <w:pPr>
              <w:jc w:val="center"/>
              <w:ind w:right="445"/>
              <w:spacing w:after="0"/>
              <w:rPr>
                <w:sz w:val="20"/>
                <w:szCs w:val="20"/>
                <w:color w:val="auto"/>
              </w:rPr>
            </w:pPr>
            <w:r>
              <w:rPr>
                <w:rFonts w:ascii="Arial" w:cs="Arial" w:eastAsia="Arial" w:hAnsi="Arial"/>
                <w:sz w:val="13"/>
                <w:szCs w:val="13"/>
                <w:b w:val="1"/>
                <w:bCs w:val="1"/>
                <w:color w:val="auto"/>
              </w:rPr>
              <w:t>of Incorporation)</w:t>
            </w:r>
          </w:p>
        </w:tc>
        <w:tc>
          <w:tcPr>
            <w:tcW w:w="5860" w:type="dxa"/>
            <w:vAlign w:val="bottom"/>
          </w:tcPr>
          <w:p>
            <w:pPr>
              <w:ind w:left="2480"/>
              <w:spacing w:after="0"/>
              <w:rPr>
                <w:sz w:val="20"/>
                <w:szCs w:val="20"/>
                <w:color w:val="auto"/>
              </w:rPr>
            </w:pPr>
            <w:r>
              <w:rPr>
                <w:rFonts w:ascii="Arial" w:cs="Arial" w:eastAsia="Arial" w:hAnsi="Arial"/>
                <w:sz w:val="13"/>
                <w:szCs w:val="13"/>
                <w:b w:val="1"/>
                <w:bCs w:val="1"/>
                <w:color w:val="auto"/>
              </w:rPr>
              <w:t>File Number)</w:t>
            </w:r>
          </w:p>
        </w:tc>
        <w:tc>
          <w:tcPr>
            <w:tcW w:w="1820" w:type="dxa"/>
            <w:vAlign w:val="bottom"/>
          </w:tcPr>
          <w:p>
            <w:pPr>
              <w:jc w:val="center"/>
              <w:ind w:left="605"/>
              <w:spacing w:after="0"/>
              <w:rPr>
                <w:sz w:val="20"/>
                <w:szCs w:val="20"/>
                <w:color w:val="auto"/>
              </w:rPr>
            </w:pPr>
            <w:r>
              <w:rPr>
                <w:rFonts w:ascii="Arial" w:cs="Arial" w:eastAsia="Arial" w:hAnsi="Arial"/>
                <w:sz w:val="13"/>
                <w:szCs w:val="13"/>
                <w:b w:val="1"/>
                <w:bCs w:val="1"/>
                <w:color w:val="auto"/>
              </w:rPr>
              <w:t>Identification No.)</w:t>
            </w:r>
          </w:p>
        </w:tc>
      </w:tr>
      <w:tr>
        <w:trPr>
          <w:trHeight w:val="650"/>
        </w:trPr>
        <w:tc>
          <w:tcPr>
            <w:tcW w:w="2240" w:type="dxa"/>
            <w:vAlign w:val="bottom"/>
          </w:tcPr>
          <w:p>
            <w:pPr>
              <w:spacing w:after="0"/>
              <w:rPr>
                <w:sz w:val="24"/>
                <w:szCs w:val="24"/>
                <w:color w:val="auto"/>
              </w:rPr>
            </w:pPr>
          </w:p>
        </w:tc>
        <w:tc>
          <w:tcPr>
            <w:tcW w:w="5860" w:type="dxa"/>
            <w:vAlign w:val="bottom"/>
          </w:tcPr>
          <w:p>
            <w:pPr>
              <w:jc w:val="center"/>
              <w:ind w:right="121"/>
              <w:spacing w:after="0"/>
              <w:rPr>
                <w:sz w:val="20"/>
                <w:szCs w:val="20"/>
                <w:color w:val="auto"/>
              </w:rPr>
            </w:pPr>
            <w:r>
              <w:rPr>
                <w:rFonts w:ascii="Arial" w:cs="Arial" w:eastAsia="Arial" w:hAnsi="Arial"/>
                <w:sz w:val="18"/>
                <w:szCs w:val="18"/>
                <w:b w:val="1"/>
                <w:bCs w:val="1"/>
                <w:color w:val="auto"/>
                <w:w w:val="99"/>
              </w:rPr>
              <w:t>One Microsoft Way, Redmond, Washington 98052-6399</w:t>
            </w:r>
          </w:p>
        </w:tc>
        <w:tc>
          <w:tcPr>
            <w:tcW w:w="1820" w:type="dxa"/>
            <w:vAlign w:val="bottom"/>
          </w:tcPr>
          <w:p>
            <w:pPr>
              <w:spacing w:after="0"/>
              <w:rPr>
                <w:sz w:val="24"/>
                <w:szCs w:val="24"/>
                <w:color w:val="auto"/>
              </w:rPr>
            </w:pPr>
          </w:p>
        </w:tc>
      </w:tr>
      <w:tr>
        <w:trPr>
          <w:trHeight w:val="324"/>
        </w:trPr>
        <w:tc>
          <w:tcPr>
            <w:tcW w:w="2240" w:type="dxa"/>
            <w:vAlign w:val="bottom"/>
          </w:tcPr>
          <w:p>
            <w:pPr>
              <w:spacing w:after="0"/>
              <w:rPr>
                <w:sz w:val="24"/>
                <w:szCs w:val="24"/>
                <w:color w:val="auto"/>
              </w:rPr>
            </w:pPr>
          </w:p>
        </w:tc>
        <w:tc>
          <w:tcPr>
            <w:tcW w:w="5860" w:type="dxa"/>
            <w:vAlign w:val="bottom"/>
          </w:tcPr>
          <w:p>
            <w:pPr>
              <w:jc w:val="center"/>
              <w:ind w:right="101"/>
              <w:spacing w:after="0"/>
              <w:rPr>
                <w:sz w:val="20"/>
                <w:szCs w:val="20"/>
                <w:color w:val="auto"/>
              </w:rPr>
            </w:pPr>
            <w:r>
              <w:rPr>
                <w:rFonts w:ascii="Arial" w:cs="Arial" w:eastAsia="Arial" w:hAnsi="Arial"/>
                <w:sz w:val="18"/>
                <w:szCs w:val="18"/>
                <w:b w:val="1"/>
                <w:bCs w:val="1"/>
                <w:color w:val="auto"/>
              </w:rPr>
              <w:t>(425) 882-8080</w:t>
            </w:r>
          </w:p>
        </w:tc>
        <w:tc>
          <w:tcPr>
            <w:tcW w:w="1820" w:type="dxa"/>
            <w:vAlign w:val="bottom"/>
          </w:tcPr>
          <w:p>
            <w:pPr>
              <w:spacing w:after="0"/>
              <w:rPr>
                <w:sz w:val="24"/>
                <w:szCs w:val="24"/>
                <w:color w:val="auto"/>
              </w:rPr>
            </w:pPr>
          </w:p>
        </w:tc>
      </w:tr>
      <w:tr>
        <w:trPr>
          <w:trHeight w:val="186"/>
        </w:trPr>
        <w:tc>
          <w:tcPr>
            <w:tcW w:w="2240" w:type="dxa"/>
            <w:vAlign w:val="bottom"/>
          </w:tcPr>
          <w:p>
            <w:pPr>
              <w:spacing w:after="0"/>
              <w:rPr>
                <w:sz w:val="16"/>
                <w:szCs w:val="16"/>
                <w:color w:val="auto"/>
              </w:rPr>
            </w:pPr>
          </w:p>
        </w:tc>
        <w:tc>
          <w:tcPr>
            <w:tcW w:w="5860" w:type="dxa"/>
            <w:vAlign w:val="bottom"/>
          </w:tcPr>
          <w:p>
            <w:pPr>
              <w:jc w:val="center"/>
              <w:ind w:right="101"/>
              <w:spacing w:after="0"/>
              <w:rPr>
                <w:sz w:val="20"/>
                <w:szCs w:val="20"/>
                <w:color w:val="auto"/>
              </w:rPr>
            </w:pPr>
            <w:r>
              <w:rPr>
                <w:rFonts w:ascii="Arial" w:cs="Arial" w:eastAsia="Arial" w:hAnsi="Arial"/>
                <w:sz w:val="13"/>
                <w:szCs w:val="13"/>
                <w:b w:val="1"/>
                <w:bCs w:val="1"/>
                <w:color w:val="auto"/>
              </w:rPr>
              <w:t>www.microsoft.com/investor</w:t>
            </w:r>
          </w:p>
        </w:tc>
        <w:tc>
          <w:tcPr>
            <w:tcW w:w="1820" w:type="dxa"/>
            <w:vAlign w:val="bottom"/>
          </w:tcPr>
          <w:p>
            <w:pPr>
              <w:spacing w:after="0"/>
              <w:rPr>
                <w:sz w:val="16"/>
                <w:szCs w:val="16"/>
                <w:color w:val="auto"/>
              </w:rPr>
            </w:pPr>
          </w:p>
        </w:tc>
      </w:tr>
    </w:tbl>
    <w:p>
      <w:pPr>
        <w:spacing w:after="0" w:line="120"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01"/>
        </w:trPr>
        <w:tc>
          <w:tcPr>
            <w:tcW w:w="5380" w:type="dxa"/>
            <w:vAlign w:val="bottom"/>
          </w:tcPr>
          <w:p>
            <w:pPr>
              <w:spacing w:after="0"/>
              <w:rPr>
                <w:sz w:val="24"/>
                <w:szCs w:val="24"/>
                <w:color w:val="auto"/>
              </w:rPr>
            </w:pPr>
          </w:p>
        </w:tc>
        <w:tc>
          <w:tcPr>
            <w:tcW w:w="1860" w:type="dxa"/>
            <w:vAlign w:val="bottom"/>
          </w:tcPr>
          <w:p>
            <w:pPr>
              <w:jc w:val="center"/>
              <w:ind w:left="230"/>
              <w:spacing w:after="0"/>
              <w:rPr>
                <w:sz w:val="20"/>
                <w:szCs w:val="20"/>
                <w:color w:val="auto"/>
              </w:rPr>
            </w:pPr>
            <w:r>
              <w:rPr>
                <w:rFonts w:ascii="Arial" w:cs="Arial" w:eastAsia="Arial" w:hAnsi="Arial"/>
                <w:sz w:val="18"/>
                <w:szCs w:val="18"/>
                <w:color w:val="auto"/>
              </w:rPr>
              <w:t>Trading</w:t>
            </w:r>
          </w:p>
        </w:tc>
        <w:tc>
          <w:tcPr>
            <w:tcW w:w="3580" w:type="dxa"/>
            <w:vAlign w:val="bottom"/>
          </w:tcPr>
          <w:p>
            <w:pPr>
              <w:spacing w:after="0"/>
              <w:rPr>
                <w:sz w:val="24"/>
                <w:szCs w:val="24"/>
                <w:color w:val="auto"/>
              </w:rPr>
            </w:pPr>
          </w:p>
        </w:tc>
      </w:tr>
      <w:tr>
        <w:trPr>
          <w:trHeight w:val="239"/>
        </w:trPr>
        <w:tc>
          <w:tcPr>
            <w:tcW w:w="5380" w:type="dxa"/>
            <w:vAlign w:val="bottom"/>
          </w:tcPr>
          <w:p>
            <w:pPr>
              <w:spacing w:after="0"/>
              <w:rPr>
                <w:sz w:val="20"/>
                <w:szCs w:val="20"/>
                <w:color w:val="auto"/>
              </w:rPr>
            </w:pPr>
            <w:r>
              <w:rPr>
                <w:rFonts w:ascii="Arial" w:cs="Arial" w:eastAsia="Arial" w:hAnsi="Arial"/>
                <w:sz w:val="18"/>
                <w:szCs w:val="18"/>
                <w:color w:val="auto"/>
              </w:rPr>
              <w:t>Title of each class</w:t>
            </w:r>
          </w:p>
        </w:tc>
        <w:tc>
          <w:tcPr>
            <w:tcW w:w="1860" w:type="dxa"/>
            <w:vAlign w:val="bottom"/>
          </w:tcPr>
          <w:p>
            <w:pPr>
              <w:jc w:val="center"/>
              <w:ind w:left="290"/>
              <w:spacing w:after="0"/>
              <w:rPr>
                <w:sz w:val="20"/>
                <w:szCs w:val="20"/>
                <w:color w:val="auto"/>
              </w:rPr>
            </w:pPr>
            <w:r>
              <w:rPr>
                <w:rFonts w:ascii="Arial" w:cs="Arial" w:eastAsia="Arial" w:hAnsi="Arial"/>
                <w:sz w:val="18"/>
                <w:szCs w:val="18"/>
                <w:color w:val="auto"/>
                <w:w w:val="99"/>
              </w:rPr>
              <w:t>Symbol</w:t>
            </w:r>
          </w:p>
        </w:tc>
        <w:tc>
          <w:tcPr>
            <w:tcW w:w="3580" w:type="dxa"/>
            <w:vAlign w:val="bottom"/>
          </w:tcPr>
          <w:p>
            <w:pPr>
              <w:jc w:val="center"/>
              <w:ind w:left="370"/>
              <w:spacing w:after="0"/>
              <w:rPr>
                <w:sz w:val="20"/>
                <w:szCs w:val="20"/>
                <w:color w:val="auto"/>
              </w:rPr>
            </w:pPr>
            <w:r>
              <w:rPr>
                <w:rFonts w:ascii="Arial" w:cs="Arial" w:eastAsia="Arial" w:hAnsi="Arial"/>
                <w:sz w:val="18"/>
                <w:szCs w:val="18"/>
                <w:color w:val="auto"/>
                <w:w w:val="99"/>
              </w:rPr>
              <w:t>Name of exchange on which registered</w:t>
            </w:r>
          </w:p>
        </w:tc>
      </w:tr>
      <w:tr>
        <w:trPr>
          <w:trHeight w:val="328"/>
        </w:trPr>
        <w:tc>
          <w:tcPr>
            <w:tcW w:w="5380" w:type="dxa"/>
            <w:vAlign w:val="bottom"/>
          </w:tcPr>
          <w:p>
            <w:pPr>
              <w:spacing w:after="0"/>
              <w:rPr>
                <w:sz w:val="20"/>
                <w:szCs w:val="20"/>
                <w:color w:val="auto"/>
              </w:rPr>
            </w:pPr>
            <w:r>
              <w:rPr>
                <w:rFonts w:ascii="Arial" w:cs="Arial" w:eastAsia="Arial" w:hAnsi="Arial"/>
                <w:sz w:val="18"/>
                <w:szCs w:val="18"/>
                <w:b w:val="1"/>
                <w:bCs w:val="1"/>
                <w:color w:val="auto"/>
              </w:rPr>
              <w:t>Common stock, $0.00000625 par value per share</w:t>
            </w:r>
          </w:p>
        </w:tc>
        <w:tc>
          <w:tcPr>
            <w:tcW w:w="1860" w:type="dxa"/>
            <w:vAlign w:val="bottom"/>
          </w:tcPr>
          <w:p>
            <w:pPr>
              <w:jc w:val="center"/>
              <w:ind w:left="270"/>
              <w:spacing w:after="0"/>
              <w:rPr>
                <w:sz w:val="20"/>
                <w:szCs w:val="20"/>
                <w:color w:val="auto"/>
              </w:rPr>
            </w:pPr>
            <w:r>
              <w:rPr>
                <w:rFonts w:ascii="Arial" w:cs="Arial" w:eastAsia="Arial" w:hAnsi="Arial"/>
                <w:sz w:val="18"/>
                <w:szCs w:val="18"/>
                <w:b w:val="1"/>
                <w:bCs w:val="1"/>
                <w:color w:val="auto"/>
              </w:rPr>
              <w:t>MSFT</w:t>
            </w:r>
          </w:p>
        </w:tc>
        <w:tc>
          <w:tcPr>
            <w:tcW w:w="358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NASDAQ</w:t>
            </w:r>
          </w:p>
        </w:tc>
      </w:tr>
      <w:tr>
        <w:trPr>
          <w:trHeight w:val="243"/>
        </w:trPr>
        <w:tc>
          <w:tcPr>
            <w:tcW w:w="538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860" w:type="dxa"/>
            <w:vAlign w:val="bottom"/>
          </w:tcPr>
          <w:p>
            <w:pPr>
              <w:jc w:val="center"/>
              <w:ind w:left="270"/>
              <w:spacing w:after="0"/>
              <w:rPr>
                <w:sz w:val="20"/>
                <w:szCs w:val="20"/>
                <w:color w:val="auto"/>
              </w:rPr>
            </w:pPr>
            <w:r>
              <w:rPr>
                <w:rFonts w:ascii="Arial" w:cs="Arial" w:eastAsia="Arial" w:hAnsi="Arial"/>
                <w:sz w:val="18"/>
                <w:szCs w:val="18"/>
                <w:b w:val="1"/>
                <w:bCs w:val="1"/>
                <w:color w:val="auto"/>
              </w:rPr>
              <w:t>MSFT</w:t>
            </w:r>
          </w:p>
        </w:tc>
        <w:tc>
          <w:tcPr>
            <w:tcW w:w="358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NASDAQ</w:t>
            </w:r>
          </w:p>
        </w:tc>
      </w:tr>
      <w:tr>
        <w:trPr>
          <w:trHeight w:val="247"/>
        </w:trPr>
        <w:tc>
          <w:tcPr>
            <w:tcW w:w="538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860" w:type="dxa"/>
            <w:vAlign w:val="bottom"/>
          </w:tcPr>
          <w:p>
            <w:pPr>
              <w:jc w:val="center"/>
              <w:ind w:left="270"/>
              <w:spacing w:after="0"/>
              <w:rPr>
                <w:sz w:val="20"/>
                <w:szCs w:val="20"/>
                <w:color w:val="auto"/>
              </w:rPr>
            </w:pPr>
            <w:r>
              <w:rPr>
                <w:rFonts w:ascii="Arial" w:cs="Arial" w:eastAsia="Arial" w:hAnsi="Arial"/>
                <w:sz w:val="18"/>
                <w:szCs w:val="18"/>
                <w:b w:val="1"/>
                <w:bCs w:val="1"/>
                <w:color w:val="auto"/>
              </w:rPr>
              <w:t>MSFT</w:t>
            </w:r>
          </w:p>
        </w:tc>
        <w:tc>
          <w:tcPr>
            <w:tcW w:w="358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NASDAQ</w:t>
            </w:r>
          </w:p>
        </w:tc>
      </w:tr>
    </w:tbl>
    <w:p>
      <w:pPr>
        <w:spacing w:after="0" w:line="118"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January 28, 2026, Microsoft Corporation issued a press release announcing its financial results for the fiscal quarter ended December 31, 2025. A copy of the press release is furnished as Exhibit 99.1 to this report.</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ind w:left="480"/>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Press release, dated January 28, 2026, issued by Microsoft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-7620</wp:posOffset>
            </wp:positionV>
            <wp:extent cx="3632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2835" cy="8890"/>
                    </a:xfrm>
                    <a:prstGeom prst="rect">
                      <a:avLst/>
                    </a:prstGeom>
                    <a:noFill/>
                  </pic:spPr>
                </pic:pic>
              </a:graphicData>
            </a:graphic>
          </wp:anchor>
        </w:drawing>
      </w:r>
    </w:p>
    <w:p>
      <w:pPr>
        <w:ind w:left="480"/>
        <w:spacing w:after="0"/>
        <w:tabs>
          <w:tab w:leader="none" w:pos="104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MICROSOFT CORPORATION</w:t>
      </w:r>
    </w:p>
    <w:p>
      <w:pPr>
        <w:spacing w:after="0" w:line="276"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Date: January 28, 2026</w:t>
      </w:r>
      <w:r>
        <w:rPr>
          <w:sz w:val="20"/>
          <w:szCs w:val="20"/>
          <w:color w:val="auto"/>
        </w:rPr>
        <w:tab/>
      </w: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w:t>
      </w:r>
      <w:r>
        <w:rPr>
          <w:rFonts w:ascii="Arial" w:cs="Arial" w:eastAsia="Arial" w:hAnsi="Arial"/>
          <w:sz w:val="19"/>
          <w:szCs w:val="19"/>
          <w:color w:val="auto"/>
        </w:rPr>
        <w:t>.</w:t>
      </w:r>
      <w:r>
        <w:rPr>
          <w:rFonts w:ascii="Arial" w:cs="Arial" w:eastAsia="Arial" w:hAnsi="Arial"/>
          <w:sz w:val="18"/>
          <w:szCs w:val="18"/>
          <w:color w:val="auto"/>
        </w:rPr>
        <w:t xml:space="preserve">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0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Alice L. Jolla</w:t>
      </w:r>
    </w:p>
    <w:p>
      <w:pPr>
        <w:spacing w:after="0" w:line="18"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Corporate Vice President and</w:t>
      </w:r>
    </w:p>
    <w:p>
      <w:pPr>
        <w:spacing w:after="0" w:line="1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666666"/>
        </w:rPr>
        <w:t>Microsoft Cloud and AI Strength Drives Second Quarter Results</w:t>
      </w:r>
    </w:p>
    <w:p>
      <w:pPr>
        <w:spacing w:after="0" w:line="23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666666"/>
        </w:rPr>
        <w:t xml:space="preserve">REDMOND, Wash. — January 28, 2026 — </w:t>
      </w:r>
      <w:r>
        <w:rPr>
          <w:rFonts w:ascii="Arial" w:cs="Arial" w:eastAsia="Arial" w:hAnsi="Arial"/>
          <w:sz w:val="18"/>
          <w:szCs w:val="18"/>
          <w:color w:val="666666"/>
        </w:rPr>
        <w:t>Microsoft Corp. today announced the following results for the quarter ended December 31,</w:t>
      </w:r>
      <w:r>
        <w:rPr>
          <w:rFonts w:ascii="Arial" w:cs="Arial" w:eastAsia="Arial" w:hAnsi="Arial"/>
          <w:sz w:val="18"/>
          <w:szCs w:val="18"/>
          <w:b w:val="1"/>
          <w:bCs w:val="1"/>
          <w:color w:val="666666"/>
        </w:rPr>
        <w:t xml:space="preserve"> </w:t>
      </w:r>
      <w:r>
        <w:rPr>
          <w:rFonts w:ascii="Arial" w:cs="Arial" w:eastAsia="Arial" w:hAnsi="Arial"/>
          <w:sz w:val="18"/>
          <w:szCs w:val="18"/>
          <w:color w:val="666666"/>
        </w:rPr>
        <w:t>2025, as compared to the corresponding period of last fiscal year:</w:t>
      </w:r>
    </w:p>
    <w:p>
      <w:pPr>
        <w:spacing w:after="0" w:line="15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666666"/>
        </w:rPr>
      </w:pPr>
      <w:r>
        <w:rPr>
          <w:rFonts w:ascii="Arial" w:cs="Arial" w:eastAsia="Arial" w:hAnsi="Arial"/>
          <w:sz w:val="18"/>
          <w:szCs w:val="18"/>
          <w:color w:val="666666"/>
        </w:rPr>
        <w:t>Revenue was $81.3 billion and increased 17% (up 15% in constant currency)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666666"/>
        </w:rPr>
      </w:pPr>
      <w:r>
        <w:rPr>
          <w:rFonts w:ascii="Arial" w:cs="Arial" w:eastAsia="Arial" w:hAnsi="Arial"/>
          <w:sz w:val="18"/>
          <w:szCs w:val="18"/>
          <w:color w:val="666666"/>
        </w:rPr>
        <w:t>Operating income was $38.3 billion and increased 21% (up 19% in constant currency)</w:t>
      </w:r>
    </w:p>
    <w:p>
      <w:pPr>
        <w:spacing w:after="0" w:line="116" w:lineRule="exact"/>
        <w:rPr>
          <w:rFonts w:ascii="Times New Roman" w:cs="Times New Roman" w:eastAsia="Times New Roman" w:hAnsi="Times New Roman"/>
          <w:sz w:val="18"/>
          <w:szCs w:val="18"/>
          <w:color w:val="666666"/>
        </w:rPr>
      </w:pPr>
    </w:p>
    <w:p>
      <w:pPr>
        <w:ind w:left="760" w:right="40" w:hanging="378"/>
        <w:spacing w:after="0" w:line="270" w:lineRule="auto"/>
        <w:tabs>
          <w:tab w:leader="none" w:pos="760" w:val="left"/>
        </w:tabs>
        <w:numPr>
          <w:ilvl w:val="0"/>
          <w:numId w:val="2"/>
        </w:numPr>
        <w:rPr>
          <w:rFonts w:ascii="Times New Roman" w:cs="Times New Roman" w:eastAsia="Times New Roman" w:hAnsi="Times New Roman"/>
          <w:sz w:val="18"/>
          <w:szCs w:val="18"/>
          <w:color w:val="666666"/>
        </w:rPr>
      </w:pPr>
      <w:r>
        <w:rPr>
          <w:rFonts w:ascii="Arial" w:cs="Arial" w:eastAsia="Arial" w:hAnsi="Arial"/>
          <w:sz w:val="18"/>
          <w:szCs w:val="18"/>
          <w:color w:val="666666"/>
        </w:rPr>
        <w:t>Net income on a GAAP basis was $38.5 billion and increased 60%, and on a non-GAAP basis was $30.9 billion and increased 23% (up 21% in constant currency)</w:t>
      </w:r>
    </w:p>
    <w:p>
      <w:pPr>
        <w:spacing w:after="0" w:line="46" w:lineRule="exact"/>
        <w:rPr>
          <w:rFonts w:ascii="Times New Roman" w:cs="Times New Roman" w:eastAsia="Times New Roman" w:hAnsi="Times New Roman"/>
          <w:sz w:val="18"/>
          <w:szCs w:val="18"/>
          <w:color w:val="666666"/>
        </w:rPr>
      </w:pPr>
    </w:p>
    <w:p>
      <w:pPr>
        <w:ind w:left="760" w:right="260" w:hanging="378"/>
        <w:spacing w:after="0" w:line="270" w:lineRule="auto"/>
        <w:tabs>
          <w:tab w:leader="none" w:pos="760" w:val="left"/>
        </w:tabs>
        <w:numPr>
          <w:ilvl w:val="0"/>
          <w:numId w:val="2"/>
        </w:numPr>
        <w:rPr>
          <w:rFonts w:ascii="Times New Roman" w:cs="Times New Roman" w:eastAsia="Times New Roman" w:hAnsi="Times New Roman"/>
          <w:sz w:val="18"/>
          <w:szCs w:val="18"/>
          <w:color w:val="666666"/>
        </w:rPr>
      </w:pPr>
      <w:r>
        <w:rPr>
          <w:rFonts w:ascii="Arial" w:cs="Arial" w:eastAsia="Arial" w:hAnsi="Arial"/>
          <w:sz w:val="18"/>
          <w:szCs w:val="18"/>
          <w:color w:val="666666"/>
        </w:rPr>
        <w:t>Diluted earnings per share on a GAAP basis was $5.16 and increased 60%, and on a non-GAAP basis was $4.14 and increased 24% (up 21% in constant currency)</w:t>
      </w:r>
    </w:p>
    <w:p>
      <w:pPr>
        <w:spacing w:after="0" w:line="4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666666"/>
        </w:rPr>
      </w:pPr>
      <w:r>
        <w:rPr>
          <w:rFonts w:ascii="Arial" w:cs="Arial" w:eastAsia="Arial" w:hAnsi="Arial"/>
          <w:sz w:val="18"/>
          <w:szCs w:val="18"/>
          <w:color w:val="666666"/>
        </w:rPr>
        <w:t>Non-GAAP results exclude the impact from investments in OpenAI, explained in the Non-GAAP Definition section below</w:t>
      </w:r>
    </w:p>
    <w:p>
      <w:pPr>
        <w:spacing w:after="0" w:line="22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666666"/>
        </w:rPr>
        <w:t>“We are only at the beginning phases of AI diffusion and already Microsoft has built an AI business that is larger than some of our biggest franchises," said Satya Nadella, chairman and chief executive officer of Microsoft. “We are pushing the frontier across our entire AI stack to drive new value for our customers and partners.”</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666666"/>
        </w:rPr>
        <w:t>“Microsoft Cloud revenue crossed $50 billion this quarter, reflecting the strong demand for our portfolio of services,” said Amy Hood, executive vice president and chief financial officer of Microsoft. “We exceeded expectations across revenue, operating income, and earnings per share.”</w:t>
      </w:r>
    </w:p>
    <w:p>
      <w:pPr>
        <w:spacing w:after="0" w:line="169"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666666"/>
        </w:rPr>
        <w:t>The following table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p>
    <w:p>
      <w:pPr>
        <w:spacing w:after="0" w:line="16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666666"/>
        </w:rPr>
        <w:t>Three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 w:type="dxa"/>
            <w:vAlign w:val="bottom"/>
            <w:tcBorders>
              <w:top w:val="single" w:sz="8" w:color="auto"/>
            </w:tcBorders>
          </w:tcPr>
          <w:p>
            <w:pPr>
              <w:spacing w:after="0"/>
              <w:rPr>
                <w:sz w:val="16"/>
                <w:szCs w:val="16"/>
                <w:color w:val="auto"/>
              </w:rPr>
            </w:pPr>
          </w:p>
        </w:tc>
        <w:tc>
          <w:tcPr>
            <w:tcW w:w="58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666666"/>
                <w:w w:val="98"/>
              </w:rPr>
              <w:t>Diluted</w:t>
            </w:r>
          </w:p>
        </w:tc>
      </w:tr>
      <w:tr>
        <w:trPr>
          <w:trHeight w:val="203"/>
        </w:trPr>
        <w:tc>
          <w:tcPr>
            <w:tcW w:w="4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5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666666"/>
                <w:w w:val="98"/>
              </w:rPr>
              <w:t>Earnings</w:t>
            </w:r>
          </w:p>
        </w:tc>
      </w:tr>
      <w:tr>
        <w:trPr>
          <w:trHeight w:val="242"/>
        </w:trPr>
        <w:tc>
          <w:tcPr>
            <w:tcW w:w="6240" w:type="dxa"/>
            <w:vAlign w:val="bottom"/>
            <w:tcBorders>
              <w:bottom w:val="single" w:sz="8" w:color="666666"/>
            </w:tcBorders>
            <w:gridSpan w:val="2"/>
          </w:tcPr>
          <w:p>
            <w:pPr>
              <w:ind w:left="60"/>
              <w:spacing w:after="0"/>
              <w:rPr>
                <w:sz w:val="20"/>
                <w:szCs w:val="20"/>
                <w:color w:val="auto"/>
              </w:rPr>
            </w:pPr>
            <w:r>
              <w:rPr>
                <w:rFonts w:ascii="Arial" w:cs="Arial" w:eastAsia="Arial" w:hAnsi="Arial"/>
                <w:sz w:val="18"/>
                <w:szCs w:val="18"/>
                <w:color w:val="666666"/>
              </w:rPr>
              <w:t>($ in millions, except per share amounts)</w:t>
            </w:r>
          </w:p>
        </w:tc>
        <w:tc>
          <w:tcPr>
            <w:tcW w:w="3460" w:type="dxa"/>
            <w:vAlign w:val="bottom"/>
            <w:tcBorders>
              <w:bottom w:val="single" w:sz="8" w:color="666666"/>
            </w:tcBorders>
          </w:tcPr>
          <w:p>
            <w:pPr>
              <w:jc w:val="right"/>
              <w:ind w:right="710"/>
              <w:spacing w:after="0"/>
              <w:rPr>
                <w:sz w:val="20"/>
                <w:szCs w:val="20"/>
                <w:color w:val="auto"/>
              </w:rPr>
            </w:pPr>
            <w:r>
              <w:rPr>
                <w:rFonts w:ascii="Arial" w:cs="Arial" w:eastAsia="Arial" w:hAnsi="Arial"/>
                <w:sz w:val="18"/>
                <w:szCs w:val="18"/>
                <w:b w:val="1"/>
                <w:bCs w:val="1"/>
                <w:color w:val="666666"/>
              </w:rPr>
              <w:t>Net Income</w:t>
            </w:r>
          </w:p>
        </w:tc>
        <w:tc>
          <w:tcPr>
            <w:tcW w:w="1540" w:type="dxa"/>
            <w:vAlign w:val="bottom"/>
            <w:tcBorders>
              <w:bottom w:val="single" w:sz="8" w:color="666666"/>
            </w:tcBorders>
          </w:tcPr>
          <w:p>
            <w:pPr>
              <w:jc w:val="center"/>
              <w:ind w:right="50"/>
              <w:spacing w:after="0"/>
              <w:rPr>
                <w:sz w:val="20"/>
                <w:szCs w:val="20"/>
                <w:color w:val="auto"/>
              </w:rPr>
            </w:pPr>
            <w:r>
              <w:rPr>
                <w:rFonts w:ascii="Arial" w:cs="Arial" w:eastAsia="Arial" w:hAnsi="Arial"/>
                <w:sz w:val="18"/>
                <w:szCs w:val="18"/>
                <w:b w:val="1"/>
                <w:bCs w:val="1"/>
                <w:color w:val="666666"/>
              </w:rPr>
              <w:t>per Share</w:t>
            </w:r>
          </w:p>
        </w:tc>
      </w:tr>
      <w:tr>
        <w:trPr>
          <w:trHeight w:val="203"/>
        </w:trPr>
        <w:tc>
          <w:tcPr>
            <w:tcW w:w="440" w:type="dxa"/>
            <w:vAlign w:val="bottom"/>
            <w:tcBorders>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2024</w:t>
            </w:r>
          </w:p>
        </w:tc>
        <w:tc>
          <w:tcPr>
            <w:tcW w:w="5800" w:type="dxa"/>
            <w:vAlign w:val="bottom"/>
            <w:tcBorders>
              <w:bottom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666666"/>
              </w:rPr>
              <w:t>As Reported (GAAP)</w:t>
            </w:r>
          </w:p>
        </w:tc>
        <w:tc>
          <w:tcPr>
            <w:tcW w:w="3460" w:type="dxa"/>
            <w:vAlign w:val="bottom"/>
            <w:tcBorders>
              <w:bottom w:val="single" w:sz="8" w:color="auto"/>
            </w:tcBorders>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666666"/>
              </w:rPr>
              <w:t>$24,108</w:t>
            </w:r>
          </w:p>
        </w:tc>
        <w:tc>
          <w:tcPr>
            <w:tcW w:w="154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$3.23</w:t>
            </w:r>
          </w:p>
        </w:tc>
      </w:tr>
      <w:tr>
        <w:trPr>
          <w:trHeight w:val="196"/>
        </w:trPr>
        <w:tc>
          <w:tcPr>
            <w:tcW w:w="6240" w:type="dxa"/>
            <w:vAlign w:val="bottom"/>
            <w:tcBorders>
              <w:bottom w:val="single" w:sz="8" w:color="auto"/>
            </w:tcBorders>
            <w:gridSpan w:val="2"/>
          </w:tcPr>
          <w:p>
            <w:pPr>
              <w:ind w:left="200"/>
              <w:spacing w:after="0" w:line="196" w:lineRule="exact"/>
              <w:rPr>
                <w:sz w:val="20"/>
                <w:szCs w:val="20"/>
                <w:color w:val="auto"/>
              </w:rPr>
            </w:pPr>
            <w:r>
              <w:rPr>
                <w:rFonts w:ascii="Arial" w:cs="Arial" w:eastAsia="Arial" w:hAnsi="Arial"/>
                <w:sz w:val="18"/>
                <w:szCs w:val="18"/>
                <w:color w:val="666666"/>
              </w:rPr>
              <w:t>Impact from investments in OpenAI</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666666"/>
              </w:rPr>
              <w:t>939</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666666"/>
              </w:rPr>
              <w:t>0.12</w:t>
            </w:r>
          </w:p>
        </w:tc>
      </w:tr>
      <w:tr>
        <w:trPr>
          <w:trHeight w:val="196"/>
        </w:trPr>
        <w:tc>
          <w:tcPr>
            <w:tcW w:w="44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2024</w:t>
            </w:r>
          </w:p>
        </w:tc>
        <w:tc>
          <w:tcPr>
            <w:tcW w:w="5800" w:type="dxa"/>
            <w:vAlign w:val="bottom"/>
            <w:tcBorders>
              <w:bottom w:val="single" w:sz="8" w:color="auto"/>
            </w:tcBorders>
            <w:shd w:val="clear" w:color="auto" w:fill="E5E5E5"/>
          </w:tcPr>
          <w:p>
            <w:pPr>
              <w:ind w:left="20"/>
              <w:spacing w:after="0" w:line="196" w:lineRule="exact"/>
              <w:rPr>
                <w:sz w:val="20"/>
                <w:szCs w:val="20"/>
                <w:color w:val="auto"/>
              </w:rPr>
            </w:pPr>
            <w:r>
              <w:rPr>
                <w:rFonts w:ascii="Arial" w:cs="Arial" w:eastAsia="Arial" w:hAnsi="Arial"/>
                <w:sz w:val="18"/>
                <w:szCs w:val="18"/>
                <w:b w:val="1"/>
                <w:bCs w:val="1"/>
                <w:color w:val="666666"/>
              </w:rPr>
              <w:t>As Adjusted (non-GAAP)</w:t>
            </w:r>
          </w:p>
        </w:tc>
        <w:tc>
          <w:tcPr>
            <w:tcW w:w="3460" w:type="dxa"/>
            <w:vAlign w:val="bottom"/>
            <w:tcBorders>
              <w:bottom w:val="single" w:sz="8" w:color="auto"/>
            </w:tcBorders>
            <w:shd w:val="clear" w:color="auto" w:fill="E5E5E5"/>
          </w:tcPr>
          <w:p>
            <w:pPr>
              <w:jc w:val="right"/>
              <w:ind w:right="210"/>
              <w:spacing w:after="0" w:line="196" w:lineRule="exact"/>
              <w:rPr>
                <w:sz w:val="20"/>
                <w:szCs w:val="20"/>
                <w:color w:val="auto"/>
              </w:rPr>
            </w:pPr>
            <w:r>
              <w:rPr>
                <w:rFonts w:ascii="Arial" w:cs="Arial" w:eastAsia="Arial" w:hAnsi="Arial"/>
                <w:sz w:val="18"/>
                <w:szCs w:val="18"/>
                <w:b w:val="1"/>
                <w:bCs w:val="1"/>
                <w:color w:val="666666"/>
              </w:rPr>
              <w:t>$25,047</w:t>
            </w:r>
          </w:p>
        </w:tc>
        <w:tc>
          <w:tcPr>
            <w:tcW w:w="1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$3.35</w:t>
            </w:r>
          </w:p>
        </w:tc>
      </w:tr>
      <w:tr>
        <w:trPr>
          <w:trHeight w:val="196"/>
        </w:trPr>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2025</w:t>
            </w:r>
          </w:p>
        </w:tc>
        <w:tc>
          <w:tcPr>
            <w:tcW w:w="58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666666"/>
              </w:rPr>
              <w:t>As Reported (GAAP)</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666666"/>
              </w:rPr>
              <w:t>$38,458</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$5.16</w:t>
            </w:r>
          </w:p>
        </w:tc>
      </w:tr>
      <w:tr>
        <w:trPr>
          <w:trHeight w:val="196"/>
        </w:trPr>
        <w:tc>
          <w:tcPr>
            <w:tcW w:w="6240" w:type="dxa"/>
            <w:vAlign w:val="bottom"/>
            <w:tcBorders>
              <w:bottom w:val="single" w:sz="8" w:color="auto"/>
            </w:tcBorders>
            <w:gridSpan w:val="2"/>
            <w:shd w:val="clear" w:color="auto" w:fill="E5E5E5"/>
          </w:tcPr>
          <w:p>
            <w:pPr>
              <w:ind w:left="200"/>
              <w:spacing w:after="0" w:line="196" w:lineRule="exact"/>
              <w:rPr>
                <w:sz w:val="20"/>
                <w:szCs w:val="20"/>
                <w:color w:val="auto"/>
              </w:rPr>
            </w:pPr>
            <w:r>
              <w:rPr>
                <w:rFonts w:ascii="Arial" w:cs="Arial" w:eastAsia="Arial" w:hAnsi="Arial"/>
                <w:sz w:val="18"/>
                <w:szCs w:val="18"/>
                <w:color w:val="666666"/>
              </w:rPr>
              <w:t>Impact from investments in OpenAI</w:t>
            </w:r>
          </w:p>
        </w:tc>
        <w:tc>
          <w:tcPr>
            <w:tcW w:w="3460" w:type="dxa"/>
            <w:vAlign w:val="bottom"/>
            <w:tcBorders>
              <w:bottom w:val="single" w:sz="8" w:color="auto"/>
            </w:tcBorders>
            <w:shd w:val="clear" w:color="auto" w:fill="E5E5E5"/>
          </w:tcPr>
          <w:p>
            <w:pPr>
              <w:jc w:val="right"/>
              <w:ind w:right="210"/>
              <w:spacing w:after="0" w:line="196" w:lineRule="exact"/>
              <w:rPr>
                <w:sz w:val="20"/>
                <w:szCs w:val="20"/>
                <w:color w:val="auto"/>
              </w:rPr>
            </w:pPr>
            <w:r>
              <w:rPr>
                <w:rFonts w:ascii="Arial" w:cs="Arial" w:eastAsia="Arial" w:hAnsi="Arial"/>
                <w:sz w:val="18"/>
                <w:szCs w:val="18"/>
                <w:color w:val="666666"/>
              </w:rPr>
              <w:t>(7,583)</w:t>
            </w:r>
          </w:p>
        </w:tc>
        <w:tc>
          <w:tcPr>
            <w:tcW w:w="1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(1.02)</w:t>
            </w:r>
          </w:p>
        </w:tc>
      </w:tr>
      <w:tr>
        <w:trPr>
          <w:trHeight w:val="196"/>
        </w:trPr>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2025</w:t>
            </w:r>
          </w:p>
        </w:tc>
        <w:tc>
          <w:tcPr>
            <w:tcW w:w="58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666666"/>
              </w:rPr>
              <w:t>As Adjusted (non-GAAP)</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666666"/>
              </w:rPr>
              <w:t>$30,875</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$4.14</w:t>
            </w:r>
          </w:p>
        </w:tc>
      </w:tr>
      <w:tr>
        <w:trPr>
          <w:trHeight w:val="196"/>
        </w:trPr>
        <w:tc>
          <w:tcPr>
            <w:tcW w:w="6240" w:type="dxa"/>
            <w:vAlign w:val="bottom"/>
            <w:tcBorders>
              <w:bottom w:val="single" w:sz="8" w:color="auto"/>
            </w:tcBorders>
            <w:gridSpan w:val="2"/>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(GAAP)</w:t>
            </w:r>
          </w:p>
        </w:tc>
        <w:tc>
          <w:tcPr>
            <w:tcW w:w="3460" w:type="dxa"/>
            <w:vAlign w:val="bottom"/>
            <w:tcBorders>
              <w:bottom w:val="single" w:sz="8" w:color="auto"/>
            </w:tcBorders>
            <w:shd w:val="clear" w:color="auto" w:fill="E5E5E5"/>
          </w:tcPr>
          <w:p>
            <w:pPr>
              <w:jc w:val="right"/>
              <w:ind w:right="210"/>
              <w:spacing w:after="0" w:line="196" w:lineRule="exact"/>
              <w:rPr>
                <w:sz w:val="20"/>
                <w:szCs w:val="20"/>
                <w:color w:val="auto"/>
              </w:rPr>
            </w:pPr>
            <w:r>
              <w:rPr>
                <w:rFonts w:ascii="Arial" w:cs="Arial" w:eastAsia="Arial" w:hAnsi="Arial"/>
                <w:sz w:val="18"/>
                <w:szCs w:val="18"/>
                <w:color w:val="666666"/>
              </w:rPr>
              <w:t>60%</w:t>
            </w:r>
          </w:p>
        </w:tc>
        <w:tc>
          <w:tcPr>
            <w:tcW w:w="1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60%</w:t>
            </w:r>
          </w:p>
        </w:tc>
      </w:tr>
      <w:tr>
        <w:trPr>
          <w:trHeight w:val="196"/>
        </w:trPr>
        <w:tc>
          <w:tcPr>
            <w:tcW w:w="6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666666"/>
              </w:rPr>
              <w:t>Percentage Change Y/Y Constant Currency</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666666"/>
              </w:rPr>
              <w:t>57%</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666666"/>
              </w:rPr>
              <w:t>58%</w:t>
            </w:r>
          </w:p>
        </w:tc>
      </w:tr>
      <w:tr>
        <w:trPr>
          <w:trHeight w:val="196"/>
        </w:trPr>
        <w:tc>
          <w:tcPr>
            <w:tcW w:w="6240" w:type="dxa"/>
            <w:vAlign w:val="bottom"/>
            <w:tcBorders>
              <w:bottom w:val="single" w:sz="8" w:color="auto"/>
            </w:tcBorders>
            <w:gridSpan w:val="2"/>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(non-GAAP)</w:t>
            </w:r>
          </w:p>
        </w:tc>
        <w:tc>
          <w:tcPr>
            <w:tcW w:w="3460" w:type="dxa"/>
            <w:vAlign w:val="bottom"/>
            <w:tcBorders>
              <w:bottom w:val="single" w:sz="8" w:color="auto"/>
            </w:tcBorders>
            <w:shd w:val="clear" w:color="auto" w:fill="E5E5E5"/>
          </w:tcPr>
          <w:p>
            <w:pPr>
              <w:jc w:val="right"/>
              <w:ind w:right="210"/>
              <w:spacing w:after="0" w:line="196" w:lineRule="exact"/>
              <w:rPr>
                <w:sz w:val="20"/>
                <w:szCs w:val="20"/>
                <w:color w:val="auto"/>
              </w:rPr>
            </w:pPr>
            <w:r>
              <w:rPr>
                <w:rFonts w:ascii="Arial" w:cs="Arial" w:eastAsia="Arial" w:hAnsi="Arial"/>
                <w:sz w:val="18"/>
                <w:szCs w:val="18"/>
                <w:color w:val="666666"/>
              </w:rPr>
              <w:t>23%</w:t>
            </w:r>
          </w:p>
        </w:tc>
        <w:tc>
          <w:tcPr>
            <w:tcW w:w="154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24%</w:t>
            </w:r>
          </w:p>
        </w:tc>
      </w:tr>
      <w:tr>
        <w:trPr>
          <w:trHeight w:val="196"/>
        </w:trPr>
        <w:tc>
          <w:tcPr>
            <w:tcW w:w="6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666666"/>
              </w:rPr>
              <w:t>Percentage Change Y/Y (non-GAAP) Constant Currency</w:t>
            </w:r>
          </w:p>
        </w:tc>
        <w:tc>
          <w:tcPr>
            <w:tcW w:w="3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666666"/>
              </w:rPr>
              <w:t>21%</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666666"/>
              </w:rPr>
              <w:t>21%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Highlights</w:t>
      </w:r>
    </w:p>
    <w:p>
      <w:pPr>
        <w:spacing w:after="0" w:line="21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666666"/>
        </w:rPr>
        <w:t>Microsoft Cloud revenue was $51.5 billion and increased 26% (up 24% in constant currency), and commercial remaining performance obligation increased 110% to $625 billion.</w:t>
      </w:r>
    </w:p>
    <w:p>
      <w:pPr>
        <w:spacing w:after="0" w:line="15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666666"/>
        </w:rPr>
        <w:t>Revenue in Productivity and Business Processes was $34.1 billion and increased 16% (up 14% in constant currency), with the following business highlights:</w:t>
      </w:r>
    </w:p>
    <w:p>
      <w:pPr>
        <w:spacing w:after="0" w:line="1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666666"/>
        </w:rPr>
      </w:pPr>
      <w:r>
        <w:rPr>
          <w:rFonts w:ascii="Arial" w:cs="Arial" w:eastAsia="Arial" w:hAnsi="Arial"/>
          <w:sz w:val="18"/>
          <w:szCs w:val="18"/>
          <w:color w:val="666666"/>
        </w:rPr>
        <w:t>Microsoft 365 Commercial cloud revenue increased 17% (up 14% in constant currency)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666666"/>
        </w:rPr>
      </w:pPr>
      <w:r>
        <w:rPr>
          <w:rFonts w:ascii="Arial" w:cs="Arial" w:eastAsia="Arial" w:hAnsi="Arial"/>
          <w:sz w:val="18"/>
          <w:szCs w:val="18"/>
          <w:color w:val="666666"/>
        </w:rPr>
        <w:t>Microsoft 365 Consumer cloud revenue increased 29% (up 27%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760" w:hanging="378"/>
        <w:spacing w:after="0"/>
        <w:tabs>
          <w:tab w:leader="none" w:pos="760" w:val="left"/>
        </w:tabs>
        <w:numPr>
          <w:ilvl w:val="0"/>
          <w:numId w:val="4"/>
        </w:numPr>
        <w:rPr>
          <w:rFonts w:ascii="Times New Roman" w:cs="Times New Roman" w:eastAsia="Times New Roman" w:hAnsi="Times New Roman"/>
          <w:sz w:val="18"/>
          <w:szCs w:val="18"/>
          <w:color w:val="666666"/>
        </w:rPr>
      </w:pPr>
      <w:r>
        <w:rPr>
          <w:rFonts w:ascii="Arial" w:cs="Arial" w:eastAsia="Arial" w:hAnsi="Arial"/>
          <w:sz w:val="18"/>
          <w:szCs w:val="18"/>
          <w:color w:val="666666"/>
        </w:rPr>
        <w:t>LinkedIn revenue increased 11% (up 10% in constant currency)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666666"/>
        </w:rPr>
      </w:pPr>
      <w:r>
        <w:rPr>
          <w:rFonts w:ascii="Arial" w:cs="Arial" w:eastAsia="Arial" w:hAnsi="Arial"/>
          <w:sz w:val="18"/>
          <w:szCs w:val="18"/>
          <w:color w:val="666666"/>
        </w:rPr>
        <w:t>Dynamics 365 revenue increased 19% (up 17% in constant currency)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666666"/>
        </w:rPr>
        <w:t>Revenue in Intelligent Cloud was $32.9 billion and increased 29% (up 28% in constant currency), with the following business highlights:</w:t>
      </w:r>
    </w:p>
    <w:p>
      <w:pPr>
        <w:spacing w:after="0" w:line="212"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666666"/>
        </w:rPr>
      </w:pPr>
      <w:r>
        <w:rPr>
          <w:rFonts w:ascii="Arial" w:cs="Arial" w:eastAsia="Arial" w:hAnsi="Arial"/>
          <w:sz w:val="18"/>
          <w:szCs w:val="18"/>
          <w:color w:val="666666"/>
        </w:rPr>
        <w:t>Azure and other cloud services revenue increased 39% (up 38% in constant currency)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666666"/>
        </w:rPr>
        <w:t>Revenue in More Personal Computing was $14.3 billion and decreased 3%, with the following business highlights:</w:t>
      </w:r>
    </w:p>
    <w:p>
      <w:pPr>
        <w:spacing w:after="0" w:line="21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666666"/>
        </w:rPr>
      </w:pPr>
      <w:r>
        <w:rPr>
          <w:rFonts w:ascii="Arial" w:cs="Arial" w:eastAsia="Arial" w:hAnsi="Arial"/>
          <w:sz w:val="18"/>
          <w:szCs w:val="18"/>
          <w:color w:val="666666"/>
        </w:rPr>
        <w:t>Windows OEM and Devices revenue increased 1% (relatively unchanged in constant currency)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666666"/>
        </w:rPr>
      </w:pPr>
      <w:r>
        <w:rPr>
          <w:rFonts w:ascii="Arial" w:cs="Arial" w:eastAsia="Arial" w:hAnsi="Arial"/>
          <w:sz w:val="18"/>
          <w:szCs w:val="18"/>
          <w:color w:val="666666"/>
        </w:rPr>
        <w:t>Xbox content and services revenue decreased 5% (down 6% in constant currency)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666666"/>
        </w:rPr>
      </w:pPr>
      <w:r>
        <w:rPr>
          <w:rFonts w:ascii="Arial" w:cs="Arial" w:eastAsia="Arial" w:hAnsi="Arial"/>
          <w:sz w:val="18"/>
          <w:szCs w:val="18"/>
          <w:color w:val="666666"/>
        </w:rPr>
        <w:t>Search and news advertising revenue excluding traffic acquisition costs increased 10% (up 9% in constant currency)</w:t>
      </w:r>
    </w:p>
    <w:p>
      <w:pPr>
        <w:spacing w:after="0" w:line="2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666666"/>
        </w:rPr>
        <w:t>Microsoft returned $12.7 billion to shareholders in the form of dividends and share repurchases in the second quarter of fiscal year 2026, an increase of 32% compared to the second quarter of fiscal year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Outlook</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666666"/>
        </w:rPr>
        <w:t>Microsoft will provide forward-looking guidance in connection with this quarterly earnings announcement on its earnings conference call and webcast.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Quarterly Highlights, Product Releases, and Customer Stories</w:t>
      </w:r>
    </w:p>
    <w:p>
      <w:pPr>
        <w:spacing w:after="0" w:line="212"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666666"/>
        </w:rPr>
        <w:t>Every quarter Microsoft delivers hundreds of products, services, and enhancements. These releases are driven by years of significant research and development investments, to empower customers with greater productivity, security, and differentiated value.</w:t>
      </w:r>
    </w:p>
    <w:p>
      <w:pPr>
        <w:spacing w:after="0" w:line="15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666666"/>
        </w:rPr>
        <w:t xml:space="preserve">This momentum is reflected in stories that showcase how our technology is </w:t>
      </w:r>
      <w:r>
        <w:rPr>
          <w:rFonts w:ascii="Arial" w:cs="Arial" w:eastAsia="Arial" w:hAnsi="Arial"/>
          <w:sz w:val="18"/>
          <w:szCs w:val="18"/>
          <w:u w:val="single" w:color="auto"/>
          <w:color w:val="666666"/>
        </w:rPr>
        <w:t>shaping industries and driving customer success</w:t>
      </w:r>
      <w:r>
        <w:rPr>
          <w:rFonts w:ascii="Arial" w:cs="Arial" w:eastAsia="Arial" w:hAnsi="Arial"/>
          <w:sz w:val="18"/>
          <w:szCs w:val="18"/>
          <w:color w:val="666666"/>
        </w:rPr>
        <w:t xml:space="preserve">. We share innovation updates on our product blogs across </w:t>
      </w:r>
      <w:r>
        <w:rPr>
          <w:rFonts w:ascii="Arial" w:cs="Arial" w:eastAsia="Arial" w:hAnsi="Arial"/>
          <w:sz w:val="18"/>
          <w:szCs w:val="18"/>
          <w:u w:val="single" w:color="auto"/>
          <w:color w:val="666666"/>
        </w:rPr>
        <w:t>Azure</w:t>
      </w:r>
      <w:r>
        <w:rPr>
          <w:rFonts w:ascii="Arial" w:cs="Arial" w:eastAsia="Arial" w:hAnsi="Arial"/>
          <w:sz w:val="18"/>
          <w:szCs w:val="18"/>
          <w:color w:val="666666"/>
        </w:rPr>
        <w:t xml:space="preserve">, </w:t>
      </w:r>
      <w:r>
        <w:rPr>
          <w:rFonts w:ascii="Arial" w:cs="Arial" w:eastAsia="Arial" w:hAnsi="Arial"/>
          <w:sz w:val="18"/>
          <w:szCs w:val="18"/>
          <w:u w:val="single" w:color="auto"/>
          <w:color w:val="666666"/>
        </w:rPr>
        <w:t>Microsoft 365</w:t>
      </w:r>
      <w:r>
        <w:rPr>
          <w:rFonts w:ascii="Arial" w:cs="Arial" w:eastAsia="Arial" w:hAnsi="Arial"/>
          <w:sz w:val="18"/>
          <w:szCs w:val="18"/>
          <w:color w:val="666666"/>
        </w:rPr>
        <w:t xml:space="preserve">, and more on our </w:t>
      </w:r>
      <w:r>
        <w:rPr>
          <w:rFonts w:ascii="Arial" w:cs="Arial" w:eastAsia="Arial" w:hAnsi="Arial"/>
          <w:sz w:val="18"/>
          <w:szCs w:val="18"/>
          <w:u w:val="single" w:color="auto"/>
          <w:color w:val="666666"/>
        </w:rPr>
        <w:t>Official Microsoft blog</w:t>
      </w:r>
      <w:r>
        <w:rPr>
          <w:rFonts w:ascii="Arial" w:cs="Arial" w:eastAsia="Arial" w:hAnsi="Arial"/>
          <w:sz w:val="18"/>
          <w:szCs w:val="18"/>
          <w:color w:val="666666"/>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Webcast Details</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666666"/>
        </w:rPr>
        <w:t xml:space="preserve">Satya Nadella, chairman and chief executive officer, Amy Hood, executive vice president and chief financial officer, Alice Jolla, chief accounting officer, Keith Dolliver, corporate secretary and deputy general counsel, and Jonathan Neilson,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 Participants can also dial into the conference call at (877) 407-0666 or +1 (201) 689-8023 for international, no password required. The webcast will be available for replay through the close of business on January 28, 2027.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Non-GAAP Definition</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i w:val="1"/>
          <w:iCs w:val="1"/>
          <w:color w:val="666666"/>
        </w:rPr>
        <w:t xml:space="preserve">Impact from investments in OpenAI. </w:t>
      </w:r>
      <w:r>
        <w:rPr>
          <w:rFonts w:ascii="Arial" w:cs="Arial" w:eastAsia="Arial" w:hAnsi="Arial"/>
          <w:sz w:val="18"/>
          <w:szCs w:val="18"/>
          <w:color w:val="666666"/>
        </w:rPr>
        <w:t>In the second quarter of fiscal year 2026, net income and diluted earnings per share were impacted by</w:t>
      </w:r>
      <w:r>
        <w:rPr>
          <w:rFonts w:ascii="Arial" w:cs="Arial" w:eastAsia="Arial" w:hAnsi="Arial"/>
          <w:sz w:val="18"/>
          <w:szCs w:val="18"/>
          <w:i w:val="1"/>
          <w:iCs w:val="1"/>
          <w:color w:val="666666"/>
        </w:rPr>
        <w:t xml:space="preserve"> </w:t>
      </w:r>
      <w:r>
        <w:rPr>
          <w:rFonts w:ascii="Arial" w:cs="Arial" w:eastAsia="Arial" w:hAnsi="Arial"/>
          <w:sz w:val="18"/>
          <w:szCs w:val="18"/>
          <w:color w:val="666666"/>
        </w:rPr>
        <w:t>net gains from investments in OpenAI, which resulted in an increase in net income and diluted earnings per share of $7.6 billion and $1.02, respectively. In the second quarter of fiscal year 2025, net income and diluted earnings per share were impacted by net losses from investments in OpenAI, which resulted in a decrease in net income and diluted earnings per share of $939 million and $0.12, respectively.</w:t>
      </w:r>
    </w:p>
    <w:p>
      <w:pPr>
        <w:spacing w:after="0" w:line="17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666666"/>
        </w:rPr>
        <w:t>Microsoft has provided non-GAAP financial measures related to the impact from investments in OpenAI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666666"/>
        </w:rPr>
        <w:t>considered as a substitute for, or superior to, the measures of financial performance prepared in accordance with GAAP.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Constant Currency</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666666"/>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Financial Performance Constant Currency Reconciliation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666666"/>
              </w:rPr>
              <w:t>Three Months Ended December 31,</w:t>
            </w:r>
          </w:p>
        </w:tc>
        <w:tc>
          <w:tcPr>
            <w:tcW w:w="1120" w:type="dxa"/>
            <w:vAlign w:val="bottom"/>
            <w:tcBorders>
              <w:bottom w:val="single" w:sz="8" w:color="auto"/>
            </w:tcBorders>
          </w:tcPr>
          <w:p>
            <w:pPr>
              <w:spacing w:after="0"/>
              <w:rPr>
                <w:sz w:val="20"/>
                <w:szCs w:val="20"/>
                <w:color w:val="auto"/>
              </w:rPr>
            </w:pPr>
          </w:p>
        </w:tc>
      </w:tr>
      <w:tr>
        <w:trPr>
          <w:trHeight w:val="191"/>
        </w:trPr>
        <w:tc>
          <w:tcPr>
            <w:tcW w:w="4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666666"/>
              </w:rPr>
              <w:t>Diluted</w:t>
            </w:r>
          </w:p>
        </w:tc>
      </w:tr>
      <w:tr>
        <w:trPr>
          <w:trHeight w:val="203"/>
        </w:trPr>
        <w:tc>
          <w:tcPr>
            <w:tcW w:w="4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666666"/>
              </w:rPr>
              <w:t>Operating</w:t>
            </w:r>
          </w:p>
        </w:tc>
        <w:tc>
          <w:tcPr>
            <w:tcW w:w="1560" w:type="dxa"/>
            <w:vAlign w:val="bottom"/>
          </w:tcPr>
          <w:p>
            <w:pPr>
              <w:spacing w:after="0"/>
              <w:rPr>
                <w:sz w:val="17"/>
                <w:szCs w:val="17"/>
                <w:color w:val="auto"/>
              </w:rPr>
            </w:pPr>
          </w:p>
        </w:tc>
        <w:tc>
          <w:tcPr>
            <w:tcW w:w="11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666666"/>
              </w:rPr>
              <w:t>Earnings</w:t>
            </w:r>
          </w:p>
        </w:tc>
      </w:tr>
      <w:tr>
        <w:trPr>
          <w:trHeight w:val="242"/>
        </w:trPr>
        <w:tc>
          <w:tcPr>
            <w:tcW w:w="5320" w:type="dxa"/>
            <w:vAlign w:val="bottom"/>
            <w:tcBorders>
              <w:bottom w:val="single" w:sz="8" w:color="666666"/>
            </w:tcBorders>
            <w:gridSpan w:val="2"/>
          </w:tcPr>
          <w:p>
            <w:pPr>
              <w:ind w:left="60"/>
              <w:spacing w:after="0"/>
              <w:rPr>
                <w:sz w:val="20"/>
                <w:szCs w:val="20"/>
                <w:color w:val="auto"/>
              </w:rPr>
            </w:pPr>
            <w:r>
              <w:rPr>
                <w:rFonts w:ascii="Arial" w:cs="Arial" w:eastAsia="Arial" w:hAnsi="Arial"/>
                <w:sz w:val="18"/>
                <w:szCs w:val="18"/>
                <w:color w:val="666666"/>
              </w:rPr>
              <w:t>($ in millions, except per share amounts)</w:t>
            </w:r>
          </w:p>
        </w:tc>
        <w:tc>
          <w:tcPr>
            <w:tcW w:w="1960" w:type="dxa"/>
            <w:vAlign w:val="bottom"/>
            <w:tcBorders>
              <w:bottom w:val="single" w:sz="8" w:color="666666"/>
            </w:tcBorders>
          </w:tcPr>
          <w:p>
            <w:pPr>
              <w:jc w:val="right"/>
              <w:ind w:right="310"/>
              <w:spacing w:after="0"/>
              <w:rPr>
                <w:sz w:val="20"/>
                <w:szCs w:val="20"/>
                <w:color w:val="auto"/>
              </w:rPr>
            </w:pPr>
            <w:r>
              <w:rPr>
                <w:rFonts w:ascii="Arial" w:cs="Arial" w:eastAsia="Arial" w:hAnsi="Arial"/>
                <w:sz w:val="18"/>
                <w:szCs w:val="18"/>
                <w:b w:val="1"/>
                <w:bCs w:val="1"/>
                <w:color w:val="666666"/>
              </w:rPr>
              <w:t>Revenue</w:t>
            </w:r>
          </w:p>
        </w:tc>
        <w:tc>
          <w:tcPr>
            <w:tcW w:w="1280" w:type="dxa"/>
            <w:vAlign w:val="bottom"/>
            <w:tcBorders>
              <w:bottom w:val="single" w:sz="8" w:color="666666"/>
            </w:tcBorders>
          </w:tcPr>
          <w:p>
            <w:pPr>
              <w:jc w:val="right"/>
              <w:ind w:right="310"/>
              <w:spacing w:after="0"/>
              <w:rPr>
                <w:sz w:val="20"/>
                <w:szCs w:val="20"/>
                <w:color w:val="auto"/>
              </w:rPr>
            </w:pPr>
            <w:r>
              <w:rPr>
                <w:rFonts w:ascii="Arial" w:cs="Arial" w:eastAsia="Arial" w:hAnsi="Arial"/>
                <w:sz w:val="18"/>
                <w:szCs w:val="18"/>
                <w:b w:val="1"/>
                <w:bCs w:val="1"/>
                <w:color w:val="666666"/>
              </w:rPr>
              <w:t>Income</w:t>
            </w:r>
          </w:p>
        </w:tc>
        <w:tc>
          <w:tcPr>
            <w:tcW w:w="1560" w:type="dxa"/>
            <w:vAlign w:val="bottom"/>
            <w:tcBorders>
              <w:bottom w:val="single" w:sz="8" w:color="666666"/>
            </w:tcBorders>
          </w:tcPr>
          <w:p>
            <w:pPr>
              <w:jc w:val="right"/>
              <w:ind w:right="370"/>
              <w:spacing w:after="0"/>
              <w:rPr>
                <w:sz w:val="20"/>
                <w:szCs w:val="20"/>
                <w:color w:val="auto"/>
              </w:rPr>
            </w:pPr>
            <w:r>
              <w:rPr>
                <w:rFonts w:ascii="Arial" w:cs="Arial" w:eastAsia="Arial" w:hAnsi="Arial"/>
                <w:sz w:val="18"/>
                <w:szCs w:val="18"/>
                <w:b w:val="1"/>
                <w:bCs w:val="1"/>
                <w:color w:val="666666"/>
              </w:rPr>
              <w:t>Net Income</w:t>
            </w:r>
          </w:p>
        </w:tc>
        <w:tc>
          <w:tcPr>
            <w:tcW w:w="1120" w:type="dxa"/>
            <w:vAlign w:val="bottom"/>
            <w:tcBorders>
              <w:bottom w:val="single" w:sz="8" w:color="666666"/>
            </w:tcBorders>
          </w:tcPr>
          <w:p>
            <w:pPr>
              <w:jc w:val="center"/>
              <w:ind w:right="90"/>
              <w:spacing w:after="0"/>
              <w:rPr>
                <w:sz w:val="20"/>
                <w:szCs w:val="20"/>
                <w:color w:val="auto"/>
              </w:rPr>
            </w:pPr>
            <w:r>
              <w:rPr>
                <w:rFonts w:ascii="Arial" w:cs="Arial" w:eastAsia="Arial" w:hAnsi="Arial"/>
                <w:sz w:val="18"/>
                <w:szCs w:val="18"/>
                <w:b w:val="1"/>
                <w:bCs w:val="1"/>
                <w:color w:val="666666"/>
                <w:w w:val="98"/>
              </w:rPr>
              <w:t>per Share</w:t>
            </w:r>
          </w:p>
        </w:tc>
      </w:tr>
      <w:tr>
        <w:trPr>
          <w:trHeight w:val="203"/>
        </w:trPr>
        <w:tc>
          <w:tcPr>
            <w:tcW w:w="440" w:type="dxa"/>
            <w:vAlign w:val="bottom"/>
            <w:tcBorders>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2024</w:t>
            </w:r>
          </w:p>
        </w:tc>
        <w:tc>
          <w:tcPr>
            <w:tcW w:w="4880" w:type="dxa"/>
            <w:vAlign w:val="bottom"/>
            <w:tcBorders>
              <w:bottom w:val="single" w:sz="8" w:color="auto"/>
            </w:tcBorders>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666666"/>
              </w:rPr>
              <w:t>As Reported (GAAP)</w:t>
            </w:r>
          </w:p>
        </w:tc>
        <w:tc>
          <w:tcPr>
            <w:tcW w:w="1960" w:type="dxa"/>
            <w:vAlign w:val="bottom"/>
            <w:tcBorders>
              <w:bottom w:val="single" w:sz="8" w:color="auto"/>
            </w:tcBorders>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666666"/>
              </w:rPr>
              <w:t>$69,632</w:t>
            </w:r>
          </w:p>
        </w:tc>
        <w:tc>
          <w:tcPr>
            <w:tcW w:w="1280" w:type="dxa"/>
            <w:vAlign w:val="bottom"/>
            <w:tcBorders>
              <w:bottom w:val="single" w:sz="8" w:color="auto"/>
            </w:tcBorders>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666666"/>
              </w:rPr>
              <w:t>$31,653</w:t>
            </w:r>
          </w:p>
        </w:tc>
        <w:tc>
          <w:tcPr>
            <w:tcW w:w="1560" w:type="dxa"/>
            <w:vAlign w:val="bottom"/>
            <w:tcBorders>
              <w:bottom w:val="single" w:sz="8" w:color="auto"/>
            </w:tcBorders>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666666"/>
              </w:rPr>
              <w:t>$24,108</w:t>
            </w:r>
          </w:p>
        </w:tc>
        <w:tc>
          <w:tcPr>
            <w:tcW w:w="11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$3.23</w:t>
            </w:r>
          </w:p>
        </w:tc>
      </w:tr>
      <w:tr>
        <w:trPr>
          <w:trHeight w:val="196"/>
        </w:trPr>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2024</w:t>
            </w:r>
          </w:p>
        </w:tc>
        <w:tc>
          <w:tcPr>
            <w:tcW w:w="48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666666"/>
              </w:rPr>
              <w:t>As Adjusted (non-GAAP)</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$69,632</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666666"/>
              </w:rPr>
              <w:t>$31,653</w:t>
            </w:r>
          </w:p>
        </w:tc>
        <w:tc>
          <w:tcPr>
            <w:tcW w:w="1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666666"/>
              </w:rPr>
              <w:t>$25,047</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$3.35</w:t>
            </w:r>
          </w:p>
        </w:tc>
      </w:tr>
      <w:tr>
        <w:trPr>
          <w:trHeight w:val="196"/>
        </w:trPr>
        <w:tc>
          <w:tcPr>
            <w:tcW w:w="44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2025</w:t>
            </w:r>
          </w:p>
        </w:tc>
        <w:tc>
          <w:tcPr>
            <w:tcW w:w="4880" w:type="dxa"/>
            <w:vAlign w:val="bottom"/>
            <w:tcBorders>
              <w:bottom w:val="single" w:sz="8" w:color="auto"/>
            </w:tcBorders>
            <w:shd w:val="clear" w:color="auto" w:fill="E5E5E5"/>
          </w:tcPr>
          <w:p>
            <w:pPr>
              <w:ind w:left="20"/>
              <w:spacing w:after="0" w:line="196" w:lineRule="exact"/>
              <w:rPr>
                <w:sz w:val="20"/>
                <w:szCs w:val="20"/>
                <w:color w:val="auto"/>
              </w:rPr>
            </w:pPr>
            <w:r>
              <w:rPr>
                <w:rFonts w:ascii="Arial" w:cs="Arial" w:eastAsia="Arial" w:hAnsi="Arial"/>
                <w:sz w:val="18"/>
                <w:szCs w:val="18"/>
                <w:b w:val="1"/>
                <w:bCs w:val="1"/>
                <w:color w:val="666666"/>
              </w:rPr>
              <w:t>As Reported (GAAP)</w:t>
            </w:r>
          </w:p>
        </w:tc>
        <w:tc>
          <w:tcPr>
            <w:tcW w:w="196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$81,273</w:t>
            </w:r>
          </w:p>
        </w:tc>
        <w:tc>
          <w:tcPr>
            <w:tcW w:w="1280" w:type="dxa"/>
            <w:vAlign w:val="bottom"/>
            <w:tcBorders>
              <w:bottom w:val="single" w:sz="8" w:color="auto"/>
            </w:tcBorders>
            <w:shd w:val="clear" w:color="auto" w:fill="E5E5E5"/>
          </w:tcPr>
          <w:p>
            <w:pPr>
              <w:jc w:val="right"/>
              <w:ind w:right="30"/>
              <w:spacing w:after="0" w:line="196" w:lineRule="exact"/>
              <w:rPr>
                <w:sz w:val="20"/>
                <w:szCs w:val="20"/>
                <w:color w:val="auto"/>
              </w:rPr>
            </w:pPr>
            <w:r>
              <w:rPr>
                <w:rFonts w:ascii="Arial" w:cs="Arial" w:eastAsia="Arial" w:hAnsi="Arial"/>
                <w:sz w:val="18"/>
                <w:szCs w:val="18"/>
                <w:b w:val="1"/>
                <w:bCs w:val="1"/>
                <w:color w:val="666666"/>
              </w:rPr>
              <w:t>$38,275</w:t>
            </w:r>
          </w:p>
        </w:tc>
        <w:tc>
          <w:tcPr>
            <w:tcW w:w="1560" w:type="dxa"/>
            <w:vAlign w:val="bottom"/>
            <w:tcBorders>
              <w:bottom w:val="single" w:sz="8" w:color="auto"/>
            </w:tcBorders>
            <w:shd w:val="clear" w:color="auto" w:fill="E5E5E5"/>
          </w:tcPr>
          <w:p>
            <w:pPr>
              <w:jc w:val="right"/>
              <w:ind w:right="230"/>
              <w:spacing w:after="0" w:line="196" w:lineRule="exact"/>
              <w:rPr>
                <w:sz w:val="20"/>
                <w:szCs w:val="20"/>
                <w:color w:val="auto"/>
              </w:rPr>
            </w:pPr>
            <w:r>
              <w:rPr>
                <w:rFonts w:ascii="Arial" w:cs="Arial" w:eastAsia="Arial" w:hAnsi="Arial"/>
                <w:sz w:val="18"/>
                <w:szCs w:val="18"/>
                <w:b w:val="1"/>
                <w:bCs w:val="1"/>
                <w:color w:val="666666"/>
              </w:rPr>
              <w:t>$38,458</w:t>
            </w:r>
          </w:p>
        </w:tc>
        <w:tc>
          <w:tcPr>
            <w:tcW w:w="11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$5.16</w:t>
            </w:r>
          </w:p>
        </w:tc>
      </w:tr>
      <w:tr>
        <w:trPr>
          <w:trHeight w:val="196"/>
        </w:trPr>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2025</w:t>
            </w:r>
          </w:p>
        </w:tc>
        <w:tc>
          <w:tcPr>
            <w:tcW w:w="48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666666"/>
              </w:rPr>
              <w:t>As Adjusted (non-GAAP)</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$81,273</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666666"/>
              </w:rPr>
              <w:t>$38,275</w:t>
            </w:r>
          </w:p>
        </w:tc>
        <w:tc>
          <w:tcPr>
            <w:tcW w:w="1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666666"/>
              </w:rPr>
              <w:t>$30,875</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$4.14</w:t>
            </w:r>
          </w:p>
        </w:tc>
      </w:tr>
      <w:tr>
        <w:trPr>
          <w:trHeight w:val="196"/>
        </w:trPr>
        <w:tc>
          <w:tcPr>
            <w:tcW w:w="5320" w:type="dxa"/>
            <w:vAlign w:val="bottom"/>
            <w:tcBorders>
              <w:bottom w:val="single" w:sz="8" w:color="auto"/>
            </w:tcBorders>
            <w:gridSpan w:val="2"/>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(GAAP)</w:t>
            </w:r>
          </w:p>
        </w:tc>
        <w:tc>
          <w:tcPr>
            <w:tcW w:w="196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color w:val="666666"/>
              </w:rPr>
              <w:t>17%</w:t>
            </w:r>
          </w:p>
        </w:tc>
        <w:tc>
          <w:tcPr>
            <w:tcW w:w="1280" w:type="dxa"/>
            <w:vAlign w:val="bottom"/>
            <w:tcBorders>
              <w:bottom w:val="single" w:sz="8" w:color="auto"/>
            </w:tcBorders>
            <w:shd w:val="clear" w:color="auto" w:fill="E5E5E5"/>
          </w:tcPr>
          <w:p>
            <w:pPr>
              <w:jc w:val="right"/>
              <w:ind w:right="30"/>
              <w:spacing w:after="0" w:line="196" w:lineRule="exact"/>
              <w:rPr>
                <w:sz w:val="20"/>
                <w:szCs w:val="20"/>
                <w:color w:val="auto"/>
              </w:rPr>
            </w:pPr>
            <w:r>
              <w:rPr>
                <w:rFonts w:ascii="Arial" w:cs="Arial" w:eastAsia="Arial" w:hAnsi="Arial"/>
                <w:sz w:val="18"/>
                <w:szCs w:val="18"/>
                <w:color w:val="666666"/>
              </w:rPr>
              <w:t>21%</w:t>
            </w:r>
          </w:p>
        </w:tc>
        <w:tc>
          <w:tcPr>
            <w:tcW w:w="1560" w:type="dxa"/>
            <w:vAlign w:val="bottom"/>
            <w:tcBorders>
              <w:bottom w:val="single" w:sz="8" w:color="auto"/>
            </w:tcBorders>
            <w:shd w:val="clear" w:color="auto" w:fill="E5E5E5"/>
          </w:tcPr>
          <w:p>
            <w:pPr>
              <w:jc w:val="right"/>
              <w:ind w:right="230"/>
              <w:spacing w:after="0" w:line="196" w:lineRule="exact"/>
              <w:rPr>
                <w:sz w:val="20"/>
                <w:szCs w:val="20"/>
                <w:color w:val="auto"/>
              </w:rPr>
            </w:pPr>
            <w:r>
              <w:rPr>
                <w:rFonts w:ascii="Arial" w:cs="Arial" w:eastAsia="Arial" w:hAnsi="Arial"/>
                <w:sz w:val="18"/>
                <w:szCs w:val="18"/>
                <w:color w:val="666666"/>
              </w:rPr>
              <w:t>60%</w:t>
            </w:r>
          </w:p>
        </w:tc>
        <w:tc>
          <w:tcPr>
            <w:tcW w:w="11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60%</w:t>
            </w: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666666"/>
              </w:rPr>
              <w:t>Percentage Change Y/Y (non-GAAP)</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666666"/>
              </w:rPr>
              <w:t>17%</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666666"/>
              </w:rPr>
              <w:t>21%</w:t>
            </w:r>
          </w:p>
        </w:tc>
        <w:tc>
          <w:tcPr>
            <w:tcW w:w="1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666666"/>
              </w:rPr>
              <w:t>23%</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666666"/>
              </w:rPr>
              <w:t>24%</w:t>
            </w:r>
          </w:p>
        </w:tc>
      </w:tr>
      <w:tr>
        <w:trPr>
          <w:trHeight w:val="196"/>
        </w:trPr>
        <w:tc>
          <w:tcPr>
            <w:tcW w:w="5320" w:type="dxa"/>
            <w:vAlign w:val="bottom"/>
            <w:tcBorders>
              <w:bottom w:val="single" w:sz="8" w:color="auto"/>
            </w:tcBorders>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Constant Currency Impact</w:t>
            </w:r>
          </w:p>
        </w:tc>
        <w:tc>
          <w:tcPr>
            <w:tcW w:w="196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$972</w:t>
            </w:r>
          </w:p>
        </w:tc>
        <w:tc>
          <w:tcPr>
            <w:tcW w:w="1280" w:type="dxa"/>
            <w:vAlign w:val="bottom"/>
            <w:tcBorders>
              <w:bottom w:val="single" w:sz="8" w:color="auto"/>
            </w:tcBorders>
            <w:shd w:val="clear" w:color="auto" w:fill="E5E5E5"/>
          </w:tcPr>
          <w:p>
            <w:pPr>
              <w:jc w:val="right"/>
              <w:ind w:right="30"/>
              <w:spacing w:after="0" w:line="196" w:lineRule="exact"/>
              <w:rPr>
                <w:sz w:val="20"/>
                <w:szCs w:val="20"/>
                <w:color w:val="auto"/>
              </w:rPr>
            </w:pPr>
            <w:r>
              <w:rPr>
                <w:rFonts w:ascii="Arial" w:cs="Arial" w:eastAsia="Arial" w:hAnsi="Arial"/>
                <w:sz w:val="18"/>
                <w:szCs w:val="18"/>
                <w:b w:val="1"/>
                <w:bCs w:val="1"/>
                <w:color w:val="666666"/>
              </w:rPr>
              <w:t>$596</w:t>
            </w:r>
          </w:p>
        </w:tc>
        <w:tc>
          <w:tcPr>
            <w:tcW w:w="1560" w:type="dxa"/>
            <w:vAlign w:val="bottom"/>
            <w:tcBorders>
              <w:bottom w:val="single" w:sz="8" w:color="auto"/>
            </w:tcBorders>
            <w:shd w:val="clear" w:color="auto" w:fill="E5E5E5"/>
          </w:tcPr>
          <w:p>
            <w:pPr>
              <w:jc w:val="right"/>
              <w:ind w:right="230"/>
              <w:spacing w:after="0" w:line="196" w:lineRule="exact"/>
              <w:rPr>
                <w:sz w:val="20"/>
                <w:szCs w:val="20"/>
                <w:color w:val="auto"/>
              </w:rPr>
            </w:pPr>
            <w:r>
              <w:rPr>
                <w:rFonts w:ascii="Arial" w:cs="Arial" w:eastAsia="Arial" w:hAnsi="Arial"/>
                <w:sz w:val="18"/>
                <w:szCs w:val="18"/>
                <w:b w:val="1"/>
                <w:bCs w:val="1"/>
                <w:color w:val="666666"/>
              </w:rPr>
              <w:t>$558</w:t>
            </w:r>
          </w:p>
        </w:tc>
        <w:tc>
          <w:tcPr>
            <w:tcW w:w="11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$0.07</w:t>
            </w: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666666"/>
              </w:rPr>
              <w:t>Percentage Change Y/Y Constant Currency</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666666"/>
              </w:rPr>
              <w:t>15%</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666666"/>
              </w:rPr>
              <w:t>19%</w:t>
            </w:r>
          </w:p>
        </w:tc>
        <w:tc>
          <w:tcPr>
            <w:tcW w:w="1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666666"/>
              </w:rPr>
              <w:t>57%</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666666"/>
              </w:rPr>
              <w:t>58%</w:t>
            </w:r>
          </w:p>
        </w:tc>
      </w:tr>
      <w:tr>
        <w:trPr>
          <w:trHeight w:val="196"/>
        </w:trPr>
        <w:tc>
          <w:tcPr>
            <w:tcW w:w="5320" w:type="dxa"/>
            <w:vAlign w:val="bottom"/>
            <w:tcBorders>
              <w:bottom w:val="single" w:sz="8" w:color="auto"/>
            </w:tcBorders>
            <w:gridSpan w:val="2"/>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(non-GAAP) Constant Currency</w:t>
            </w:r>
          </w:p>
        </w:tc>
        <w:tc>
          <w:tcPr>
            <w:tcW w:w="196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color w:val="666666"/>
              </w:rPr>
              <w:t>15%</w:t>
            </w:r>
          </w:p>
        </w:tc>
        <w:tc>
          <w:tcPr>
            <w:tcW w:w="1280" w:type="dxa"/>
            <w:vAlign w:val="bottom"/>
            <w:tcBorders>
              <w:bottom w:val="single" w:sz="8" w:color="auto"/>
            </w:tcBorders>
            <w:shd w:val="clear" w:color="auto" w:fill="E5E5E5"/>
          </w:tcPr>
          <w:p>
            <w:pPr>
              <w:jc w:val="right"/>
              <w:ind w:right="30"/>
              <w:spacing w:after="0" w:line="196" w:lineRule="exact"/>
              <w:rPr>
                <w:sz w:val="20"/>
                <w:szCs w:val="20"/>
                <w:color w:val="auto"/>
              </w:rPr>
            </w:pPr>
            <w:r>
              <w:rPr>
                <w:rFonts w:ascii="Arial" w:cs="Arial" w:eastAsia="Arial" w:hAnsi="Arial"/>
                <w:sz w:val="18"/>
                <w:szCs w:val="18"/>
                <w:color w:val="666666"/>
              </w:rPr>
              <w:t>19%</w:t>
            </w:r>
          </w:p>
        </w:tc>
        <w:tc>
          <w:tcPr>
            <w:tcW w:w="1560" w:type="dxa"/>
            <w:vAlign w:val="bottom"/>
            <w:tcBorders>
              <w:bottom w:val="single" w:sz="8" w:color="auto"/>
            </w:tcBorders>
            <w:shd w:val="clear" w:color="auto" w:fill="E5E5E5"/>
          </w:tcPr>
          <w:p>
            <w:pPr>
              <w:jc w:val="right"/>
              <w:ind w:right="230"/>
              <w:spacing w:after="0" w:line="196" w:lineRule="exact"/>
              <w:rPr>
                <w:sz w:val="20"/>
                <w:szCs w:val="20"/>
                <w:color w:val="auto"/>
              </w:rPr>
            </w:pPr>
            <w:r>
              <w:rPr>
                <w:rFonts w:ascii="Arial" w:cs="Arial" w:eastAsia="Arial" w:hAnsi="Arial"/>
                <w:sz w:val="18"/>
                <w:szCs w:val="18"/>
                <w:color w:val="666666"/>
              </w:rPr>
              <w:t>21%</w:t>
            </w:r>
          </w:p>
        </w:tc>
        <w:tc>
          <w:tcPr>
            <w:tcW w:w="11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21%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Segment Revenue Constant Currency Reconciliation</w:t>
      </w: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666666"/>
        </w:rPr>
        <w:t>Three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jc w:val="center"/>
              <w:ind w:left="1390"/>
              <w:spacing w:after="0" w:line="191" w:lineRule="exact"/>
              <w:rPr>
                <w:sz w:val="20"/>
                <w:szCs w:val="20"/>
                <w:color w:val="auto"/>
              </w:rPr>
            </w:pPr>
            <w:r>
              <w:rPr>
                <w:rFonts w:ascii="Arial" w:cs="Arial" w:eastAsia="Arial" w:hAnsi="Arial"/>
                <w:sz w:val="18"/>
                <w:szCs w:val="18"/>
                <w:b w:val="1"/>
                <w:bCs w:val="1"/>
                <w:color w:val="666666"/>
              </w:rPr>
              <w:t>Productivity and</w:t>
            </w:r>
          </w:p>
        </w:tc>
        <w:tc>
          <w:tcPr>
            <w:tcW w:w="16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3060" w:type="dxa"/>
            <w:vAlign w:val="bottom"/>
          </w:tcPr>
          <w:p>
            <w:pPr>
              <w:jc w:val="center"/>
              <w:ind w:left="1330"/>
              <w:spacing w:after="0" w:line="202" w:lineRule="exact"/>
              <w:rPr>
                <w:sz w:val="20"/>
                <w:szCs w:val="20"/>
                <w:color w:val="auto"/>
              </w:rPr>
            </w:pPr>
            <w:r>
              <w:rPr>
                <w:rFonts w:ascii="Arial" w:cs="Arial" w:eastAsia="Arial" w:hAnsi="Arial"/>
                <w:sz w:val="18"/>
                <w:szCs w:val="18"/>
                <w:b w:val="1"/>
                <w:bCs w:val="1"/>
                <w:color w:val="666666"/>
                <w:w w:val="99"/>
              </w:rPr>
              <w:t>Business</w:t>
            </w:r>
          </w:p>
        </w:tc>
        <w:tc>
          <w:tcPr>
            <w:tcW w:w="164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666666"/>
                <w:w w:val="99"/>
              </w:rPr>
              <w:t>More Personal</w:t>
            </w:r>
          </w:p>
        </w:tc>
      </w:tr>
      <w:tr>
        <w:trPr>
          <w:trHeight w:val="242"/>
        </w:trPr>
        <w:tc>
          <w:tcPr>
            <w:tcW w:w="5080" w:type="dxa"/>
            <w:vAlign w:val="bottom"/>
          </w:tcPr>
          <w:p>
            <w:pPr>
              <w:ind w:left="60"/>
              <w:spacing w:after="0"/>
              <w:rPr>
                <w:sz w:val="20"/>
                <w:szCs w:val="20"/>
                <w:color w:val="auto"/>
              </w:rPr>
            </w:pPr>
            <w:r>
              <w:rPr>
                <w:rFonts w:ascii="Arial" w:cs="Arial" w:eastAsia="Arial" w:hAnsi="Arial"/>
                <w:sz w:val="18"/>
                <w:szCs w:val="18"/>
                <w:color w:val="666666"/>
              </w:rPr>
              <w:t>($ in millions)</w:t>
            </w:r>
          </w:p>
        </w:tc>
        <w:tc>
          <w:tcPr>
            <w:tcW w:w="3060" w:type="dxa"/>
            <w:vAlign w:val="bottom"/>
          </w:tcPr>
          <w:p>
            <w:pPr>
              <w:jc w:val="center"/>
              <w:ind w:left="1390"/>
              <w:spacing w:after="0"/>
              <w:rPr>
                <w:sz w:val="20"/>
                <w:szCs w:val="20"/>
                <w:color w:val="auto"/>
              </w:rPr>
            </w:pPr>
            <w:r>
              <w:rPr>
                <w:rFonts w:ascii="Arial" w:cs="Arial" w:eastAsia="Arial" w:hAnsi="Arial"/>
                <w:sz w:val="18"/>
                <w:szCs w:val="18"/>
                <w:b w:val="1"/>
                <w:bCs w:val="1"/>
                <w:color w:val="666666"/>
                <w:w w:val="99"/>
              </w:rPr>
              <w:t>Processes</w:t>
            </w: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666666"/>
              </w:rPr>
              <w:t>Intelligent Cloud</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666666"/>
              </w:rPr>
              <w:t>Computing</w:t>
            </w:r>
          </w:p>
        </w:tc>
      </w:tr>
      <w:tr>
        <w:trPr>
          <w:trHeight w:val="203"/>
        </w:trPr>
        <w:tc>
          <w:tcPr>
            <w:tcW w:w="5080" w:type="dxa"/>
            <w:vAlign w:val="bottom"/>
            <w:tcBorders>
              <w:top w:val="single" w:sz="8" w:color="666666"/>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2024 As Reported (GAAP)</w:t>
            </w:r>
          </w:p>
        </w:tc>
        <w:tc>
          <w:tcPr>
            <w:tcW w:w="3060" w:type="dxa"/>
            <w:vAlign w:val="bottom"/>
            <w:tcBorders>
              <w:top w:val="single" w:sz="8" w:color="666666"/>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$29,437</w:t>
            </w:r>
          </w:p>
        </w:tc>
        <w:tc>
          <w:tcPr>
            <w:tcW w:w="1640" w:type="dxa"/>
            <w:vAlign w:val="bottom"/>
            <w:tcBorders>
              <w:top w:val="single" w:sz="8" w:color="666666"/>
              <w:bottom w:val="single" w:sz="8" w:color="auto"/>
            </w:tcBorders>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666666"/>
              </w:rPr>
              <w:t>$25,544</w:t>
            </w:r>
          </w:p>
        </w:tc>
        <w:tc>
          <w:tcPr>
            <w:tcW w:w="1460" w:type="dxa"/>
            <w:vAlign w:val="bottom"/>
            <w:tcBorders>
              <w:top w:val="single" w:sz="8" w:color="666666"/>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$14,651</w:t>
            </w:r>
          </w:p>
        </w:tc>
        <w:tc>
          <w:tcPr>
            <w:tcW w:w="20" w:type="dxa"/>
            <w:vAlign w:val="bottom"/>
          </w:tcPr>
          <w:p>
            <w:pPr>
              <w:spacing w:after="0"/>
              <w:rPr>
                <w:sz w:val="17"/>
                <w:szCs w:val="17"/>
                <w:color w:val="auto"/>
              </w:rPr>
            </w:pPr>
          </w:p>
        </w:tc>
      </w:tr>
      <w:tr>
        <w:trPr>
          <w:trHeight w:val="196"/>
        </w:trPr>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2025 As Reported (GAAP)</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$34,116</w:t>
            </w:r>
          </w:p>
        </w:tc>
        <w:tc>
          <w:tcPr>
            <w:tcW w:w="16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666666"/>
              </w:rPr>
              <w:t>$32,907</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$14,250</w:t>
            </w:r>
          </w:p>
        </w:tc>
        <w:tc>
          <w:tcPr>
            <w:tcW w:w="20" w:type="dxa"/>
            <w:vAlign w:val="bottom"/>
          </w:tcPr>
          <w:p>
            <w:pPr>
              <w:spacing w:after="0"/>
              <w:rPr>
                <w:sz w:val="17"/>
                <w:szCs w:val="17"/>
                <w:color w:val="auto"/>
              </w:rPr>
            </w:pPr>
          </w:p>
        </w:tc>
      </w:tr>
      <w:tr>
        <w:trPr>
          <w:trHeight w:val="196"/>
        </w:trPr>
        <w:tc>
          <w:tcPr>
            <w:tcW w:w="508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(GAAP)</w:t>
            </w:r>
          </w:p>
        </w:tc>
        <w:tc>
          <w:tcPr>
            <w:tcW w:w="30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16%</w:t>
            </w:r>
          </w:p>
        </w:tc>
        <w:tc>
          <w:tcPr>
            <w:tcW w:w="1640" w:type="dxa"/>
            <w:vAlign w:val="bottom"/>
            <w:tcBorders>
              <w:bottom w:val="single" w:sz="8" w:color="auto"/>
            </w:tcBorders>
            <w:shd w:val="clear" w:color="auto" w:fill="E5E5E5"/>
          </w:tcPr>
          <w:p>
            <w:pPr>
              <w:jc w:val="right"/>
              <w:ind w:right="50"/>
              <w:spacing w:after="0" w:line="196" w:lineRule="exact"/>
              <w:rPr>
                <w:sz w:val="20"/>
                <w:szCs w:val="20"/>
                <w:color w:val="auto"/>
              </w:rPr>
            </w:pPr>
            <w:r>
              <w:rPr>
                <w:rFonts w:ascii="Arial" w:cs="Arial" w:eastAsia="Arial" w:hAnsi="Arial"/>
                <w:sz w:val="18"/>
                <w:szCs w:val="18"/>
                <w:color w:val="666666"/>
              </w:rPr>
              <w:t>29%</w:t>
            </w:r>
          </w:p>
        </w:tc>
        <w:tc>
          <w:tcPr>
            <w:tcW w:w="14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(3)%</w:t>
            </w:r>
          </w:p>
        </w:tc>
        <w:tc>
          <w:tcPr>
            <w:tcW w:w="20" w:type="dxa"/>
            <w:vAlign w:val="bottom"/>
          </w:tcPr>
          <w:p>
            <w:pPr>
              <w:spacing w:after="0"/>
              <w:rPr>
                <w:sz w:val="17"/>
                <w:szCs w:val="17"/>
                <w:color w:val="auto"/>
              </w:rPr>
            </w:pPr>
          </w:p>
        </w:tc>
      </w:tr>
      <w:tr>
        <w:trPr>
          <w:trHeight w:val="196"/>
        </w:trPr>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Constant Currency Impact</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$580</w:t>
            </w:r>
          </w:p>
        </w:tc>
        <w:tc>
          <w:tcPr>
            <w:tcW w:w="16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666666"/>
              </w:rPr>
              <w:t>$292</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$100</w:t>
            </w:r>
          </w:p>
        </w:tc>
        <w:tc>
          <w:tcPr>
            <w:tcW w:w="20" w:type="dxa"/>
            <w:vAlign w:val="bottom"/>
          </w:tcPr>
          <w:p>
            <w:pPr>
              <w:spacing w:after="0"/>
              <w:rPr>
                <w:sz w:val="17"/>
                <w:szCs w:val="17"/>
                <w:color w:val="auto"/>
              </w:rPr>
            </w:pPr>
          </w:p>
        </w:tc>
      </w:tr>
      <w:tr>
        <w:trPr>
          <w:trHeight w:val="196"/>
        </w:trPr>
        <w:tc>
          <w:tcPr>
            <w:tcW w:w="508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666666"/>
              </w:rPr>
              <w:t>Percentage Change Y/Y Constant Currency</w:t>
            </w:r>
          </w:p>
        </w:tc>
        <w:tc>
          <w:tcPr>
            <w:tcW w:w="30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14%</w:t>
            </w:r>
          </w:p>
        </w:tc>
        <w:tc>
          <w:tcPr>
            <w:tcW w:w="1640" w:type="dxa"/>
            <w:vAlign w:val="bottom"/>
            <w:tcBorders>
              <w:bottom w:val="single" w:sz="8" w:color="auto"/>
            </w:tcBorders>
            <w:shd w:val="clear" w:color="auto" w:fill="E5E5E5"/>
          </w:tcPr>
          <w:p>
            <w:pPr>
              <w:jc w:val="right"/>
              <w:ind w:right="50"/>
              <w:spacing w:after="0" w:line="196" w:lineRule="exact"/>
              <w:rPr>
                <w:sz w:val="20"/>
                <w:szCs w:val="20"/>
                <w:color w:val="auto"/>
              </w:rPr>
            </w:pPr>
            <w:r>
              <w:rPr>
                <w:rFonts w:ascii="Arial" w:cs="Arial" w:eastAsia="Arial" w:hAnsi="Arial"/>
                <w:sz w:val="18"/>
                <w:szCs w:val="18"/>
                <w:color w:val="666666"/>
              </w:rPr>
              <w:t>28%</w:t>
            </w:r>
          </w:p>
        </w:tc>
        <w:tc>
          <w:tcPr>
            <w:tcW w:w="146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color w:val="666666"/>
              </w:rPr>
              <w:t>(3)%</w:t>
            </w:r>
          </w:p>
        </w:tc>
        <w:tc>
          <w:tcPr>
            <w:tcW w:w="20" w:type="dxa"/>
            <w:vAlign w:val="bottom"/>
          </w:tcPr>
          <w:p>
            <w:pPr>
              <w:spacing w:after="0"/>
              <w:rPr>
                <w:sz w:val="17"/>
                <w:szCs w:val="17"/>
                <w:color w:val="auto"/>
              </w:rPr>
            </w:pPr>
          </w:p>
        </w:tc>
      </w:tr>
      <w:tr>
        <w:trPr>
          <w:trHeight w:val="1607"/>
        </w:trPr>
        <w:tc>
          <w:tcPr>
            <w:tcW w:w="50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66666"/>
        </w:rPr>
        <w:t>Selected Product and Service Revenue Constant Currency Reconciliation</w:t>
      </w:r>
    </w:p>
    <w:p>
      <w:pPr>
        <w:spacing w:after="0" w:line="212"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666666"/>
        </w:rPr>
        <w:t>Three Months Ended 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60" w:type="dxa"/>
            <w:vAlign w:val="bottom"/>
            <w:tcBorders>
              <w:top w:val="single" w:sz="8" w:color="666666"/>
            </w:tcBorders>
          </w:tcPr>
          <w:p>
            <w:pPr>
              <w:spacing w:after="0"/>
              <w:rPr>
                <w:sz w:val="16"/>
                <w:szCs w:val="16"/>
                <w:color w:val="auto"/>
              </w:rPr>
            </w:pPr>
          </w:p>
        </w:tc>
        <w:tc>
          <w:tcPr>
            <w:tcW w:w="2160" w:type="dxa"/>
            <w:vAlign w:val="bottom"/>
            <w:tcBorders>
              <w:top w:val="single" w:sz="8" w:color="666666"/>
            </w:tcBorders>
          </w:tcPr>
          <w:p>
            <w:pPr>
              <w:spacing w:after="0"/>
              <w:rPr>
                <w:sz w:val="16"/>
                <w:szCs w:val="16"/>
                <w:color w:val="auto"/>
              </w:rPr>
            </w:pPr>
          </w:p>
        </w:tc>
        <w:tc>
          <w:tcPr>
            <w:tcW w:w="1500" w:type="dxa"/>
            <w:vAlign w:val="bottom"/>
            <w:tcBorders>
              <w:top w:val="single" w:sz="8" w:color="666666"/>
            </w:tcBorders>
          </w:tcPr>
          <w:p>
            <w:pPr>
              <w:spacing w:after="0"/>
              <w:rPr>
                <w:sz w:val="16"/>
                <w:szCs w:val="16"/>
                <w:color w:val="auto"/>
              </w:rPr>
            </w:pPr>
          </w:p>
        </w:tc>
        <w:tc>
          <w:tcPr>
            <w:tcW w:w="1420" w:type="dxa"/>
            <w:vAlign w:val="bottom"/>
            <w:tcBorders>
              <w:top w:val="single" w:sz="8" w:color="666666"/>
            </w:tcBorders>
          </w:tcPr>
          <w:p>
            <w:pPr>
              <w:jc w:val="center"/>
              <w:spacing w:after="0" w:line="191" w:lineRule="exact"/>
              <w:rPr>
                <w:sz w:val="20"/>
                <w:szCs w:val="20"/>
                <w:color w:val="auto"/>
              </w:rPr>
            </w:pPr>
            <w:r>
              <w:rPr>
                <w:rFonts w:ascii="Arial" w:cs="Arial" w:eastAsia="Arial" w:hAnsi="Arial"/>
                <w:sz w:val="18"/>
                <w:szCs w:val="18"/>
                <w:b w:val="1"/>
                <w:bCs w:val="1"/>
                <w:color w:val="666666"/>
              </w:rPr>
              <w:t>Percentage</w:t>
            </w:r>
          </w:p>
        </w:tc>
      </w:tr>
      <w:tr>
        <w:trPr>
          <w:trHeight w:val="203"/>
        </w:trPr>
        <w:tc>
          <w:tcPr>
            <w:tcW w:w="6160" w:type="dxa"/>
            <w:vAlign w:val="bottom"/>
          </w:tcPr>
          <w:p>
            <w:pPr>
              <w:spacing w:after="0"/>
              <w:rPr>
                <w:sz w:val="17"/>
                <w:szCs w:val="17"/>
                <w:color w:val="auto"/>
              </w:rPr>
            </w:pPr>
          </w:p>
        </w:tc>
        <w:tc>
          <w:tcPr>
            <w:tcW w:w="21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666666"/>
              </w:rPr>
              <w:t>Percentage</w:t>
            </w:r>
          </w:p>
        </w:tc>
        <w:tc>
          <w:tcPr>
            <w:tcW w:w="150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666666"/>
                <w:w w:val="99"/>
              </w:rPr>
              <w:t>Constant</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666666"/>
                <w:w w:val="99"/>
              </w:rPr>
              <w:t>Change Y/Y</w:t>
            </w:r>
          </w:p>
        </w:tc>
      </w:tr>
      <w:tr>
        <w:trPr>
          <w:trHeight w:val="203"/>
        </w:trPr>
        <w:tc>
          <w:tcPr>
            <w:tcW w:w="6160" w:type="dxa"/>
            <w:vAlign w:val="bottom"/>
          </w:tcPr>
          <w:p>
            <w:pPr>
              <w:spacing w:after="0"/>
              <w:rPr>
                <w:sz w:val="17"/>
                <w:szCs w:val="17"/>
                <w:color w:val="auto"/>
              </w:rPr>
            </w:pPr>
          </w:p>
        </w:tc>
        <w:tc>
          <w:tcPr>
            <w:tcW w:w="216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666666"/>
                <w:w w:val="99"/>
              </w:rPr>
              <w:t>Change Y/Y</w:t>
            </w:r>
          </w:p>
        </w:tc>
        <w:tc>
          <w:tcPr>
            <w:tcW w:w="150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666666"/>
                <w:w w:val="98"/>
              </w:rPr>
              <w:t>Currency</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666666"/>
                <w:w w:val="99"/>
              </w:rPr>
              <w:t>Constant</w:t>
            </w:r>
          </w:p>
        </w:tc>
      </w:tr>
      <w:tr>
        <w:trPr>
          <w:trHeight w:val="242"/>
        </w:trPr>
        <w:tc>
          <w:tcPr>
            <w:tcW w:w="6160" w:type="dxa"/>
            <w:vAlign w:val="bottom"/>
            <w:tcBorders>
              <w:bottom w:val="single" w:sz="8" w:color="666666"/>
            </w:tcBorders>
          </w:tcPr>
          <w:p>
            <w:pPr>
              <w:spacing w:after="0"/>
              <w:rPr>
                <w:sz w:val="21"/>
                <w:szCs w:val="21"/>
                <w:color w:val="auto"/>
              </w:rPr>
            </w:pPr>
          </w:p>
        </w:tc>
        <w:tc>
          <w:tcPr>
            <w:tcW w:w="2160" w:type="dxa"/>
            <w:vAlign w:val="bottom"/>
            <w:tcBorders>
              <w:bottom w:val="single" w:sz="8" w:color="666666"/>
            </w:tcBorders>
          </w:tcPr>
          <w:p>
            <w:pPr>
              <w:jc w:val="center"/>
              <w:ind w:left="190"/>
              <w:spacing w:after="0"/>
              <w:rPr>
                <w:sz w:val="20"/>
                <w:szCs w:val="20"/>
                <w:color w:val="auto"/>
              </w:rPr>
            </w:pPr>
            <w:r>
              <w:rPr>
                <w:rFonts w:ascii="Arial" w:cs="Arial" w:eastAsia="Arial" w:hAnsi="Arial"/>
                <w:sz w:val="18"/>
                <w:szCs w:val="18"/>
                <w:b w:val="1"/>
                <w:bCs w:val="1"/>
                <w:color w:val="666666"/>
                <w:w w:val="99"/>
              </w:rPr>
              <w:t>(GAAP)</w:t>
            </w:r>
          </w:p>
        </w:tc>
        <w:tc>
          <w:tcPr>
            <w:tcW w:w="1500" w:type="dxa"/>
            <w:vAlign w:val="bottom"/>
            <w:tcBorders>
              <w:bottom w:val="single" w:sz="8" w:color="666666"/>
            </w:tcBorders>
          </w:tcPr>
          <w:p>
            <w:pPr>
              <w:jc w:val="center"/>
              <w:ind w:right="150"/>
              <w:spacing w:after="0"/>
              <w:rPr>
                <w:sz w:val="20"/>
                <w:szCs w:val="20"/>
                <w:color w:val="auto"/>
              </w:rPr>
            </w:pPr>
            <w:r>
              <w:rPr>
                <w:rFonts w:ascii="Arial" w:cs="Arial" w:eastAsia="Arial" w:hAnsi="Arial"/>
                <w:sz w:val="18"/>
                <w:szCs w:val="18"/>
                <w:b w:val="1"/>
                <w:bCs w:val="1"/>
                <w:color w:val="666666"/>
                <w:w w:val="99"/>
              </w:rPr>
              <w:t>Impact</w:t>
            </w:r>
          </w:p>
        </w:tc>
        <w:tc>
          <w:tcPr>
            <w:tcW w:w="14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666666"/>
              </w:rPr>
              <w:t>Currency</w:t>
            </w:r>
          </w:p>
        </w:tc>
      </w:tr>
      <w:tr>
        <w:trPr>
          <w:trHeight w:val="203"/>
        </w:trPr>
        <w:tc>
          <w:tcPr>
            <w:tcW w:w="6160" w:type="dxa"/>
            <w:vAlign w:val="bottom"/>
            <w:tcBorders>
              <w:bottom w:val="single" w:sz="8" w:color="auto"/>
            </w:tcBorders>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Microsoft Cloud</w:t>
            </w:r>
          </w:p>
        </w:tc>
        <w:tc>
          <w:tcPr>
            <w:tcW w:w="2160" w:type="dxa"/>
            <w:vAlign w:val="bottom"/>
            <w:tcBorders>
              <w:bottom w:val="single" w:sz="8" w:color="auto"/>
            </w:tcBorders>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666666"/>
              </w:rPr>
              <w:t>26%</w:t>
            </w:r>
          </w:p>
        </w:tc>
        <w:tc>
          <w:tcPr>
            <w:tcW w:w="1500" w:type="dxa"/>
            <w:vAlign w:val="bottom"/>
            <w:tcBorders>
              <w:bottom w:val="single" w:sz="8" w:color="auto"/>
            </w:tcBorders>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666666"/>
              </w:rPr>
              <w:t>(2)%</w:t>
            </w:r>
          </w:p>
        </w:tc>
        <w:tc>
          <w:tcPr>
            <w:tcW w:w="1420" w:type="dxa"/>
            <w:vAlign w:val="bottom"/>
            <w:tcBorders>
              <w:bottom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24%</w:t>
            </w:r>
          </w:p>
        </w:tc>
      </w:tr>
      <w:tr>
        <w:trPr>
          <w:trHeight w:val="196"/>
        </w:trPr>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Commercial remaining performance obligation</w:t>
            </w:r>
          </w:p>
        </w:tc>
        <w:tc>
          <w:tcPr>
            <w:tcW w:w="2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666666"/>
              </w:rPr>
              <w:t>110%</w:t>
            </w:r>
          </w:p>
        </w:tc>
        <w:tc>
          <w:tcPr>
            <w:tcW w:w="15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0%</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110%</w:t>
            </w:r>
          </w:p>
        </w:tc>
      </w:tr>
      <w:tr>
        <w:trPr>
          <w:trHeight w:val="196"/>
        </w:trPr>
        <w:tc>
          <w:tcPr>
            <w:tcW w:w="616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Microsoft 365 Commercial cloud</w:t>
            </w:r>
          </w:p>
        </w:tc>
        <w:tc>
          <w:tcPr>
            <w:tcW w:w="2160" w:type="dxa"/>
            <w:vAlign w:val="bottom"/>
            <w:tcBorders>
              <w:bottom w:val="single" w:sz="8" w:color="auto"/>
            </w:tcBorders>
            <w:shd w:val="clear" w:color="auto" w:fill="E5E5E5"/>
          </w:tcPr>
          <w:p>
            <w:pPr>
              <w:jc w:val="right"/>
              <w:ind w:right="130"/>
              <w:spacing w:after="0" w:line="196" w:lineRule="exact"/>
              <w:rPr>
                <w:sz w:val="20"/>
                <w:szCs w:val="20"/>
                <w:color w:val="auto"/>
              </w:rPr>
            </w:pPr>
            <w:r>
              <w:rPr>
                <w:rFonts w:ascii="Arial" w:cs="Arial" w:eastAsia="Arial" w:hAnsi="Arial"/>
                <w:sz w:val="18"/>
                <w:szCs w:val="18"/>
                <w:b w:val="1"/>
                <w:bCs w:val="1"/>
                <w:color w:val="666666"/>
              </w:rPr>
              <w:t>17%</w:t>
            </w:r>
          </w:p>
        </w:tc>
        <w:tc>
          <w:tcPr>
            <w:tcW w:w="150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(3)%</w:t>
            </w:r>
          </w:p>
        </w:tc>
        <w:tc>
          <w:tcPr>
            <w:tcW w:w="14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14%</w:t>
            </w:r>
          </w:p>
        </w:tc>
      </w:tr>
      <w:tr>
        <w:trPr>
          <w:trHeight w:val="196"/>
        </w:trPr>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Microsoft 365 Consumer cloud</w:t>
            </w:r>
          </w:p>
        </w:tc>
        <w:tc>
          <w:tcPr>
            <w:tcW w:w="2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666666"/>
              </w:rPr>
              <w:t>29%</w:t>
            </w:r>
          </w:p>
        </w:tc>
        <w:tc>
          <w:tcPr>
            <w:tcW w:w="15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27%</w:t>
            </w:r>
          </w:p>
        </w:tc>
      </w:tr>
      <w:tr>
        <w:trPr>
          <w:trHeight w:val="196"/>
        </w:trPr>
        <w:tc>
          <w:tcPr>
            <w:tcW w:w="616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LinkedIn</w:t>
            </w:r>
          </w:p>
        </w:tc>
        <w:tc>
          <w:tcPr>
            <w:tcW w:w="2160" w:type="dxa"/>
            <w:vAlign w:val="bottom"/>
            <w:tcBorders>
              <w:bottom w:val="single" w:sz="8" w:color="auto"/>
            </w:tcBorders>
            <w:shd w:val="clear" w:color="auto" w:fill="E5E5E5"/>
          </w:tcPr>
          <w:p>
            <w:pPr>
              <w:jc w:val="right"/>
              <w:ind w:right="130"/>
              <w:spacing w:after="0" w:line="196" w:lineRule="exact"/>
              <w:rPr>
                <w:sz w:val="20"/>
                <w:szCs w:val="20"/>
                <w:color w:val="auto"/>
              </w:rPr>
            </w:pPr>
            <w:r>
              <w:rPr>
                <w:rFonts w:ascii="Arial" w:cs="Arial" w:eastAsia="Arial" w:hAnsi="Arial"/>
                <w:sz w:val="18"/>
                <w:szCs w:val="18"/>
                <w:b w:val="1"/>
                <w:bCs w:val="1"/>
                <w:color w:val="666666"/>
              </w:rPr>
              <w:t>11%</w:t>
            </w:r>
          </w:p>
        </w:tc>
        <w:tc>
          <w:tcPr>
            <w:tcW w:w="150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(1)%</w:t>
            </w:r>
          </w:p>
        </w:tc>
        <w:tc>
          <w:tcPr>
            <w:tcW w:w="14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10%</w:t>
            </w:r>
          </w:p>
        </w:tc>
      </w:tr>
      <w:tr>
        <w:trPr>
          <w:trHeight w:val="196"/>
        </w:trPr>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Dynamics 365</w:t>
            </w:r>
          </w:p>
        </w:tc>
        <w:tc>
          <w:tcPr>
            <w:tcW w:w="2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666666"/>
              </w:rPr>
              <w:t>19%</w:t>
            </w:r>
          </w:p>
        </w:tc>
        <w:tc>
          <w:tcPr>
            <w:tcW w:w="15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17%</w:t>
            </w:r>
          </w:p>
        </w:tc>
      </w:tr>
      <w:tr>
        <w:trPr>
          <w:trHeight w:val="196"/>
        </w:trPr>
        <w:tc>
          <w:tcPr>
            <w:tcW w:w="616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Azure and other cloud services</w:t>
            </w:r>
          </w:p>
        </w:tc>
        <w:tc>
          <w:tcPr>
            <w:tcW w:w="2160" w:type="dxa"/>
            <w:vAlign w:val="bottom"/>
            <w:tcBorders>
              <w:bottom w:val="single" w:sz="8" w:color="auto"/>
            </w:tcBorders>
            <w:shd w:val="clear" w:color="auto" w:fill="E5E5E5"/>
          </w:tcPr>
          <w:p>
            <w:pPr>
              <w:jc w:val="right"/>
              <w:ind w:right="130"/>
              <w:spacing w:after="0" w:line="196" w:lineRule="exact"/>
              <w:rPr>
                <w:sz w:val="20"/>
                <w:szCs w:val="20"/>
                <w:color w:val="auto"/>
              </w:rPr>
            </w:pPr>
            <w:r>
              <w:rPr>
                <w:rFonts w:ascii="Arial" w:cs="Arial" w:eastAsia="Arial" w:hAnsi="Arial"/>
                <w:sz w:val="18"/>
                <w:szCs w:val="18"/>
                <w:b w:val="1"/>
                <w:bCs w:val="1"/>
                <w:color w:val="666666"/>
              </w:rPr>
              <w:t>39%</w:t>
            </w:r>
          </w:p>
        </w:tc>
        <w:tc>
          <w:tcPr>
            <w:tcW w:w="150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(1)%</w:t>
            </w:r>
          </w:p>
        </w:tc>
        <w:tc>
          <w:tcPr>
            <w:tcW w:w="14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38%</w:t>
            </w:r>
          </w:p>
        </w:tc>
      </w:tr>
      <w:tr>
        <w:trPr>
          <w:trHeight w:val="196"/>
        </w:trPr>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Windows OEM and Devices</w:t>
            </w:r>
          </w:p>
        </w:tc>
        <w:tc>
          <w:tcPr>
            <w:tcW w:w="2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666666"/>
              </w:rPr>
              <w:t>1%</w:t>
            </w:r>
          </w:p>
        </w:tc>
        <w:tc>
          <w:tcPr>
            <w:tcW w:w="15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(1)%</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0%</w:t>
            </w:r>
          </w:p>
        </w:tc>
      </w:tr>
      <w:tr>
        <w:trPr>
          <w:trHeight w:val="196"/>
        </w:trPr>
        <w:tc>
          <w:tcPr>
            <w:tcW w:w="6160" w:type="dxa"/>
            <w:vAlign w:val="bottom"/>
            <w:tcBorders>
              <w:bottom w:val="single" w:sz="8" w:color="auto"/>
            </w:tcBorders>
            <w:shd w:val="clear" w:color="auto" w:fill="E5E5E5"/>
          </w:tcPr>
          <w:p>
            <w:pPr>
              <w:spacing w:after="0" w:line="196" w:lineRule="exact"/>
              <w:rPr>
                <w:sz w:val="20"/>
                <w:szCs w:val="20"/>
                <w:color w:val="auto"/>
              </w:rPr>
            </w:pPr>
            <w:r>
              <w:rPr>
                <w:rFonts w:ascii="Arial" w:cs="Arial" w:eastAsia="Arial" w:hAnsi="Arial"/>
                <w:sz w:val="18"/>
                <w:szCs w:val="18"/>
                <w:b w:val="1"/>
                <w:bCs w:val="1"/>
                <w:color w:val="666666"/>
              </w:rPr>
              <w:t>Xbox content and services</w:t>
            </w:r>
          </w:p>
        </w:tc>
        <w:tc>
          <w:tcPr>
            <w:tcW w:w="2160" w:type="dxa"/>
            <w:vAlign w:val="bottom"/>
            <w:tcBorders>
              <w:bottom w:val="single" w:sz="8" w:color="auto"/>
            </w:tcBorders>
            <w:shd w:val="clear" w:color="auto" w:fill="E5E5E5"/>
          </w:tcPr>
          <w:p>
            <w:pPr>
              <w:jc w:val="right"/>
              <w:ind w:right="130"/>
              <w:spacing w:after="0" w:line="196" w:lineRule="exact"/>
              <w:rPr>
                <w:sz w:val="20"/>
                <w:szCs w:val="20"/>
                <w:color w:val="auto"/>
              </w:rPr>
            </w:pPr>
            <w:r>
              <w:rPr>
                <w:rFonts w:ascii="Arial" w:cs="Arial" w:eastAsia="Arial" w:hAnsi="Arial"/>
                <w:sz w:val="18"/>
                <w:szCs w:val="18"/>
                <w:b w:val="1"/>
                <w:bCs w:val="1"/>
                <w:color w:val="666666"/>
              </w:rPr>
              <w:t>(5)%</w:t>
            </w:r>
          </w:p>
        </w:tc>
        <w:tc>
          <w:tcPr>
            <w:tcW w:w="1500" w:type="dxa"/>
            <w:vAlign w:val="bottom"/>
            <w:tcBorders>
              <w:bottom w:val="single" w:sz="8" w:color="auto"/>
            </w:tcBorders>
            <w:shd w:val="clear" w:color="auto" w:fill="E5E5E5"/>
          </w:tcPr>
          <w:p>
            <w:pPr>
              <w:jc w:val="right"/>
              <w:ind w:right="70"/>
              <w:spacing w:after="0" w:line="196" w:lineRule="exact"/>
              <w:rPr>
                <w:sz w:val="20"/>
                <w:szCs w:val="20"/>
                <w:color w:val="auto"/>
              </w:rPr>
            </w:pPr>
            <w:r>
              <w:rPr>
                <w:rFonts w:ascii="Arial" w:cs="Arial" w:eastAsia="Arial" w:hAnsi="Arial"/>
                <w:sz w:val="18"/>
                <w:szCs w:val="18"/>
                <w:b w:val="1"/>
                <w:bCs w:val="1"/>
                <w:color w:val="666666"/>
              </w:rPr>
              <w:t>(1)%</w:t>
            </w:r>
          </w:p>
        </w:tc>
        <w:tc>
          <w:tcPr>
            <w:tcW w:w="1420" w:type="dxa"/>
            <w:vAlign w:val="bottom"/>
            <w:tcBorders>
              <w:bottom w:val="single" w:sz="8" w:color="auto"/>
            </w:tcBorders>
            <w:shd w:val="clear" w:color="auto" w:fill="E5E5E5"/>
          </w:tcPr>
          <w:p>
            <w:pPr>
              <w:jc w:val="right"/>
              <w:spacing w:after="0" w:line="196" w:lineRule="exact"/>
              <w:rPr>
                <w:sz w:val="20"/>
                <w:szCs w:val="20"/>
                <w:color w:val="auto"/>
              </w:rPr>
            </w:pPr>
            <w:r>
              <w:rPr>
                <w:rFonts w:ascii="Arial" w:cs="Arial" w:eastAsia="Arial" w:hAnsi="Arial"/>
                <w:sz w:val="18"/>
                <w:szCs w:val="18"/>
                <w:b w:val="1"/>
                <w:bCs w:val="1"/>
                <w:color w:val="666666"/>
              </w:rPr>
              <w:t>(6)%</w:t>
            </w:r>
          </w:p>
        </w:tc>
      </w:tr>
      <w:tr>
        <w:trPr>
          <w:trHeight w:val="196"/>
        </w:trPr>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666666"/>
              </w:rPr>
              <w:t>Search and news advertising excluding traffic acquisition costs</w:t>
            </w:r>
          </w:p>
        </w:tc>
        <w:tc>
          <w:tcPr>
            <w:tcW w:w="2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666666"/>
              </w:rPr>
              <w:t>10%</w:t>
            </w:r>
          </w:p>
        </w:tc>
        <w:tc>
          <w:tcPr>
            <w:tcW w:w="15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666666"/>
              </w:rPr>
              <w:t>(1)%</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66666"/>
              </w:rPr>
              <w:t>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1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666666"/>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Forward-Looking Statements</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w:t>
      </w:r>
    </w:p>
    <w:p>
      <w:pPr>
        <w:spacing w:after="0" w:line="154"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intense competition in all of our markets that could adversely affect our results of operations;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focus on cloud-based and AI services presenting execution and competitive risks;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significant investments in products and services that may not achieve expected returns;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acquisitions, joint ventures, and strategic alliances that could have an adverse effect on our business;</w:t>
      </w:r>
    </w:p>
    <w:p>
      <w:pPr>
        <w:spacing w:after="0" w:line="116" w:lineRule="exact"/>
        <w:rPr>
          <w:rFonts w:ascii="Times New Roman" w:cs="Times New Roman" w:eastAsia="Times New Roman" w:hAnsi="Times New Roman"/>
          <w:sz w:val="18"/>
          <w:szCs w:val="18"/>
          <w:color w:val="666666"/>
        </w:rPr>
      </w:pPr>
    </w:p>
    <w:p>
      <w:pPr>
        <w:ind w:left="760" w:right="720" w:hanging="378"/>
        <w:spacing w:after="0" w:line="270" w:lineRule="auto"/>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cyberattacks and security vulnerabilities that could lead to reduced revenue, increased costs, liability claims, or harm to our reputation or competitive position;</w:t>
      </w:r>
    </w:p>
    <w:p>
      <w:pPr>
        <w:spacing w:after="0" w:line="4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disclosure and misuse of personal data that could cause liability and harm to our reputation;</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the possibility that we may not be able to protect information in our products and services from use by others;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abuse of our advertising, professional, marketplace, or gaming platforms that may harm our reputation or user engagement;</w:t>
      </w:r>
    </w:p>
    <w:p>
      <w:pPr>
        <w:spacing w:after="0" w:line="116" w:lineRule="exact"/>
        <w:rPr>
          <w:rFonts w:ascii="Times New Roman" w:cs="Times New Roman" w:eastAsia="Times New Roman" w:hAnsi="Times New Roman"/>
          <w:sz w:val="18"/>
          <w:szCs w:val="18"/>
          <w:color w:val="666666"/>
        </w:rPr>
      </w:pPr>
    </w:p>
    <w:p>
      <w:pPr>
        <w:ind w:left="760" w:right="200" w:hanging="378"/>
        <w:spacing w:after="0" w:line="270" w:lineRule="auto"/>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products and services, how they are used by customers, and how third-party products and services interact with them, presenting security, privacy, and execution risks;</w:t>
      </w:r>
    </w:p>
    <w:p>
      <w:pPr>
        <w:spacing w:after="0" w:line="4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issues about the use of AI in our offerings that may result in reputational or competitive harm, or liability;</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excessive outages, data losses, and disruptions of our online services if we fail to maintain an adequate operations infrastructure;</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supply or quality problems;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potential consequences of new, existing, and evolving legal and regulatory requirements;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claims against us that could result in adverse outcomes in legal disputes;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666666"/>
        </w:rPr>
      </w:pPr>
      <w:r>
        <w:rPr>
          <w:rFonts w:ascii="Arial" w:cs="Arial" w:eastAsia="Arial" w:hAnsi="Arial"/>
          <w:sz w:val="18"/>
          <w:szCs w:val="18"/>
          <w:color w:val="666666"/>
        </w:rPr>
        <w:t>uncertainties relating to our business with government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additional tax liabilities;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an inability to protect and utilize our intellectual property may harm our business and operating results;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claims that Microsoft has infringed the intellectual property rights of others;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damage to our reputation or our brands that may harm our business and results of operations;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adverse economic or market conditions that could harm our business;</w:t>
      </w:r>
    </w:p>
    <w:p>
      <w:pPr>
        <w:spacing w:after="0" w:line="11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catastrophic events or geopolitical conditions, such as the COVID-19 pandemic, that could disrupt our business;</w:t>
      </w:r>
    </w:p>
    <w:p>
      <w:pPr>
        <w:spacing w:after="0" w:line="116" w:lineRule="exact"/>
        <w:rPr>
          <w:rFonts w:ascii="Times New Roman" w:cs="Times New Roman" w:eastAsia="Times New Roman" w:hAnsi="Times New Roman"/>
          <w:sz w:val="18"/>
          <w:szCs w:val="18"/>
          <w:color w:val="666666"/>
        </w:rPr>
      </w:pPr>
    </w:p>
    <w:p>
      <w:pPr>
        <w:ind w:left="760" w:right="360" w:hanging="378"/>
        <w:spacing w:after="0" w:line="270" w:lineRule="auto"/>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exposure to increased economic and operational uncertainties from operating a global business, including the effects of foreign currency exchange; and</w:t>
      </w:r>
    </w:p>
    <w:p>
      <w:pPr>
        <w:spacing w:after="0" w:line="46" w:lineRule="exact"/>
        <w:rPr>
          <w:rFonts w:ascii="Times New Roman" w:cs="Times New Roman" w:eastAsia="Times New Roman" w:hAnsi="Times New Roman"/>
          <w:sz w:val="18"/>
          <w:szCs w:val="18"/>
          <w:color w:val="666666"/>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666666"/>
        </w:rPr>
      </w:pPr>
      <w:r>
        <w:rPr>
          <w:rFonts w:ascii="Arial" w:cs="Arial" w:eastAsia="Arial" w:hAnsi="Arial"/>
          <w:sz w:val="18"/>
          <w:szCs w:val="18"/>
          <w:color w:val="666666"/>
        </w:rPr>
        <w:t>the dependence of our business on our ability to attract and retain talented employees.</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666666"/>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w:t>
      </w:r>
    </w:p>
    <w:p>
      <w:pPr>
        <w:spacing w:after="0" w:line="17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666666"/>
        </w:rPr>
        <w:t>All information in this release is as of December 31, 2025. The company undertakes no duty to update any forward-looking statement to conform the statement to actual results or changes in the company’s expectations.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press only: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Microsoft Media Relations, WE Communications for Microsoft, (425) 638-7777, </w:t>
      </w:r>
      <w:r>
        <w:rPr>
          <w:rFonts w:ascii="Arial" w:cs="Arial" w:eastAsia="Arial" w:hAnsi="Arial"/>
          <w:sz w:val="18"/>
          <w:szCs w:val="18"/>
          <w:u w:val="single" w:color="auto"/>
          <w:color w:val="666666"/>
        </w:rPr>
        <w:t>rrt@we-worldwide.com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financial analysts and investors only: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Jonathan Neilson, Vice President, Investor Relations, (425) 706-4400</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666666"/>
        </w:rPr>
        <w:t xml:space="preserve">Note to editors: For more information, news and perspectives from Microsoft, please visit the Microsoft News Center at </w:t>
      </w:r>
      <w:r>
        <w:rPr>
          <w:rFonts w:ascii="Arial" w:cs="Arial" w:eastAsia="Arial" w:hAnsi="Arial"/>
          <w:sz w:val="18"/>
          <w:szCs w:val="18"/>
          <w:u w:val="single" w:color="auto"/>
          <w:color w:val="666666"/>
        </w:rPr>
        <w:t>http://www.microsoft.com/news</w:t>
      </w:r>
      <w:r>
        <w:rPr>
          <w:rFonts w:ascii="Arial" w:cs="Arial" w:eastAsia="Arial" w:hAnsi="Arial"/>
          <w:sz w:val="18"/>
          <w:szCs w:val="18"/>
          <w:color w:val="666666"/>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7"/>
        </w:trPr>
        <w:tc>
          <w:tcPr>
            <w:tcW w:w="334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2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3340" w:type="dxa"/>
            <w:vAlign w:val="bottom"/>
          </w:tcPr>
          <w:p>
            <w:pPr>
              <w:spacing w:after="0"/>
              <w:rPr>
                <w:sz w:val="24"/>
                <w:szCs w:val="24"/>
                <w:color w:val="auto"/>
              </w:rPr>
            </w:pPr>
          </w:p>
        </w:tc>
        <w:tc>
          <w:tcPr>
            <w:tcW w:w="3860" w:type="dxa"/>
            <w:vAlign w:val="bottom"/>
            <w:gridSpan w:val="3"/>
          </w:tcPr>
          <w:p>
            <w:pPr>
              <w:jc w:val="center"/>
              <w:ind w:left="630"/>
              <w:spacing w:after="0"/>
              <w:rPr>
                <w:sz w:val="20"/>
                <w:szCs w:val="20"/>
                <w:color w:val="auto"/>
              </w:rPr>
            </w:pPr>
            <w:r>
              <w:rPr>
                <w:rFonts w:ascii="Arial" w:cs="Arial" w:eastAsia="Arial" w:hAnsi="Arial"/>
                <w:sz w:val="18"/>
                <w:szCs w:val="18"/>
                <w:color w:val="666666"/>
                <w:w w:val="99"/>
              </w:rPr>
              <w:t>INCOME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40" w:type="dxa"/>
            <w:vAlign w:val="bottom"/>
          </w:tcPr>
          <w:p>
            <w:pPr>
              <w:spacing w:after="0"/>
              <w:rPr>
                <w:sz w:val="24"/>
                <w:szCs w:val="24"/>
                <w:color w:val="auto"/>
              </w:rPr>
            </w:pPr>
          </w:p>
        </w:tc>
        <w:tc>
          <w:tcPr>
            <w:tcW w:w="5260" w:type="dxa"/>
            <w:vAlign w:val="bottom"/>
            <w:gridSpan w:val="5"/>
          </w:tcPr>
          <w:p>
            <w:pPr>
              <w:jc w:val="center"/>
              <w:ind w:right="700"/>
              <w:spacing w:after="0"/>
              <w:rPr>
                <w:sz w:val="20"/>
                <w:szCs w:val="20"/>
                <w:color w:val="auto"/>
              </w:rPr>
            </w:pPr>
            <w:r>
              <w:rPr>
                <w:rFonts w:ascii="Arial" w:cs="Arial" w:eastAsia="Arial" w:hAnsi="Arial"/>
                <w:sz w:val="18"/>
                <w:szCs w:val="18"/>
                <w:color w:val="666666"/>
                <w:w w:val="99"/>
              </w:rPr>
              <w:t>(In millions, except per share amounts) (Unaudited)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666666"/>
              </w:rPr>
              <w:t>Three Months Ended</w:t>
            </w:r>
          </w:p>
        </w:tc>
        <w:tc>
          <w:tcPr>
            <w:tcW w:w="2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666666"/>
              </w:rPr>
              <w:t>Six Months Ended</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December 31,</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666666"/>
              </w:rPr>
              <w:t>December 31,</w:t>
            </w:r>
          </w:p>
        </w:tc>
        <w:tc>
          <w:tcPr>
            <w:tcW w:w="0" w:type="dxa"/>
            <w:vAlign w:val="bottom"/>
          </w:tcPr>
          <w:p>
            <w:pPr>
              <w:spacing w:after="0"/>
              <w:rPr>
                <w:sz w:val="1"/>
                <w:szCs w:val="1"/>
                <w:color w:val="auto"/>
              </w:rPr>
            </w:pPr>
          </w:p>
        </w:tc>
      </w:tr>
      <w:tr>
        <w:trPr>
          <w:trHeight w:val="242"/>
        </w:trPr>
        <w:tc>
          <w:tcPr>
            <w:tcW w:w="3340" w:type="dxa"/>
            <w:vAlign w:val="bottom"/>
          </w:tcPr>
          <w:p>
            <w:pPr>
              <w:spacing w:after="0"/>
              <w:rPr>
                <w:sz w:val="21"/>
                <w:szCs w:val="21"/>
                <w:color w:val="auto"/>
              </w:rPr>
            </w:pPr>
          </w:p>
        </w:tc>
        <w:tc>
          <w:tcPr>
            <w:tcW w:w="3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666666"/>
              </w:rPr>
              <w:t>2025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2024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2025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666666"/>
              </w:rPr>
              <w:t>2024</w:t>
            </w:r>
          </w:p>
        </w:tc>
        <w:tc>
          <w:tcPr>
            <w:tcW w:w="0" w:type="dxa"/>
            <w:vAlign w:val="bottom"/>
          </w:tcPr>
          <w:p>
            <w:pPr>
              <w:spacing w:after="0"/>
              <w:rPr>
                <w:sz w:val="1"/>
                <w:szCs w:val="1"/>
                <w:color w:val="auto"/>
              </w:rPr>
            </w:pPr>
          </w:p>
        </w:tc>
      </w:tr>
      <w:tr>
        <w:trPr>
          <w:trHeight w:val="203"/>
        </w:trPr>
        <w:tc>
          <w:tcPr>
            <w:tcW w:w="3340" w:type="dxa"/>
            <w:vAlign w:val="bottom"/>
            <w:tcBorders>
              <w:top w:val="single" w:sz="8" w:color="auto"/>
            </w:tcBorders>
            <w:shd w:val="clear" w:color="auto" w:fill="E5E5E5"/>
          </w:tcPr>
          <w:p>
            <w:pPr>
              <w:spacing w:after="0" w:line="202" w:lineRule="exact"/>
              <w:rPr>
                <w:sz w:val="20"/>
                <w:szCs w:val="20"/>
                <w:color w:val="auto"/>
              </w:rPr>
            </w:pPr>
            <w:r>
              <w:rPr>
                <w:rFonts w:ascii="Arial" w:cs="Arial" w:eastAsia="Arial" w:hAnsi="Arial"/>
                <w:sz w:val="18"/>
                <w:szCs w:val="18"/>
                <w:color w:val="666666"/>
              </w:rPr>
              <w:t>Revenue:</w:t>
            </w:r>
          </w:p>
        </w:tc>
        <w:tc>
          <w:tcPr>
            <w:tcW w:w="2480" w:type="dxa"/>
            <w:vAlign w:val="bottom"/>
            <w:tcBorders>
              <w:top w:val="single" w:sz="8" w:color="auto"/>
            </w:tcBorders>
            <w:shd w:val="clear" w:color="auto" w:fill="E5E5E5"/>
          </w:tcPr>
          <w:p>
            <w:pPr>
              <w:spacing w:after="0"/>
              <w:rPr>
                <w:sz w:val="17"/>
                <w:szCs w:val="17"/>
                <w:color w:val="auto"/>
              </w:rPr>
            </w:pPr>
          </w:p>
        </w:tc>
        <w:tc>
          <w:tcPr>
            <w:tcW w:w="1240" w:type="dxa"/>
            <w:vAlign w:val="bottom"/>
            <w:tcBorders>
              <w:top w:val="single" w:sz="8" w:color="auto"/>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260" w:type="dxa"/>
            <w:vAlign w:val="bottom"/>
            <w:tcBorders>
              <w:top w:val="single" w:sz="8" w:color="auto"/>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240" w:type="dxa"/>
            <w:vAlign w:val="bottom"/>
            <w:tcBorders>
              <w:top w:val="single" w:sz="8" w:color="auto"/>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spacing w:after="0"/>
              <w:rPr>
                <w:sz w:val="17"/>
                <w:szCs w:val="17"/>
                <w:color w:val="auto"/>
              </w:rPr>
            </w:pPr>
          </w:p>
        </w:tc>
        <w:tc>
          <w:tcPr>
            <w:tcW w:w="1260" w:type="dxa"/>
            <w:vAlign w:val="bottom"/>
            <w:tcBorders>
              <w:top w:val="single" w:sz="8" w:color="auto"/>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60"/>
              <w:spacing w:after="0" w:line="202" w:lineRule="exact"/>
              <w:rPr>
                <w:sz w:val="20"/>
                <w:szCs w:val="20"/>
                <w:color w:val="auto"/>
              </w:rPr>
            </w:pPr>
            <w:r>
              <w:rPr>
                <w:rFonts w:ascii="Arial" w:cs="Arial" w:eastAsia="Arial" w:hAnsi="Arial"/>
                <w:sz w:val="18"/>
                <w:szCs w:val="18"/>
                <w:color w:val="666666"/>
              </w:rPr>
              <w:t>Product</w:t>
            </w:r>
          </w:p>
        </w:tc>
        <w:tc>
          <w:tcPr>
            <w:tcW w:w="38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666666"/>
              </w:rPr>
              <w:t>$16,451</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666666"/>
              </w:rPr>
              <w:t>$16,219</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$32,373</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666666"/>
              </w:rPr>
              <w:t>$31,491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Service and other</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64,822</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53,413</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126,573</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103,726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666666"/>
              </w:rPr>
              <w:t>Total revenue</w:t>
            </w:r>
          </w:p>
        </w:tc>
        <w:tc>
          <w:tcPr>
            <w:tcW w:w="3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81,273</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69,632</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158,946</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135,217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Cost of revenue:</w:t>
            </w:r>
          </w:p>
        </w:tc>
        <w:tc>
          <w:tcPr>
            <w:tcW w:w="248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60"/>
              <w:spacing w:after="0" w:line="202" w:lineRule="exact"/>
              <w:rPr>
                <w:sz w:val="20"/>
                <w:szCs w:val="20"/>
                <w:color w:val="auto"/>
              </w:rPr>
            </w:pPr>
            <w:r>
              <w:rPr>
                <w:rFonts w:ascii="Arial" w:cs="Arial" w:eastAsia="Arial" w:hAnsi="Arial"/>
                <w:sz w:val="18"/>
                <w:szCs w:val="18"/>
                <w:color w:val="666666"/>
              </w:rPr>
              <w:t>Product</w:t>
            </w:r>
          </w:p>
        </w:tc>
        <w:tc>
          <w:tcPr>
            <w:tcW w:w="38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666666"/>
              </w:rPr>
              <w:t>3,505</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666666"/>
              </w:rPr>
              <w:t>3,856</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6,427</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666666"/>
              </w:rPr>
              <w:t>7,150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Service and other</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22,473</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17,943</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43,594</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34,748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666666"/>
              </w:rPr>
              <w:t>Total cost of revenue</w:t>
            </w:r>
          </w:p>
        </w:tc>
        <w:tc>
          <w:tcPr>
            <w:tcW w:w="3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25,978</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21,799</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50,021</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41,898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Gross margin</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55,295</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47,833</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108,925</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93,319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666666"/>
              </w:rPr>
              <w:t>Research and development</w:t>
            </w:r>
          </w:p>
        </w:tc>
        <w:tc>
          <w:tcPr>
            <w:tcW w:w="38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666666"/>
              </w:rPr>
              <w:t>8,504</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666666"/>
              </w:rPr>
              <w:t>7,917</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16,650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666666"/>
              </w:rPr>
              <w:t>15,461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Sales and marketing</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6,584</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6,440</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12,301</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12,157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666666"/>
              </w:rPr>
              <w:t>General and administrative</w:t>
            </w:r>
          </w:p>
        </w:tc>
        <w:tc>
          <w:tcPr>
            <w:tcW w:w="3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666666"/>
              </w:rPr>
              <w:t>1,932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666666"/>
              </w:rPr>
              <w:t>1,823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3,738</w:t>
            </w:r>
          </w:p>
        </w:tc>
        <w:tc>
          <w:tcPr>
            <w:tcW w:w="1260" w:type="dxa"/>
            <w:vAlign w:val="bottom"/>
          </w:tcPr>
          <w:p>
            <w:pPr>
              <w:jc w:val="right"/>
              <w:spacing w:after="0"/>
              <w:rPr>
                <w:sz w:val="20"/>
                <w:szCs w:val="20"/>
                <w:color w:val="auto"/>
              </w:rPr>
            </w:pPr>
            <w:r>
              <w:rPr>
                <w:rFonts w:ascii="Arial" w:cs="Arial" w:eastAsia="Arial" w:hAnsi="Arial"/>
                <w:sz w:val="18"/>
                <w:szCs w:val="18"/>
                <w:color w:val="666666"/>
              </w:rPr>
              <w:t>3,496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Operating income</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38,275</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31,653</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76,236</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62,205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666666"/>
              </w:rPr>
              <w:t>Other income (expense), net</w:t>
            </w:r>
          </w:p>
        </w:tc>
        <w:tc>
          <w:tcPr>
            <w:tcW w:w="3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666666"/>
              </w:rPr>
              <w:t>9,971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666666"/>
              </w:rPr>
              <w:t>(2,288)</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6,311</w:t>
            </w:r>
          </w:p>
        </w:tc>
        <w:tc>
          <w:tcPr>
            <w:tcW w:w="1260" w:type="dxa"/>
            <w:vAlign w:val="bottom"/>
          </w:tcPr>
          <w:p>
            <w:pPr>
              <w:jc w:val="right"/>
              <w:spacing w:after="0"/>
              <w:rPr>
                <w:sz w:val="20"/>
                <w:szCs w:val="20"/>
                <w:color w:val="auto"/>
              </w:rPr>
            </w:pPr>
            <w:r>
              <w:rPr>
                <w:rFonts w:ascii="Arial" w:cs="Arial" w:eastAsia="Arial" w:hAnsi="Arial"/>
                <w:sz w:val="18"/>
                <w:szCs w:val="18"/>
                <w:color w:val="666666"/>
              </w:rPr>
              <w:t>(2,571)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Income before income taxes</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48,246</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29,365</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82,547</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59,634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666666"/>
              </w:rPr>
              <w:t>Provision for income taxes</w:t>
            </w:r>
          </w:p>
        </w:tc>
        <w:tc>
          <w:tcPr>
            <w:tcW w:w="3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666666"/>
              </w:rPr>
              <w:t>9,788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666666"/>
              </w:rPr>
              <w:t>5,257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16,342</w:t>
            </w:r>
          </w:p>
        </w:tc>
        <w:tc>
          <w:tcPr>
            <w:tcW w:w="1260" w:type="dxa"/>
            <w:vAlign w:val="bottom"/>
          </w:tcPr>
          <w:p>
            <w:pPr>
              <w:jc w:val="right"/>
              <w:spacing w:after="0"/>
              <w:rPr>
                <w:sz w:val="20"/>
                <w:szCs w:val="20"/>
                <w:color w:val="auto"/>
              </w:rPr>
            </w:pPr>
            <w:r>
              <w:rPr>
                <w:rFonts w:ascii="Arial" w:cs="Arial" w:eastAsia="Arial" w:hAnsi="Arial"/>
                <w:sz w:val="18"/>
                <w:szCs w:val="18"/>
                <w:color w:val="666666"/>
              </w:rPr>
              <w:t>10,859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Net income</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$38,458</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$24,108</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$66,205</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$48,775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340" w:type="dxa"/>
            <w:vAlign w:val="bottom"/>
            <w:vMerge w:val="restart"/>
          </w:tcPr>
          <w:p>
            <w:pPr>
              <w:spacing w:after="0"/>
              <w:rPr>
                <w:sz w:val="20"/>
                <w:szCs w:val="20"/>
                <w:color w:val="auto"/>
              </w:rPr>
            </w:pPr>
            <w:r>
              <w:rPr>
                <w:rFonts w:ascii="Arial" w:cs="Arial" w:eastAsia="Arial" w:hAnsi="Arial"/>
                <w:sz w:val="18"/>
                <w:szCs w:val="18"/>
                <w:color w:val="666666"/>
              </w:rPr>
              <w:t>Earnings per share:</w:t>
            </w:r>
          </w:p>
        </w:tc>
        <w:tc>
          <w:tcPr>
            <w:tcW w:w="24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4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Basic</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$5.18</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$3.24</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$8.91</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666666"/>
              </w:rPr>
              <w:t>Diluted</w:t>
            </w:r>
          </w:p>
        </w:tc>
        <w:tc>
          <w:tcPr>
            <w:tcW w:w="3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666666"/>
              </w:rPr>
              <w:t>$5.16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666666"/>
              </w:rPr>
              <w:t>$3.23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$8.87</w:t>
            </w:r>
          </w:p>
        </w:tc>
        <w:tc>
          <w:tcPr>
            <w:tcW w:w="1260" w:type="dxa"/>
            <w:vAlign w:val="bottom"/>
          </w:tcPr>
          <w:p>
            <w:pPr>
              <w:jc w:val="right"/>
              <w:spacing w:after="0"/>
              <w:rPr>
                <w:sz w:val="20"/>
                <w:szCs w:val="20"/>
                <w:color w:val="auto"/>
              </w:rPr>
            </w:pPr>
            <w:r>
              <w:rPr>
                <w:rFonts w:ascii="Arial" w:cs="Arial" w:eastAsia="Arial" w:hAnsi="Arial"/>
                <w:sz w:val="18"/>
                <w:szCs w:val="18"/>
                <w:color w:val="666666"/>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Weighted average shares outstanding:</w:t>
            </w:r>
          </w:p>
        </w:tc>
        <w:tc>
          <w:tcPr>
            <w:tcW w:w="248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60"/>
              <w:spacing w:after="0" w:line="202" w:lineRule="exact"/>
              <w:rPr>
                <w:sz w:val="20"/>
                <w:szCs w:val="20"/>
                <w:color w:val="auto"/>
              </w:rPr>
            </w:pPr>
            <w:r>
              <w:rPr>
                <w:rFonts w:ascii="Arial" w:cs="Arial" w:eastAsia="Arial" w:hAnsi="Arial"/>
                <w:sz w:val="18"/>
                <w:szCs w:val="18"/>
                <w:color w:val="666666"/>
              </w:rPr>
              <w:t>Basic</w:t>
            </w:r>
          </w:p>
        </w:tc>
        <w:tc>
          <w:tcPr>
            <w:tcW w:w="38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666666"/>
              </w:rPr>
              <w:t>7,431</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666666"/>
              </w:rPr>
              <w:t>7,435</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7,432</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666666"/>
              </w:rPr>
              <w:t>7,434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Diluted</w:t>
            </w:r>
          </w:p>
        </w:tc>
        <w:tc>
          <w:tcPr>
            <w:tcW w:w="38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7,460</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7,468</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7,463</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7,469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8"/>
        </w:trPr>
        <w:tc>
          <w:tcPr>
            <w:tcW w:w="3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666666"/>
        </w:rPr>
        <w:t>COMPREHENSIVE INCOME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(In millions)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666666"/>
              </w:rPr>
              <w:t>Three Months Ended</w:t>
            </w:r>
          </w:p>
        </w:tc>
        <w:tc>
          <w:tcPr>
            <w:tcW w:w="2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666666"/>
              </w:rPr>
              <w:t>Six Months Ended</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December 31,</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666666"/>
              </w:rPr>
              <w:t>December 31,</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2025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2024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666666"/>
              </w:rPr>
              <w:t>2025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666666"/>
              </w:rPr>
              <w:t>2024</w:t>
            </w:r>
          </w:p>
        </w:tc>
        <w:tc>
          <w:tcPr>
            <w:tcW w:w="0" w:type="dxa"/>
            <w:vAlign w:val="bottom"/>
          </w:tcPr>
          <w:p>
            <w:pPr>
              <w:spacing w:after="0"/>
              <w:rPr>
                <w:sz w:val="1"/>
                <w:szCs w:val="1"/>
                <w:color w:val="auto"/>
              </w:rPr>
            </w:pPr>
          </w:p>
        </w:tc>
      </w:tr>
      <w:tr>
        <w:trPr>
          <w:trHeight w:val="203"/>
        </w:trPr>
        <w:tc>
          <w:tcPr>
            <w:tcW w:w="5820" w:type="dxa"/>
            <w:vAlign w:val="bottom"/>
            <w:tcBorders>
              <w:top w:val="single" w:sz="8" w:color="auto"/>
            </w:tcBorders>
            <w:shd w:val="clear" w:color="auto" w:fill="E5E5E5"/>
          </w:tcPr>
          <w:p>
            <w:pPr>
              <w:spacing w:after="0" w:line="202" w:lineRule="exact"/>
              <w:rPr>
                <w:sz w:val="20"/>
                <w:szCs w:val="20"/>
                <w:color w:val="auto"/>
              </w:rPr>
            </w:pPr>
            <w:r>
              <w:rPr>
                <w:rFonts w:ascii="Arial" w:cs="Arial" w:eastAsia="Arial" w:hAnsi="Arial"/>
                <w:sz w:val="18"/>
                <w:szCs w:val="18"/>
                <w:color w:val="666666"/>
              </w:rPr>
              <w:t>Net income</w:t>
            </w:r>
          </w:p>
        </w:tc>
        <w:tc>
          <w:tcPr>
            <w:tcW w:w="1380" w:type="dxa"/>
            <w:vAlign w:val="bottom"/>
            <w:tcBorders>
              <w:top w:val="single" w:sz="8" w:color="auto"/>
            </w:tcBorders>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$38,458</w:t>
            </w:r>
          </w:p>
        </w:tc>
        <w:tc>
          <w:tcPr>
            <w:tcW w:w="1400" w:type="dxa"/>
            <w:vAlign w:val="bottom"/>
            <w:tcBorders>
              <w:top w:val="single" w:sz="8" w:color="auto"/>
            </w:tcBorders>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$24,108</w:t>
            </w:r>
          </w:p>
        </w:tc>
        <w:tc>
          <w:tcPr>
            <w:tcW w:w="1380" w:type="dxa"/>
            <w:vAlign w:val="bottom"/>
            <w:tcBorders>
              <w:top w:val="single" w:sz="8" w:color="auto"/>
            </w:tcBorders>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$66,205</w:t>
            </w:r>
          </w:p>
        </w:tc>
        <w:tc>
          <w:tcPr>
            <w:tcW w:w="1260" w:type="dxa"/>
            <w:vAlign w:val="bottom"/>
            <w:tcBorders>
              <w:top w:val="single" w:sz="8" w:color="auto"/>
            </w:tcBorders>
            <w:shd w:val="clear" w:color="auto" w:fill="E5E5E5"/>
          </w:tcPr>
          <w:p>
            <w:pPr>
              <w:jc w:val="right"/>
              <w:spacing w:after="0" w:line="202" w:lineRule="exact"/>
              <w:rPr>
                <w:sz w:val="20"/>
                <w:szCs w:val="20"/>
                <w:color w:val="auto"/>
              </w:rPr>
            </w:pPr>
            <w:r>
              <w:rPr>
                <w:rFonts w:ascii="Arial" w:cs="Arial" w:eastAsia="Arial" w:hAnsi="Arial"/>
                <w:sz w:val="18"/>
                <w:szCs w:val="18"/>
                <w:color w:val="666666"/>
              </w:rPr>
              <w:t>$48,775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666666"/>
              </w:rPr>
              <w:t>Other comprehensive income (loss), net of tax:</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Net change related to derivatives</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(3)</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34</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666666"/>
              </w:rPr>
              <w:t>Net change related to investments</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(161)</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666666"/>
              </w:rPr>
              <w:t>(434)</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666666"/>
              </w:rPr>
              <w:t>526</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666666"/>
              </w:rPr>
              <w:t>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Translation adjustments and other</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223</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(1,034)</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125</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666666"/>
              </w:rPr>
              <w:t>Other comprehensive income (loss)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59</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(1,434)</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645</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Comprehensive income</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$38,517</w:t>
            </w:r>
          </w:p>
        </w:tc>
        <w:tc>
          <w:tcPr>
            <w:tcW w:w="14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666666"/>
              </w:rPr>
              <w:t>$22,674</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666666"/>
              </w:rPr>
              <w:t>$66,850</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666666"/>
              </w:rPr>
              <w:t>$48,749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1"/>
        </w:trPr>
        <w:tc>
          <w:tcPr>
            <w:tcW w:w="5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666666"/>
        </w:rPr>
        <w:t>BALANCE SHEETS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(In millions)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666666"/>
              </w:rPr>
              <w:t>December 31,</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r>
      <w:tr>
        <w:trPr>
          <w:trHeight w:val="242"/>
        </w:trPr>
        <w:tc>
          <w:tcPr>
            <w:tcW w:w="7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2025</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2025</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Assets</w:t>
            </w:r>
          </w:p>
        </w:tc>
        <w:tc>
          <w:tcPr>
            <w:tcW w:w="15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Current assets: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Cash and cash equivalents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$24,296</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$30,242</w:t>
            </w:r>
          </w:p>
        </w:tc>
      </w:tr>
      <w:tr>
        <w:trPr>
          <w:trHeight w:val="223"/>
        </w:trPr>
        <w:tc>
          <w:tcPr>
            <w:tcW w:w="7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666666"/>
              </w:rPr>
              <w:t>Short-term investments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65,166</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64,323</w:t>
            </w:r>
          </w:p>
        </w:tc>
      </w:tr>
      <w:tr>
        <w:trPr>
          <w:trHeight w:val="203"/>
        </w:trPr>
        <w:tc>
          <w:tcPr>
            <w:tcW w:w="79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666666"/>
              </w:rPr>
              <w:t>Total cash, cash equivalents, and short-term investments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89,462</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94,565</w:t>
            </w:r>
          </w:p>
        </w:tc>
      </w:tr>
      <w:tr>
        <w:trPr>
          <w:trHeight w:val="203"/>
        </w:trPr>
        <w:tc>
          <w:tcPr>
            <w:tcW w:w="7980" w:type="dxa"/>
            <w:vAlign w:val="bottom"/>
          </w:tcPr>
          <w:p>
            <w:pPr>
              <w:ind w:left="200"/>
              <w:spacing w:after="0" w:line="202" w:lineRule="exact"/>
              <w:rPr>
                <w:sz w:val="20"/>
                <w:szCs w:val="20"/>
                <w:color w:val="auto"/>
              </w:rPr>
            </w:pPr>
            <w:r>
              <w:rPr>
                <w:rFonts w:ascii="Arial" w:cs="Arial" w:eastAsia="Arial" w:hAnsi="Arial"/>
                <w:sz w:val="18"/>
                <w:szCs w:val="18"/>
                <w:color w:val="666666"/>
              </w:rPr>
              <w:t xml:space="preserve">Accounts receivable, net of allowance for doubtful accounts of </w:t>
            </w:r>
            <w:r>
              <w:rPr>
                <w:rFonts w:ascii="Arial" w:cs="Arial" w:eastAsia="Arial" w:hAnsi="Arial"/>
                <w:sz w:val="18"/>
                <w:szCs w:val="18"/>
                <w:b w:val="1"/>
                <w:bCs w:val="1"/>
                <w:color w:val="666666"/>
              </w:rPr>
              <w:t>$729</w:t>
            </w:r>
            <w:r>
              <w:rPr>
                <w:rFonts w:ascii="Arial" w:cs="Arial" w:eastAsia="Arial" w:hAnsi="Arial"/>
                <w:sz w:val="18"/>
                <w:szCs w:val="18"/>
                <w:color w:val="666666"/>
              </w:rPr>
              <w:t xml:space="preserve"> and $944</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56,535</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69,905</w:t>
            </w: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Inventories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1,059</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938</w:t>
            </w:r>
          </w:p>
        </w:tc>
      </w:tr>
      <w:tr>
        <w:trPr>
          <w:trHeight w:val="223"/>
        </w:trPr>
        <w:tc>
          <w:tcPr>
            <w:tcW w:w="7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666666"/>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33,134</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25,723</w:t>
            </w:r>
          </w:p>
        </w:tc>
      </w:tr>
      <w:tr>
        <w:trPr>
          <w:trHeight w:val="203"/>
        </w:trPr>
        <w:tc>
          <w:tcPr>
            <w:tcW w:w="79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666666"/>
              </w:rPr>
              <w:t>Total current assets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180,190</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191,131</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 xml:space="preserve">Property and equipment, net of accumulated depreciation of </w:t>
            </w:r>
            <w:r>
              <w:rPr>
                <w:rFonts w:ascii="Arial" w:cs="Arial" w:eastAsia="Arial" w:hAnsi="Arial"/>
                <w:sz w:val="18"/>
                <w:szCs w:val="18"/>
                <w:b w:val="1"/>
                <w:bCs w:val="1"/>
                <w:color w:val="666666"/>
              </w:rPr>
              <w:t>$104,950</w:t>
            </w:r>
            <w:r>
              <w:rPr>
                <w:rFonts w:ascii="Arial" w:cs="Arial" w:eastAsia="Arial" w:hAnsi="Arial"/>
                <w:sz w:val="18"/>
                <w:szCs w:val="18"/>
                <w:color w:val="666666"/>
              </w:rPr>
              <w:t xml:space="preserve"> and $93,653</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261,126</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204,966</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Operating lease right-of-use assets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25,103</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24,823</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Equity and other investments</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21,202</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15,405</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Goodwill</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119,622</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119,509</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Intangible assets, net</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20,289</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22,604</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Other long-term assets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37,770</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40,565</w:t>
            </w:r>
          </w:p>
        </w:tc>
      </w:tr>
      <w:tr>
        <w:trPr>
          <w:trHeight w:val="20"/>
        </w:trPr>
        <w:tc>
          <w:tcPr>
            <w:tcW w:w="7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44"/>
        </w:trPr>
        <w:tc>
          <w:tcPr>
            <w:tcW w:w="7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666666"/>
              </w:rPr>
              <w:t>Total assets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$665,302</w:t>
            </w:r>
          </w:p>
        </w:tc>
        <w:tc>
          <w:tcPr>
            <w:tcW w:w="14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$619,003</w:t>
            </w:r>
          </w:p>
        </w:tc>
      </w:tr>
      <w:tr>
        <w:trPr>
          <w:trHeight w:val="209"/>
        </w:trPr>
        <w:tc>
          <w:tcPr>
            <w:tcW w:w="7980" w:type="dxa"/>
            <w:vAlign w:val="bottom"/>
            <w:shd w:val="clear" w:color="auto" w:fill="E5E5E5"/>
          </w:tcPr>
          <w:p>
            <w:pPr>
              <w:spacing w:after="0"/>
              <w:rPr>
                <w:sz w:val="20"/>
                <w:szCs w:val="20"/>
                <w:color w:val="auto"/>
              </w:rPr>
            </w:pPr>
            <w:r>
              <w:rPr>
                <w:rFonts w:ascii="Arial" w:cs="Arial" w:eastAsia="Arial" w:hAnsi="Arial"/>
                <w:sz w:val="18"/>
                <w:szCs w:val="18"/>
                <w:b w:val="1"/>
                <w:bCs w:val="1"/>
                <w:color w:val="666666"/>
              </w:rPr>
              <w:t>Liabilities and stockholders' equity</w:t>
            </w:r>
          </w:p>
        </w:tc>
        <w:tc>
          <w:tcPr>
            <w:tcW w:w="15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Current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Accounts payable</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$37,328</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$27,724</w:t>
            </w:r>
          </w:p>
        </w:tc>
      </w:tr>
      <w:tr>
        <w:trPr>
          <w:trHeight w:val="203"/>
        </w:trPr>
        <w:tc>
          <w:tcPr>
            <w:tcW w:w="7980" w:type="dxa"/>
            <w:vAlign w:val="bottom"/>
          </w:tcPr>
          <w:p>
            <w:pPr>
              <w:ind w:left="200"/>
              <w:spacing w:after="0" w:line="202" w:lineRule="exact"/>
              <w:rPr>
                <w:sz w:val="20"/>
                <w:szCs w:val="20"/>
                <w:color w:val="auto"/>
              </w:rPr>
            </w:pPr>
            <w:r>
              <w:rPr>
                <w:rFonts w:ascii="Arial" w:cs="Arial" w:eastAsia="Arial" w:hAnsi="Arial"/>
                <w:sz w:val="18"/>
                <w:szCs w:val="18"/>
                <w:color w:val="666666"/>
              </w:rPr>
              <w:t>Current portion of long-term debt</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4,837</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2,999</w:t>
            </w: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Accrued compensation</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10,103</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13,709</w:t>
            </w:r>
          </w:p>
        </w:tc>
      </w:tr>
      <w:tr>
        <w:trPr>
          <w:trHeight w:val="203"/>
        </w:trPr>
        <w:tc>
          <w:tcPr>
            <w:tcW w:w="7980" w:type="dxa"/>
            <w:vAlign w:val="bottom"/>
          </w:tcPr>
          <w:p>
            <w:pPr>
              <w:ind w:left="200"/>
              <w:spacing w:after="0" w:line="202" w:lineRule="exact"/>
              <w:rPr>
                <w:sz w:val="20"/>
                <w:szCs w:val="20"/>
                <w:color w:val="auto"/>
              </w:rPr>
            </w:pPr>
            <w:r>
              <w:rPr>
                <w:rFonts w:ascii="Arial" w:cs="Arial" w:eastAsia="Arial" w:hAnsi="Arial"/>
                <w:sz w:val="18"/>
                <w:szCs w:val="18"/>
                <w:color w:val="666666"/>
              </w:rPr>
              <w:t>Short-term income taxes</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2,050</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7,211</w:t>
            </w: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Short-term unearned revenue</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51,376</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64,555</w:t>
            </w:r>
          </w:p>
        </w:tc>
      </w:tr>
      <w:tr>
        <w:trPr>
          <w:trHeight w:val="223"/>
        </w:trPr>
        <w:tc>
          <w:tcPr>
            <w:tcW w:w="7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666666"/>
              </w:rPr>
              <w:t>Other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24,311</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25,020</w:t>
            </w:r>
          </w:p>
        </w:tc>
      </w:tr>
      <w:tr>
        <w:trPr>
          <w:trHeight w:val="203"/>
        </w:trPr>
        <w:tc>
          <w:tcPr>
            <w:tcW w:w="79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666666"/>
              </w:rPr>
              <w:t>Total current liabilities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130,005</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141,218</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Long-term debt</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35,425</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40,152</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Long-term income taxes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27,256</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25,986</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Long-term unearned revenue</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2,668</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2,710</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Deferred income taxes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2,876</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2,835</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Operating lease liabilities</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17,345</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17,437</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Other long-term liabilities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58,852</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45,186</w:t>
            </w:r>
          </w:p>
        </w:tc>
      </w:tr>
      <w:tr>
        <w:trPr>
          <w:trHeight w:val="20"/>
        </w:trPr>
        <w:tc>
          <w:tcPr>
            <w:tcW w:w="7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23"/>
        </w:trPr>
        <w:tc>
          <w:tcPr>
            <w:tcW w:w="79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666666"/>
              </w:rPr>
              <w:t>Total liabilities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274,427</w:t>
            </w:r>
          </w:p>
        </w:tc>
        <w:tc>
          <w:tcPr>
            <w:tcW w:w="1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275,524</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Commitments and contingencies</w:t>
            </w:r>
          </w:p>
        </w:tc>
        <w:tc>
          <w:tcPr>
            <w:tcW w:w="15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666666"/>
              </w:rPr>
              <w:t>Stockholders' equity:</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 xml:space="preserve">Common stock and paid-in capital - shares authorized 24,000; outstanding </w:t>
            </w:r>
            <w:r>
              <w:rPr>
                <w:rFonts w:ascii="Arial" w:cs="Arial" w:eastAsia="Arial" w:hAnsi="Arial"/>
                <w:sz w:val="18"/>
                <w:szCs w:val="18"/>
                <w:b w:val="1"/>
                <w:bCs w:val="1"/>
                <w:color w:val="595959"/>
              </w:rPr>
              <w:t>7,429</w:t>
            </w:r>
            <w:r>
              <w:rPr>
                <w:rFonts w:ascii="Arial" w:cs="Arial" w:eastAsia="Arial" w:hAnsi="Arial"/>
                <w:sz w:val="18"/>
                <w:szCs w:val="18"/>
                <w:color w:val="666666"/>
              </w:rPr>
              <w:t xml:space="preserve"> and 7,434</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112,788</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109,095</w:t>
            </w:r>
          </w:p>
        </w:tc>
      </w:tr>
      <w:tr>
        <w:trPr>
          <w:trHeight w:val="203"/>
        </w:trPr>
        <w:tc>
          <w:tcPr>
            <w:tcW w:w="7980" w:type="dxa"/>
            <w:vAlign w:val="bottom"/>
          </w:tcPr>
          <w:p>
            <w:pPr>
              <w:ind w:left="200"/>
              <w:spacing w:after="0" w:line="202" w:lineRule="exact"/>
              <w:rPr>
                <w:sz w:val="20"/>
                <w:szCs w:val="20"/>
                <w:color w:val="auto"/>
              </w:rPr>
            </w:pPr>
            <w:r>
              <w:rPr>
                <w:rFonts w:ascii="Arial" w:cs="Arial" w:eastAsia="Arial" w:hAnsi="Arial"/>
                <w:sz w:val="18"/>
                <w:szCs w:val="18"/>
                <w:color w:val="666666"/>
              </w:rPr>
              <w:t>Retained earnings</w:t>
            </w: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280,789</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237,731</w:t>
            </w:r>
          </w:p>
        </w:tc>
      </w:tr>
      <w:tr>
        <w:trPr>
          <w:trHeight w:val="203"/>
        </w:trPr>
        <w:tc>
          <w:tcPr>
            <w:tcW w:w="79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666666"/>
              </w:rPr>
              <w:t>Accumulated other comprehensive loss</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(2,702)</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(3,347)</w:t>
            </w:r>
          </w:p>
        </w:tc>
      </w:tr>
      <w:tr>
        <w:trPr>
          <w:trHeight w:val="20"/>
        </w:trPr>
        <w:tc>
          <w:tcPr>
            <w:tcW w:w="7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23"/>
        </w:trPr>
        <w:tc>
          <w:tcPr>
            <w:tcW w:w="79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666666"/>
              </w:rPr>
              <w:t>Total stockholders' equity</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390,875</w:t>
            </w:r>
          </w:p>
        </w:tc>
        <w:tc>
          <w:tcPr>
            <w:tcW w:w="1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343,479</w:t>
            </w:r>
          </w:p>
        </w:tc>
      </w:tr>
      <w:tr>
        <w:trPr>
          <w:trHeight w:val="203"/>
        </w:trPr>
        <w:tc>
          <w:tcPr>
            <w:tcW w:w="7980" w:type="dxa"/>
            <w:vAlign w:val="bottom"/>
            <w:shd w:val="clear" w:color="auto" w:fill="E5E5E5"/>
          </w:tcPr>
          <w:p>
            <w:pPr>
              <w:ind w:left="720"/>
              <w:spacing w:after="0" w:line="202" w:lineRule="exact"/>
              <w:rPr>
                <w:sz w:val="20"/>
                <w:szCs w:val="20"/>
                <w:color w:val="auto"/>
              </w:rPr>
            </w:pPr>
            <w:r>
              <w:rPr>
                <w:rFonts w:ascii="Arial" w:cs="Arial" w:eastAsia="Arial" w:hAnsi="Arial"/>
                <w:sz w:val="18"/>
                <w:szCs w:val="18"/>
                <w:color w:val="666666"/>
              </w:rPr>
              <w:t>Total liabilities and stockholders' equity</w:t>
            </w:r>
          </w:p>
        </w:tc>
        <w:tc>
          <w:tcPr>
            <w:tcW w:w="1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$665,302</w:t>
            </w:r>
          </w:p>
        </w:tc>
        <w:tc>
          <w:tcPr>
            <w:tcW w:w="17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$619,003</w:t>
            </w:r>
          </w:p>
        </w:tc>
      </w:tr>
      <w:tr>
        <w:trPr>
          <w:trHeight w:val="34"/>
        </w:trPr>
        <w:tc>
          <w:tcPr>
            <w:tcW w:w="7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411"/>
        </w:trPr>
        <w:tc>
          <w:tcPr>
            <w:tcW w:w="79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666666"/>
        </w:rPr>
        <w:t>CASH FLOWS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(In millions)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12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666666"/>
              </w:rPr>
              <w:t>Six Months Ended</w:t>
            </w:r>
          </w:p>
        </w:tc>
      </w:tr>
      <w:tr>
        <w:trPr>
          <w:trHeight w:val="202"/>
        </w:trPr>
        <w:tc>
          <w:tcPr>
            <w:tcW w:w="5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December 31,</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December 31,</w:t>
            </w:r>
          </w:p>
        </w:tc>
      </w:tr>
      <w:tr>
        <w:trPr>
          <w:trHeight w:val="242"/>
        </w:trPr>
        <w:tc>
          <w:tcPr>
            <w:tcW w:w="59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2024</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Operations</w:t>
            </w: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Net income</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$38,458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$24,108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$66,205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$48,775</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Adjustments to reconcile net income to net cash from operations:</w:t>
            </w: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203"/>
        </w:trPr>
        <w:tc>
          <w:tcPr>
            <w:tcW w:w="5960" w:type="dxa"/>
            <w:vAlign w:val="bottom"/>
          </w:tcPr>
          <w:p>
            <w:pPr>
              <w:ind w:left="160"/>
              <w:spacing w:after="0" w:line="202" w:lineRule="exact"/>
              <w:rPr>
                <w:sz w:val="20"/>
                <w:szCs w:val="20"/>
                <w:color w:val="auto"/>
              </w:rPr>
            </w:pPr>
            <w:r>
              <w:rPr>
                <w:rFonts w:ascii="Arial" w:cs="Arial" w:eastAsia="Arial" w:hAnsi="Arial"/>
                <w:sz w:val="18"/>
                <w:szCs w:val="18"/>
                <w:color w:val="666666"/>
              </w:rPr>
              <w:t>Depreciation, amortization, and other</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9,198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5,667</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17,345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12,383</w:t>
            </w:r>
          </w:p>
        </w:tc>
      </w:tr>
      <w:tr>
        <w:trPr>
          <w:trHeight w:val="203"/>
        </w:trPr>
        <w:tc>
          <w:tcPr>
            <w:tcW w:w="59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Stock-based compensation expense</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3,219</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3,089</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6,202</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5,921</w:t>
            </w:r>
          </w:p>
        </w:tc>
      </w:tr>
      <w:tr>
        <w:trPr>
          <w:trHeight w:val="203"/>
        </w:trPr>
        <w:tc>
          <w:tcPr>
            <w:tcW w:w="5960" w:type="dxa"/>
            <w:vAlign w:val="bottom"/>
          </w:tcPr>
          <w:p>
            <w:pPr>
              <w:ind w:left="160"/>
              <w:spacing w:after="0" w:line="202" w:lineRule="exact"/>
              <w:rPr>
                <w:sz w:val="20"/>
                <w:szCs w:val="20"/>
                <w:color w:val="auto"/>
              </w:rPr>
            </w:pPr>
            <w:r>
              <w:rPr>
                <w:rFonts w:ascii="Arial" w:cs="Arial" w:eastAsia="Arial" w:hAnsi="Arial"/>
                <w:sz w:val="18"/>
                <w:szCs w:val="18"/>
                <w:color w:val="666666"/>
              </w:rPr>
              <w:t>Net recognized losses (gains) on investments and derivatives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(9,931)</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2,136</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(6,024)</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2,678</w:t>
            </w:r>
          </w:p>
        </w:tc>
      </w:tr>
      <w:tr>
        <w:trPr>
          <w:trHeight w:val="203"/>
        </w:trPr>
        <w:tc>
          <w:tcPr>
            <w:tcW w:w="59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666666"/>
              </w:rPr>
              <w:t>Deferred income taxes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4,446</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(1,158)</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6,937</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(2,591)</w:t>
            </w:r>
          </w:p>
        </w:tc>
      </w:tr>
      <w:tr>
        <w:trPr>
          <w:trHeight w:val="203"/>
        </w:trPr>
        <w:tc>
          <w:tcPr>
            <w:tcW w:w="5960" w:type="dxa"/>
            <w:vAlign w:val="bottom"/>
          </w:tcPr>
          <w:p>
            <w:pPr>
              <w:ind w:left="160"/>
              <w:spacing w:after="0" w:line="202" w:lineRule="exact"/>
              <w:rPr>
                <w:sz w:val="20"/>
                <w:szCs w:val="20"/>
                <w:color w:val="auto"/>
              </w:rPr>
            </w:pPr>
            <w:r>
              <w:rPr>
                <w:rFonts w:ascii="Arial" w:cs="Arial" w:eastAsia="Arial" w:hAnsi="Arial"/>
                <w:sz w:val="18"/>
                <w:szCs w:val="18"/>
                <w:color w:val="666666"/>
              </w:rPr>
              <w:t>Changes in operating assets and liabilities: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9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Accounts receivable</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(3,436)</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(5,978)</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13,054</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8,059</w:t>
            </w:r>
          </w:p>
        </w:tc>
      </w:tr>
      <w:tr>
        <w:trPr>
          <w:trHeight w:val="203"/>
        </w:trPr>
        <w:tc>
          <w:tcPr>
            <w:tcW w:w="5960" w:type="dxa"/>
            <w:vAlign w:val="bottom"/>
          </w:tcPr>
          <w:p>
            <w:pPr>
              <w:ind w:left="300"/>
              <w:spacing w:after="0" w:line="202" w:lineRule="exact"/>
              <w:rPr>
                <w:sz w:val="20"/>
                <w:szCs w:val="20"/>
                <w:color w:val="auto"/>
              </w:rPr>
            </w:pPr>
            <w:r>
              <w:rPr>
                <w:rFonts w:ascii="Arial" w:cs="Arial" w:eastAsia="Arial" w:hAnsi="Arial"/>
                <w:sz w:val="18"/>
                <w:szCs w:val="18"/>
                <w:color w:val="666666"/>
              </w:rPr>
              <w:t>Inventories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70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711</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(122)</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338</w:t>
            </w:r>
          </w:p>
        </w:tc>
      </w:tr>
      <w:tr>
        <w:trPr>
          <w:trHeight w:val="203"/>
        </w:trPr>
        <w:tc>
          <w:tcPr>
            <w:tcW w:w="59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Other current assets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619</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(353)</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(543)</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(435)</w:t>
            </w:r>
          </w:p>
        </w:tc>
      </w:tr>
      <w:tr>
        <w:trPr>
          <w:trHeight w:val="203"/>
        </w:trPr>
        <w:tc>
          <w:tcPr>
            <w:tcW w:w="5960" w:type="dxa"/>
            <w:vAlign w:val="bottom"/>
          </w:tcPr>
          <w:p>
            <w:pPr>
              <w:ind w:left="300"/>
              <w:spacing w:after="0" w:line="202" w:lineRule="exact"/>
              <w:rPr>
                <w:sz w:val="20"/>
                <w:szCs w:val="20"/>
                <w:color w:val="auto"/>
              </w:rPr>
            </w:pPr>
            <w:r>
              <w:rPr>
                <w:rFonts w:ascii="Arial" w:cs="Arial" w:eastAsia="Arial" w:hAnsi="Arial"/>
                <w:sz w:val="18"/>
                <w:szCs w:val="18"/>
                <w:color w:val="666666"/>
              </w:rPr>
              <w:t>Other long-term assets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(1,288)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(1,089)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(1,682)</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(2,850)</w:t>
            </w:r>
          </w:p>
        </w:tc>
      </w:tr>
      <w:tr>
        <w:trPr>
          <w:trHeight w:val="203"/>
        </w:trPr>
        <w:tc>
          <w:tcPr>
            <w:tcW w:w="59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Accounts payable</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1,197</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958</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583</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42</w:t>
            </w:r>
          </w:p>
        </w:tc>
      </w:tr>
      <w:tr>
        <w:trPr>
          <w:trHeight w:val="203"/>
        </w:trPr>
        <w:tc>
          <w:tcPr>
            <w:tcW w:w="5960" w:type="dxa"/>
            <w:vAlign w:val="bottom"/>
          </w:tcPr>
          <w:p>
            <w:pPr>
              <w:ind w:left="300"/>
              <w:spacing w:after="0" w:line="202" w:lineRule="exact"/>
              <w:rPr>
                <w:sz w:val="20"/>
                <w:szCs w:val="20"/>
                <w:color w:val="auto"/>
              </w:rPr>
            </w:pPr>
            <w:r>
              <w:rPr>
                <w:rFonts w:ascii="Arial" w:cs="Arial" w:eastAsia="Arial" w:hAnsi="Arial"/>
                <w:sz w:val="18"/>
                <w:szCs w:val="18"/>
                <w:color w:val="666666"/>
              </w:rPr>
              <w:t>Unearned revenue</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(7,483)</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(6,338)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(12,901)</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(11,891)</w:t>
            </w:r>
          </w:p>
        </w:tc>
      </w:tr>
      <w:tr>
        <w:trPr>
          <w:trHeight w:val="203"/>
        </w:trPr>
        <w:tc>
          <w:tcPr>
            <w:tcW w:w="59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Income taxes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(920)</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(3,395)</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(3,864)</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(2,379)</w:t>
            </w:r>
          </w:p>
        </w:tc>
      </w:tr>
      <w:tr>
        <w:trPr>
          <w:trHeight w:val="203"/>
        </w:trPr>
        <w:tc>
          <w:tcPr>
            <w:tcW w:w="5960" w:type="dxa"/>
            <w:vAlign w:val="bottom"/>
          </w:tcPr>
          <w:p>
            <w:pPr>
              <w:ind w:left="300"/>
              <w:spacing w:after="0" w:line="202" w:lineRule="exact"/>
              <w:rPr>
                <w:sz w:val="20"/>
                <w:szCs w:val="20"/>
                <w:color w:val="auto"/>
              </w:rPr>
            </w:pPr>
            <w:r>
              <w:rPr>
                <w:rFonts w:ascii="Arial" w:cs="Arial" w:eastAsia="Arial" w:hAnsi="Arial"/>
                <w:sz w:val="18"/>
                <w:szCs w:val="18"/>
                <w:color w:val="666666"/>
              </w:rPr>
              <w:t>Other current liabilities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2,802</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3,217</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(2,705)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(2,262)</w:t>
            </w:r>
          </w:p>
        </w:tc>
      </w:tr>
      <w:tr>
        <w:trPr>
          <w:trHeight w:val="203"/>
        </w:trPr>
        <w:tc>
          <w:tcPr>
            <w:tcW w:w="59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666666"/>
              </w:rPr>
              <w:t>Other long-term liabilities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(1,193)</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716</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(1,670)</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683</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5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666666"/>
              </w:rPr>
              <w:t>Net cash from operations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35,758</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22,291</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80,815</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56,471</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Financing</w:t>
            </w: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Repayments of debt, maturities of 90 days or less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0</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(5,746)</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Repayments of debt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(3,000)</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0</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(3,000)</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(966)</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Common stock issued</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259</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256</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948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962</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Common stock repurchased</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(7,415)</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(4,986)</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(13,065)</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(9,093)</w:t>
            </w:r>
          </w:p>
        </w:tc>
      </w:tr>
      <w:tr>
        <w:trPr>
          <w:trHeight w:val="202"/>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Common stock cash dividends paid</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(6,762)</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(6,170)</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(12,931)</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(11,744)</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Other, net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(699)</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(343)</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(1,368)</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(1,232)</w:t>
            </w:r>
          </w:p>
        </w:tc>
      </w:tr>
      <w:tr>
        <w:trPr>
          <w:trHeight w:val="20"/>
        </w:trPr>
        <w:tc>
          <w:tcPr>
            <w:tcW w:w="5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4"/>
        </w:trPr>
        <w:tc>
          <w:tcPr>
            <w:tcW w:w="59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666666"/>
              </w:rPr>
              <w:t>Net cash used in financing</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(17,617)</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(11,243)</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(29,416)</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(27,819)</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666666"/>
              </w:rPr>
              <w:t>Investing</w:t>
            </w: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Additions to property and equipment</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(29,876)</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(15,804)</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(49,270)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(30,727)</w:t>
            </w:r>
          </w:p>
        </w:tc>
      </w:tr>
      <w:tr>
        <w:trPr>
          <w:trHeight w:val="184"/>
        </w:trPr>
        <w:tc>
          <w:tcPr>
            <w:tcW w:w="5960" w:type="dxa"/>
            <w:vAlign w:val="bottom"/>
            <w:shd w:val="clear" w:color="auto" w:fill="E5E5E5"/>
          </w:tcPr>
          <w:p>
            <w:pPr>
              <w:spacing w:after="0" w:line="183" w:lineRule="exact"/>
              <w:rPr>
                <w:sz w:val="20"/>
                <w:szCs w:val="20"/>
                <w:color w:val="auto"/>
              </w:rPr>
            </w:pPr>
            <w:r>
              <w:rPr>
                <w:rFonts w:ascii="Arial" w:cs="Arial" w:eastAsia="Arial" w:hAnsi="Arial"/>
                <w:sz w:val="18"/>
                <w:szCs w:val="18"/>
                <w:color w:val="666666"/>
              </w:rPr>
              <w:t>Acquisition of companies, net of cash acquired and divestitures, and</w:t>
            </w:r>
          </w:p>
        </w:tc>
        <w:tc>
          <w:tcPr>
            <w:tcW w:w="1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r>
      <w:tr>
        <w:trPr>
          <w:trHeight w:val="221"/>
        </w:trPr>
        <w:tc>
          <w:tcPr>
            <w:tcW w:w="5960" w:type="dxa"/>
            <w:vAlign w:val="bottom"/>
            <w:shd w:val="clear" w:color="auto" w:fill="E5E5E5"/>
          </w:tcPr>
          <w:p>
            <w:pPr>
              <w:spacing w:after="0"/>
              <w:rPr>
                <w:sz w:val="20"/>
                <w:szCs w:val="20"/>
                <w:color w:val="auto"/>
              </w:rPr>
            </w:pPr>
            <w:r>
              <w:rPr>
                <w:rFonts w:ascii="Arial" w:cs="Arial" w:eastAsia="Arial" w:hAnsi="Arial"/>
                <w:sz w:val="18"/>
                <w:szCs w:val="18"/>
                <w:color w:val="666666"/>
              </w:rPr>
              <w:t>purchases of intangible and other assets</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666666"/>
              </w:rPr>
              <w:t>(455)</w:t>
            </w:r>
          </w:p>
        </w:tc>
        <w:tc>
          <w:tcPr>
            <w:tcW w:w="13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666666"/>
              </w:rPr>
              <w:t>(1,405)</w:t>
            </w:r>
          </w:p>
        </w:tc>
        <w:tc>
          <w:tcPr>
            <w:tcW w:w="134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666666"/>
              </w:rPr>
              <w:t>(1,033)</w:t>
            </w:r>
          </w:p>
        </w:tc>
        <w:tc>
          <w:tcPr>
            <w:tcW w:w="13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666666"/>
              </w:rPr>
              <w:t>(3,254)</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Purchases of investments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(9,845)</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(2,050)</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(27,516)</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(3,670)</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Maturities of investments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12,417</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2,604</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18,448</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4,740</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666666"/>
              </w:rPr>
              <w:t>Sales of investments</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5,691</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2,559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8,953</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4,527</w:t>
            </w:r>
          </w:p>
        </w:tc>
      </w:tr>
      <w:tr>
        <w:trPr>
          <w:trHeight w:val="202"/>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Other, net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(637)</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(16)</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(6,846)</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(929)</w:t>
            </w:r>
          </w:p>
        </w:tc>
      </w:tr>
      <w:tr>
        <w:trPr>
          <w:trHeight w:val="20"/>
        </w:trPr>
        <w:tc>
          <w:tcPr>
            <w:tcW w:w="5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4"/>
        </w:trPr>
        <w:tc>
          <w:tcPr>
            <w:tcW w:w="59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666666"/>
              </w:rPr>
              <w:t>Net cash used in investing</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(22,705)</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(14,112)</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(57,264)</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(29,313)</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Effect of foreign exchange rates on cash and cash equivalents</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11</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(294)</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(81)</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(172)</w:t>
            </w:r>
          </w:p>
        </w:tc>
      </w:tr>
      <w:tr>
        <w:trPr>
          <w:trHeight w:val="20"/>
        </w:trPr>
        <w:tc>
          <w:tcPr>
            <w:tcW w:w="5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03"/>
        </w:trPr>
        <w:tc>
          <w:tcPr>
            <w:tcW w:w="59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666666"/>
              </w:rPr>
              <w:t>Net change in cash and cash equivalents</w:t>
            </w: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666666"/>
              </w:rPr>
              <w:t>(4,553)</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666666"/>
              </w:rPr>
              <w:t>(3,358)</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666666"/>
              </w:rPr>
              <w:t>(5,946)</w:t>
            </w:r>
          </w:p>
        </w:tc>
        <w:tc>
          <w:tcPr>
            <w:tcW w:w="140" w:type="dxa"/>
            <w:vAlign w:val="bottom"/>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666666"/>
              </w:rPr>
              <w:t>(833)</w:t>
            </w:r>
          </w:p>
        </w:tc>
      </w:tr>
      <w:tr>
        <w:trPr>
          <w:trHeight w:val="203"/>
        </w:trPr>
        <w:tc>
          <w:tcPr>
            <w:tcW w:w="596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Cash and cash equivalents, beginning of period</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28,849</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20,840</w:t>
            </w:r>
          </w:p>
        </w:tc>
        <w:tc>
          <w:tcPr>
            <w:tcW w:w="1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30,242</w:t>
            </w:r>
          </w:p>
        </w:tc>
        <w:tc>
          <w:tcPr>
            <w:tcW w:w="13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18,315</w:t>
            </w:r>
          </w:p>
        </w:tc>
      </w:tr>
      <w:tr>
        <w:trPr>
          <w:trHeight w:val="20"/>
        </w:trPr>
        <w:tc>
          <w:tcPr>
            <w:tcW w:w="5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37"/>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color w:val="666666"/>
              </w:rPr>
              <w:t>Cash and cash equivalents, 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$24,296</w:t>
            </w:r>
          </w:p>
        </w:tc>
        <w:tc>
          <w:tcPr>
            <w:tcW w:w="14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$17,482</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$24,296</w:t>
            </w:r>
          </w:p>
        </w:tc>
        <w:tc>
          <w:tcPr>
            <w:tcW w:w="14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$17,482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We have recast certain prior period amounts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666666"/>
        </w:rPr>
        <w:t>SEGMENT RESULTS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666666"/>
        </w:rPr>
        <w:t>(In millions)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64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120" w:type="dxa"/>
            <w:vAlign w:val="bottom"/>
          </w:tcPr>
          <w:p>
            <w:pPr>
              <w:spacing w:after="0"/>
              <w:rPr>
                <w:sz w:val="17"/>
                <w:szCs w:val="17"/>
                <w:color w:val="auto"/>
              </w:rPr>
            </w:pPr>
          </w:p>
        </w:tc>
        <w:tc>
          <w:tcPr>
            <w:tcW w:w="2640" w:type="dxa"/>
            <w:vAlign w:val="bottom"/>
            <w:gridSpan w:val="3"/>
          </w:tcPr>
          <w:p>
            <w:pPr>
              <w:jc w:val="right"/>
              <w:spacing w:after="0"/>
              <w:rPr>
                <w:sz w:val="20"/>
                <w:szCs w:val="20"/>
                <w:color w:val="auto"/>
              </w:rPr>
            </w:pPr>
            <w:r>
              <w:rPr>
                <w:rFonts w:ascii="Arial" w:cs="Arial" w:eastAsia="Arial" w:hAnsi="Arial"/>
                <w:sz w:val="18"/>
                <w:szCs w:val="18"/>
                <w:b w:val="1"/>
                <w:bCs w:val="1"/>
                <w:color w:val="666666"/>
              </w:rPr>
              <w:t>Six Months Ended</w:t>
            </w:r>
          </w:p>
        </w:tc>
      </w:tr>
      <w:tr>
        <w:trPr>
          <w:trHeight w:val="203"/>
        </w:trPr>
        <w:tc>
          <w:tcPr>
            <w:tcW w:w="5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December 31,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December 31,</w:t>
            </w:r>
          </w:p>
        </w:tc>
      </w:tr>
      <w:tr>
        <w:trPr>
          <w:trHeight w:val="235"/>
        </w:trPr>
        <w:tc>
          <w:tcPr>
            <w:tcW w:w="5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2025</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2024</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2025</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2024</w:t>
            </w: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666666"/>
              </w:rPr>
              <w:t>Productivity and Business Processes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Revenue</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$34,116</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$29,437</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$67,136</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$57,754</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666666"/>
              </w:rPr>
              <w:t>Cost of revenue</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6,110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5,569</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11,831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10,863</w:t>
            </w: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Operating expenses</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7,407</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6,983</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14,299</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13,490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5840" w:type="dxa"/>
            <w:vAlign w:val="bottom"/>
          </w:tcPr>
          <w:p>
            <w:pPr>
              <w:ind w:left="160"/>
              <w:spacing w:after="0"/>
              <w:rPr>
                <w:sz w:val="20"/>
                <w:szCs w:val="20"/>
                <w:color w:val="auto"/>
              </w:rPr>
            </w:pPr>
            <w:r>
              <w:rPr>
                <w:rFonts w:ascii="Arial" w:cs="Arial" w:eastAsia="Arial" w:hAnsi="Arial"/>
                <w:sz w:val="18"/>
                <w:szCs w:val="18"/>
                <w:color w:val="666666"/>
              </w:rPr>
              <w:t>Operating income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$20,599</w:t>
            </w:r>
          </w:p>
        </w:tc>
        <w:tc>
          <w:tcPr>
            <w:tcW w:w="14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$16,885</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$41,006</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$33,401</w:t>
            </w:r>
          </w:p>
        </w:tc>
      </w:tr>
      <w:tr>
        <w:trPr>
          <w:trHeight w:val="257"/>
        </w:trPr>
        <w:tc>
          <w:tcPr>
            <w:tcW w:w="5840" w:type="dxa"/>
            <w:vAlign w:val="bottom"/>
          </w:tcPr>
          <w:p>
            <w:pPr>
              <w:spacing w:after="0"/>
              <w:rPr>
                <w:sz w:val="20"/>
                <w:szCs w:val="20"/>
                <w:color w:val="auto"/>
              </w:rPr>
            </w:pPr>
            <w:r>
              <w:rPr>
                <w:rFonts w:ascii="Arial" w:cs="Arial" w:eastAsia="Arial" w:hAnsi="Arial"/>
                <w:sz w:val="18"/>
                <w:szCs w:val="18"/>
                <w:b w:val="1"/>
                <w:bCs w:val="1"/>
                <w:color w:val="666666"/>
              </w:rPr>
              <w:t>Intelligent Cloud</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Revenue</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$32,907</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$25,544</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$63,804</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$49,636</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666666"/>
              </w:rPr>
              <w:t>Cost of revenue</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13,566</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9,405</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25,880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18,019</w:t>
            </w: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Operating expenses</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5,468</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5,288</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10,660</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10,263</w:t>
            </w:r>
          </w:p>
        </w:tc>
      </w:tr>
      <w:tr>
        <w:trPr>
          <w:trHeight w:val="20"/>
        </w:trPr>
        <w:tc>
          <w:tcPr>
            <w:tcW w:w="5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64"/>
        </w:trPr>
        <w:tc>
          <w:tcPr>
            <w:tcW w:w="5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666666"/>
              </w:rPr>
              <w:t>Operating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$13,873</w:t>
            </w:r>
          </w:p>
        </w:tc>
        <w:tc>
          <w:tcPr>
            <w:tcW w:w="14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$10,851</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$27,264</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$21,354</w:t>
            </w:r>
          </w:p>
        </w:tc>
      </w:tr>
      <w:tr>
        <w:trPr>
          <w:trHeight w:val="257"/>
        </w:trPr>
        <w:tc>
          <w:tcPr>
            <w:tcW w:w="5840" w:type="dxa"/>
            <w:vAlign w:val="bottom"/>
          </w:tcPr>
          <w:p>
            <w:pPr>
              <w:spacing w:after="0"/>
              <w:rPr>
                <w:sz w:val="20"/>
                <w:szCs w:val="20"/>
                <w:color w:val="auto"/>
              </w:rPr>
            </w:pPr>
            <w:r>
              <w:rPr>
                <w:rFonts w:ascii="Arial" w:cs="Arial" w:eastAsia="Arial" w:hAnsi="Arial"/>
                <w:sz w:val="18"/>
                <w:szCs w:val="18"/>
                <w:b w:val="1"/>
                <w:bCs w:val="1"/>
                <w:color w:val="666666"/>
              </w:rPr>
              <w:t>More Personal Computing</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Revenue</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$14,250</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$14,651</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$28,006</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$27,827</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666666"/>
              </w:rPr>
              <w:t>Cost of revenue</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6,302</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6,825</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12,310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13,016</w:t>
            </w:r>
          </w:p>
        </w:tc>
      </w:tr>
      <w:tr>
        <w:trPr>
          <w:trHeight w:val="203"/>
        </w:trPr>
        <w:tc>
          <w:tcPr>
            <w:tcW w:w="5840" w:type="dxa"/>
            <w:vAlign w:val="bottom"/>
            <w:shd w:val="clear" w:color="auto" w:fill="E5E5E5"/>
          </w:tcPr>
          <w:p>
            <w:pPr>
              <w:spacing w:after="0" w:line="202" w:lineRule="exact"/>
              <w:rPr>
                <w:sz w:val="20"/>
                <w:szCs w:val="20"/>
                <w:color w:val="auto"/>
              </w:rPr>
            </w:pPr>
            <w:r>
              <w:rPr>
                <w:rFonts w:ascii="Arial" w:cs="Arial" w:eastAsia="Arial" w:hAnsi="Arial"/>
                <w:sz w:val="18"/>
                <w:szCs w:val="18"/>
                <w:color w:val="666666"/>
              </w:rPr>
              <w:t>Operating expenses</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4,145</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3,909</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666666"/>
              </w:rPr>
              <w:t>7,730</w:t>
            </w:r>
          </w:p>
        </w:tc>
        <w:tc>
          <w:tcPr>
            <w:tcW w:w="13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666666"/>
              </w:rPr>
              <w:t>7,361</w:t>
            </w:r>
          </w:p>
        </w:tc>
      </w:tr>
      <w:tr>
        <w:trPr>
          <w:trHeight w:val="20"/>
        </w:trPr>
        <w:tc>
          <w:tcPr>
            <w:tcW w:w="5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64"/>
        </w:trPr>
        <w:tc>
          <w:tcPr>
            <w:tcW w:w="5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666666"/>
              </w:rPr>
              <w:t>Operating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$3,803</w:t>
            </w:r>
          </w:p>
        </w:tc>
        <w:tc>
          <w:tcPr>
            <w:tcW w:w="14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$3,917</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$7,966</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$7,450</w:t>
            </w:r>
          </w:p>
        </w:tc>
      </w:tr>
      <w:tr>
        <w:trPr>
          <w:trHeight w:val="257"/>
        </w:trPr>
        <w:tc>
          <w:tcPr>
            <w:tcW w:w="5840" w:type="dxa"/>
            <w:vAlign w:val="bottom"/>
          </w:tcPr>
          <w:p>
            <w:pPr>
              <w:spacing w:after="0"/>
              <w:rPr>
                <w:sz w:val="20"/>
                <w:szCs w:val="20"/>
                <w:color w:val="auto"/>
              </w:rPr>
            </w:pPr>
            <w:r>
              <w:rPr>
                <w:rFonts w:ascii="Arial" w:cs="Arial" w:eastAsia="Arial" w:hAnsi="Arial"/>
                <w:sz w:val="18"/>
                <w:szCs w:val="18"/>
                <w:b w:val="1"/>
                <w:bCs w:val="1"/>
                <w:color w:val="666666"/>
              </w:rPr>
              <w:t>Total</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3"/>
        </w:trPr>
        <w:tc>
          <w:tcPr>
            <w:tcW w:w="5840" w:type="dxa"/>
            <w:vAlign w:val="bottom"/>
            <w:shd w:val="clear" w:color="auto" w:fill="E7E6E6"/>
          </w:tcPr>
          <w:p>
            <w:pPr>
              <w:spacing w:after="0" w:line="202" w:lineRule="exact"/>
              <w:rPr>
                <w:sz w:val="20"/>
                <w:szCs w:val="20"/>
                <w:color w:val="auto"/>
              </w:rPr>
            </w:pPr>
            <w:r>
              <w:rPr>
                <w:rFonts w:ascii="Arial" w:cs="Arial" w:eastAsia="Arial" w:hAnsi="Arial"/>
                <w:sz w:val="18"/>
                <w:szCs w:val="18"/>
                <w:color w:val="666666"/>
              </w:rPr>
              <w:t>Revenue</w:t>
            </w:r>
          </w:p>
        </w:tc>
        <w:tc>
          <w:tcPr>
            <w:tcW w:w="126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b w:val="1"/>
                <w:bCs w:val="1"/>
                <w:color w:val="666666"/>
              </w:rPr>
              <w:t>$81,273</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color w:val="666666"/>
              </w:rPr>
              <w:t>$69,632</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b w:val="1"/>
                <w:bCs w:val="1"/>
                <w:color w:val="666666"/>
              </w:rPr>
              <w:t>$158,946</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color w:val="666666"/>
              </w:rPr>
              <w:t>$135,217</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666666"/>
              </w:rPr>
              <w:t>Cost of revenue</w:t>
            </w: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25,978</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21,799</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50,021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41,898</w:t>
            </w:r>
          </w:p>
        </w:tc>
      </w:tr>
      <w:tr>
        <w:trPr>
          <w:trHeight w:val="202"/>
        </w:trPr>
        <w:tc>
          <w:tcPr>
            <w:tcW w:w="5840" w:type="dxa"/>
            <w:vAlign w:val="bottom"/>
            <w:shd w:val="clear" w:color="auto" w:fill="E7E6E6"/>
          </w:tcPr>
          <w:p>
            <w:pPr>
              <w:spacing w:after="0" w:line="202" w:lineRule="exact"/>
              <w:rPr>
                <w:sz w:val="20"/>
                <w:szCs w:val="20"/>
                <w:color w:val="auto"/>
              </w:rPr>
            </w:pPr>
            <w:r>
              <w:rPr>
                <w:rFonts w:ascii="Arial" w:cs="Arial" w:eastAsia="Arial" w:hAnsi="Arial"/>
                <w:sz w:val="18"/>
                <w:szCs w:val="18"/>
                <w:color w:val="666666"/>
              </w:rPr>
              <w:t>Operating expenses</w:t>
            </w:r>
          </w:p>
        </w:tc>
        <w:tc>
          <w:tcPr>
            <w:tcW w:w="1260" w:type="dxa"/>
            <w:vAlign w:val="bottom"/>
            <w:shd w:val="clear" w:color="auto" w:fill="E7E6E6"/>
          </w:tcPr>
          <w:p>
            <w:pPr>
              <w:jc w:val="right"/>
              <w:spacing w:after="0" w:line="202" w:lineRule="exact"/>
              <w:rPr>
                <w:sz w:val="20"/>
                <w:szCs w:val="20"/>
                <w:color w:val="auto"/>
              </w:rPr>
            </w:pPr>
            <w:r>
              <w:rPr>
                <w:rFonts w:ascii="Arial" w:cs="Arial" w:eastAsia="Arial" w:hAnsi="Arial"/>
                <w:sz w:val="18"/>
                <w:szCs w:val="18"/>
                <w:b w:val="1"/>
                <w:bCs w:val="1"/>
                <w:color w:val="666666"/>
              </w:rPr>
              <w:t>17,020</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color w:val="666666"/>
              </w:rPr>
              <w:t>16,180</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b w:val="1"/>
                <w:bCs w:val="1"/>
                <w:color w:val="666666"/>
              </w:rPr>
              <w:t>32,689</w:t>
            </w:r>
          </w:p>
        </w:tc>
        <w:tc>
          <w:tcPr>
            <w:tcW w:w="1380" w:type="dxa"/>
            <w:vAlign w:val="bottom"/>
            <w:gridSpan w:val="2"/>
            <w:shd w:val="clear" w:color="auto" w:fill="E7E6E6"/>
          </w:tcPr>
          <w:p>
            <w:pPr>
              <w:jc w:val="right"/>
              <w:spacing w:after="0" w:line="202" w:lineRule="exact"/>
              <w:rPr>
                <w:sz w:val="20"/>
                <w:szCs w:val="20"/>
                <w:color w:val="auto"/>
              </w:rPr>
            </w:pPr>
            <w:r>
              <w:rPr>
                <w:rFonts w:ascii="Arial" w:cs="Arial" w:eastAsia="Arial" w:hAnsi="Arial"/>
                <w:sz w:val="18"/>
                <w:szCs w:val="18"/>
                <w:color w:val="666666"/>
              </w:rPr>
              <w:t>31,114</w:t>
            </w:r>
          </w:p>
        </w:tc>
      </w:tr>
      <w:tr>
        <w:trPr>
          <w:trHeight w:val="20"/>
        </w:trPr>
        <w:tc>
          <w:tcPr>
            <w:tcW w:w="5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64"/>
        </w:trPr>
        <w:tc>
          <w:tcPr>
            <w:tcW w:w="5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666666"/>
              </w:rPr>
              <w:t>Operating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$38,275</w:t>
            </w:r>
          </w:p>
        </w:tc>
        <w:tc>
          <w:tcPr>
            <w:tcW w:w="14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$31,653</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$76,236</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666666"/>
              </w:rPr>
              <w:t>$62,205</w:t>
            </w:r>
          </w:p>
        </w:tc>
      </w:tr>
      <w:tr>
        <w:trPr>
          <w:trHeight w:val="1667"/>
        </w:trPr>
        <w:tc>
          <w:tcPr>
            <w:tcW w:w="5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2026-01-28T15:41:59Z</dcterms:created>
  <dcterms:modified xsi:type="dcterms:W3CDTF">2026-01-28T15:41:59Z</dcterms:modified>
</cp:coreProperties>
</file>