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685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8503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MacGregor Catherine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5.068</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5.068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1"/>
              <w:spacing w:after="0" w:line="141" w:lineRule="exact"/>
              <w:rPr>
                <w:sz w:val="20"/>
                <w:szCs w:val="20"/>
                <w:color w:val="auto"/>
              </w:rPr>
            </w:pPr>
            <w:r>
              <w:rPr>
                <w:rFonts w:ascii="Times New Roman" w:cs="Times New Roman" w:eastAsia="Times New Roman" w:hAnsi="Times New Roman"/>
                <w:sz w:val="13"/>
                <w:szCs w:val="13"/>
                <w:color w:val="0000FF"/>
              </w:rPr>
              <w:t>06/11/2026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2,179.633</w:t>
            </w: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-1840230</wp:posOffset>
            </wp:positionV>
            <wp:extent cx="29210" cy="1845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53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3" w:lineRule="exact"/>
        <w:rPr>
          <w:rFonts w:ascii="Times New Roman" w:cs="Times New Roman" w:eastAsia="Times New Roman" w:hAnsi="Times New Roman"/>
          <w:sz w:val="13"/>
          <w:szCs w:val="13"/>
          <w:color w:val="008000"/>
        </w:rPr>
      </w:pPr>
    </w:p>
    <w:p>
      <w:pPr>
        <w:ind w:left="40" w:right="50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1st anniversary after the date of the reporting person's separation from service to the Board of Directors.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Julia Stark, Attorney-in-Fact</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170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7"/>
              </w:rPr>
              <w:t>for Catherine MacGregor</w:t>
            </w:r>
          </w:p>
        </w:tc>
        <w:tc>
          <w:tcPr>
            <w:tcW w:w="5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5757"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2026-06-12T17:06:01Z</dcterms:created>
  <dcterms:modified xsi:type="dcterms:W3CDTF">2026-06-12T17:06:01Z</dcterms:modified>
</cp:coreProperties>
</file>