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sft-20250930.htm"/>
      <w:bookmarkStart w:id="1" w:name="ksmsft20250930"/>
      <w:bookmarkEnd w:id="0"/>
      <w:bookmarkEnd w:id="1"/>
      <w:r>
        <w:rPr/>
        <w:t> </w:t>
      </w:r>
    </w:p>
    <w:p>
      <w:pPr>
        <w:pStyle w:val="TextBody"/>
        <w:bidi w:val="0"/>
        <w:jc w:val="both"/>
        <w:rPr/>
      </w:pPr>
      <w:r>
        <w:rPr/>
        <w:t> </w:t>
      </w:r>
    </w:p>
    <w:p>
      <w:pPr>
        <w:pStyle w:val="TextBody"/>
        <w:pBdr>
          <w:top w:val="single" w:sz="8" w:space="1" w:color="000000"/>
        </w:pBdr>
        <w:bidi w:val="0"/>
        <w:jc w:val="both"/>
        <w:rPr/>
      </w:pPr>
      <w:r>
        <w:rPr/>
        <w:t> </w:t>
      </w:r>
    </w:p>
    <w:p>
      <w:pPr>
        <w:pStyle w:val="TextBody"/>
        <w:bidi w:val="0"/>
        <w:spacing w:before="20" w:after="283"/>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bidi w:val="0"/>
        <w:jc w:val="center"/>
        <w:rPr/>
      </w:pPr>
      <w:r>
        <w:rPr/>
        <w:t> </w:t>
      </w:r>
    </w:p>
    <w:p>
      <w:pPr>
        <w:pStyle w:val="TextBody"/>
        <w:bidi w:val="0"/>
        <w:jc w:val="center"/>
        <w:rPr>
          <w:rFonts w:ascii="Arial" w:hAnsi="Arial"/>
          <w:b/>
          <w:color w:val="000000"/>
          <w:sz w:val="36"/>
        </w:rPr>
      </w:pPr>
      <w:r>
        <w:rPr>
          <w:rFonts w:ascii="Arial" w:hAnsi="Arial"/>
          <w:b/>
          <w:color w:val="000000"/>
          <w:sz w:val="36"/>
        </w:rPr>
        <w:t>FORM 10-Q</w:t>
      </w:r>
    </w:p>
    <w:p>
      <w:pPr>
        <w:pStyle w:val="TextBody"/>
        <w:pBdr>
          <w:bottom w:val="single" w:sz="8" w:space="1" w:color="000000"/>
        </w:pBdr>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8"/>
        <w:gridCol w:w="9817"/>
      </w:tblGrid>
      <w:tr>
        <w:trPr/>
        <w:tc>
          <w:tcPr>
            <w:tcW w:w="388" w:type="dxa"/>
            <w:tcBorders/>
            <w:vAlign w:val="center"/>
          </w:tcPr>
          <w:p>
            <w:pPr>
              <w:pStyle w:val="TableContents"/>
              <w:bidi w:val="0"/>
              <w:spacing w:before="0" w:after="283"/>
              <w:jc w:val="left"/>
              <w:rPr>
                <w:sz w:val="4"/>
                <w:szCs w:val="4"/>
              </w:rPr>
            </w:pPr>
            <w:r>
              <w:rPr>
                <w:sz w:val="4"/>
                <w:szCs w:val="4"/>
              </w:rPr>
            </w:r>
          </w:p>
        </w:tc>
        <w:tc>
          <w:tcPr>
            <w:tcW w:w="9817" w:type="dxa"/>
            <w:tcBorders/>
            <w:vAlign w:val="center"/>
          </w:tcPr>
          <w:p>
            <w:pPr>
              <w:pStyle w:val="TableContents"/>
              <w:bidi w:val="0"/>
              <w:spacing w:before="0" w:after="283"/>
              <w:jc w:val="left"/>
              <w:rPr>
                <w:sz w:val="4"/>
                <w:szCs w:val="4"/>
              </w:rPr>
            </w:pPr>
            <w:r>
              <w:rPr>
                <w:sz w:val="4"/>
                <w:szCs w:val="4"/>
              </w:rPr>
            </w:r>
          </w:p>
        </w:tc>
      </w:tr>
      <w:tr>
        <w:trPr/>
        <w:tc>
          <w:tcPr>
            <w:tcW w:w="38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1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r>
        <w:trPr/>
        <w:tc>
          <w:tcPr>
            <w:tcW w:w="388" w:type="dxa"/>
            <w:tcBorders/>
            <w:tcMar>
              <w:top w:w="0" w:type="dxa"/>
              <w:left w:w="0" w:type="dxa"/>
              <w:bottom w:w="0" w:type="dxa"/>
              <w:right w:w="0" w:type="dxa"/>
            </w:tcMar>
            <w:vAlign w:val="center"/>
          </w:tcPr>
          <w:p>
            <w:pPr>
              <w:pStyle w:val="TableContents"/>
              <w:bidi w:val="0"/>
              <w:spacing w:before="0" w:after="283"/>
              <w:jc w:val="left"/>
              <w:rPr/>
            </w:pPr>
            <w:r>
              <w:rPr/>
              <w:t> </w:t>
            </w:r>
          </w:p>
        </w:tc>
        <w:tc>
          <w:tcPr>
            <w:tcW w:w="98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8" w:type="dxa"/>
            <w:tcBorders/>
            <w:tcMar>
              <w:top w:w="0" w:type="dxa"/>
              <w:left w:w="0" w:type="dxa"/>
              <w:bottom w:w="0" w:type="dxa"/>
              <w:right w:w="0" w:type="dxa"/>
            </w:tcMar>
            <w:vAlign w:val="center"/>
          </w:tcPr>
          <w:p>
            <w:pPr>
              <w:pStyle w:val="TableContents"/>
              <w:bidi w:val="0"/>
              <w:spacing w:before="0" w:after="283"/>
              <w:jc w:val="left"/>
              <w:rPr/>
            </w:pPr>
            <w:r>
              <w:rPr/>
              <w:t> </w:t>
            </w:r>
          </w:p>
        </w:tc>
        <w:tc>
          <w:tcPr>
            <w:tcW w:w="981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For the Quarterly Period Ended September 30, 2025</w:t>
            </w:r>
          </w:p>
        </w:tc>
      </w:tr>
      <w:tr>
        <w:trPr/>
        <w:tc>
          <w:tcPr>
            <w:tcW w:w="388" w:type="dxa"/>
            <w:tcBorders/>
            <w:tcMar>
              <w:top w:w="0" w:type="dxa"/>
              <w:left w:w="0" w:type="dxa"/>
              <w:bottom w:w="0" w:type="dxa"/>
              <w:right w:w="0" w:type="dxa"/>
            </w:tcMar>
            <w:vAlign w:val="center"/>
          </w:tcPr>
          <w:p>
            <w:pPr>
              <w:pStyle w:val="TableContents"/>
              <w:bidi w:val="0"/>
              <w:spacing w:before="0" w:after="283"/>
              <w:jc w:val="left"/>
              <w:rPr/>
            </w:pPr>
            <w:r>
              <w:rPr/>
              <w:t> </w:t>
            </w:r>
          </w:p>
        </w:tc>
        <w:tc>
          <w:tcPr>
            <w:tcW w:w="98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OR</w:t>
            </w:r>
          </w:p>
        </w:tc>
      </w:tr>
      <w:tr>
        <w:trPr/>
        <w:tc>
          <w:tcPr>
            <w:tcW w:w="388" w:type="dxa"/>
            <w:tcBorders/>
            <w:tcMar>
              <w:top w:w="0" w:type="dxa"/>
              <w:left w:w="0" w:type="dxa"/>
              <w:bottom w:w="0" w:type="dxa"/>
              <w:right w:w="0" w:type="dxa"/>
            </w:tcMar>
            <w:vAlign w:val="center"/>
          </w:tcPr>
          <w:p>
            <w:pPr>
              <w:pStyle w:val="TableContents"/>
              <w:bidi w:val="0"/>
              <w:spacing w:before="0" w:after="283"/>
              <w:jc w:val="left"/>
              <w:rPr/>
            </w:pPr>
            <w:r>
              <w:rPr/>
              <w:t> </w:t>
            </w:r>
          </w:p>
        </w:tc>
        <w:tc>
          <w:tcPr>
            <w:tcW w:w="98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981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r>
        <w:trPr/>
        <w:tc>
          <w:tcPr>
            <w:tcW w:w="388" w:type="dxa"/>
            <w:tcBorders/>
            <w:tcMar>
              <w:top w:w="0" w:type="dxa"/>
              <w:left w:w="0" w:type="dxa"/>
              <w:bottom w:w="0" w:type="dxa"/>
              <w:right w:w="0" w:type="dxa"/>
            </w:tcMar>
            <w:vAlign w:val="center"/>
          </w:tcPr>
          <w:p>
            <w:pPr>
              <w:pStyle w:val="TableContents"/>
              <w:bidi w:val="0"/>
              <w:spacing w:before="0" w:after="283"/>
              <w:jc w:val="left"/>
              <w:rPr/>
            </w:pPr>
            <w:r>
              <w:rPr/>
              <w:t> </w:t>
            </w:r>
          </w:p>
        </w:tc>
        <w:tc>
          <w:tcPr>
            <w:tcW w:w="98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8" w:type="dxa"/>
            <w:tcBorders/>
            <w:tcMar>
              <w:top w:w="0" w:type="dxa"/>
              <w:left w:w="0" w:type="dxa"/>
              <w:bottom w:w="0" w:type="dxa"/>
              <w:right w:w="0" w:type="dxa"/>
            </w:tcMar>
            <w:vAlign w:val="center"/>
          </w:tcPr>
          <w:p>
            <w:pPr>
              <w:pStyle w:val="TableContents"/>
              <w:bidi w:val="0"/>
              <w:spacing w:before="0" w:after="283"/>
              <w:jc w:val="left"/>
              <w:rPr/>
            </w:pPr>
            <w:r>
              <w:rPr/>
              <w:t> </w:t>
            </w:r>
          </w:p>
        </w:tc>
        <w:tc>
          <w:tcPr>
            <w:tcW w:w="981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For the Transition Period From to</w:t>
            </w:r>
          </w:p>
        </w:tc>
      </w:tr>
    </w:tbl>
    <w:p>
      <w:pPr>
        <w:pStyle w:val="TextBody"/>
        <w:bidi w:val="0"/>
        <w:spacing w:before="40" w:after="283"/>
        <w:jc w:val="center"/>
        <w:rPr>
          <w:rFonts w:ascii="Arial" w:hAnsi="Arial"/>
          <w:b/>
          <w:color w:val="000000"/>
          <w:sz w:val="20"/>
        </w:rPr>
      </w:pPr>
      <w:r>
        <w:rPr>
          <w:rFonts w:ascii="Arial" w:hAnsi="Arial"/>
          <w:b/>
          <w:color w:val="000000"/>
          <w:sz w:val="20"/>
        </w:rPr>
        <w:t>Commission File Number 001-37845</w:t>
      </w:r>
    </w:p>
    <w:p>
      <w:pPr>
        <w:pStyle w:val="TextBody"/>
        <w:bidi w:val="0"/>
        <w:jc w:val="center"/>
        <w:rPr/>
      </w:pPr>
      <w:r>
        <w:rPr/>
        <w:t> </w:t>
      </w:r>
    </w:p>
    <w:p>
      <w:pPr>
        <w:pStyle w:val="TextBody"/>
        <w:bidi w:val="0"/>
        <w:jc w:val="center"/>
        <w:rPr>
          <w:rFonts w:ascii="Arial" w:hAnsi="Arial"/>
          <w:b/>
          <w:color w:val="000000"/>
          <w:sz w:val="48"/>
        </w:rPr>
      </w:pPr>
      <w:r>
        <w:rPr>
          <w:rFonts w:ascii="Arial" w:hAnsi="Arial"/>
          <w:b/>
          <w:color w:val="000000"/>
          <w:sz w:val="48"/>
        </w:rPr>
        <w:t>MICROSOFT CORPORATION</w:t>
      </w:r>
    </w:p>
    <w:tbl>
      <w:tblPr>
        <w:tblW w:w="3448" w:type="dxa"/>
        <w:jc w:val="left"/>
        <w:tblInd w:w="0" w:type="dxa"/>
        <w:tblLayout w:type="fixed"/>
        <w:tblCellMar>
          <w:top w:w="28" w:type="dxa"/>
          <w:left w:w="28" w:type="dxa"/>
          <w:bottom w:w="28" w:type="dxa"/>
          <w:right w:w="28" w:type="dxa"/>
        </w:tblCellMar>
      </w:tblPr>
      <w:tblGrid>
        <w:gridCol w:w="2281"/>
        <w:gridCol w:w="146"/>
        <w:gridCol w:w="102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2281"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Washington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91-1144442</w:t>
            </w:r>
          </w:p>
        </w:tc>
      </w:tr>
      <w:tr>
        <w:trPr/>
        <w:tc>
          <w:tcPr>
            <w:tcW w:w="228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(STATE OF INCORPORATION)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(I.R.S. ID)</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aps/>
          <w:color w:val="000000"/>
          <w:sz w:val="17"/>
        </w:rPr>
        <w:t>ONE MICROSOFT WAY, REDMOND, Washington</w:t>
      </w:r>
      <w:r>
        <w:rPr>
          <w:rFonts w:ascii="Times New Roman" w:hAnsi="Times New Roman"/>
          <w:color w:val="000000"/>
          <w:sz w:val="20"/>
        </w:rPr>
        <w:t xml:space="preserve"> </w:t>
      </w:r>
      <w:r>
        <w:rPr>
          <w:rFonts w:ascii="Arial" w:hAnsi="Arial"/>
          <w:b/>
          <w:caps/>
          <w:color w:val="000000"/>
          <w:sz w:val="17"/>
        </w:rPr>
        <w:t>98052-6399</w:t>
      </w:r>
    </w:p>
    <w:p>
      <w:pPr>
        <w:pStyle w:val="TextBody"/>
        <w:bidi w:val="0"/>
        <w:jc w:val="center"/>
        <w:rPr>
          <w:rFonts w:ascii="Arial" w:hAnsi="Arial"/>
          <w:b/>
          <w:color w:val="000000"/>
          <w:sz w:val="17"/>
        </w:rPr>
      </w:pPr>
      <w:r>
        <w:rPr>
          <w:rFonts w:ascii="Arial" w:hAnsi="Arial"/>
          <w:b/>
          <w:color w:val="000000"/>
          <w:sz w:val="17"/>
        </w:rPr>
        <w:t>(425) 882-8080</w:t>
      </w:r>
    </w:p>
    <w:p>
      <w:pPr>
        <w:pStyle w:val="TextBody"/>
        <w:bidi w:val="0"/>
        <w:jc w:val="center"/>
        <w:rPr>
          <w:rFonts w:ascii="Arial" w:hAnsi="Arial"/>
          <w:b/>
          <w:sz w:val="17"/>
        </w:rPr>
      </w:pPr>
      <w:r>
        <w:rPr>
          <w:rFonts w:ascii="Arial" w:hAnsi="Arial"/>
          <w:b/>
          <w:sz w:val="17"/>
        </w:rPr>
        <w:t>www.microsoft.com/investor</w:t>
      </w:r>
    </w:p>
    <w:tbl>
      <w:tblPr>
        <w:tblW w:w="8455" w:type="dxa"/>
        <w:jc w:val="left"/>
        <w:tblInd w:w="0" w:type="dxa"/>
        <w:tblLayout w:type="fixed"/>
        <w:tblCellMar>
          <w:top w:w="28" w:type="dxa"/>
          <w:left w:w="28" w:type="dxa"/>
          <w:bottom w:w="28" w:type="dxa"/>
          <w:right w:w="28" w:type="dxa"/>
        </w:tblCellMar>
      </w:tblPr>
      <w:tblGrid>
        <w:gridCol w:w="3916"/>
        <w:gridCol w:w="146"/>
        <w:gridCol w:w="1246"/>
        <w:gridCol w:w="146"/>
        <w:gridCol w:w="300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9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55" w:type="dxa"/>
            <w:gridSpan w:val="5"/>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Securities registered pursuant to Section 12(b) of the Act:</w:t>
            </w:r>
          </w:p>
        </w:tc>
      </w:tr>
      <w:tr>
        <w:trPr/>
        <w:tc>
          <w:tcPr>
            <w:tcW w:w="845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Trading Symbol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Name of exchange on which registered</w:t>
            </w:r>
          </w:p>
        </w:tc>
      </w:tr>
      <w:tr>
        <w:trPr/>
        <w:tc>
          <w:tcPr>
            <w:tcW w:w="39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Common stock, $0.00000625 par value per share</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MSFT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Nasdaq</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3.125% Notes due 2028</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MSFT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Nasdaq</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2.625% Notes due 2033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MSFT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Nasdaq</w:t>
            </w:r>
          </w:p>
        </w:tc>
      </w:tr>
    </w:tbl>
    <w:p>
      <w:pPr>
        <w:pStyle w:val="TextBody"/>
        <w:bidi w:val="0"/>
        <w:spacing w:before="80" w:after="283"/>
        <w:jc w:val="both"/>
        <w:rPr>
          <w:rFonts w:ascii="Times New Roman" w:hAnsi="Times New Roman"/>
          <w:sz w:val="20"/>
        </w:rPr>
      </w:pPr>
      <w:r>
        <w:rPr>
          <w:rFonts w:ascii="Arial" w:hAnsi="Arial"/>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7"/>
        </w:rPr>
        <w:t xml:space="preserve">No </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7"/>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43" w:type="dxa"/>
        <w:jc w:val="left"/>
        <w:tblInd w:w="0" w:type="dxa"/>
        <w:tblLayout w:type="fixed"/>
        <w:tblCellMar>
          <w:top w:w="28" w:type="dxa"/>
          <w:left w:w="28" w:type="dxa"/>
          <w:bottom w:w="28" w:type="dxa"/>
          <w:right w:w="28" w:type="dxa"/>
        </w:tblCellMar>
      </w:tblPr>
      <w:tblGrid>
        <w:gridCol w:w="2011"/>
        <w:gridCol w:w="146"/>
        <w:gridCol w:w="2386"/>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color w:val="000000"/>
                <w:sz w:val="17"/>
              </w:rPr>
              <w:t>Large Accelerated Filer</w:t>
            </w:r>
            <w:r>
              <w:rPr>
                <w:rFonts w:ascii="Times New Roman" w:hAnsi="Times New Roman"/>
                <w:color w:val="000000"/>
                <w:sz w:val="17"/>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color w:val="000000"/>
                <w:sz w:val="17"/>
              </w:rPr>
              <w:t xml:space="preserve">Accelerated Filer </w:t>
            </w:r>
            <w:r>
              <w:rPr>
                <w:rFonts w:ascii="Times New Roman" w:hAnsi="Times New Roman"/>
                <w:color w:val="000000"/>
                <w:sz w:val="17"/>
              </w:rPr>
              <w:t>☐</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color w:val="000000"/>
                <w:sz w:val="17"/>
              </w:rPr>
              <w:t xml:space="preserve">Non-accelerated Filer </w:t>
            </w:r>
            <w:r>
              <w:rPr>
                <w:rFonts w:ascii="Times New Roman" w:hAnsi="Times New Roman"/>
                <w:color w:val="000000"/>
                <w:sz w:val="17"/>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color w:val="000000"/>
                <w:sz w:val="17"/>
              </w:rPr>
              <w:t xml:space="preserve">Smaller Reporting Company </w:t>
            </w:r>
            <w:r>
              <w:rPr>
                <w:rFonts w:ascii="Times New Roman" w:hAnsi="Times New Roman"/>
                <w:color w:val="000000"/>
                <w:sz w:val="17"/>
              </w:rPr>
              <w:t>☐</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color w:val="000000"/>
                <w:sz w:val="17"/>
              </w:rPr>
              <w:t xml:space="preserve">Emerging Growth Company </w:t>
            </w:r>
            <w:r>
              <w:rPr>
                <w:rFonts w:ascii="Times New Roman" w:hAnsi="Times New Roman"/>
                <w:color w:val="000000"/>
                <w:sz w:val="17"/>
              </w:rPr>
              <w:t>☐</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7"/>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17"/>
        </w:rPr>
        <w:t>Indicate the number of shares outstanding of each of the issuer’s classes of common stock, as of the latest practicable date.</w:t>
      </w:r>
      <w:r>
        <w:rPr>
          <w:rFonts w:ascii="Times New Roman" w:hAnsi="Times New Roman"/>
          <w:color w:val="000000"/>
          <w:sz w:val="20"/>
        </w:rPr>
        <w:t xml:space="preserve"> </w:t>
      </w:r>
    </w:p>
    <w:tbl>
      <w:tblPr>
        <w:tblW w:w="6898" w:type="dxa"/>
        <w:jc w:val="left"/>
        <w:tblInd w:w="0" w:type="dxa"/>
        <w:tblLayout w:type="fixed"/>
        <w:tblCellMar>
          <w:top w:w="28" w:type="dxa"/>
          <w:left w:w="28" w:type="dxa"/>
          <w:bottom w:w="28" w:type="dxa"/>
          <w:right w:w="28" w:type="dxa"/>
        </w:tblCellMar>
      </w:tblPr>
      <w:tblGrid>
        <w:gridCol w:w="3751"/>
        <w:gridCol w:w="109"/>
        <w:gridCol w:w="2701"/>
        <w:gridCol w:w="146"/>
        <w:gridCol w:w="191"/>
      </w:tblGrid>
      <w:tr>
        <w:trPr/>
        <w:tc>
          <w:tcPr>
            <w:tcW w:w="37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Class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Outstanding as of October 23,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6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7"/>
              </w:rPr>
              <w:t>Common Stock, $0.00000625</w:t>
            </w:r>
            <w:r>
              <w:rPr>
                <w:rFonts w:ascii="Times New Roman" w:hAnsi="Times New Roman"/>
                <w:color w:val="000000"/>
                <w:sz w:val="20"/>
              </w:rPr>
              <w:t> </w:t>
            </w:r>
            <w:r>
              <w:rPr>
                <w:rFonts w:ascii="Arial" w:hAnsi="Arial"/>
                <w:color w:val="000000"/>
                <w:sz w:val="17"/>
              </w:rPr>
              <w:t>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17"/>
              </w:rPr>
              <w:t>7,432,377,655</w:t>
            </w:r>
            <w:r>
              <w:rPr>
                <w:rFonts w:ascii="Times New Roman" w:hAnsi="Times New Roman"/>
                <w:color w:val="000000"/>
                <w:sz w:val="20"/>
              </w:rPr>
              <w:t> </w:t>
            </w:r>
            <w:r>
              <w:rPr>
                <w:rFonts w:ascii="Arial" w:hAnsi="Arial"/>
                <w:color w:val="000000"/>
                <w:sz w:val="17"/>
              </w:rPr>
              <w:t>shares</w:t>
            </w:r>
          </w:p>
        </w:tc>
        <w:tc>
          <w:tcPr>
            <w:tcW w:w="33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pBdr>
          <w:top w:val="single" w:sz="6" w:space="1" w:color="000000"/>
        </w:pBdr>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MICROSOFT CORPORATION</w:t>
      </w:r>
      <w:r>
        <w:rPr>
          <w:rFonts w:ascii="Times New Roman" w:hAnsi="Times New Roman"/>
          <w:color w:val="000000"/>
          <w:sz w:val="20"/>
        </w:rPr>
        <w:t xml:space="preserve"> </w:t>
      </w:r>
    </w:p>
    <w:p>
      <w:pPr>
        <w:pStyle w:val="TextBody"/>
        <w:bidi w:val="0"/>
        <w:spacing w:before="90" w:after="283"/>
        <w:jc w:val="center"/>
        <w:rPr>
          <w:rFonts w:ascii="Times New Roman" w:hAnsi="Times New Roman"/>
          <w:sz w:val="20"/>
        </w:rPr>
      </w:pPr>
      <w:r>
        <w:rPr>
          <w:rFonts w:ascii="Arial" w:hAnsi="Arial"/>
          <w:b/>
          <w:color w:val="000000"/>
          <w:sz w:val="20"/>
        </w:rPr>
        <w:t>FORM 10-Q</w:t>
      </w:r>
      <w:r>
        <w:rPr>
          <w:rFonts w:ascii="Times New Roman" w:hAnsi="Times New Roman"/>
          <w:color w:val="000000"/>
          <w:sz w:val="20"/>
        </w:rPr>
        <w:t xml:space="preserve"> </w:t>
      </w:r>
    </w:p>
    <w:p>
      <w:pPr>
        <w:pStyle w:val="TextBody"/>
        <w:bidi w:val="0"/>
        <w:spacing w:before="90" w:after="283"/>
        <w:jc w:val="center"/>
        <w:rPr>
          <w:rFonts w:ascii="Arial" w:hAnsi="Arial"/>
          <w:b/>
          <w:color w:val="000000"/>
          <w:sz w:val="20"/>
        </w:rPr>
      </w:pPr>
      <w:r>
        <w:rPr>
          <w:rFonts w:ascii="Arial" w:hAnsi="Arial"/>
          <w:b/>
          <w:color w:val="000000"/>
          <w:sz w:val="20"/>
        </w:rPr>
        <w:t>For the Quarter Ended September 30, 2025</w:t>
      </w:r>
    </w:p>
    <w:p>
      <w:pPr>
        <w:pStyle w:val="TextBody"/>
        <w:bidi w:val="0"/>
        <w:spacing w:before="90" w:after="283"/>
        <w:jc w:val="center"/>
        <w:rPr>
          <w:rFonts w:ascii="Times New Roman" w:hAnsi="Times New Roman"/>
          <w:sz w:val="20"/>
        </w:rPr>
      </w:pPr>
      <w:r>
        <w:rPr>
          <w:rFonts w:ascii="Arial" w:hAnsi="Arial"/>
          <w:b/>
          <w:color w:val="000000"/>
          <w:sz w:val="20"/>
        </w:rPr>
        <w:t>INDEX</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02"/>
        <w:gridCol w:w="819"/>
        <w:gridCol w:w="264"/>
        <w:gridCol w:w="7691"/>
        <w:gridCol w:w="529"/>
      </w:tblGrid>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69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4"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Page</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8774" w:type="dxa"/>
            <w:gridSpan w:val="3"/>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b/>
                  <w:color w:val="000000"/>
                  <w:sz w:val="20"/>
                </w:rPr>
                <w:t>FINANCIAL INFORMATION</w:t>
              </w:r>
            </w:hyperlink>
          </w:p>
        </w:tc>
        <w:tc>
          <w:tcPr>
            <w:tcW w:w="52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79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955" w:type="dxa"/>
            <w:gridSpan w:val="2"/>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00"/>
                  <w:sz w:val="20"/>
                </w:rPr>
                <w:t>Financial Statements</w:t>
              </w:r>
            </w:hyperlink>
          </w:p>
        </w:tc>
        <w:tc>
          <w:tcPr>
            <w:tcW w:w="52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769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w:t>
            </w:r>
          </w:p>
        </w:tc>
        <w:tc>
          <w:tcPr>
            <w:tcW w:w="7691" w:type="dxa"/>
            <w:tcBorders/>
            <w:tcMar>
              <w:top w:w="0" w:type="dxa"/>
              <w:left w:w="0" w:type="dxa"/>
              <w:bottom w:w="0" w:type="dxa"/>
              <w:right w:w="0" w:type="dxa"/>
            </w:tcMar>
            <w:vAlign w:val="center"/>
          </w:tcPr>
          <w:p>
            <w:pPr>
              <w:pStyle w:val="TableContents"/>
              <w:bidi w:val="0"/>
              <w:spacing w:before="0" w:after="283"/>
              <w:jc w:val="left"/>
              <w:rPr/>
            </w:pPr>
            <w:hyperlink w:anchor="income_statements">
              <w:r>
                <w:rPr>
                  <w:rStyle w:val="InternetLink"/>
                  <w:rFonts w:ascii="Arial" w:hAnsi="Arial"/>
                  <w:color w:val="000000"/>
                  <w:sz w:val="20"/>
                </w:rPr>
                <w:t>Income Statements for the Three Months Ended September 30, 2025 and 2024</w:t>
              </w:r>
            </w:hyperlink>
          </w:p>
        </w:tc>
        <w:tc>
          <w:tcPr>
            <w:tcW w:w="52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769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w:t>
            </w:r>
          </w:p>
        </w:tc>
        <w:tc>
          <w:tcPr>
            <w:tcW w:w="7691" w:type="dxa"/>
            <w:tcBorders/>
            <w:tcMar>
              <w:top w:w="0" w:type="dxa"/>
              <w:left w:w="0" w:type="dxa"/>
              <w:bottom w:w="0" w:type="dxa"/>
              <w:right w:w="0" w:type="dxa"/>
            </w:tcMar>
            <w:vAlign w:val="center"/>
          </w:tcPr>
          <w:p>
            <w:pPr>
              <w:pStyle w:val="TableContents"/>
              <w:bidi w:val="0"/>
              <w:spacing w:before="0" w:after="283"/>
              <w:jc w:val="left"/>
              <w:rPr/>
            </w:pPr>
            <w:hyperlink w:anchor="comprehensive_income_statements">
              <w:r>
                <w:rPr>
                  <w:rStyle w:val="InternetLink"/>
                  <w:rFonts w:ascii="Arial" w:hAnsi="Arial"/>
                  <w:color w:val="000000"/>
                  <w:sz w:val="20"/>
                </w:rPr>
                <w:t>Comprehensive Income Statements for the Three Months Ended September 30, 2025 and 2024</w:t>
              </w:r>
            </w:hyperlink>
          </w:p>
        </w:tc>
        <w:tc>
          <w:tcPr>
            <w:tcW w:w="52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769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w:t>
            </w:r>
          </w:p>
        </w:tc>
        <w:tc>
          <w:tcPr>
            <w:tcW w:w="7691" w:type="dxa"/>
            <w:tcBorders/>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Arial" w:hAnsi="Arial"/>
                  <w:color w:val="000000"/>
                  <w:sz w:val="20"/>
                </w:rPr>
                <w:t>Balance Sheets as of September 30, 2025 and June 30, 2025</w:t>
              </w:r>
            </w:hyperlink>
          </w:p>
        </w:tc>
        <w:tc>
          <w:tcPr>
            <w:tcW w:w="52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769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w:t>
            </w:r>
          </w:p>
        </w:tc>
        <w:tc>
          <w:tcPr>
            <w:tcW w:w="7691" w:type="dxa"/>
            <w:tcBorders/>
            <w:tcMar>
              <w:top w:w="0" w:type="dxa"/>
              <w:left w:w="0" w:type="dxa"/>
              <w:bottom w:w="0" w:type="dxa"/>
              <w:right w:w="0" w:type="dxa"/>
            </w:tcMar>
            <w:vAlign w:val="center"/>
          </w:tcPr>
          <w:p>
            <w:pPr>
              <w:pStyle w:val="TableContents"/>
              <w:bidi w:val="0"/>
              <w:spacing w:before="0" w:after="283"/>
              <w:jc w:val="left"/>
              <w:rPr/>
            </w:pPr>
            <w:hyperlink w:anchor="cash_flows_statements">
              <w:r>
                <w:rPr>
                  <w:rStyle w:val="InternetLink"/>
                  <w:rFonts w:ascii="Arial" w:hAnsi="Arial"/>
                  <w:color w:val="000000"/>
                  <w:sz w:val="20"/>
                </w:rPr>
                <w:t>Cash Flows Statements for the Three Months Ended September 30, 2025 and 2024</w:t>
              </w:r>
            </w:hyperlink>
          </w:p>
        </w:tc>
        <w:tc>
          <w:tcPr>
            <w:tcW w:w="52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769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w:t>
            </w:r>
          </w:p>
        </w:tc>
        <w:tc>
          <w:tcPr>
            <w:tcW w:w="7691" w:type="dxa"/>
            <w:tcBorders/>
            <w:tcMar>
              <w:top w:w="0" w:type="dxa"/>
              <w:left w:w="0" w:type="dxa"/>
              <w:bottom w:w="0" w:type="dxa"/>
              <w:right w:w="0" w:type="dxa"/>
            </w:tcMar>
            <w:vAlign w:val="center"/>
          </w:tcPr>
          <w:p>
            <w:pPr>
              <w:pStyle w:val="TableContents"/>
              <w:bidi w:val="0"/>
              <w:spacing w:before="0" w:after="283"/>
              <w:jc w:val="left"/>
              <w:rPr/>
            </w:pPr>
            <w:hyperlink w:anchor="stockholders_equity_statements">
              <w:r>
                <w:rPr>
                  <w:rStyle w:val="InternetLink"/>
                  <w:rFonts w:ascii="Arial" w:hAnsi="Arial"/>
                  <w:color w:val="000000"/>
                  <w:sz w:val="20"/>
                </w:rPr>
                <w:t>Stockholders’ Equity Statements for the Three Months Ended September 30, 2025 and 2024</w:t>
              </w:r>
            </w:hyperlink>
          </w:p>
        </w:tc>
        <w:tc>
          <w:tcPr>
            <w:tcW w:w="52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769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w:t>
            </w:r>
          </w:p>
        </w:tc>
        <w:tc>
          <w:tcPr>
            <w:tcW w:w="7691" w:type="dxa"/>
            <w:tcBorders/>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Arial" w:hAnsi="Arial"/>
                  <w:color w:val="000000"/>
                  <w:sz w:val="20"/>
                </w:rPr>
                <w:t>Notes to Financial Statements</w:t>
              </w:r>
            </w:hyperlink>
          </w:p>
        </w:tc>
        <w:tc>
          <w:tcPr>
            <w:tcW w:w="52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769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w:t>
            </w:r>
          </w:p>
        </w:tc>
        <w:tc>
          <w:tcPr>
            <w:tcW w:w="7691" w:type="dxa"/>
            <w:tcBorders/>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Arial" w:hAnsi="Arial"/>
                  <w:color w:val="000000"/>
                  <w:sz w:val="20"/>
                </w:rPr>
                <w:t>Report of Independent Registered Public Accounting Firm</w:t>
              </w:r>
            </w:hyperlink>
          </w:p>
        </w:tc>
        <w:tc>
          <w:tcPr>
            <w:tcW w:w="52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769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955" w:type="dxa"/>
            <w:gridSpan w:val="2"/>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00"/>
                  <w:sz w:val="20"/>
                </w:rPr>
                <w:t>Management’s Discussion and Analysis of Financial Condition and Results of Operations</w:t>
              </w:r>
            </w:hyperlink>
          </w:p>
        </w:tc>
        <w:tc>
          <w:tcPr>
            <w:tcW w:w="52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769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955" w:type="dxa"/>
            <w:gridSpan w:val="2"/>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color w:val="000000"/>
                  <w:sz w:val="20"/>
                </w:rPr>
                <w:t>Quantitative and Qualitative Disclosures About Market Risk</w:t>
              </w:r>
            </w:hyperlink>
          </w:p>
        </w:tc>
        <w:tc>
          <w:tcPr>
            <w:tcW w:w="52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769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955" w:type="dxa"/>
            <w:gridSpan w:val="2"/>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00"/>
                  <w:sz w:val="20"/>
                </w:rPr>
                <w:t>Controls and Procedures</w:t>
              </w:r>
            </w:hyperlink>
          </w:p>
        </w:tc>
        <w:tc>
          <w:tcPr>
            <w:tcW w:w="52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769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PART II.</w:t>
            </w:r>
            <w:r>
              <w:rPr>
                <w:rFonts w:ascii="Times New Roman" w:hAnsi="Times New Roman"/>
                <w:color w:val="000000"/>
                <w:sz w:val="20"/>
              </w:rPr>
              <w:t xml:space="preserve"> </w:t>
            </w:r>
          </w:p>
        </w:tc>
        <w:tc>
          <w:tcPr>
            <w:tcW w:w="8774" w:type="dxa"/>
            <w:gridSpan w:val="3"/>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Arial" w:hAnsi="Arial"/>
                  <w:b/>
                  <w:color w:val="000000"/>
                  <w:sz w:val="20"/>
                </w:rPr>
                <w:t>OTHER INFORMATION</w:t>
              </w:r>
            </w:hyperlink>
          </w:p>
        </w:tc>
        <w:tc>
          <w:tcPr>
            <w:tcW w:w="52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769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955" w:type="dxa"/>
            <w:gridSpan w:val="2"/>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00"/>
                  <w:sz w:val="20"/>
                </w:rPr>
                <w:t>Legal Proceedings</w:t>
              </w:r>
            </w:hyperlink>
          </w:p>
        </w:tc>
        <w:tc>
          <w:tcPr>
            <w:tcW w:w="52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769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955" w:type="dxa"/>
            <w:gridSpan w:val="2"/>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00"/>
                  <w:sz w:val="20"/>
                </w:rPr>
                <w:t>Risk Factors</w:t>
              </w:r>
            </w:hyperlink>
          </w:p>
        </w:tc>
        <w:tc>
          <w:tcPr>
            <w:tcW w:w="52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769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955" w:type="dxa"/>
            <w:gridSpan w:val="2"/>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00"/>
                  <w:sz w:val="20"/>
                </w:rPr>
                <w:t>Unregistered Sales of Equity Securities and Use of Proceeds</w:t>
              </w:r>
            </w:hyperlink>
          </w:p>
        </w:tc>
        <w:tc>
          <w:tcPr>
            <w:tcW w:w="52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769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955" w:type="dxa"/>
            <w:gridSpan w:val="2"/>
            <w:tcBorders/>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Arial" w:hAnsi="Arial"/>
                  <w:color w:val="000000"/>
                  <w:sz w:val="20"/>
                </w:rPr>
                <w:t>Other Information</w:t>
              </w:r>
            </w:hyperlink>
          </w:p>
        </w:tc>
        <w:tc>
          <w:tcPr>
            <w:tcW w:w="52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r>
      <w:tr>
        <w:trPr/>
        <w:tc>
          <w:tcPr>
            <w:tcW w:w="902" w:type="dxa"/>
            <w:tcBorders/>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79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955" w:type="dxa"/>
            <w:gridSpan w:val="2"/>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00"/>
                  <w:sz w:val="20"/>
                </w:rPr>
                <w:t>Exhibits</w:t>
              </w:r>
            </w:hyperlink>
          </w:p>
        </w:tc>
        <w:tc>
          <w:tcPr>
            <w:tcW w:w="52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r>
      <w:tr>
        <w:trPr/>
        <w:tc>
          <w:tcPr>
            <w:tcW w:w="9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769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76" w:type="dxa"/>
            <w:gridSpan w:val="4"/>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b/>
                  <w:color w:val="000000"/>
                  <w:sz w:val="20"/>
                </w:rPr>
                <w:t>SIGNATURE</w:t>
              </w:r>
            </w:hyperlink>
          </w:p>
        </w:tc>
        <w:tc>
          <w:tcPr>
            <w:tcW w:w="52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Arial" w:hAnsi="Arial"/>
          <w:b/>
          <w:color w:val="000000"/>
          <w:sz w:val="20"/>
        </w:rPr>
      </w:pPr>
      <w:bookmarkStart w:id="2" w:name="part_i_financial_information"/>
      <w:bookmarkEnd w:id="2"/>
      <w:r>
        <w:rPr>
          <w:rFonts w:ascii="Arial" w:hAnsi="Arial"/>
          <w:b/>
          <w:color w:val="000000"/>
          <w:sz w:val="20"/>
        </w:rPr>
        <w:t>PART I. FINANCIAL INFORMATION</w:t>
      </w:r>
    </w:p>
    <w:p>
      <w:pPr>
        <w:pStyle w:val="TextBody"/>
        <w:bidi w:val="0"/>
        <w:spacing w:before="90" w:after="283"/>
        <w:jc w:val="center"/>
        <w:rPr>
          <w:rFonts w:ascii="Arial" w:hAnsi="Arial"/>
          <w:b/>
          <w:color w:val="000000"/>
          <w:sz w:val="24"/>
        </w:rPr>
      </w:pPr>
      <w:bookmarkStart w:id="3" w:name="item_1_financial_statements"/>
      <w:bookmarkEnd w:id="3"/>
      <w:r>
        <w:rPr>
          <w:rFonts w:ascii="Arial" w:hAnsi="Arial"/>
          <w:b/>
          <w:color w:val="000000"/>
          <w:sz w:val="24"/>
        </w:rPr>
        <w:t>ITEM 1. FINANCIAL STATEMENTS</w:t>
      </w:r>
    </w:p>
    <w:p>
      <w:pPr>
        <w:pStyle w:val="TextBody"/>
        <w:bidi w:val="0"/>
        <w:spacing w:before="90" w:after="283"/>
        <w:jc w:val="center"/>
        <w:rPr>
          <w:rFonts w:ascii="Times New Roman" w:hAnsi="Times New Roman"/>
          <w:sz w:val="20"/>
        </w:rPr>
      </w:pPr>
      <w:bookmarkStart w:id="4" w:name="income_statements"/>
      <w:bookmarkEnd w:id="4"/>
      <w:r>
        <w:rPr>
          <w:rFonts w:ascii="Arial" w:hAnsi="Arial"/>
          <w:b/>
          <w:color w:val="000000"/>
          <w:sz w:val="20"/>
        </w:rPr>
        <w:t>INCOME STATEMENTS</w:t>
      </w:r>
      <w:r>
        <w:rPr>
          <w:rFonts w:ascii="Times New Roman" w:hAnsi="Times New Roman"/>
          <w:color w:val="000000"/>
          <w:sz w:val="20"/>
        </w:rPr>
        <w:t xml:space="preserve"> </w:t>
      </w:r>
    </w:p>
    <w:p>
      <w:pPr>
        <w:pStyle w:val="TextBody"/>
        <w:bidi w:val="0"/>
        <w:jc w:val="left"/>
        <w:rPr/>
      </w:pPr>
      <w:r>
        <w:rPr/>
        <w:t> </w:t>
      </w:r>
    </w:p>
    <w:tbl>
      <w:tblPr>
        <w:tblW w:w="7043" w:type="dxa"/>
        <w:jc w:val="left"/>
        <w:tblInd w:w="0" w:type="dxa"/>
        <w:tblLayout w:type="fixed"/>
        <w:tblCellMar>
          <w:top w:w="28" w:type="dxa"/>
          <w:left w:w="28" w:type="dxa"/>
          <w:bottom w:w="28" w:type="dxa"/>
          <w:right w:w="28" w:type="dxa"/>
        </w:tblCellMar>
      </w:tblPr>
      <w:tblGrid>
        <w:gridCol w:w="3856"/>
        <w:gridCol w:w="146"/>
        <w:gridCol w:w="211"/>
        <w:gridCol w:w="691"/>
        <w:gridCol w:w="166"/>
        <w:gridCol w:w="146"/>
        <w:gridCol w:w="211"/>
        <w:gridCol w:w="691"/>
        <w:gridCol w:w="925"/>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38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 share amounts) (Unaudited)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92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Product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15,922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15,272</w:t>
            </w:r>
          </w:p>
        </w:tc>
        <w:tc>
          <w:tcPr>
            <w:tcW w:w="925"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Service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61,751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50,313</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0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734"/>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734"/>
              <w:jc w:val="left"/>
              <w:rPr>
                <w:rFonts w:ascii="Arial" w:hAnsi="Arial"/>
                <w:color w:val="000000"/>
                <w:sz w:val="20"/>
              </w:rPr>
            </w:pPr>
            <w:r>
              <w:rPr>
                <w:rFonts w:ascii="Arial" w:hAnsi="Arial"/>
                <w:color w:val="000000"/>
                <w:sz w:val="20"/>
              </w:rPr>
              <w:t>Total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77,673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65,585</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Product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2,922</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3,294</w:t>
            </w:r>
          </w:p>
        </w:tc>
        <w:tc>
          <w:tcPr>
            <w:tcW w:w="925"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Service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21,121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16,805</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Total cost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24,043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20,099</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Gross margin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53,630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45,486</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Research and development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8,146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7,544</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Sales and marketing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5,717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5,717</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General and administrative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1,806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1,673</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37,961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30,552</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expense, net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(3,660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w:t>
            </w:r>
          </w:p>
        </w:tc>
        <w:tc>
          <w:tcPr>
            <w:tcW w:w="92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Income before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34,301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30,269</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Provision for income taxes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6,554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5,602</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27,747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24,667</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Earnings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Basic</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Diluted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Weighted average shares outstanding: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Basic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7,433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7,433</w:t>
            </w:r>
          </w:p>
        </w:tc>
        <w:tc>
          <w:tcPr>
            <w:tcW w:w="925"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Diluted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7,466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7,470</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Refer to accompanying notes.</w:t>
      </w:r>
    </w:p>
    <w:p>
      <w:pPr>
        <w:pStyle w:val="TextBody"/>
        <w:bidi w:val="0"/>
        <w:spacing w:before="240" w:after="283"/>
        <w:jc w:val="center"/>
        <w:rPr>
          <w:rFonts w:ascii="Arial" w:hAnsi="Arial"/>
          <w:color w:val="000000"/>
          <w:sz w:val="16"/>
        </w:rPr>
      </w:pPr>
      <w:r>
        <w:rPr>
          <w:rFonts w:ascii="Arial" w:hAnsi="Arial"/>
          <w:color w:val="000000"/>
          <w:sz w:val="16"/>
        </w:rPr>
        <w:t>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Arial" w:hAnsi="Arial"/>
          <w:b/>
          <w:color w:val="000000"/>
          <w:sz w:val="20"/>
        </w:rPr>
      </w:pPr>
      <w:bookmarkStart w:id="5" w:name="comprehensive_income_statements"/>
      <w:bookmarkEnd w:id="5"/>
      <w:r>
        <w:rPr>
          <w:rFonts w:ascii="Arial" w:hAnsi="Arial"/>
          <w:b/>
          <w:color w:val="000000"/>
          <w:sz w:val="20"/>
        </w:rPr>
        <w:t>COMPREHENSIVE INCOME STATEMENTS</w:t>
      </w:r>
    </w:p>
    <w:p>
      <w:pPr>
        <w:pStyle w:val="TextBody"/>
        <w:bidi w:val="0"/>
        <w:jc w:val="left"/>
        <w:rPr/>
      </w:pPr>
      <w:r>
        <w:rPr/>
        <w:t> </w:t>
      </w:r>
    </w:p>
    <w:tbl>
      <w:tblPr>
        <w:tblW w:w="7648" w:type="dxa"/>
        <w:jc w:val="left"/>
        <w:tblInd w:w="0" w:type="dxa"/>
        <w:tblLayout w:type="fixed"/>
        <w:tblCellMar>
          <w:top w:w="28" w:type="dxa"/>
          <w:left w:w="28" w:type="dxa"/>
          <w:bottom w:w="28" w:type="dxa"/>
          <w:right w:w="28" w:type="dxa"/>
        </w:tblCellMar>
      </w:tblPr>
      <w:tblGrid>
        <w:gridCol w:w="4461"/>
        <w:gridCol w:w="146"/>
        <w:gridCol w:w="211"/>
        <w:gridCol w:w="691"/>
        <w:gridCol w:w="166"/>
        <w:gridCol w:w="146"/>
        <w:gridCol w:w="211"/>
        <w:gridCol w:w="691"/>
        <w:gridCol w:w="925"/>
      </w:tblGrid>
      <w:tr>
        <w:trPr/>
        <w:tc>
          <w:tcPr>
            <w:tcW w:w="44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44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(Unaudited)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9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4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27,747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24,667</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comprehensive income (loss), net of tax:</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46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Net change related to derivatives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w:t>
            </w:r>
          </w:p>
        </w:tc>
      </w:tr>
      <w:tr>
        <w:trPr/>
        <w:tc>
          <w:tcPr>
            <w:tcW w:w="446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Net change related to investments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1,114</w:t>
            </w:r>
          </w:p>
        </w:tc>
        <w:tc>
          <w:tcPr>
            <w:tcW w:w="925"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46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Translation adjustments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734"/>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ind w:left="0" w:right="0" w:firstLine="734"/>
              <w:jc w:val="left"/>
              <w:rPr>
                <w:rFonts w:ascii="Arial" w:hAnsi="Arial"/>
                <w:color w:val="000000"/>
                <w:sz w:val="20"/>
              </w:rPr>
            </w:pPr>
            <w:r>
              <w:rPr>
                <w:rFonts w:ascii="Arial" w:hAnsi="Arial"/>
                <w:color w:val="000000"/>
                <w:sz w:val="20"/>
              </w:rPr>
              <w:t>Other comprehensive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1,408</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4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Comprehensive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28,333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26,075</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Refer to accompanying notes.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Times New Roman" w:hAnsi="Times New Roman"/>
          <w:sz w:val="20"/>
        </w:rPr>
      </w:pPr>
      <w:bookmarkStart w:id="6" w:name="balance_sheets"/>
      <w:bookmarkEnd w:id="6"/>
      <w:r>
        <w:rPr>
          <w:rFonts w:ascii="Arial" w:hAnsi="Arial"/>
          <w:b/>
          <w:color w:val="000000"/>
          <w:sz w:val="20"/>
        </w:rPr>
        <w:t>BALANCE SHEETS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31"/>
        <w:gridCol w:w="146"/>
        <w:gridCol w:w="232"/>
        <w:gridCol w:w="875"/>
        <w:gridCol w:w="166"/>
        <w:gridCol w:w="146"/>
        <w:gridCol w:w="211"/>
        <w:gridCol w:w="796"/>
        <w:gridCol w:w="1402"/>
      </w:tblGrid>
      <w:tr>
        <w:trPr/>
        <w:tc>
          <w:tcPr>
            <w:tcW w:w="62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875"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02" w:type="dxa"/>
            <w:tcBorders/>
            <w:shd w:fill="FFFFFF" w:val="clear"/>
            <w:vAlign w:val="center"/>
          </w:tcPr>
          <w:p>
            <w:pPr>
              <w:pStyle w:val="TableContents"/>
              <w:bidi w:val="0"/>
              <w:spacing w:before="0" w:after="283"/>
              <w:jc w:val="left"/>
              <w:rPr>
                <w:sz w:val="4"/>
                <w:szCs w:val="4"/>
              </w:rPr>
            </w:pPr>
            <w:r>
              <w:rPr>
                <w:sz w:val="4"/>
                <w:szCs w:val="4"/>
              </w:rPr>
            </w:r>
          </w:p>
        </w:tc>
      </w:tr>
      <w:tr>
        <w:trPr/>
        <w:tc>
          <w:tcPr>
            <w:tcW w:w="62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(Unaudited)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3" w:type="dxa"/>
            <w:gridSpan w:val="8"/>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2555"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September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June 30,</w:t>
              <w:br/>
              <w:t>2025</w:t>
            </w:r>
          </w:p>
        </w:tc>
        <w:tc>
          <w:tcPr>
            <w:tcW w:w="1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2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3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Current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3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Cash and cash equivalents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7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28,849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30,242</w:t>
            </w:r>
          </w:p>
        </w:tc>
        <w:tc>
          <w:tcPr>
            <w:tcW w:w="140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Short-term investments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73,163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64,323</w:t>
            </w:r>
          </w:p>
        </w:tc>
        <w:tc>
          <w:tcPr>
            <w:tcW w:w="1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6231"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Total cash, cash equivalents, and short-term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102,012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94,565</w:t>
            </w:r>
          </w:p>
        </w:tc>
        <w:tc>
          <w:tcPr>
            <w:tcW w:w="140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sz w:val="20"/>
              </w:rPr>
            </w:pPr>
            <w:r>
              <w:rPr>
                <w:rFonts w:ascii="Arial" w:hAnsi="Arial"/>
                <w:color w:val="000000"/>
                <w:sz w:val="20"/>
              </w:rPr>
              <w:t xml:space="preserve">Accounts receivable, net of allowance for doubtful accounts of </w:t>
            </w:r>
            <w:r>
              <w:rPr>
                <w:rFonts w:ascii="Arial" w:hAnsi="Arial"/>
                <w:b/>
                <w:color w:val="000000"/>
                <w:sz w:val="20"/>
              </w:rPr>
              <w:t>$687</w:t>
            </w:r>
            <w:r>
              <w:rPr>
                <w:rFonts w:ascii="Times New Roman" w:hAnsi="Times New Roman"/>
                <w:color w:val="000000"/>
                <w:sz w:val="20"/>
              </w:rPr>
              <w:t> </w:t>
            </w:r>
            <w:r>
              <w:rPr>
                <w:rFonts w:ascii="Arial" w:hAnsi="Arial"/>
                <w:color w:val="000000"/>
                <w:sz w:val="20"/>
              </w:rPr>
              <w:t>and $944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52,894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69,905</w:t>
            </w:r>
          </w:p>
        </w:tc>
        <w:tc>
          <w:tcPr>
            <w:tcW w:w="1402"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3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Inventories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1,130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938</w:t>
            </w:r>
          </w:p>
        </w:tc>
        <w:tc>
          <w:tcPr>
            <w:tcW w:w="140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Other current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33,030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25,723</w:t>
            </w:r>
          </w:p>
        </w:tc>
        <w:tc>
          <w:tcPr>
            <w:tcW w:w="1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6231"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Total current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189,066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191,131</w:t>
            </w:r>
          </w:p>
        </w:tc>
        <w:tc>
          <w:tcPr>
            <w:tcW w:w="140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3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Property and equipment, net of accumulated depreciation of </w:t>
            </w:r>
            <w:r>
              <w:rPr>
                <w:rFonts w:ascii="Arial" w:hAnsi="Arial"/>
                <w:b/>
                <w:color w:val="000000"/>
                <w:sz w:val="20"/>
              </w:rPr>
              <w:t>$98,880</w:t>
            </w:r>
            <w:r>
              <w:rPr>
                <w:rFonts w:ascii="Times New Roman" w:hAnsi="Times New Roman"/>
                <w:color w:val="000000"/>
                <w:sz w:val="20"/>
              </w:rPr>
              <w:t> </w:t>
            </w:r>
            <w:r>
              <w:rPr>
                <w:rFonts w:ascii="Arial" w:hAnsi="Arial"/>
                <w:color w:val="000000"/>
                <w:sz w:val="20"/>
              </w:rPr>
              <w:t>and</w:t>
            </w:r>
            <w:r>
              <w:rPr>
                <w:rFonts w:ascii="Times New Roman" w:hAnsi="Times New Roman"/>
                <w:color w:val="000000"/>
                <w:sz w:val="20"/>
              </w:rPr>
              <w:t xml:space="preserve"> </w:t>
            </w:r>
            <w:r>
              <w:rPr>
                <w:rFonts w:ascii="Arial" w:hAnsi="Arial"/>
                <w:color w:val="000000"/>
                <w:sz w:val="20"/>
              </w:rPr>
              <w:t>$93,653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230,861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204,966</w:t>
            </w:r>
          </w:p>
        </w:tc>
        <w:tc>
          <w:tcPr>
            <w:tcW w:w="1402"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 right-of-use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24,791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24,823</w:t>
            </w:r>
          </w:p>
        </w:tc>
        <w:tc>
          <w:tcPr>
            <w:tcW w:w="140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23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and other investments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11,465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15,405</w:t>
            </w:r>
          </w:p>
        </w:tc>
        <w:tc>
          <w:tcPr>
            <w:tcW w:w="1402"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Goodwill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119,497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119,509</w:t>
            </w:r>
          </w:p>
        </w:tc>
        <w:tc>
          <w:tcPr>
            <w:tcW w:w="140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3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Intangible assets, net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21,236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22,604</w:t>
            </w:r>
          </w:p>
        </w:tc>
        <w:tc>
          <w:tcPr>
            <w:tcW w:w="1402"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long-term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39,435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40,565</w:t>
            </w:r>
          </w:p>
        </w:tc>
        <w:tc>
          <w:tcPr>
            <w:tcW w:w="140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tcBorders/>
            <w:tcMar>
              <w:top w:w="0" w:type="dxa"/>
              <w:left w:w="0" w:type="dxa"/>
              <w:bottom w:w="0" w:type="dxa"/>
              <w:right w:w="0" w:type="dxa"/>
            </w:tcMar>
            <w:vAlign w:val="center"/>
          </w:tcPr>
          <w:p>
            <w:pPr>
              <w:pStyle w:val="TableContents"/>
              <w:bidi w:val="0"/>
              <w:spacing w:before="0" w:after="283"/>
              <w:ind w:left="0" w:right="0" w:firstLine="1210"/>
              <w:jc w:val="left"/>
              <w:rPr/>
            </w:pPr>
            <w:r>
              <w:rPr/>
              <w:t> </w:t>
            </w:r>
          </w:p>
        </w:tc>
      </w:tr>
      <w:tr>
        <w:trPr/>
        <w:tc>
          <w:tcPr>
            <w:tcW w:w="6231" w:type="dxa"/>
            <w:tcBorders/>
            <w:tcMar>
              <w:top w:w="0" w:type="dxa"/>
              <w:left w:w="0" w:type="dxa"/>
              <w:bottom w:w="0" w:type="dxa"/>
              <w:right w:w="0" w:type="dxa"/>
            </w:tcMar>
            <w:vAlign w:val="center"/>
          </w:tcPr>
          <w:p>
            <w:pPr>
              <w:pStyle w:val="TableContents"/>
              <w:bidi w:val="0"/>
              <w:spacing w:before="0" w:after="283"/>
              <w:ind w:left="0" w:right="0" w:firstLine="1210"/>
              <w:jc w:val="left"/>
              <w:rPr>
                <w:rFonts w:ascii="Arial" w:hAnsi="Arial"/>
                <w:color w:val="000000"/>
                <w:sz w:val="20"/>
              </w:rPr>
            </w:pPr>
            <w:r>
              <w:rPr>
                <w:rFonts w:ascii="Arial" w:hAnsi="Arial"/>
                <w:color w:val="000000"/>
                <w:sz w:val="20"/>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7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636,351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619,003</w:t>
            </w:r>
          </w:p>
        </w:tc>
        <w:tc>
          <w:tcPr>
            <w:tcW w:w="1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2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Liabilities and stockholders’ equity</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3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3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Accounts payable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7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32,580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27,724</w:t>
            </w:r>
          </w:p>
        </w:tc>
        <w:tc>
          <w:tcPr>
            <w:tcW w:w="140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Current portion of long-term debt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7,832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2,999</w:t>
            </w:r>
          </w:p>
        </w:tc>
        <w:tc>
          <w:tcPr>
            <w:tcW w:w="1402"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623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Accrued compensation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9,201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13,709</w:t>
            </w:r>
          </w:p>
        </w:tc>
        <w:tc>
          <w:tcPr>
            <w:tcW w:w="140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Short-term income taxes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3,655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7,211</w:t>
            </w:r>
          </w:p>
        </w:tc>
        <w:tc>
          <w:tcPr>
            <w:tcW w:w="1402"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3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Short-term unearned 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58,987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64,555</w:t>
            </w:r>
          </w:p>
        </w:tc>
        <w:tc>
          <w:tcPr>
            <w:tcW w:w="140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22,741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25,020</w:t>
            </w:r>
          </w:p>
        </w:tc>
        <w:tc>
          <w:tcPr>
            <w:tcW w:w="1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6231"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Total current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134,996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141,218</w:t>
            </w:r>
          </w:p>
        </w:tc>
        <w:tc>
          <w:tcPr>
            <w:tcW w:w="140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3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Long-term debt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35,376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40,152</w:t>
            </w:r>
          </w:p>
        </w:tc>
        <w:tc>
          <w:tcPr>
            <w:tcW w:w="1402"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Long-term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26,569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25,986</w:t>
            </w:r>
          </w:p>
        </w:tc>
        <w:tc>
          <w:tcPr>
            <w:tcW w:w="140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23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Long-term unearned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2,546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2,710</w:t>
            </w:r>
          </w:p>
        </w:tc>
        <w:tc>
          <w:tcPr>
            <w:tcW w:w="1402"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Deferred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2,852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2,835</w:t>
            </w:r>
          </w:p>
        </w:tc>
        <w:tc>
          <w:tcPr>
            <w:tcW w:w="140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3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17,348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17,437</w:t>
            </w:r>
          </w:p>
        </w:tc>
        <w:tc>
          <w:tcPr>
            <w:tcW w:w="140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2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long-term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53,588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45,186</w:t>
            </w:r>
          </w:p>
        </w:tc>
        <w:tc>
          <w:tcPr>
            <w:tcW w:w="140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tcBorders/>
            <w:tcMar>
              <w:top w:w="0" w:type="dxa"/>
              <w:left w:w="0" w:type="dxa"/>
              <w:bottom w:w="0" w:type="dxa"/>
              <w:right w:w="0" w:type="dxa"/>
            </w:tcMar>
            <w:vAlign w:val="center"/>
          </w:tcPr>
          <w:p>
            <w:pPr>
              <w:pStyle w:val="TableContents"/>
              <w:bidi w:val="0"/>
              <w:spacing w:before="0" w:after="283"/>
              <w:ind w:left="0" w:right="0" w:firstLine="965"/>
              <w:jc w:val="left"/>
              <w:rPr/>
            </w:pPr>
            <w:r>
              <w:rPr/>
              <w:t> </w:t>
            </w:r>
          </w:p>
        </w:tc>
      </w:tr>
      <w:tr>
        <w:trPr/>
        <w:tc>
          <w:tcPr>
            <w:tcW w:w="6231" w:type="dxa"/>
            <w:tcBorders/>
            <w:tcMar>
              <w:top w:w="0" w:type="dxa"/>
              <w:left w:w="0" w:type="dxa"/>
              <w:bottom w:w="0" w:type="dxa"/>
              <w:right w:w="0" w:type="dxa"/>
            </w:tcMar>
            <w:vAlign w:val="center"/>
          </w:tcPr>
          <w:p>
            <w:pPr>
              <w:pStyle w:val="TableContents"/>
              <w:bidi w:val="0"/>
              <w:spacing w:before="0" w:after="283"/>
              <w:ind w:left="0" w:right="0" w:firstLine="965"/>
              <w:jc w:val="left"/>
              <w:rPr>
                <w:rFonts w:ascii="Arial" w:hAnsi="Arial"/>
                <w:color w:val="000000"/>
                <w:sz w:val="20"/>
              </w:rPr>
            </w:pPr>
            <w:r>
              <w:rPr>
                <w:rFonts w:ascii="Arial" w:hAnsi="Arial"/>
                <w:color w:val="000000"/>
                <w:sz w:val="20"/>
              </w:rPr>
              <w:t>Total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273,275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275,524</w:t>
            </w:r>
          </w:p>
        </w:tc>
        <w:tc>
          <w:tcPr>
            <w:tcW w:w="1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2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Commitments and contingencies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3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3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sz w:val="20"/>
              </w:rPr>
            </w:pPr>
            <w:r>
              <w:rPr>
                <w:rFonts w:ascii="Arial" w:hAnsi="Arial"/>
                <w:color w:val="000000"/>
                <w:sz w:val="20"/>
              </w:rPr>
              <w:t xml:space="preserve">Common stock and paid-in capital – shares authorized 24,000; outstanding </w:t>
            </w:r>
            <w:r>
              <w:rPr>
                <w:rFonts w:ascii="Arial" w:hAnsi="Arial"/>
                <w:b/>
                <w:color w:val="000000"/>
                <w:sz w:val="20"/>
              </w:rPr>
              <w:t>7,434</w:t>
            </w:r>
            <w:r>
              <w:rPr>
                <w:rFonts w:ascii="Times New Roman" w:hAnsi="Times New Roman"/>
                <w:color w:val="000000"/>
                <w:sz w:val="20"/>
              </w:rPr>
              <w:t> </w:t>
            </w:r>
            <w:r>
              <w:rPr>
                <w:rFonts w:ascii="Arial" w:hAnsi="Arial"/>
                <w:color w:val="000000"/>
                <w:sz w:val="20"/>
              </w:rPr>
              <w:t>and 7,434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110,964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109,095</w:t>
            </w:r>
          </w:p>
        </w:tc>
        <w:tc>
          <w:tcPr>
            <w:tcW w:w="140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Retained earnings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254,873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237,731</w:t>
            </w:r>
          </w:p>
        </w:tc>
        <w:tc>
          <w:tcPr>
            <w:tcW w:w="1402"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3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Accumulated other comprehensive loss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(2,761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(3,347</w:t>
            </w:r>
          </w:p>
        </w:tc>
        <w:tc>
          <w:tcPr>
            <w:tcW w:w="140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48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tcBorders/>
            <w:tcMar>
              <w:top w:w="0" w:type="dxa"/>
              <w:left w:w="0" w:type="dxa"/>
              <w:bottom w:w="0" w:type="dxa"/>
              <w:right w:w="0" w:type="dxa"/>
            </w:tcMar>
            <w:vAlign w:val="center"/>
          </w:tcPr>
          <w:p>
            <w:pPr>
              <w:pStyle w:val="TableContents"/>
              <w:bidi w:val="0"/>
              <w:spacing w:before="0" w:after="283"/>
              <w:ind w:left="0" w:right="0" w:firstLine="965"/>
              <w:jc w:val="left"/>
              <w:rPr/>
            </w:pPr>
            <w:r>
              <w:rPr/>
              <w:t> </w:t>
            </w:r>
          </w:p>
        </w:tc>
      </w:tr>
      <w:tr>
        <w:trPr/>
        <w:tc>
          <w:tcPr>
            <w:tcW w:w="6231" w:type="dxa"/>
            <w:tcBorders/>
            <w:tcMar>
              <w:top w:w="0" w:type="dxa"/>
              <w:left w:w="0" w:type="dxa"/>
              <w:bottom w:w="0" w:type="dxa"/>
              <w:right w:w="0" w:type="dxa"/>
            </w:tcMar>
            <w:vAlign w:val="center"/>
          </w:tcPr>
          <w:p>
            <w:pPr>
              <w:pStyle w:val="TableContents"/>
              <w:bidi w:val="0"/>
              <w:spacing w:before="0" w:after="283"/>
              <w:ind w:left="0" w:right="0" w:firstLine="965"/>
              <w:jc w:val="left"/>
              <w:rPr>
                <w:rFonts w:ascii="Arial" w:hAnsi="Arial"/>
                <w:color w:val="000000"/>
                <w:sz w:val="20"/>
              </w:rPr>
            </w:pPr>
            <w:r>
              <w:rPr>
                <w:rFonts w:ascii="Arial" w:hAnsi="Arial"/>
                <w:color w:val="000000"/>
                <w:sz w:val="20"/>
              </w:rPr>
              <w:t>Total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363,076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343,479</w:t>
            </w:r>
          </w:p>
        </w:tc>
        <w:tc>
          <w:tcPr>
            <w:tcW w:w="1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tcMar>
              <w:top w:w="0" w:type="dxa"/>
              <w:left w:w="0" w:type="dxa"/>
              <w:bottom w:w="0" w:type="dxa"/>
              <w:right w:w="0" w:type="dxa"/>
            </w:tcMar>
            <w:vAlign w:val="center"/>
          </w:tcPr>
          <w:p>
            <w:pPr>
              <w:pStyle w:val="TableContents"/>
              <w:bidi w:val="0"/>
              <w:spacing w:before="0" w:after="283"/>
              <w:ind w:left="0" w:right="0" w:firstLine="1210"/>
              <w:jc w:val="left"/>
              <w:rPr/>
            </w:pPr>
            <w:r>
              <w:rPr/>
              <w:t> </w:t>
            </w:r>
          </w:p>
        </w:tc>
      </w:tr>
      <w:tr>
        <w:trPr/>
        <w:tc>
          <w:tcPr>
            <w:tcW w:w="6231" w:type="dxa"/>
            <w:tcBorders/>
            <w:shd w:fill="E5E5E5" w:val="clear"/>
            <w:tcMar>
              <w:top w:w="0" w:type="dxa"/>
              <w:left w:w="0" w:type="dxa"/>
              <w:bottom w:w="0" w:type="dxa"/>
              <w:right w:w="0" w:type="dxa"/>
            </w:tcMar>
            <w:vAlign w:val="center"/>
          </w:tcPr>
          <w:p>
            <w:pPr>
              <w:pStyle w:val="TableContents"/>
              <w:bidi w:val="0"/>
              <w:spacing w:before="0" w:after="283"/>
              <w:ind w:left="0" w:right="0" w:firstLine="1210"/>
              <w:jc w:val="left"/>
              <w:rPr>
                <w:rFonts w:ascii="Arial" w:hAnsi="Arial"/>
                <w:color w:val="000000"/>
                <w:sz w:val="20"/>
              </w:rPr>
            </w:pPr>
            <w:r>
              <w:rPr>
                <w:rFonts w:ascii="Arial" w:hAnsi="Arial"/>
                <w:color w:val="000000"/>
                <w:sz w:val="20"/>
              </w:rPr>
              <w:t>Total liabilities and stockholders’ equity</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7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636,351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619,003</w:t>
            </w:r>
          </w:p>
        </w:tc>
        <w:tc>
          <w:tcPr>
            <w:tcW w:w="140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5"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2"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Refer to accompanying notes.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Times New Roman" w:hAnsi="Times New Roman"/>
          <w:sz w:val="20"/>
        </w:rPr>
      </w:pPr>
      <w:bookmarkStart w:id="7" w:name="cash_flows_statements"/>
      <w:bookmarkEnd w:id="7"/>
      <w:r>
        <w:rPr>
          <w:rFonts w:ascii="Arial" w:hAnsi="Arial"/>
          <w:b/>
          <w:color w:val="000000"/>
          <w:sz w:val="20"/>
        </w:rPr>
        <w:t>CASH FLOWS STATEMENTS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67"/>
        <w:gridCol w:w="146"/>
        <w:gridCol w:w="211"/>
        <w:gridCol w:w="751"/>
        <w:gridCol w:w="166"/>
        <w:gridCol w:w="146"/>
        <w:gridCol w:w="211"/>
        <w:gridCol w:w="751"/>
        <w:gridCol w:w="1156"/>
      </w:tblGrid>
      <w:tr>
        <w:trPr/>
        <w:tc>
          <w:tcPr>
            <w:tcW w:w="666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666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(Unaudited)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66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66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Operations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667"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27,747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24,667</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66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Adjustments to reconcile net income to net cash from operations: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Depreciation, amortization, and other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13,061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7,383</w:t>
            </w:r>
          </w:p>
        </w:tc>
        <w:tc>
          <w:tcPr>
            <w:tcW w:w="115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6667"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Stock-based compensation expense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2,983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2,832</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Net recognized gains on investments and derivatives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w:t>
            </w:r>
          </w:p>
        </w:tc>
        <w:tc>
          <w:tcPr>
            <w:tcW w:w="115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w:t>
            </w:r>
          </w:p>
        </w:tc>
      </w:tr>
      <w:tr>
        <w:trPr/>
        <w:tc>
          <w:tcPr>
            <w:tcW w:w="6667"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Deferred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2,491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(1,433</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w:t>
            </w:r>
          </w:p>
        </w:tc>
      </w:tr>
      <w:tr>
        <w:trPr/>
        <w:tc>
          <w:tcPr>
            <w:tcW w:w="6667"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Changes in operating assets and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6667"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Accounts receivable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16,490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14,037</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Inventories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(373</w:t>
            </w:r>
          </w:p>
        </w:tc>
        <w:tc>
          <w:tcPr>
            <w:tcW w:w="1156"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6667"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Other current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(1,162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6667"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Other long-term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(1,761</w:t>
            </w:r>
          </w:p>
        </w:tc>
        <w:tc>
          <w:tcPr>
            <w:tcW w:w="1156"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6667"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Accounts payable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(916</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6667"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Unearned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(5,418</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(5,553</w:t>
            </w:r>
          </w:p>
        </w:tc>
        <w:tc>
          <w:tcPr>
            <w:tcW w:w="1156"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6667"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(2,944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1,016</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(5,507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(5,479</w:t>
            </w:r>
          </w:p>
        </w:tc>
        <w:tc>
          <w:tcPr>
            <w:tcW w:w="1156"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6667"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Other long-term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1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6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965"/>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ind w:left="0" w:right="0" w:firstLine="965"/>
              <w:jc w:val="left"/>
              <w:rPr>
                <w:rFonts w:ascii="Arial" w:hAnsi="Arial"/>
                <w:color w:val="000000"/>
                <w:sz w:val="20"/>
              </w:rPr>
            </w:pPr>
            <w:r>
              <w:rPr>
                <w:rFonts w:ascii="Arial" w:hAnsi="Arial"/>
                <w:color w:val="000000"/>
                <w:sz w:val="20"/>
              </w:rPr>
              <w:t>Net cash from operations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45,057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34,180</w:t>
            </w:r>
          </w:p>
        </w:tc>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6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66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Financing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Repayments of debt, maturities of 90 days or less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(5,746</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666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Repayments of debt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(966</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6667"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issued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706</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66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repurchased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(5,650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(4,107</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6667"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cash dividends paid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(6,169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(5,574</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666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(889</w:t>
            </w:r>
          </w:p>
        </w:tc>
        <w:tc>
          <w:tcPr>
            <w:tcW w:w="11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6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965"/>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ind w:left="0" w:right="0" w:firstLine="965"/>
              <w:jc w:val="left"/>
              <w:rPr>
                <w:rFonts w:ascii="Arial" w:hAnsi="Arial"/>
                <w:color w:val="000000"/>
                <w:sz w:val="20"/>
              </w:rPr>
            </w:pPr>
            <w:r>
              <w:rPr>
                <w:rFonts w:ascii="Arial" w:hAnsi="Arial"/>
                <w:color w:val="000000"/>
                <w:sz w:val="20"/>
              </w:rPr>
              <w:t>Net cash used in financing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(11,799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(16,576</w:t>
            </w:r>
          </w:p>
        </w:tc>
        <w:tc>
          <w:tcPr>
            <w:tcW w:w="11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6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66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Investing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Additions to property and equipment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(19,394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(14,923</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666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Acquisition of companies, net of cash acquired and divestitures, and purchases of intangible and other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(1,849</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6667"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Purchases of investments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(17,671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(1,620</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666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Maturities of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6,031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2,136</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Sales of investments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3,262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1,968</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66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(6,209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(913</w:t>
            </w:r>
          </w:p>
        </w:tc>
        <w:tc>
          <w:tcPr>
            <w:tcW w:w="11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6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965"/>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ind w:left="0" w:right="0" w:firstLine="965"/>
              <w:jc w:val="left"/>
              <w:rPr>
                <w:rFonts w:ascii="Arial" w:hAnsi="Arial"/>
                <w:color w:val="000000"/>
                <w:sz w:val="20"/>
              </w:rPr>
            </w:pPr>
            <w:r>
              <w:rPr>
                <w:rFonts w:ascii="Arial" w:hAnsi="Arial"/>
                <w:color w:val="000000"/>
                <w:sz w:val="20"/>
              </w:rPr>
              <w:t>Net cash used in investing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(34,559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(15,201</w:t>
            </w:r>
          </w:p>
        </w:tc>
        <w:tc>
          <w:tcPr>
            <w:tcW w:w="11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6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66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Effect of foreign exchange rates on cash and cash equivalents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w:t>
            </w:r>
          </w:p>
        </w:tc>
        <w:tc>
          <w:tcPr>
            <w:tcW w:w="1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change in cash and cash equivalents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(1,393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2,525</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66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 and cash equivalents,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30,242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18,315</w:t>
            </w:r>
          </w:p>
        </w:tc>
        <w:tc>
          <w:tcPr>
            <w:tcW w:w="1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 and cash equivalents, end of period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28,849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20,840</w:t>
            </w:r>
          </w:p>
        </w:tc>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Refer to accompanying notes.</w:t>
      </w:r>
    </w:p>
    <w:p>
      <w:pPr>
        <w:pStyle w:val="TextBody"/>
        <w:bidi w:val="0"/>
        <w:spacing w:before="240" w:after="283"/>
        <w:jc w:val="center"/>
        <w:rPr>
          <w:rFonts w:ascii="Arial" w:hAnsi="Arial"/>
          <w:color w:val="000000"/>
          <w:sz w:val="16"/>
        </w:rPr>
      </w:pPr>
      <w:r>
        <w:rPr>
          <w:rFonts w:ascii="Arial" w:hAnsi="Arial"/>
          <w:color w:val="000000"/>
          <w:sz w:val="16"/>
        </w:rPr>
        <w:t>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Times New Roman" w:hAnsi="Times New Roman"/>
          <w:sz w:val="20"/>
        </w:rPr>
      </w:pPr>
      <w:bookmarkStart w:id="8" w:name="stockholders_equity_statements"/>
      <w:bookmarkEnd w:id="8"/>
      <w:r>
        <w:rPr>
          <w:rFonts w:ascii="Arial" w:hAnsi="Arial"/>
          <w:b/>
          <w:color w:val="000000"/>
          <w:sz w:val="20"/>
        </w:rPr>
        <w:t>STOCKHOLDERS’ EQUITY STATEMENTS</w:t>
      </w:r>
      <w:r>
        <w:rPr>
          <w:rFonts w:ascii="Times New Roman" w:hAnsi="Times New Roman"/>
          <w:color w:val="000000"/>
          <w:sz w:val="20"/>
        </w:rPr>
        <w:t xml:space="preserve"> </w:t>
      </w:r>
    </w:p>
    <w:p>
      <w:pPr>
        <w:pStyle w:val="TextBody"/>
        <w:bidi w:val="0"/>
        <w:jc w:val="left"/>
        <w:rPr/>
      </w:pPr>
      <w:r>
        <w:rPr/>
        <w:t> </w:t>
      </w:r>
    </w:p>
    <w:tbl>
      <w:tblPr>
        <w:tblW w:w="7329" w:type="dxa"/>
        <w:jc w:val="left"/>
        <w:tblInd w:w="0" w:type="dxa"/>
        <w:tblLayout w:type="fixed"/>
        <w:tblCellMar>
          <w:top w:w="28" w:type="dxa"/>
          <w:left w:w="28" w:type="dxa"/>
          <w:bottom w:w="28" w:type="dxa"/>
          <w:right w:w="28" w:type="dxa"/>
        </w:tblCellMar>
      </w:tblPr>
      <w:tblGrid>
        <w:gridCol w:w="4176"/>
        <w:gridCol w:w="146"/>
        <w:gridCol w:w="211"/>
        <w:gridCol w:w="796"/>
        <w:gridCol w:w="166"/>
        <w:gridCol w:w="146"/>
        <w:gridCol w:w="211"/>
        <w:gridCol w:w="796"/>
        <w:gridCol w:w="681"/>
      </w:tblGrid>
      <w:tr>
        <w:trPr/>
        <w:tc>
          <w:tcPr>
            <w:tcW w:w="41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41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 share amounts) (Unaudited)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2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b/>
                <w:color w:val="000000"/>
                <w:sz w:val="15"/>
              </w:rPr>
            </w:pPr>
            <w:r>
              <w:rPr>
                <w:rFonts w:ascii="Arial" w:hAnsi="Arial"/>
                <w:b/>
                <w:color w:val="000000"/>
                <w:sz w:val="15"/>
              </w:rPr>
              <w:t>Three Months Ended September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3"/>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Common stock and paid-in capital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109,095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100,923</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issued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repurchased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(1,801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(1,485</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Stock-based compensation expense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2,983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2,832</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net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110,964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102,976</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Retained earnings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237,731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173,144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27,747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24,667</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cash dividends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(6,764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(6,171</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repurchased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(3,841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(2,711</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254,873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188,929</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Accumulated other comprehensive loss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(3,347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comprehensive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1,408</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(2,761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(4,182</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Total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363,076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287,723</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 dividends declared per common share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0.91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Refer to accompanying notes.</w:t>
      </w:r>
    </w:p>
    <w:p>
      <w:pPr>
        <w:pStyle w:val="TextBody"/>
        <w:bidi w:val="0"/>
        <w:spacing w:before="240" w:after="283"/>
        <w:jc w:val="center"/>
        <w:rPr>
          <w:rFonts w:ascii="Arial" w:hAnsi="Arial"/>
          <w:color w:val="000000"/>
          <w:sz w:val="16"/>
        </w:rPr>
      </w:pPr>
      <w:r>
        <w:rPr>
          <w:rFonts w:ascii="Arial" w:hAnsi="Arial"/>
          <w:color w:val="000000"/>
          <w:sz w:val="16"/>
        </w:rPr>
        <w:t>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Times New Roman" w:hAnsi="Times New Roman"/>
          <w:sz w:val="20"/>
        </w:rPr>
      </w:pPr>
      <w:bookmarkStart w:id="9" w:name="notes_to_financial_statements"/>
      <w:bookmarkEnd w:id="9"/>
      <w:r>
        <w:rPr>
          <w:rFonts w:ascii="Arial" w:hAnsi="Arial"/>
          <w:b/>
          <w:color w:val="000000"/>
          <w:sz w:val="20"/>
        </w:rPr>
        <w:t>NOTES TO FINANCIAL STATEMENTS</w:t>
      </w:r>
      <w:r>
        <w:rPr>
          <w:rFonts w:ascii="Times New Roman" w:hAnsi="Times New Roman"/>
          <w:color w:val="000000"/>
          <w:sz w:val="20"/>
        </w:rPr>
        <w:t xml:space="preserve"> </w:t>
      </w:r>
    </w:p>
    <w:p>
      <w:pPr>
        <w:pStyle w:val="TextBody"/>
        <w:bidi w:val="0"/>
        <w:spacing w:before="90" w:after="283"/>
        <w:jc w:val="center"/>
        <w:rPr>
          <w:rFonts w:ascii="Times New Roman" w:hAnsi="Times New Roman"/>
          <w:sz w:val="20"/>
        </w:rPr>
      </w:pPr>
      <w:r>
        <w:rPr>
          <w:rFonts w:ascii="Arial" w:hAnsi="Arial"/>
          <w:b/>
          <w:i/>
          <w:color w:val="000000"/>
          <w:sz w:val="20"/>
        </w:rPr>
        <w:t>(Unaudited)</w:t>
      </w:r>
      <w:r>
        <w:rPr>
          <w:rFonts w:ascii="Times New Roman" w:hAnsi="Times New Roman"/>
          <w:color w:val="000000"/>
          <w:sz w:val="20"/>
        </w:rPr>
        <w:t xml:space="preserve"> </w:t>
      </w:r>
    </w:p>
    <w:p>
      <w:pPr>
        <w:pStyle w:val="TextBody"/>
        <w:bidi w:val="0"/>
        <w:jc w:val="center"/>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NOTE 1 — ACCOUNTING POLICIES</w:t>
      </w:r>
    </w:p>
    <w:p>
      <w:pPr>
        <w:pStyle w:val="TextBody"/>
        <w:bidi w:val="0"/>
        <w:spacing w:before="180" w:after="283"/>
        <w:jc w:val="both"/>
        <w:rPr>
          <w:rFonts w:ascii="Times New Roman" w:hAnsi="Times New Roman"/>
          <w:sz w:val="20"/>
        </w:rPr>
      </w:pPr>
      <w:r>
        <w:rPr>
          <w:rFonts w:ascii="Arial" w:hAnsi="Arial"/>
          <w:b/>
          <w:color w:val="000000"/>
          <w:sz w:val="20"/>
        </w:rPr>
        <w:t>Accounting Principles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unaudited interim consolidated financial statements and accompanying notes are prepared in accordance with accounting principles generally accepted in the United States of America. In the opinion of management, the unaudited interim consolidated financial statements reflect all adjustments of a normal recurring nature that are necessary for a fair presentation of the results for the interim periods presented. Interim results are not necessarily indicative of results for a full year. The information included in this Form 10-Q should be read in conjunction with information included in the Microsoft Corporation fiscal year 2025 Form 10-K filed with the U.S. Securities and Exchange Commission on July 30, 2025.</w:t>
      </w:r>
    </w:p>
    <w:p>
      <w:pPr>
        <w:pStyle w:val="TextBody"/>
        <w:bidi w:val="0"/>
        <w:spacing w:before="270" w:after="283"/>
        <w:jc w:val="both"/>
        <w:rPr>
          <w:rFonts w:ascii="Times New Roman" w:hAnsi="Times New Roman"/>
          <w:sz w:val="20"/>
        </w:rPr>
      </w:pPr>
      <w:r>
        <w:rPr>
          <w:rFonts w:ascii="Arial" w:hAnsi="Arial"/>
          <w:b/>
          <w:color w:val="000000"/>
          <w:sz w:val="20"/>
        </w:rPr>
        <w:t>Principles of Consolidation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consolidated financial statements include the accounts of Microsoft Corporation and its subsidiaries. Intercompany transactions and balances have been eliminated.</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Estimates and Assumptions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of performance obligations, variable consideration, and other obligations such as product returns and refunds; loss contingencies; the fair value of and/or potential impairment of goodwill and intangible assets for our reporting units; product life cycles; useful lives of our tangible and intangible assets; allowances for doubtful accounts; stock-based compensation forfeiture rates; when technological feasibility is achieved for our products; the potential outcome of uncertain tax positions that have been recognized in our consolidated financial statements or tax returns; and determining the timing and amount of impairments for investments. Actual results and outcomes may differ from management’s estimates and assumptions due to risks and uncertainties.</w:t>
      </w:r>
    </w:p>
    <w:p>
      <w:pPr>
        <w:pStyle w:val="TextBody"/>
        <w:bidi w:val="0"/>
        <w:spacing w:before="270" w:after="283"/>
        <w:jc w:val="both"/>
        <w:rPr>
          <w:rFonts w:ascii="Arial" w:hAnsi="Arial"/>
          <w:b/>
          <w:color w:val="000000"/>
          <w:sz w:val="20"/>
        </w:rPr>
      </w:pPr>
      <w:r>
        <w:rPr>
          <w:rFonts w:ascii="Arial" w:hAnsi="Arial"/>
          <w:b/>
          <w:color w:val="000000"/>
          <w:sz w:val="20"/>
        </w:rPr>
        <w:t>Financial Instruments</w:t>
      </w:r>
    </w:p>
    <w:p>
      <w:pPr>
        <w:pStyle w:val="TextBody"/>
        <w:bidi w:val="0"/>
        <w:spacing w:before="180" w:after="283"/>
        <w:jc w:val="both"/>
        <w:rPr>
          <w:rFonts w:ascii="Arial" w:hAnsi="Arial"/>
          <w:b/>
          <w:i/>
          <w:color w:val="000000"/>
          <w:sz w:val="20"/>
        </w:rPr>
      </w:pPr>
      <w:r>
        <w:rPr>
          <w:rFonts w:ascii="Arial" w:hAnsi="Arial"/>
          <w:b/>
          <w:i/>
          <w:color w:val="000000"/>
          <w:sz w:val="20"/>
        </w:rPr>
        <w:t>Investments</w:t>
      </w:r>
    </w:p>
    <w:p>
      <w:pPr>
        <w:pStyle w:val="TextBody"/>
        <w:bidi w:val="0"/>
        <w:spacing w:before="180" w:after="283"/>
        <w:jc w:val="both"/>
        <w:rPr>
          <w:rFonts w:ascii="Arial" w:hAnsi="Arial"/>
          <w:color w:val="000000"/>
          <w:sz w:val="20"/>
        </w:rPr>
      </w:pPr>
      <w:r>
        <w:rPr>
          <w:rFonts w:ascii="Arial" w:hAnsi="Arial"/>
          <w:color w:val="000000"/>
          <w:sz w:val="20"/>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pStyle w:val="TextBody"/>
        <w:bidi w:val="0"/>
        <w:spacing w:before="180" w:after="283"/>
        <w:jc w:val="both"/>
        <w:rPr>
          <w:rFonts w:ascii="Arial" w:hAnsi="Arial"/>
          <w:color w:val="000000"/>
          <w:sz w:val="20"/>
        </w:rPr>
      </w:pPr>
      <w:r>
        <w:rPr>
          <w:rFonts w:ascii="Arial" w:hAnsi="Arial"/>
          <w:color w:val="000000"/>
          <w:sz w:val="20"/>
        </w:rPr>
        <w:t>Debt investments are classified as available-for-sale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pStyle w:val="TextBody"/>
        <w:bidi w:val="0"/>
        <w:spacing w:before="240" w:after="283"/>
        <w:jc w:val="center"/>
        <w:rPr>
          <w:rFonts w:ascii="Arial" w:hAnsi="Arial"/>
          <w:color w:val="000000"/>
          <w:sz w:val="16"/>
        </w:rPr>
      </w:pPr>
      <w:r>
        <w:rPr>
          <w:rFonts w:ascii="Arial" w:hAnsi="Arial"/>
          <w:color w:val="000000"/>
          <w:sz w:val="16"/>
        </w:rPr>
        <w:t>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We perform a qualitative assessment on a periodic basis and recognize an impairment if there are sufficient indicators that the fair value of the investment is less than carrying value. Changes in value are recorded in other income (expense), net.</w:t>
      </w:r>
    </w:p>
    <w:p>
      <w:pPr>
        <w:pStyle w:val="TextBody"/>
        <w:bidi w:val="0"/>
        <w:spacing w:before="180" w:after="283"/>
        <w:jc w:val="both"/>
        <w:rPr>
          <w:rFonts w:ascii="Times New Roman" w:hAnsi="Times New Roman"/>
          <w:sz w:val="20"/>
        </w:rPr>
      </w:pPr>
      <w:r>
        <w:rPr>
          <w:rFonts w:ascii="Arial" w:hAnsi="Arial"/>
          <w:color w:val="000000"/>
          <w:sz w:val="20"/>
        </w:rPr>
        <w:t>Investments that are considered variable interest entities (“VIEs”) are evaluated to determine whether we are the primary beneficiary of the VIE, in which case we would be required to consolidate the entity. We evaluate whether we have (1) the power to direct the activities that most significantly impact the VIE’s economic performance, and (2) the obligation to absorb losses or the right to receive benefits from the VIE that could potentially be significant to the VIE. We have determined we are not the primary beneficiary of any of our VIE investments. Therefore, our VIE investments are not consolidated and the majority are accounted for under the equity method of accounting.</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have an investment in OpenAI Global, LLC (“OpenAI”) and have made total funding commitments of $13</w:t>
      </w:r>
      <w:r>
        <w:rPr>
          <w:rFonts w:ascii="Times New Roman" w:hAnsi="Times New Roman"/>
          <w:color w:val="000000"/>
          <w:sz w:val="20"/>
        </w:rPr>
        <w:t xml:space="preserve"> </w:t>
      </w:r>
      <w:r>
        <w:rPr>
          <w:rFonts w:ascii="Arial" w:hAnsi="Arial"/>
          <w:color w:val="000000"/>
          <w:sz w:val="20"/>
        </w:rPr>
        <w:t>billion, of which $11.6</w:t>
      </w:r>
      <w:r>
        <w:rPr>
          <w:rFonts w:ascii="Times New Roman" w:hAnsi="Times New Roman"/>
          <w:color w:val="000000"/>
          <w:sz w:val="20"/>
        </w:rPr>
        <w:t xml:space="preserve"> </w:t>
      </w:r>
      <w:r>
        <w:rPr>
          <w:rFonts w:ascii="Arial" w:hAnsi="Arial"/>
          <w:color w:val="000000"/>
          <w:sz w:val="20"/>
        </w:rPr>
        <w:t>billion has been funded as of September 30, 2025. The investment is accounted for under the equity method of accounting, with our share of OpenAI’s income or loss recognized in other income (expense), net.</w:t>
      </w:r>
      <w:r>
        <w:rPr>
          <w:rFonts w:ascii="Times New Roman" w:hAnsi="Times New Roman"/>
          <w:color w:val="000000"/>
          <w:sz w:val="20"/>
        </w:rPr>
        <w:t xml:space="preserve"> </w:t>
      </w:r>
    </w:p>
    <w:p>
      <w:pPr>
        <w:pStyle w:val="TextBody"/>
        <w:bidi w:val="0"/>
        <w:spacing w:before="270" w:after="283"/>
        <w:jc w:val="both"/>
        <w:rPr>
          <w:rFonts w:ascii="Arial" w:hAnsi="Arial"/>
          <w:b/>
          <w:i/>
          <w:color w:val="000000"/>
          <w:sz w:val="20"/>
        </w:rPr>
      </w:pPr>
      <w:r>
        <w:rPr>
          <w:rFonts w:ascii="Arial" w:hAnsi="Arial"/>
          <w:b/>
          <w:i/>
          <w:color w:val="000000"/>
          <w:sz w:val="20"/>
        </w:rPr>
        <w:t>Derivatives</w:t>
      </w:r>
    </w:p>
    <w:p>
      <w:pPr>
        <w:pStyle w:val="TextBody"/>
        <w:bidi w:val="0"/>
        <w:spacing w:before="180" w:after="283"/>
        <w:jc w:val="both"/>
        <w:rPr>
          <w:rFonts w:ascii="Arial" w:hAnsi="Arial"/>
          <w:color w:val="000000"/>
          <w:sz w:val="20"/>
        </w:rPr>
      </w:pPr>
      <w:r>
        <w:rPr>
          <w:rFonts w:ascii="Arial" w:hAnsi="Arial"/>
          <w:color w:val="000000"/>
          <w:sz w:val="20"/>
        </w:rPr>
        <w:t>Derivative instruments are recognized as either assets or liabilities and measured at fair value. The accounting for changes in the fair value of a derivative depends on the intended use of the derivative and the resulting designation.</w:t>
      </w:r>
    </w:p>
    <w:p>
      <w:pPr>
        <w:pStyle w:val="TextBody"/>
        <w:bidi w:val="0"/>
        <w:spacing w:before="180" w:after="283"/>
        <w:jc w:val="both"/>
        <w:rPr>
          <w:rFonts w:ascii="Arial" w:hAnsi="Arial"/>
          <w:color w:val="000000"/>
          <w:sz w:val="20"/>
        </w:rPr>
      </w:pPr>
      <w:r>
        <w:rPr>
          <w:rFonts w:ascii="Arial" w:hAnsi="Arial"/>
          <w:color w:val="000000"/>
          <w:sz w:val="20"/>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pStyle w:val="TextBody"/>
        <w:bidi w:val="0"/>
        <w:spacing w:before="180" w:after="283"/>
        <w:jc w:val="both"/>
        <w:rPr>
          <w:rFonts w:ascii="Arial" w:hAnsi="Arial"/>
          <w:color w:val="000000"/>
          <w:sz w:val="20"/>
        </w:rPr>
      </w:pPr>
      <w:r>
        <w:rPr>
          <w:rFonts w:ascii="Arial" w:hAnsi="Arial"/>
          <w:color w:val="000000"/>
          <w:sz w:val="20"/>
        </w:rPr>
        <w:t>For derivative instruments designated as cash flow hedges, gains and losses are initially reported as a component of other comprehensive income and subsequently recognized in other income (expense), net with the corresponding hedged item. Gains and losses representing hedge components excluded from the assessment of effectiveness are recognized in other income (expense), net.</w:t>
      </w:r>
    </w:p>
    <w:p>
      <w:pPr>
        <w:pStyle w:val="TextBody"/>
        <w:bidi w:val="0"/>
        <w:spacing w:before="180" w:after="283"/>
        <w:jc w:val="both"/>
        <w:rPr>
          <w:rFonts w:ascii="Arial" w:hAnsi="Arial"/>
          <w:color w:val="000000"/>
          <w:sz w:val="20"/>
        </w:rPr>
      </w:pPr>
      <w:r>
        <w:rPr>
          <w:rFonts w:ascii="Arial" w:hAnsi="Arial"/>
          <w:color w:val="000000"/>
          <w:sz w:val="20"/>
        </w:rPr>
        <w:t>For derivative instruments that are not designated as hedges, gains and losses from changes in fair values are primarily recognized in other income (expense), net.</w:t>
      </w:r>
    </w:p>
    <w:p>
      <w:pPr>
        <w:pStyle w:val="TextBody"/>
        <w:bidi w:val="0"/>
        <w:spacing w:before="270" w:after="283"/>
        <w:jc w:val="both"/>
        <w:rPr>
          <w:rFonts w:ascii="Arial" w:hAnsi="Arial"/>
          <w:b/>
          <w:color w:val="000000"/>
          <w:sz w:val="20"/>
        </w:rPr>
      </w:pPr>
      <w:r>
        <w:rPr>
          <w:rFonts w:ascii="Arial" w:hAnsi="Arial"/>
          <w:b/>
          <w:color w:val="000000"/>
          <w:sz w:val="20"/>
        </w:rPr>
        <w:t>Fair Value Measurements</w:t>
      </w:r>
    </w:p>
    <w:p>
      <w:pPr>
        <w:pStyle w:val="TextBody"/>
        <w:bidi w:val="0"/>
        <w:spacing w:before="180" w:after="283"/>
        <w:jc w:val="both"/>
        <w:rPr>
          <w:rFonts w:ascii="Arial" w:hAnsi="Arial"/>
          <w:color w:val="000000"/>
          <w:sz w:val="20"/>
        </w:rPr>
      </w:pPr>
      <w:r>
        <w:rPr>
          <w:rFonts w:ascii="Arial" w:hAnsi="Arial"/>
          <w:color w:val="000000"/>
          <w:sz w:val="20"/>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i/>
          <w:color w:val="000000"/>
          <w:sz w:val="20"/>
        </w:rPr>
        <w:t>Level 1</w:t>
      </w:r>
      <w:r>
        <w:rPr>
          <w:color w:val="000000"/>
        </w:rPr>
        <w:t xml:space="preserve"> – </w:t>
      </w:r>
      <w:r>
        <w:rPr>
          <w:rFonts w:ascii="Arial" w:hAnsi="Arial"/>
          <w:color w:val="000000"/>
          <w:sz w:val="20"/>
        </w:rPr>
        <w:t>inputs are based upon unadjusted quoted prices for identical instruments in active markets. Our Level 1 investments include U.S. government securities, common and preferred stock, and mutual funds. Our Level 1 derivative assets and liabilities include those actively traded on exchanges.</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i/>
          <w:color w:val="000000"/>
          <w:sz w:val="20"/>
        </w:rPr>
        <w:t>Level 2</w:t>
      </w:r>
      <w:r>
        <w:rPr>
          <w:color w:val="000000"/>
        </w:rPr>
        <w:t xml:space="preserve"> – </w:t>
      </w:r>
      <w:r>
        <w:rPr>
          <w:rFonts w:ascii="Arial" w:hAnsi="Arial"/>
          <w:color w:val="000000"/>
          <w:sz w:val="20"/>
        </w:rPr>
        <w:t>inputs are based upon quoted prices for similar instruments in active markets, quoted prices for identical or similar 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include certain cleared swap contracts and over-the-counter forward, option, and swap contracts.</w:t>
      </w:r>
    </w:p>
    <w:p>
      <w:pPr>
        <w:pStyle w:val="TextBody"/>
        <w:bidi w:val="0"/>
        <w:spacing w:before="240" w:after="283"/>
        <w:jc w:val="center"/>
        <w:rPr>
          <w:rFonts w:ascii="Arial" w:hAnsi="Arial"/>
          <w:color w:val="000000"/>
          <w:sz w:val="16"/>
        </w:rPr>
      </w:pPr>
      <w:r>
        <w:rPr>
          <w:rFonts w:ascii="Arial" w:hAnsi="Arial"/>
          <w:color w:val="000000"/>
          <w:sz w:val="16"/>
        </w:rPr>
        <w:t>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sz w:val="20"/>
        </w:rPr>
      </w:pPr>
      <w:r>
        <w:rPr>
          <w:rFonts w:ascii="Arial" w:hAnsi="Arial"/>
          <w:i/>
          <w:color w:val="000000"/>
          <w:sz w:val="20"/>
        </w:rPr>
        <w:t>Level 3</w:t>
      </w:r>
      <w:r>
        <w:rPr>
          <w:rFonts w:ascii="Arial" w:hAnsi="Arial"/>
          <w:color w:val="000000"/>
          <w:sz w:val="20"/>
        </w:rPr>
        <w:t xml:space="preserve"> – inputs are generally unobservable and typically reflect management’s estimates of assumptions that market 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pStyle w:val="TextBody"/>
        <w:bidi w:val="0"/>
        <w:spacing w:before="180" w:after="283"/>
        <w:jc w:val="both"/>
        <w:rPr>
          <w:rFonts w:ascii="Arial" w:hAnsi="Arial"/>
          <w:color w:val="000000"/>
          <w:sz w:val="20"/>
        </w:rPr>
      </w:pPr>
      <w:r>
        <w:rPr>
          <w:rFonts w:ascii="Arial" w:hAnsi="Arial"/>
          <w:color w:val="000000"/>
          <w:sz w:val="20"/>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pStyle w:val="TextBody"/>
        <w:bidi w:val="0"/>
        <w:spacing w:before="180" w:after="283"/>
        <w:jc w:val="both"/>
        <w:rPr>
          <w:rFonts w:ascii="Arial" w:hAnsi="Arial"/>
          <w:color w:val="000000"/>
          <w:sz w:val="20"/>
        </w:rPr>
      </w:pPr>
      <w:r>
        <w:rPr>
          <w:rFonts w:ascii="Arial" w:hAnsi="Arial"/>
          <w:color w:val="000000"/>
          <w:sz w:val="20"/>
        </w:rPr>
        <w:t>Our other current financial assets and current financial liabilities have fair values that approximate their carrying values.</w:t>
      </w:r>
    </w:p>
    <w:p>
      <w:pPr>
        <w:pStyle w:val="TextBody"/>
        <w:bidi w:val="0"/>
        <w:spacing w:before="270" w:after="283"/>
        <w:jc w:val="both"/>
        <w:rPr>
          <w:rFonts w:ascii="Times New Roman" w:hAnsi="Times New Roman"/>
          <w:sz w:val="20"/>
        </w:rPr>
      </w:pPr>
      <w:r>
        <w:rPr>
          <w:rFonts w:ascii="Arial" w:hAnsi="Arial"/>
          <w:b/>
          <w:color w:val="000000"/>
          <w:sz w:val="20"/>
        </w:rPr>
        <w:t>Contract Balances and Other Receivables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of September 30, 2025 and June 30, 2025, long-term accounts receivable, net of allowance for doubtful accounts, was $5.0</w:t>
      </w:r>
      <w:r>
        <w:rPr>
          <w:rFonts w:ascii="Times New Roman" w:hAnsi="Times New Roman"/>
          <w:color w:val="000000"/>
          <w:sz w:val="20"/>
        </w:rPr>
        <w:t xml:space="preserve"> </w:t>
      </w:r>
      <w:r>
        <w:rPr>
          <w:rFonts w:ascii="Arial" w:hAnsi="Arial"/>
          <w:color w:val="000000"/>
          <w:sz w:val="20"/>
        </w:rPr>
        <w:t>billion and $5.2</w:t>
      </w:r>
      <w:r>
        <w:rPr>
          <w:rFonts w:ascii="Times New Roman" w:hAnsi="Times New Roman"/>
          <w:color w:val="000000"/>
          <w:sz w:val="20"/>
        </w:rPr>
        <w:t xml:space="preserve"> </w:t>
      </w:r>
      <w:r>
        <w:rPr>
          <w:rFonts w:ascii="Arial" w:hAnsi="Arial"/>
          <w:color w:val="000000"/>
          <w:sz w:val="20"/>
        </w:rPr>
        <w:t>billion, respectively, and is included in other long-term assets in our consolidated balance sheets.</w:t>
      </w:r>
    </w:p>
    <w:p>
      <w:pPr>
        <w:pStyle w:val="TextBody"/>
        <w:bidi w:val="0"/>
        <w:spacing w:before="180" w:after="283"/>
        <w:jc w:val="both"/>
        <w:rPr>
          <w:rFonts w:ascii="Times New Roman" w:hAnsi="Times New Roman"/>
          <w:sz w:val="20"/>
        </w:rPr>
      </w:pPr>
      <w:r>
        <w:rPr>
          <w:rFonts w:ascii="Arial" w:hAnsi="Arial"/>
          <w:color w:val="000000"/>
          <w:sz w:val="20"/>
        </w:rPr>
        <w:t>As of September 30, 2025 and June 30, 2025, other receivables related to activities to facilitate the purchase of server components were $14.4</w:t>
      </w:r>
      <w:r>
        <w:rPr>
          <w:rFonts w:ascii="Times New Roman" w:hAnsi="Times New Roman"/>
          <w:color w:val="000000"/>
          <w:sz w:val="20"/>
        </w:rPr>
        <w:t xml:space="preserve"> </w:t>
      </w:r>
      <w:r>
        <w:rPr>
          <w:rFonts w:ascii="Arial" w:hAnsi="Arial"/>
          <w:color w:val="000000"/>
          <w:sz w:val="20"/>
        </w:rPr>
        <w:t>billion and $8.2</w:t>
      </w:r>
      <w:r>
        <w:rPr>
          <w:rFonts w:ascii="Times New Roman" w:hAnsi="Times New Roman"/>
          <w:color w:val="000000"/>
          <w:sz w:val="20"/>
        </w:rPr>
        <w:t xml:space="preserve"> </w:t>
      </w:r>
      <w:r>
        <w:rPr>
          <w:rFonts w:ascii="Arial" w:hAnsi="Arial"/>
          <w:color w:val="000000"/>
          <w:sz w:val="20"/>
        </w:rPr>
        <w:t>billion, respectively, and are included in other current assets in our consolidated balance sheets.</w:t>
      </w:r>
    </w:p>
    <w:p>
      <w:pPr>
        <w:pStyle w:val="TextBody"/>
        <w:bidi w:val="0"/>
        <w:spacing w:before="180" w:after="283"/>
        <w:jc w:val="both"/>
        <w:rPr>
          <w:rFonts w:ascii="Times New Roman" w:hAnsi="Times New Roman"/>
          <w:sz w:val="20"/>
        </w:rPr>
      </w:pPr>
      <w:r>
        <w:rPr>
          <w:rFonts w:ascii="Arial" w:hAnsi="Arial"/>
          <w:color w:val="000000"/>
          <w:sz w:val="20"/>
        </w:rPr>
        <w:t>We record financing receivables when we offer certain customers the option to acquire our software products and services offerings through a financing program in a limited number of countries. As of September 30, 2025 and June 30, 2025, our financing receivables, net were $3.9</w:t>
      </w:r>
      <w:r>
        <w:rPr>
          <w:rFonts w:ascii="Times New Roman" w:hAnsi="Times New Roman"/>
          <w:color w:val="000000"/>
          <w:sz w:val="20"/>
        </w:rPr>
        <w:t xml:space="preserve"> </w:t>
      </w:r>
      <w:r>
        <w:rPr>
          <w:rFonts w:ascii="Arial" w:hAnsi="Arial"/>
          <w:color w:val="000000"/>
          <w:sz w:val="20"/>
        </w:rPr>
        <w:t>billion and $4.3</w:t>
      </w:r>
      <w:r>
        <w:rPr>
          <w:rFonts w:ascii="Times New Roman" w:hAnsi="Times New Roman"/>
          <w:color w:val="000000"/>
          <w:sz w:val="20"/>
        </w:rPr>
        <w:t xml:space="preserve"> </w:t>
      </w:r>
      <w:r>
        <w:rPr>
          <w:rFonts w:ascii="Arial" w:hAnsi="Arial"/>
          <w:color w:val="000000"/>
          <w:sz w:val="20"/>
        </w:rPr>
        <w:t>billion, respectively, for short-term and long-term financing receivables, which are included in other current assets and other long-term assets in our consolidated balance sheets. We record an allowance for doubtful accounts which reflects our best estimate of credit losses inherent in the accounts receivable and financing receivable balances. We determine the allowance based on known</w:t>
      </w:r>
      <w:r>
        <w:rPr>
          <w:rFonts w:ascii="Times New Roman" w:hAnsi="Times New Roman"/>
          <w:color w:val="000000"/>
          <w:sz w:val="20"/>
        </w:rPr>
        <w:t xml:space="preserve"> </w:t>
      </w:r>
      <w:r>
        <w:rPr>
          <w:rFonts w:ascii="Arial" w:hAnsi="Arial"/>
          <w:color w:val="000000"/>
          <w:sz w:val="20"/>
        </w:rPr>
        <w:t>troubled accounts, historical experience, and other currently available evidence.</w:t>
      </w:r>
    </w:p>
    <w:p>
      <w:pPr>
        <w:pStyle w:val="TextBody"/>
        <w:bidi w:val="0"/>
        <w:spacing w:before="270" w:after="283"/>
        <w:jc w:val="both"/>
        <w:rPr>
          <w:rFonts w:ascii="Arial" w:hAnsi="Arial"/>
          <w:b/>
          <w:color w:val="000000"/>
          <w:sz w:val="20"/>
        </w:rPr>
      </w:pPr>
      <w:r>
        <w:rPr>
          <w:rFonts w:ascii="Arial" w:hAnsi="Arial"/>
          <w:b/>
          <w:color w:val="000000"/>
          <w:sz w:val="20"/>
        </w:rPr>
        <w:t>Recent Accounting Guidance</w:t>
      </w:r>
    </w:p>
    <w:p>
      <w:pPr>
        <w:pStyle w:val="TextBody"/>
        <w:bidi w:val="0"/>
        <w:spacing w:before="180" w:after="283"/>
        <w:jc w:val="both"/>
        <w:rPr>
          <w:rFonts w:ascii="Arial" w:hAnsi="Arial"/>
          <w:b/>
          <w:i/>
          <w:color w:val="000000"/>
          <w:sz w:val="20"/>
        </w:rPr>
      </w:pPr>
      <w:r>
        <w:rPr>
          <w:rFonts w:ascii="Arial" w:hAnsi="Arial"/>
          <w:b/>
          <w:i/>
          <w:color w:val="000000"/>
          <w:sz w:val="20"/>
        </w:rPr>
        <w:t>Income Taxes – Improvements to Income Tax Disclosures</w:t>
      </w:r>
    </w:p>
    <w:p>
      <w:pPr>
        <w:pStyle w:val="TextBody"/>
        <w:bidi w:val="0"/>
        <w:spacing w:before="180" w:after="283"/>
        <w:jc w:val="both"/>
        <w:rPr>
          <w:rFonts w:ascii="Times New Roman" w:hAnsi="Times New Roman"/>
          <w:sz w:val="20"/>
        </w:rPr>
      </w:pPr>
      <w:r>
        <w:rPr>
          <w:rFonts w:ascii="Arial" w:hAnsi="Arial"/>
          <w:color w:val="000000"/>
          <w:sz w:val="20"/>
        </w:rPr>
        <w:t>In December 2023, the Financial Accounting Standards Board (“FASB”) issued a new standard to improve income tax disclosures. The guidance requires additional disclosure of disaggregated income taxes paid and prescribes standardized categories for the components of the effective tax rate reconciliation. We will adopt the standard on the effective date in our annual reporting for fiscal year 2026. The standard can be applied either prospectively or retrospectively.</w:t>
      </w:r>
      <w:r>
        <w:rPr>
          <w:rFonts w:ascii="Times New Roman" w:hAnsi="Times New Roman"/>
          <w:color w:val="000000"/>
          <w:sz w:val="20"/>
        </w:rPr>
        <w:t xml:space="preserve"> </w:t>
      </w:r>
    </w:p>
    <w:p>
      <w:pPr>
        <w:pStyle w:val="TextBody"/>
        <w:bidi w:val="0"/>
        <w:spacing w:before="270" w:after="283"/>
        <w:jc w:val="left"/>
        <w:rPr>
          <w:rFonts w:ascii="Arial" w:hAnsi="Arial"/>
          <w:b/>
          <w:i/>
          <w:color w:val="000000"/>
          <w:sz w:val="20"/>
        </w:rPr>
      </w:pPr>
      <w:r>
        <w:rPr>
          <w:rFonts w:ascii="Arial" w:hAnsi="Arial"/>
          <w:b/>
          <w:i/>
          <w:color w:val="000000"/>
          <w:sz w:val="20"/>
        </w:rPr>
        <w:t>Income Statement – Disaggregation of Income Statement Expenses</w:t>
      </w:r>
    </w:p>
    <w:p>
      <w:pPr>
        <w:pStyle w:val="TextBody"/>
        <w:bidi w:val="0"/>
        <w:spacing w:before="180" w:after="283"/>
        <w:jc w:val="both"/>
        <w:rPr>
          <w:rFonts w:ascii="Arial" w:hAnsi="Arial"/>
          <w:color w:val="000000"/>
          <w:sz w:val="20"/>
        </w:rPr>
      </w:pPr>
      <w:r>
        <w:rPr>
          <w:rFonts w:ascii="Arial" w:hAnsi="Arial"/>
          <w:color w:val="000000"/>
          <w:sz w:val="20"/>
        </w:rPr>
        <w:t>In November 2024, the FASB issued a new standard to expand disclosures about income statement expenses. The guidance requires disaggregation of certain costs and expenses included in each relevant expense caption on our consolidated income statements in a separate note to the financial statements at each interim and annual reporting period, including amounts of purchases of inventory, employee compensation, depreciation, and intangible asset amortization. The standard will be effective for us beginning with our annual reporting for fiscal year 2028 and interim periods thereafter, with early adoption permitted. We are currently evaluating the impact of this standard on our disclosures.</w:t>
      </w:r>
    </w:p>
    <w:p>
      <w:pPr>
        <w:pStyle w:val="TextBody"/>
        <w:bidi w:val="0"/>
        <w:spacing w:before="270" w:after="283"/>
        <w:jc w:val="center"/>
        <w:rPr>
          <w:rFonts w:ascii="Arial" w:hAnsi="Arial"/>
          <w:color w:val="000000"/>
          <w:sz w:val="20"/>
          <w:u w:val="single"/>
        </w:rPr>
      </w:pPr>
      <w:r>
        <w:rPr>
          <w:rFonts w:ascii="Arial" w:hAnsi="Arial"/>
          <w:color w:val="000000"/>
          <w:sz w:val="20"/>
          <w:u w:val="single"/>
        </w:rPr>
        <w:t>NOTE 2 — EARNINGS PER SHARE</w:t>
      </w:r>
    </w:p>
    <w:p>
      <w:pPr>
        <w:pStyle w:val="TextBody"/>
        <w:bidi w:val="0"/>
        <w:spacing w:before="180" w:after="283"/>
        <w:jc w:val="both"/>
        <w:rPr>
          <w:rFonts w:ascii="Times New Roman" w:hAnsi="Times New Roman"/>
          <w:sz w:val="20"/>
        </w:rPr>
      </w:pPr>
      <w:r>
        <w:rPr>
          <w:rFonts w:ascii="Arial" w:hAnsi="Arial"/>
          <w:color w:val="000000"/>
          <w:sz w:val="20"/>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10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The components of basic and diluted EPS were as follows:</w:t>
      </w:r>
      <w:r>
        <w:rPr>
          <w:rFonts w:ascii="Times New Roman" w:hAnsi="Times New Roman"/>
          <w:color w:val="000000"/>
          <w:sz w:val="20"/>
        </w:rPr>
        <w:t xml:space="preserve"> </w:t>
      </w:r>
    </w:p>
    <w:p>
      <w:pPr>
        <w:pStyle w:val="TextBody"/>
        <w:bidi w:val="0"/>
        <w:jc w:val="both"/>
        <w:rPr/>
      </w:pPr>
      <w:r>
        <w:rPr/>
        <w:t> </w:t>
      </w:r>
    </w:p>
    <w:tbl>
      <w:tblPr>
        <w:tblW w:w="8204" w:type="dxa"/>
        <w:jc w:val="left"/>
        <w:tblInd w:w="0" w:type="dxa"/>
        <w:tblLayout w:type="fixed"/>
        <w:tblCellMar>
          <w:top w:w="28" w:type="dxa"/>
          <w:left w:w="28" w:type="dxa"/>
          <w:bottom w:w="28" w:type="dxa"/>
          <w:right w:w="28" w:type="dxa"/>
        </w:tblCellMar>
      </w:tblPr>
      <w:tblGrid>
        <w:gridCol w:w="5526"/>
        <w:gridCol w:w="146"/>
        <w:gridCol w:w="211"/>
        <w:gridCol w:w="691"/>
        <w:gridCol w:w="146"/>
        <w:gridCol w:w="146"/>
        <w:gridCol w:w="211"/>
        <w:gridCol w:w="691"/>
        <w:gridCol w:w="436"/>
      </w:tblGrid>
      <w:tr>
        <w:trPr/>
        <w:tc>
          <w:tcPr>
            <w:tcW w:w="5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5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 share amounts)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2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52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 available for common shareholders (A)</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27,747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24,667</w:t>
            </w:r>
          </w:p>
        </w:tc>
        <w:tc>
          <w:tcPr>
            <w:tcW w:w="43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52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Weighted average outstanding shares of common stock (B)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7,433</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52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Dilutive effect of stock-based awards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43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52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and common stock equivalents (C)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7,466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7,470</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52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Earnings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52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Basic (A/B)</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52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Diluted (A/C)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Anti-dilutive stock-based awards excluded from the calculations of diluted EPS were immaterial during the periods presented.</w:t>
      </w:r>
    </w:p>
    <w:p>
      <w:pPr>
        <w:pStyle w:val="TextBody"/>
        <w:bidi w:val="0"/>
        <w:spacing w:before="270" w:after="283"/>
        <w:jc w:val="center"/>
        <w:rPr>
          <w:rFonts w:ascii="Arial" w:hAnsi="Arial"/>
          <w:color w:val="000000"/>
          <w:sz w:val="20"/>
          <w:u w:val="single"/>
        </w:rPr>
      </w:pPr>
      <w:r>
        <w:rPr>
          <w:rFonts w:ascii="Arial" w:hAnsi="Arial"/>
          <w:color w:val="000000"/>
          <w:sz w:val="20"/>
          <w:u w:val="single"/>
        </w:rPr>
        <w:t>NOTE 3 — OTHER INCOME (EXPENSE), NET</w:t>
      </w:r>
    </w:p>
    <w:p>
      <w:pPr>
        <w:pStyle w:val="TextBody"/>
        <w:bidi w:val="0"/>
        <w:spacing w:before="180" w:after="283"/>
        <w:jc w:val="both"/>
        <w:rPr>
          <w:rFonts w:ascii="Arial" w:hAnsi="Arial"/>
          <w:color w:val="000000"/>
          <w:sz w:val="20"/>
        </w:rPr>
      </w:pPr>
      <w:r>
        <w:rPr>
          <w:rFonts w:ascii="Arial" w:hAnsi="Arial"/>
          <w:color w:val="000000"/>
          <w:sz w:val="20"/>
        </w:rPr>
        <w:t>The components of other income (expense), net were as follows:</w:t>
      </w:r>
    </w:p>
    <w:p>
      <w:pPr>
        <w:pStyle w:val="TextBody"/>
        <w:bidi w:val="0"/>
        <w:jc w:val="both"/>
        <w:rPr/>
      </w:pPr>
      <w:r>
        <w:rPr/>
        <w:t> </w:t>
      </w:r>
    </w:p>
    <w:tbl>
      <w:tblPr>
        <w:tblW w:w="7869" w:type="dxa"/>
        <w:jc w:val="left"/>
        <w:tblInd w:w="0" w:type="dxa"/>
        <w:tblLayout w:type="fixed"/>
        <w:tblCellMar>
          <w:top w:w="28" w:type="dxa"/>
          <w:left w:w="28" w:type="dxa"/>
          <w:bottom w:w="28" w:type="dxa"/>
          <w:right w:w="28" w:type="dxa"/>
        </w:tblCellMar>
      </w:tblPr>
      <w:tblGrid>
        <w:gridCol w:w="5181"/>
        <w:gridCol w:w="146"/>
        <w:gridCol w:w="211"/>
        <w:gridCol w:w="646"/>
        <w:gridCol w:w="166"/>
        <w:gridCol w:w="146"/>
        <w:gridCol w:w="211"/>
        <w:gridCol w:w="481"/>
        <w:gridCol w:w="681"/>
      </w:tblGrid>
      <w:tr>
        <w:trPr/>
        <w:tc>
          <w:tcPr>
            <w:tcW w:w="5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1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1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and dividends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976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expense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(698</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(582</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recognized gains (losses) on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gains (losses) on derivatives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1,579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gains (losses) on foreign currency remeasurements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net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(4,923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1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(3,660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For the three months ended September 30, 2025 and 2024, other income (expense), net included $4.1</w:t>
      </w:r>
      <w:r>
        <w:rPr>
          <w:rFonts w:ascii="Times New Roman" w:hAnsi="Times New Roman"/>
          <w:color w:val="000000"/>
          <w:sz w:val="20"/>
        </w:rPr>
        <w:t xml:space="preserve"> </w:t>
      </w:r>
      <w:r>
        <w:rPr>
          <w:rFonts w:ascii="Arial" w:hAnsi="Arial"/>
          <w:color w:val="000000"/>
          <w:sz w:val="20"/>
        </w:rPr>
        <w:t>billion and $688</w:t>
      </w:r>
      <w:r>
        <w:rPr>
          <w:rFonts w:ascii="Times New Roman" w:hAnsi="Times New Roman"/>
          <w:color w:val="000000"/>
          <w:sz w:val="20"/>
        </w:rPr>
        <w:t xml:space="preserve"> </w:t>
      </w:r>
      <w:r>
        <w:rPr>
          <w:rFonts w:ascii="Arial" w:hAnsi="Arial"/>
          <w:color w:val="000000"/>
          <w:sz w:val="20"/>
        </w:rPr>
        <w:t>million, respectively, of net losses from investments in OpenAI, primarily net recognized losses on our equity method investment reflected in other, net</w:t>
      </w:r>
      <w:r>
        <w:rPr>
          <w:rFonts w:ascii="Arial" w:hAnsi="Arial"/>
          <w:i/>
          <w:color w:val="000000"/>
          <w:sz w:val="20"/>
        </w:rPr>
        <w:t>.</w:t>
      </w:r>
    </w:p>
    <w:p>
      <w:pPr>
        <w:pStyle w:val="TextBody"/>
        <w:bidi w:val="0"/>
        <w:spacing w:before="270" w:after="283"/>
        <w:jc w:val="both"/>
        <w:rPr>
          <w:rFonts w:ascii="Times New Roman" w:hAnsi="Times New Roman"/>
          <w:sz w:val="20"/>
        </w:rPr>
      </w:pPr>
      <w:r>
        <w:rPr>
          <w:rFonts w:ascii="Arial" w:hAnsi="Arial"/>
          <w:b/>
          <w:color w:val="000000"/>
          <w:sz w:val="20"/>
        </w:rPr>
        <w:t>Net Recognized Gains (Losses) on Investments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Net recognized gains (losses) on debt investments were as follows:</w:t>
      </w:r>
    </w:p>
    <w:p>
      <w:pPr>
        <w:pStyle w:val="TextBody"/>
        <w:bidi w:val="0"/>
        <w:jc w:val="both"/>
        <w:rPr/>
      </w:pPr>
      <w:r>
        <w:rPr/>
        <w:t> </w:t>
      </w:r>
    </w:p>
    <w:tbl>
      <w:tblPr>
        <w:tblW w:w="7689" w:type="dxa"/>
        <w:jc w:val="left"/>
        <w:tblInd w:w="0" w:type="dxa"/>
        <w:tblLayout w:type="fixed"/>
        <w:tblCellMar>
          <w:top w:w="28" w:type="dxa"/>
          <w:left w:w="28" w:type="dxa"/>
          <w:bottom w:w="28" w:type="dxa"/>
          <w:right w:w="28" w:type="dxa"/>
        </w:tblCellMar>
      </w:tblPr>
      <w:tblGrid>
        <w:gridCol w:w="5376"/>
        <w:gridCol w:w="146"/>
        <w:gridCol w:w="211"/>
        <w:gridCol w:w="376"/>
        <w:gridCol w:w="166"/>
        <w:gridCol w:w="146"/>
        <w:gridCol w:w="211"/>
        <w:gridCol w:w="376"/>
        <w:gridCol w:w="681"/>
      </w:tblGrid>
      <w:tr>
        <w:trPr/>
        <w:tc>
          <w:tcPr>
            <w:tcW w:w="5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3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8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3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Realized gains from sales of available-for-sale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3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Realized losses from sales of available-for-sale securities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3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Impairments and allowance for credit losses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10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37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Net recognized gains (losses) on equity investments were as follows:</w:t>
      </w:r>
    </w:p>
    <w:p>
      <w:pPr>
        <w:pStyle w:val="TextBody"/>
        <w:bidi w:val="0"/>
        <w:jc w:val="left"/>
        <w:rPr/>
      </w:pPr>
      <w:r>
        <w:rPr/>
        <w:t> </w:t>
      </w:r>
    </w:p>
    <w:tbl>
      <w:tblPr>
        <w:tblW w:w="7524" w:type="dxa"/>
        <w:jc w:val="left"/>
        <w:tblInd w:w="0" w:type="dxa"/>
        <w:tblLayout w:type="fixed"/>
        <w:tblCellMar>
          <w:top w:w="28" w:type="dxa"/>
          <w:left w:w="28" w:type="dxa"/>
          <w:bottom w:w="28" w:type="dxa"/>
          <w:right w:w="28" w:type="dxa"/>
        </w:tblCellMar>
      </w:tblPr>
      <w:tblGrid>
        <w:gridCol w:w="5061"/>
        <w:gridCol w:w="146"/>
        <w:gridCol w:w="211"/>
        <w:gridCol w:w="481"/>
        <w:gridCol w:w="166"/>
        <w:gridCol w:w="146"/>
        <w:gridCol w:w="211"/>
        <w:gridCol w:w="421"/>
        <w:gridCol w:w="681"/>
      </w:tblGrid>
      <w:tr>
        <w:trPr/>
        <w:tc>
          <w:tcPr>
            <w:tcW w:w="5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0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0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realized gains on investments sold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6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unrealized gains (losses) on investments still held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Impairments of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89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89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06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11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NOTE 4 — INVESTMENTS</w:t>
      </w:r>
    </w:p>
    <w:p>
      <w:pPr>
        <w:pStyle w:val="TextBody"/>
        <w:bidi w:val="0"/>
        <w:spacing w:before="180" w:after="283"/>
        <w:jc w:val="both"/>
        <w:rPr>
          <w:rFonts w:ascii="Arial" w:hAnsi="Arial"/>
          <w:b/>
          <w:color w:val="000000"/>
          <w:sz w:val="20"/>
        </w:rPr>
      </w:pPr>
      <w:r>
        <w:rPr>
          <w:rFonts w:ascii="Arial" w:hAnsi="Arial"/>
          <w:b/>
          <w:color w:val="000000"/>
          <w:sz w:val="20"/>
        </w:rPr>
        <w:t>Investment Components</w:t>
      </w:r>
    </w:p>
    <w:p>
      <w:pPr>
        <w:pStyle w:val="TextBody"/>
        <w:bidi w:val="0"/>
        <w:spacing w:before="180" w:after="283"/>
        <w:jc w:val="both"/>
        <w:rPr>
          <w:rFonts w:ascii="Arial" w:hAnsi="Arial"/>
          <w:color w:val="000000"/>
          <w:sz w:val="20"/>
        </w:rPr>
      </w:pPr>
      <w:r>
        <w:rPr>
          <w:rFonts w:ascii="Arial" w:hAnsi="Arial"/>
          <w:color w:val="000000"/>
          <w:sz w:val="20"/>
        </w:rPr>
        <w:t>The components of investments were as follows:</w:t>
      </w:r>
    </w:p>
    <w:p>
      <w:pPr>
        <w:pStyle w:val="TextBody"/>
        <w:bidi w:val="0"/>
        <w:jc w:val="both"/>
        <w:rPr/>
      </w:pPr>
      <w:r>
        <w:rPr/>
        <w:t> </w:t>
      </w:r>
    </w:p>
    <w:tbl>
      <w:tblPr>
        <w:tblW w:w="11676" w:type="dxa"/>
        <w:jc w:val="left"/>
        <w:tblInd w:w="0" w:type="dxa"/>
        <w:tblLayout w:type="fixed"/>
        <w:tblCellMar>
          <w:top w:w="28" w:type="dxa"/>
          <w:left w:w="28" w:type="dxa"/>
          <w:bottom w:w="28" w:type="dxa"/>
          <w:right w:w="28" w:type="dxa"/>
        </w:tblCellMar>
      </w:tblPr>
      <w:tblGrid>
        <w:gridCol w:w="1676"/>
        <w:gridCol w:w="146"/>
        <w:gridCol w:w="586"/>
        <w:gridCol w:w="146"/>
        <w:gridCol w:w="211"/>
        <w:gridCol w:w="691"/>
        <w:gridCol w:w="146"/>
        <w:gridCol w:w="146"/>
        <w:gridCol w:w="295"/>
        <w:gridCol w:w="591"/>
        <w:gridCol w:w="146"/>
        <w:gridCol w:w="146"/>
        <w:gridCol w:w="218"/>
        <w:gridCol w:w="668"/>
        <w:gridCol w:w="166"/>
        <w:gridCol w:w="146"/>
        <w:gridCol w:w="211"/>
        <w:gridCol w:w="796"/>
        <w:gridCol w:w="146"/>
        <w:gridCol w:w="146"/>
        <w:gridCol w:w="228"/>
        <w:gridCol w:w="748"/>
        <w:gridCol w:w="146"/>
        <w:gridCol w:w="146"/>
        <w:gridCol w:w="235"/>
        <w:gridCol w:w="771"/>
        <w:gridCol w:w="146"/>
        <w:gridCol w:w="146"/>
        <w:gridCol w:w="235"/>
        <w:gridCol w:w="771"/>
        <w:gridCol w:w="681"/>
      </w:tblGrid>
      <w:tr>
        <w:trPr/>
        <w:tc>
          <w:tcPr>
            <w:tcW w:w="1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6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Fair</w:t>
            </w:r>
          </w:p>
          <w:p>
            <w:pPr>
              <w:pStyle w:val="TableContents"/>
              <w:bidi w:val="0"/>
              <w:jc w:val="center"/>
              <w:rPr>
                <w:rFonts w:ascii="Arial" w:hAnsi="Arial"/>
                <w:b/>
                <w:color w:val="000000"/>
                <w:sz w:val="15"/>
              </w:rPr>
            </w:pPr>
            <w:r>
              <w:rPr>
                <w:rFonts w:ascii="Arial" w:hAnsi="Arial"/>
                <w:b/>
                <w:color w:val="000000"/>
                <w:sz w:val="15"/>
              </w:rPr>
              <w:t>Value</w:t>
            </w:r>
          </w:p>
          <w:p>
            <w:pPr>
              <w:pStyle w:val="TableContents"/>
              <w:bidi w:val="0"/>
              <w:spacing w:before="0" w:after="283"/>
              <w:jc w:val="center"/>
              <w:rPr>
                <w:rFonts w:ascii="Arial" w:hAnsi="Arial"/>
                <w:b/>
                <w:color w:val="000000"/>
                <w:sz w:val="15"/>
              </w:rPr>
            </w:pPr>
            <w:r>
              <w:rPr>
                <w:rFonts w:ascii="Arial" w:hAnsi="Arial"/>
                <w:b/>
                <w:color w:val="000000"/>
                <w:sz w:val="15"/>
              </w:rPr>
              <w:t>Level</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Adjusted</w:t>
            </w:r>
          </w:p>
          <w:p>
            <w:pPr>
              <w:pStyle w:val="TableContents"/>
              <w:bidi w:val="0"/>
              <w:jc w:val="right"/>
              <w:rPr>
                <w:rFonts w:ascii="Arial" w:hAnsi="Arial"/>
                <w:b/>
                <w:color w:val="000000"/>
                <w:sz w:val="15"/>
              </w:rPr>
            </w:pPr>
            <w:r>
              <w:rPr>
                <w:rFonts w:ascii="Arial" w:hAnsi="Arial"/>
                <w:b/>
                <w:color w:val="000000"/>
                <w:sz w:val="15"/>
              </w:rPr>
              <w:t>Cost</w:t>
            </w:r>
          </w:p>
          <w:p>
            <w:pPr>
              <w:pStyle w:val="TableContents"/>
              <w:bidi w:val="0"/>
              <w:spacing w:before="0" w:after="283"/>
              <w:jc w:val="right"/>
              <w:rPr>
                <w:rFonts w:ascii="Arial" w:hAnsi="Arial"/>
                <w:b/>
                <w:color w:val="000000"/>
                <w:sz w:val="15"/>
              </w:rPr>
            </w:pPr>
            <w:r>
              <w:rPr>
                <w:rFonts w:ascii="Arial" w:hAnsi="Arial"/>
                <w:b/>
                <w:color w:val="000000"/>
                <w:sz w:val="15"/>
              </w:rPr>
              <w:t>Basis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Gains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Losses</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Recorded</w:t>
            </w:r>
          </w:p>
          <w:p>
            <w:pPr>
              <w:pStyle w:val="TableContents"/>
              <w:bidi w:val="0"/>
              <w:spacing w:before="0" w:after="283"/>
              <w:jc w:val="right"/>
              <w:rPr>
                <w:rFonts w:ascii="Arial" w:hAnsi="Arial"/>
                <w:b/>
                <w:color w:val="000000"/>
                <w:sz w:val="15"/>
              </w:rPr>
            </w:pPr>
            <w:r>
              <w:rPr>
                <w:rFonts w:ascii="Arial" w:hAnsi="Arial"/>
                <w:b/>
                <w:color w:val="000000"/>
                <w:sz w:val="15"/>
              </w:rPr>
              <w:t>Basis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Cash</w:t>
            </w:r>
          </w:p>
          <w:p>
            <w:pPr>
              <w:pStyle w:val="TableContents"/>
              <w:bidi w:val="0"/>
              <w:jc w:val="right"/>
              <w:rPr>
                <w:color w:val="000000"/>
              </w:rPr>
            </w:pPr>
            <w:r>
              <w:rPr>
                <w:color w:val="000000"/>
              </w:rPr>
              <w:t> </w:t>
            </w:r>
            <w:r>
              <w:rPr>
                <w:rFonts w:ascii="Arial" w:hAnsi="Arial"/>
                <w:b/>
                <w:color w:val="000000"/>
                <w:sz w:val="15"/>
              </w:rPr>
              <w:t>and Cash</w:t>
            </w:r>
          </w:p>
          <w:p>
            <w:pPr>
              <w:pStyle w:val="TableContents"/>
              <w:bidi w:val="0"/>
              <w:spacing w:before="0" w:after="283"/>
              <w:jc w:val="right"/>
              <w:rPr>
                <w:rFonts w:ascii="Arial" w:hAnsi="Arial"/>
                <w:b/>
                <w:color w:val="000000"/>
                <w:sz w:val="15"/>
              </w:rPr>
            </w:pPr>
            <w:r>
              <w:rPr>
                <w:rFonts w:ascii="Arial" w:hAnsi="Arial"/>
                <w:b/>
                <w:color w:val="000000"/>
                <w:sz w:val="15"/>
              </w:rPr>
              <w:t>Equivalents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Short-term</w:t>
            </w:r>
          </w:p>
          <w:p>
            <w:pPr>
              <w:pStyle w:val="TableContents"/>
              <w:bidi w:val="0"/>
              <w:spacing w:before="0" w:after="283"/>
              <w:jc w:val="right"/>
              <w:rPr>
                <w:rFonts w:ascii="Arial" w:hAnsi="Arial"/>
                <w:b/>
                <w:color w:val="000000"/>
                <w:sz w:val="15"/>
              </w:rPr>
            </w:pPr>
            <w:r>
              <w:rPr>
                <w:rFonts w:ascii="Arial" w:hAnsi="Arial"/>
                <w:b/>
                <w:color w:val="000000"/>
                <w:sz w:val="15"/>
              </w:rPr>
              <w:t>Investments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Equity and Other</w:t>
            </w:r>
          </w:p>
          <w:p>
            <w:pPr>
              <w:pStyle w:val="TableContents"/>
              <w:bidi w:val="0"/>
              <w:spacing w:before="0" w:after="283"/>
              <w:jc w:val="right"/>
              <w:rPr>
                <w:rFonts w:ascii="Arial" w:hAnsi="Arial"/>
                <w:b/>
                <w:color w:val="000000"/>
                <w:sz w:val="15"/>
              </w:rPr>
            </w:pPr>
            <w:r>
              <w:rPr>
                <w:rFonts w:ascii="Arial" w:hAnsi="Arial"/>
                <w:b/>
                <w:color w:val="000000"/>
                <w:sz w:val="15"/>
              </w:rPr>
              <w:t>Investments</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58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5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6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9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4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8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September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Changes in Fair Value Recorded in Other Comprehensive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Commercial paper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9,044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9,044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8,597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Certificates of deposit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4,478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4,478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government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54,749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(1,238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53,630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1,143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52,487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agency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5,584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5,584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3,484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government bonds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Mortgage- and asset-backed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3,584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3,584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Corporate notes and bonds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12,246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12,350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12,350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Corporate notes and bonds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2,055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2,510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Municipal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Municipal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58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59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68"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9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48"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681" w:type="dxa"/>
            <w:tcBorders>
              <w:top w:val="single" w:sz="4" w:space="0" w:color="000000"/>
            </w:tcBorders>
            <w:tcMar>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debt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92,401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895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91,940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16,274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73,156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2,510</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59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668"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9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48"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81" w:type="dxa"/>
            <w:tcBorders>
              <w:top w:val="single" w:sz="12" w:space="0" w:color="000000"/>
            </w:tcBorders>
            <w:tcMar>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Changes in Fair Value Recorded in Net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4,111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1,209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2,902</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investments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Other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4,871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812" w:type="dxa"/>
            <w:gridSpan w:val="1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equity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8,982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1,209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7,773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96"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48"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81" w:type="dxa"/>
            <w:tcBorders>
              <w:top w:val="single" w:sz="12" w:space="0" w:color="000000"/>
            </w:tcBorders>
            <w:tcMar>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11,366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11,366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Derivatives, net</w:t>
            </w:r>
            <w:r>
              <w:rPr>
                <w:rFonts w:ascii="Times New Roman" w:hAnsi="Times New Roman"/>
                <w:color w:val="000000"/>
                <w:sz w:val="20"/>
              </w:rPr>
              <w:t> </w:t>
            </w:r>
            <w:r>
              <w:rPr>
                <w:rFonts w:ascii="Arial" w:hAnsi="Arial"/>
                <w:color w:val="000000"/>
                <w:sz w:val="13"/>
              </w:rPr>
              <w:t>(a)</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1,182</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812" w:type="dxa"/>
            <w:gridSpan w:val="1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113,477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28,849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73,163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11,465</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12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both"/>
        <w:rPr/>
      </w:pPr>
      <w:r>
        <w:rPr/>
        <w:t> </w:t>
      </w:r>
    </w:p>
    <w:tbl>
      <w:tblPr>
        <w:tblW w:w="11676" w:type="dxa"/>
        <w:jc w:val="left"/>
        <w:tblInd w:w="0" w:type="dxa"/>
        <w:tblLayout w:type="fixed"/>
        <w:tblCellMar>
          <w:top w:w="28" w:type="dxa"/>
          <w:left w:w="28" w:type="dxa"/>
          <w:bottom w:w="28" w:type="dxa"/>
          <w:right w:w="28" w:type="dxa"/>
        </w:tblCellMar>
      </w:tblPr>
      <w:tblGrid>
        <w:gridCol w:w="1676"/>
        <w:gridCol w:w="146"/>
        <w:gridCol w:w="586"/>
        <w:gridCol w:w="146"/>
        <w:gridCol w:w="211"/>
        <w:gridCol w:w="691"/>
        <w:gridCol w:w="146"/>
        <w:gridCol w:w="146"/>
        <w:gridCol w:w="295"/>
        <w:gridCol w:w="591"/>
        <w:gridCol w:w="146"/>
        <w:gridCol w:w="146"/>
        <w:gridCol w:w="218"/>
        <w:gridCol w:w="668"/>
        <w:gridCol w:w="166"/>
        <w:gridCol w:w="146"/>
        <w:gridCol w:w="211"/>
        <w:gridCol w:w="796"/>
        <w:gridCol w:w="146"/>
        <w:gridCol w:w="146"/>
        <w:gridCol w:w="228"/>
        <w:gridCol w:w="748"/>
        <w:gridCol w:w="146"/>
        <w:gridCol w:w="146"/>
        <w:gridCol w:w="235"/>
        <w:gridCol w:w="771"/>
        <w:gridCol w:w="146"/>
        <w:gridCol w:w="146"/>
        <w:gridCol w:w="235"/>
        <w:gridCol w:w="771"/>
        <w:gridCol w:w="681"/>
      </w:tblGrid>
      <w:tr>
        <w:trPr/>
        <w:tc>
          <w:tcPr>
            <w:tcW w:w="1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6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Fair</w:t>
            </w:r>
          </w:p>
          <w:p>
            <w:pPr>
              <w:pStyle w:val="TableContents"/>
              <w:bidi w:val="0"/>
              <w:jc w:val="center"/>
              <w:rPr>
                <w:rFonts w:ascii="Arial" w:hAnsi="Arial"/>
                <w:b/>
                <w:color w:val="000000"/>
                <w:sz w:val="15"/>
              </w:rPr>
            </w:pPr>
            <w:r>
              <w:rPr>
                <w:rFonts w:ascii="Arial" w:hAnsi="Arial"/>
                <w:b/>
                <w:color w:val="000000"/>
                <w:sz w:val="15"/>
              </w:rPr>
              <w:t>Value</w:t>
            </w:r>
          </w:p>
          <w:p>
            <w:pPr>
              <w:pStyle w:val="TableContents"/>
              <w:bidi w:val="0"/>
              <w:spacing w:before="0" w:after="283"/>
              <w:jc w:val="center"/>
              <w:rPr>
                <w:rFonts w:ascii="Arial" w:hAnsi="Arial"/>
                <w:b/>
                <w:color w:val="000000"/>
                <w:sz w:val="15"/>
              </w:rPr>
            </w:pPr>
            <w:r>
              <w:rPr>
                <w:rFonts w:ascii="Arial" w:hAnsi="Arial"/>
                <w:b/>
                <w:color w:val="000000"/>
                <w:sz w:val="15"/>
              </w:rPr>
              <w:t>Level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Adjusted</w:t>
            </w:r>
          </w:p>
          <w:p>
            <w:pPr>
              <w:pStyle w:val="TableContents"/>
              <w:bidi w:val="0"/>
              <w:jc w:val="right"/>
              <w:rPr>
                <w:rFonts w:ascii="Arial" w:hAnsi="Arial"/>
                <w:b/>
                <w:color w:val="000000"/>
                <w:sz w:val="15"/>
              </w:rPr>
            </w:pPr>
            <w:r>
              <w:rPr>
                <w:rFonts w:ascii="Arial" w:hAnsi="Arial"/>
                <w:b/>
                <w:color w:val="000000"/>
                <w:sz w:val="15"/>
              </w:rPr>
              <w:t>Cost</w:t>
            </w:r>
          </w:p>
          <w:p>
            <w:pPr>
              <w:pStyle w:val="TableContents"/>
              <w:bidi w:val="0"/>
              <w:spacing w:before="0" w:after="283"/>
              <w:jc w:val="right"/>
              <w:rPr>
                <w:rFonts w:ascii="Arial" w:hAnsi="Arial"/>
                <w:b/>
                <w:color w:val="000000"/>
                <w:sz w:val="15"/>
              </w:rPr>
            </w:pPr>
            <w:r>
              <w:rPr>
                <w:rFonts w:ascii="Arial" w:hAnsi="Arial"/>
                <w:b/>
                <w:color w:val="000000"/>
                <w:sz w:val="15"/>
              </w:rPr>
              <w:t>Basis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Gains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Losses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Recorded</w:t>
            </w:r>
          </w:p>
          <w:p>
            <w:pPr>
              <w:pStyle w:val="TableContents"/>
              <w:bidi w:val="0"/>
              <w:spacing w:before="0" w:after="283"/>
              <w:jc w:val="right"/>
              <w:rPr>
                <w:rFonts w:ascii="Arial" w:hAnsi="Arial"/>
                <w:b/>
                <w:color w:val="000000"/>
                <w:sz w:val="15"/>
              </w:rPr>
            </w:pPr>
            <w:r>
              <w:rPr>
                <w:rFonts w:ascii="Arial" w:hAnsi="Arial"/>
                <w:b/>
                <w:color w:val="000000"/>
                <w:sz w:val="15"/>
              </w:rPr>
              <w:t>Basis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Cash</w:t>
            </w:r>
          </w:p>
          <w:p>
            <w:pPr>
              <w:pStyle w:val="TableContents"/>
              <w:bidi w:val="0"/>
              <w:jc w:val="right"/>
              <w:rPr>
                <w:rFonts w:ascii="Arial" w:hAnsi="Arial"/>
                <w:b/>
                <w:color w:val="000000"/>
                <w:sz w:val="15"/>
              </w:rPr>
            </w:pPr>
            <w:r>
              <w:rPr>
                <w:rFonts w:ascii="Arial" w:hAnsi="Arial"/>
                <w:b/>
                <w:color w:val="000000"/>
                <w:sz w:val="15"/>
              </w:rPr>
              <w:t>and Cash</w:t>
            </w:r>
          </w:p>
          <w:p>
            <w:pPr>
              <w:pStyle w:val="TableContents"/>
              <w:bidi w:val="0"/>
              <w:spacing w:before="0" w:after="283"/>
              <w:jc w:val="right"/>
              <w:rPr>
                <w:rFonts w:ascii="Arial" w:hAnsi="Arial"/>
                <w:b/>
                <w:color w:val="000000"/>
                <w:sz w:val="15"/>
              </w:rPr>
            </w:pPr>
            <w:r>
              <w:rPr>
                <w:rFonts w:ascii="Arial" w:hAnsi="Arial"/>
                <w:b/>
                <w:color w:val="000000"/>
                <w:sz w:val="15"/>
              </w:rPr>
              <w:t>Equivalents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Short-term</w:t>
            </w:r>
          </w:p>
          <w:p>
            <w:pPr>
              <w:pStyle w:val="TableContents"/>
              <w:bidi w:val="0"/>
              <w:spacing w:before="0" w:after="283"/>
              <w:jc w:val="right"/>
              <w:rPr>
                <w:rFonts w:ascii="Arial" w:hAnsi="Arial"/>
                <w:b/>
                <w:color w:val="000000"/>
                <w:sz w:val="15"/>
              </w:rPr>
            </w:pPr>
            <w:r>
              <w:rPr>
                <w:rFonts w:ascii="Arial" w:hAnsi="Arial"/>
                <w:b/>
                <w:color w:val="000000"/>
                <w:sz w:val="15"/>
              </w:rPr>
              <w:t>Investments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Equity and Other</w:t>
            </w:r>
          </w:p>
          <w:p>
            <w:pPr>
              <w:pStyle w:val="TableContents"/>
              <w:bidi w:val="0"/>
              <w:spacing w:before="0" w:after="283"/>
              <w:jc w:val="right"/>
              <w:rPr>
                <w:rFonts w:ascii="Arial" w:hAnsi="Arial"/>
                <w:b/>
                <w:color w:val="000000"/>
                <w:sz w:val="15"/>
              </w:rPr>
            </w:pPr>
            <w:r>
              <w:rPr>
                <w:rFonts w:ascii="Arial" w:hAnsi="Arial"/>
                <w:b/>
                <w:color w:val="000000"/>
                <w:sz w:val="15"/>
              </w:rPr>
              <w:t>Investments</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Changes in Fair Value Recorded in Other Comprehensive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Commercial paper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10,880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10,880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9,939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Certificates of deposit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government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52,878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51,487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4,742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46,745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agency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government bonds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Mortgage- and asset-backed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Corporate notes and bonds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10,763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10,786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10,786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Corporate notes and bonds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Municipal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Municipal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debt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85,589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84,259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17,486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64,313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2,460</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Changes in Fair Value Recorded in Net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3,532</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investments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Other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9,141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equity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13,718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12,673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Derivatives, net</w:t>
            </w:r>
            <w:r>
              <w:rPr>
                <w:rFonts w:ascii="Times New Roman" w:hAnsi="Times New Roman"/>
                <w:color w:val="000000"/>
                <w:sz w:val="20"/>
              </w:rPr>
              <w:t> </w:t>
            </w:r>
            <w:r>
              <w:rPr>
                <w:rFonts w:ascii="Arial" w:hAnsi="Arial"/>
                <w:color w:val="000000"/>
                <w:sz w:val="13"/>
              </w:rPr>
              <w:t>(a)</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109,970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64,323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15,405</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i/>
          <w:color w:val="000000"/>
          <w:sz w:val="20"/>
        </w:rPr>
      </w:pPr>
      <w:r>
        <w:rPr>
          <w:rFonts w:ascii="Arial" w:hAnsi="Arial"/>
          <w:i/>
          <w:color w:val="000000"/>
          <w:sz w:val="20"/>
        </w:rPr>
        <w:t>Refer to Note 5 – Derivatives for further information on the fair value of our derivative instruments.</w:t>
      </w:r>
    </w:p>
    <w:p>
      <w:pPr>
        <w:pStyle w:val="TextBody"/>
        <w:bidi w:val="0"/>
        <w:spacing w:before="180" w:after="283"/>
        <w:jc w:val="both"/>
        <w:rPr>
          <w:rFonts w:ascii="Times New Roman" w:hAnsi="Times New Roman"/>
          <w:sz w:val="20"/>
        </w:rPr>
      </w:pPr>
      <w:r>
        <w:rPr>
          <w:rFonts w:ascii="Arial" w:hAnsi="Arial"/>
          <w:color w:val="000000"/>
          <w:sz w:val="20"/>
        </w:rPr>
        <w:t>Equity investments presented as “Other” in the tables above include investments without readily determinable fair values measured at cost with adjustments for observable changes in price or impairments, measured using the equity method, or measured at fair value using net asset value as a practical expedient which are not categorized in the fair value hierarchy. As of both September 30, 2025 and June 30, 2025, equity investments without readily determinable fair values measured at cost with adjustments for observable changes in price or impairments were $2.9</w:t>
      </w:r>
      <w:r>
        <w:rPr>
          <w:rFonts w:ascii="Times New Roman" w:hAnsi="Times New Roman"/>
          <w:color w:val="000000"/>
          <w:sz w:val="20"/>
        </w:rPr>
        <w:t xml:space="preserve"> </w:t>
      </w:r>
      <w:r>
        <w:rPr>
          <w:rFonts w:ascii="Arial" w:hAnsi="Arial"/>
          <w:color w:val="000000"/>
          <w:sz w:val="20"/>
        </w:rPr>
        <w:t>billion. As of September 30, 2025 and June 30, 2025, equity investments measured using the equity method were $1.8</w:t>
      </w:r>
      <w:r>
        <w:rPr>
          <w:rFonts w:ascii="Times New Roman" w:hAnsi="Times New Roman"/>
          <w:color w:val="000000"/>
          <w:sz w:val="20"/>
        </w:rPr>
        <w:t xml:space="preserve"> </w:t>
      </w:r>
      <w:r>
        <w:rPr>
          <w:rFonts w:ascii="Arial" w:hAnsi="Arial"/>
          <w:color w:val="000000"/>
          <w:sz w:val="20"/>
        </w:rPr>
        <w:t>billion and $6.0</w:t>
      </w:r>
      <w:r>
        <w:rPr>
          <w:rFonts w:ascii="Times New Roman" w:hAnsi="Times New Roman"/>
          <w:color w:val="000000"/>
          <w:sz w:val="20"/>
        </w:rPr>
        <w:t xml:space="preserve"> </w:t>
      </w:r>
      <w:r>
        <w:rPr>
          <w:rFonts w:ascii="Arial" w:hAnsi="Arial"/>
          <w:color w:val="000000"/>
          <w:sz w:val="20"/>
        </w:rPr>
        <w:t>billion, respectively.</w:t>
      </w:r>
    </w:p>
    <w:p>
      <w:pPr>
        <w:pStyle w:val="TextBody"/>
        <w:bidi w:val="0"/>
        <w:spacing w:before="240" w:after="283"/>
        <w:jc w:val="center"/>
        <w:rPr>
          <w:rFonts w:ascii="Arial" w:hAnsi="Arial"/>
          <w:color w:val="000000"/>
          <w:sz w:val="16"/>
        </w:rPr>
      </w:pPr>
      <w:r>
        <w:rPr>
          <w:rFonts w:ascii="Arial" w:hAnsi="Arial"/>
          <w:color w:val="000000"/>
          <w:sz w:val="16"/>
        </w:rPr>
        <w:t>13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b/>
          <w:color w:val="000000"/>
          <w:sz w:val="20"/>
        </w:rPr>
        <w:t>Unrealized Losses on Debt Investments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Debt investments with continuous unrealized losses for less than 12 months and 12 months or greater and their related fair values were as follows: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17"/>
        <w:gridCol w:w="146"/>
        <w:gridCol w:w="211"/>
        <w:gridCol w:w="567"/>
        <w:gridCol w:w="146"/>
        <w:gridCol w:w="146"/>
        <w:gridCol w:w="211"/>
        <w:gridCol w:w="886"/>
        <w:gridCol w:w="166"/>
        <w:gridCol w:w="146"/>
        <w:gridCol w:w="211"/>
        <w:gridCol w:w="711"/>
        <w:gridCol w:w="146"/>
        <w:gridCol w:w="146"/>
        <w:gridCol w:w="211"/>
        <w:gridCol w:w="886"/>
        <w:gridCol w:w="166"/>
        <w:gridCol w:w="146"/>
        <w:gridCol w:w="211"/>
        <w:gridCol w:w="711"/>
        <w:gridCol w:w="146"/>
        <w:gridCol w:w="146"/>
        <w:gridCol w:w="211"/>
        <w:gridCol w:w="886"/>
        <w:gridCol w:w="636"/>
        <w:gridCol w:w="193"/>
      </w:tblGrid>
      <w:tr>
        <w:trPr/>
        <w:tc>
          <w:tcPr>
            <w:tcW w:w="1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67"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Less than 12 Months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12 Months or Greater</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restart"/>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Unrealized</w:t>
              <w:br/>
              <w:t>Losses</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67"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continue"/>
            <w:tcBorders/>
            <w:tcMar>
              <w:top w:w="0" w:type="dxa"/>
              <w:left w:w="0" w:type="dxa"/>
              <w:bottom w:w="0" w:type="dxa"/>
              <w:right w:w="0" w:type="dxa"/>
            </w:tcMar>
            <w:vAlign w:val="center"/>
          </w:tcPr>
          <w:p>
            <w:pPr>
              <w:pStyle w:val="Normal"/>
              <w:bidi w:val="0"/>
              <w:jc w:val="left"/>
              <w:rPr/>
            </w:pPr>
            <w:r>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67"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continue"/>
            <w:tcBorders/>
            <w:tcMar>
              <w:top w:w="0" w:type="dxa"/>
              <w:left w:w="0" w:type="dxa"/>
              <w:bottom w:w="0" w:type="dxa"/>
              <w:right w:w="0" w:type="dxa"/>
            </w:tcMar>
            <w:vAlign w:val="center"/>
          </w:tcPr>
          <w:p>
            <w:pPr>
              <w:pStyle w:val="Normal"/>
              <w:bidi w:val="0"/>
              <w:jc w:val="left"/>
              <w:rPr/>
            </w:pPr>
            <w:r>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Fair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continue"/>
            <w:tcBorders/>
            <w:tcMar>
              <w:top w:w="0" w:type="dxa"/>
              <w:left w:w="0" w:type="dxa"/>
              <w:bottom w:w="0" w:type="dxa"/>
              <w:right w:w="0" w:type="dxa"/>
            </w:tcMar>
            <w:vAlign w:val="center"/>
          </w:tcPr>
          <w:p>
            <w:pPr>
              <w:pStyle w:val="Normal"/>
              <w:bidi w:val="0"/>
              <w:jc w:val="left"/>
              <w:rPr/>
            </w:pPr>
            <w:r>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September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government and agency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32,625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32,937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(1,238</w:t>
            </w:r>
          </w:p>
        </w:tc>
        <w:tc>
          <w:tcPr>
            <w:tcW w:w="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193" w:type="dxa"/>
            <w:tcBorders/>
            <w:shd w:fill="E5E5E5" w:val="clear"/>
          </w:tcPr>
          <w:p>
            <w:pPr>
              <w:pStyle w:val="TableContents"/>
              <w:bidi w:val="0"/>
              <w:spacing w:before="0" w:after="283"/>
              <w:jc w:val="left"/>
              <w:rPr>
                <w:sz w:val="4"/>
                <w:szCs w:val="4"/>
              </w:rPr>
            </w:pPr>
            <w:r>
              <w:rPr>
                <w:sz w:val="4"/>
                <w:szCs w:val="4"/>
              </w:rPr>
            </w:r>
          </w:p>
        </w:tc>
      </w:tr>
      <w:tr>
        <w:trPr/>
        <w:tc>
          <w:tcPr>
            <w:tcW w:w="1817"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government bonds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6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Mortgage- and asset-backed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193" w:type="dxa"/>
            <w:tcBorders/>
            <w:shd w:fill="E5E5E5" w:val="clear"/>
          </w:tcPr>
          <w:p>
            <w:pPr>
              <w:pStyle w:val="TableContents"/>
              <w:bidi w:val="0"/>
              <w:spacing w:before="0" w:after="283"/>
              <w:jc w:val="left"/>
              <w:rPr>
                <w:sz w:val="4"/>
                <w:szCs w:val="4"/>
              </w:rPr>
            </w:pPr>
            <w:r>
              <w:rPr>
                <w:sz w:val="4"/>
                <w:szCs w:val="4"/>
              </w:rPr>
            </w:r>
          </w:p>
        </w:tc>
      </w:tr>
      <w:tr>
        <w:trPr/>
        <w:tc>
          <w:tcPr>
            <w:tcW w:w="1817"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Corporate notes and bonds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2,718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w:t>
            </w:r>
          </w:p>
        </w:tc>
        <w:tc>
          <w:tcPr>
            <w:tcW w:w="6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Municipal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63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3" w:type="dxa"/>
            <w:tcBorders/>
            <w:shd w:fill="E5E5E5" w:val="clear"/>
          </w:tcPr>
          <w:p>
            <w:pPr>
              <w:pStyle w:val="TableContents"/>
              <w:bidi w:val="0"/>
              <w:spacing w:before="0" w:after="283"/>
              <w:jc w:val="left"/>
              <w:rPr>
                <w:sz w:val="4"/>
                <w:szCs w:val="4"/>
              </w:rPr>
            </w:pPr>
            <w:r>
              <w:rPr>
                <w:sz w:val="4"/>
                <w:szCs w:val="4"/>
              </w:rPr>
            </w:r>
          </w:p>
        </w:tc>
      </w:tr>
      <w:tr>
        <w:trPr/>
        <w:tc>
          <w:tcPr>
            <w:tcW w:w="181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35,879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(1,301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36,521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(1,356</w:t>
            </w:r>
          </w:p>
        </w:tc>
        <w:tc>
          <w:tcPr>
            <w:tcW w:w="6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76"/>
        <w:gridCol w:w="146"/>
        <w:gridCol w:w="211"/>
        <w:gridCol w:w="614"/>
        <w:gridCol w:w="146"/>
        <w:gridCol w:w="146"/>
        <w:gridCol w:w="211"/>
        <w:gridCol w:w="886"/>
        <w:gridCol w:w="166"/>
        <w:gridCol w:w="146"/>
        <w:gridCol w:w="211"/>
        <w:gridCol w:w="708"/>
        <w:gridCol w:w="146"/>
        <w:gridCol w:w="146"/>
        <w:gridCol w:w="211"/>
        <w:gridCol w:w="886"/>
        <w:gridCol w:w="166"/>
        <w:gridCol w:w="146"/>
        <w:gridCol w:w="211"/>
        <w:gridCol w:w="708"/>
        <w:gridCol w:w="146"/>
        <w:gridCol w:w="146"/>
        <w:gridCol w:w="211"/>
        <w:gridCol w:w="886"/>
        <w:gridCol w:w="636"/>
        <w:gridCol w:w="193"/>
      </w:tblGrid>
      <w:tr>
        <w:trPr/>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4"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Less than 12 Months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12 Months or Greater</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restart"/>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Unrealized</w:t>
              <w:br/>
              <w:t>Losses</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4"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continue"/>
            <w:tcBorders/>
            <w:tcMar>
              <w:top w:w="0" w:type="dxa"/>
              <w:left w:w="0" w:type="dxa"/>
              <w:bottom w:w="0" w:type="dxa"/>
              <w:right w:w="0" w:type="dxa"/>
            </w:tcMar>
            <w:vAlign w:val="center"/>
          </w:tcPr>
          <w:p>
            <w:pPr>
              <w:pStyle w:val="Normal"/>
              <w:bidi w:val="0"/>
              <w:jc w:val="left"/>
              <w:rPr/>
            </w:pPr>
            <w:r>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4"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continue"/>
            <w:tcBorders/>
            <w:tcMar>
              <w:top w:w="0" w:type="dxa"/>
              <w:left w:w="0" w:type="dxa"/>
              <w:bottom w:w="0" w:type="dxa"/>
              <w:right w:w="0" w:type="dxa"/>
            </w:tcMar>
            <w:vAlign w:val="center"/>
          </w:tcPr>
          <w:p>
            <w:pPr>
              <w:pStyle w:val="Normal"/>
              <w:bidi w:val="0"/>
              <w:jc w:val="left"/>
              <w:rPr/>
            </w:pPr>
            <w:r>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Fair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continue"/>
            <w:tcBorders/>
            <w:tcMar>
              <w:top w:w="0" w:type="dxa"/>
              <w:left w:w="0" w:type="dxa"/>
              <w:bottom w:w="0" w:type="dxa"/>
              <w:right w:w="0" w:type="dxa"/>
            </w:tcMar>
            <w:vAlign w:val="center"/>
          </w:tcPr>
          <w:p>
            <w:pPr>
              <w:pStyle w:val="Normal"/>
              <w:bidi w:val="0"/>
              <w:jc w:val="left"/>
              <w:rPr/>
            </w:pPr>
            <w:r>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government and agency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34,608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37,177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(1,462</w:t>
            </w:r>
          </w:p>
        </w:tc>
        <w:tc>
          <w:tcPr>
            <w:tcW w:w="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193" w:type="dxa"/>
            <w:tcBorders/>
            <w:shd w:fill="E5E5E5" w:val="clear"/>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government bonds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6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Mortgage- and asset-backed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193" w:type="dxa"/>
            <w:tcBorders/>
            <w:shd w:fill="E5E5E5" w:val="clear"/>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Corporate notes and bonds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6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Municipal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63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shd w:fill="E5E5E5" w:val="clear"/>
          </w:tcPr>
          <w:p>
            <w:pPr>
              <w:pStyle w:val="TableContents"/>
              <w:bidi w:val="0"/>
              <w:spacing w:before="0" w:after="283"/>
              <w:jc w:val="left"/>
              <w:rPr>
                <w:sz w:val="4"/>
                <w:szCs w:val="4"/>
              </w:rPr>
            </w:pPr>
            <w:r>
              <w:rPr>
                <w:sz w:val="4"/>
                <w:szCs w:val="4"/>
              </w:rPr>
            </w:r>
          </w:p>
        </w:tc>
      </w:tr>
      <w:tr>
        <w:trPr/>
        <w:tc>
          <w:tcPr>
            <w:tcW w:w="17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38,176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42,736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(1,625</w:t>
            </w:r>
          </w:p>
        </w:tc>
        <w:tc>
          <w:tcPr>
            <w:tcW w:w="6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Unrealized losses from fixed-income securities are primarily attributable to changes in interest rates. Management does not believe any remaining unrealized losses represent impairments based on our evaluation of available evidence.</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Debt Investment Maturities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following table outlines maturities of our debt investments as of September 30, 2025:</w:t>
      </w:r>
    </w:p>
    <w:p>
      <w:pPr>
        <w:pStyle w:val="TextBody"/>
        <w:bidi w:val="0"/>
        <w:jc w:val="left"/>
        <w:rPr/>
      </w:pPr>
      <w:r>
        <w:rPr/>
        <w:t> </w:t>
      </w:r>
    </w:p>
    <w:tbl>
      <w:tblPr>
        <w:tblW w:w="6514" w:type="dxa"/>
        <w:jc w:val="left"/>
        <w:tblInd w:w="0" w:type="dxa"/>
        <w:tblLayout w:type="fixed"/>
        <w:tblCellMar>
          <w:top w:w="28" w:type="dxa"/>
          <w:left w:w="28" w:type="dxa"/>
          <w:bottom w:w="28" w:type="dxa"/>
          <w:right w:w="28" w:type="dxa"/>
        </w:tblCellMar>
      </w:tblPr>
      <w:tblGrid>
        <w:gridCol w:w="3591"/>
        <w:gridCol w:w="146"/>
        <w:gridCol w:w="211"/>
        <w:gridCol w:w="691"/>
        <w:gridCol w:w="146"/>
        <w:gridCol w:w="146"/>
        <w:gridCol w:w="211"/>
        <w:gridCol w:w="691"/>
        <w:gridCol w:w="681"/>
      </w:tblGrid>
      <w:tr>
        <w:trPr/>
        <w:tc>
          <w:tcPr>
            <w:tcW w:w="35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359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Adjusted</w:t>
            </w:r>
          </w:p>
          <w:p>
            <w:pPr>
              <w:pStyle w:val="TableContents"/>
              <w:bidi w:val="0"/>
              <w:spacing w:before="0" w:after="283"/>
              <w:jc w:val="right"/>
              <w:rPr>
                <w:rFonts w:ascii="Arial" w:hAnsi="Arial"/>
                <w:b/>
                <w:color w:val="000000"/>
                <w:sz w:val="15"/>
              </w:rPr>
            </w:pPr>
            <w:r>
              <w:rPr>
                <w:rFonts w:ascii="Arial" w:hAnsi="Arial"/>
                <w:b/>
                <w:color w:val="000000"/>
                <w:sz w:val="15"/>
              </w:rPr>
              <w:t>Cost Basis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Estimated</w:t>
            </w:r>
          </w:p>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9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September 30,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5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Due in one year or less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37,304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37,200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59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Due after one year through five years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48,228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47,466</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5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Due after five years through 10 years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5,397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5,877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59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Due after 10 years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1,472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1,397</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59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92,401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91,940</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NOTE 5 — DERIVATIVES</w:t>
      </w:r>
    </w:p>
    <w:p>
      <w:pPr>
        <w:pStyle w:val="TextBody"/>
        <w:bidi w:val="0"/>
        <w:spacing w:before="180" w:after="283"/>
        <w:jc w:val="both"/>
        <w:rPr>
          <w:rFonts w:ascii="Times New Roman" w:hAnsi="Times New Roman"/>
          <w:sz w:val="20"/>
        </w:rPr>
      </w:pPr>
      <w:r>
        <w:rPr>
          <w:rFonts w:ascii="Arial" w:hAnsi="Arial"/>
          <w:color w:val="000000"/>
          <w:sz w:val="20"/>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Foreign Currencies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Certain forecasted transactions, assets, and liabilities are exposed to foreign currency risk. We monitor our foreign currency exposures daily to maximize the economic effectiveness of our foreign currency hedge positions.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14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Foreign currency risks related to certain Euro-denominated debt are hedged using foreign exchange forward contracts that are designated as cash flow hedging instruments.</w:t>
      </w:r>
    </w:p>
    <w:p>
      <w:pPr>
        <w:pStyle w:val="TextBody"/>
        <w:bidi w:val="0"/>
        <w:spacing w:before="180" w:after="283"/>
        <w:jc w:val="both"/>
        <w:rPr>
          <w:rFonts w:ascii="Times New Roman" w:hAnsi="Times New Roman"/>
          <w:sz w:val="20"/>
        </w:rPr>
      </w:pPr>
      <w:r>
        <w:rPr>
          <w:rFonts w:ascii="Arial" w:hAnsi="Arial"/>
          <w:color w:val="000000"/>
          <w:sz w:val="20"/>
        </w:rPr>
        <w:t>Certain options and forwards not designated as hedging instruments are also used to manage the variability in foreign exchange rates on certain balance sheet amounts and to manage other foreign currency exposures.</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Interest Rate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Interest rate risks related to certain fixed-rate debt are hedged using interest rate swaps that are designated as fair value hedging instruments to effectively convert the fixed interest rates to floating interest rates.</w:t>
      </w:r>
    </w:p>
    <w:p>
      <w:pPr>
        <w:pStyle w:val="TextBody"/>
        <w:bidi w:val="0"/>
        <w:spacing w:before="180" w:after="283"/>
        <w:jc w:val="both"/>
        <w:rPr>
          <w:rFonts w:ascii="Arial" w:hAnsi="Arial"/>
          <w:color w:val="000000"/>
          <w:sz w:val="20"/>
        </w:rPr>
      </w:pPr>
      <w:r>
        <w:rPr>
          <w:rFonts w:ascii="Arial" w:hAnsi="Arial"/>
          <w:color w:val="000000"/>
          <w:sz w:val="20"/>
        </w:rPr>
        <w:t>Securities held in our fixed-income portfolio are subject to different interest rate risks based on their maturities. We manage the average maturity of our fixed-income portfolio to achieve economic returns that correlate to certain broad-based fixed-income indices using option, futures, and swap contracts. These contracts are not designated as hedging instruments and are included in “Other contracts” in the tables below.</w:t>
      </w:r>
    </w:p>
    <w:p>
      <w:pPr>
        <w:pStyle w:val="TextBody"/>
        <w:bidi w:val="0"/>
        <w:spacing w:before="270" w:after="283"/>
        <w:jc w:val="both"/>
        <w:rPr>
          <w:rFonts w:ascii="Times New Roman" w:hAnsi="Times New Roman"/>
          <w:sz w:val="20"/>
        </w:rPr>
      </w:pPr>
      <w:r>
        <w:rPr>
          <w:rFonts w:ascii="Arial" w:hAnsi="Arial"/>
          <w:b/>
          <w:color w:val="000000"/>
          <w:sz w:val="20"/>
        </w:rPr>
        <w:t>Equity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Securities held in our equity investments portfolio are subject to market price risk. At times, we may hold options, futures, and swap contracts. These contracts are not designated as hedging instruments.</w:t>
      </w:r>
    </w:p>
    <w:p>
      <w:pPr>
        <w:pStyle w:val="TextBody"/>
        <w:bidi w:val="0"/>
        <w:spacing w:before="270" w:after="283"/>
        <w:jc w:val="both"/>
        <w:rPr>
          <w:rFonts w:ascii="Times New Roman" w:hAnsi="Times New Roman"/>
          <w:sz w:val="20"/>
        </w:rPr>
      </w:pPr>
      <w:r>
        <w:rPr>
          <w:rFonts w:ascii="Arial" w:hAnsi="Arial"/>
          <w:b/>
          <w:color w:val="000000"/>
          <w:sz w:val="20"/>
        </w:rPr>
        <w:t>Credit</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pStyle w:val="TextBody"/>
        <w:bidi w:val="0"/>
        <w:spacing w:before="270" w:after="283"/>
        <w:jc w:val="both"/>
        <w:rPr>
          <w:rFonts w:ascii="Times New Roman" w:hAnsi="Times New Roman"/>
          <w:sz w:val="20"/>
        </w:rPr>
      </w:pPr>
      <w:r>
        <w:rPr>
          <w:rFonts w:ascii="Arial" w:hAnsi="Arial"/>
          <w:b/>
          <w:color w:val="000000"/>
          <w:sz w:val="20"/>
        </w:rPr>
        <w:t>Credit-Risk-Related Contingent Features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Certain counterparty agreements for derivative instruments contain provisions that require our issued and outstanding long-term unsecured debt to maintain an investment grade credit rating and require us to maintain minimum liquidity of $1.0</w:t>
      </w:r>
      <w:r>
        <w:rPr>
          <w:rFonts w:ascii="Times New Roman" w:hAnsi="Times New Roman"/>
          <w:color w:val="000000"/>
          <w:sz w:val="20"/>
        </w:rPr>
        <w:t xml:space="preserve"> </w:t>
      </w:r>
      <w:r>
        <w:rPr>
          <w:rFonts w:ascii="Arial" w:hAnsi="Arial"/>
          <w:color w:val="000000"/>
          <w:sz w:val="20"/>
        </w:rPr>
        <w:t>billion. To the extent we fail to meet these requirements, we will be required to post collateral, similar to the standard convention related to over-the-counter derivatives. As of September 30, 2025, our long-term unsecured debt rating was AAA, and cash investments were in excess of $1.0</w:t>
      </w:r>
      <w:r>
        <w:rPr>
          <w:rFonts w:ascii="Times New Roman" w:hAnsi="Times New Roman"/>
          <w:color w:val="000000"/>
          <w:sz w:val="20"/>
        </w:rPr>
        <w:t xml:space="preserve"> </w:t>
      </w:r>
      <w:r>
        <w:rPr>
          <w:rFonts w:ascii="Arial" w:hAnsi="Arial"/>
          <w:color w:val="000000"/>
          <w:sz w:val="20"/>
        </w:rPr>
        <w:t>billion. As a result, no collateral was required to be posted.</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following table presents the notional amounts of our outstanding derivative instruments measured in U.S. dollar equivalents:</w:t>
      </w:r>
    </w:p>
    <w:p>
      <w:pPr>
        <w:pStyle w:val="TextBody"/>
        <w:bidi w:val="0"/>
        <w:jc w:val="left"/>
        <w:rPr/>
      </w:pPr>
      <w:r>
        <w:rPr/>
        <w:t> </w:t>
      </w:r>
    </w:p>
    <w:tbl>
      <w:tblPr>
        <w:tblW w:w="6687" w:type="dxa"/>
        <w:jc w:val="left"/>
        <w:tblInd w:w="0" w:type="dxa"/>
        <w:tblLayout w:type="fixed"/>
        <w:tblCellMar>
          <w:top w:w="28" w:type="dxa"/>
          <w:left w:w="28" w:type="dxa"/>
          <w:bottom w:w="28" w:type="dxa"/>
          <w:right w:w="28" w:type="dxa"/>
        </w:tblCellMar>
      </w:tblPr>
      <w:tblGrid>
        <w:gridCol w:w="3741"/>
        <w:gridCol w:w="146"/>
        <w:gridCol w:w="273"/>
        <w:gridCol w:w="897"/>
        <w:gridCol w:w="146"/>
        <w:gridCol w:w="146"/>
        <w:gridCol w:w="211"/>
        <w:gridCol w:w="691"/>
        <w:gridCol w:w="436"/>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September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right"/>
              <w:rPr/>
            </w:pPr>
            <w:r>
              <w:rPr/>
              <w:t> </w:t>
            </w:r>
          </w:p>
        </w:tc>
        <w:tc>
          <w:tcPr>
            <w:tcW w:w="89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7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 purchased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89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1,492</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rate contracts purchased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right"/>
              <w:rPr/>
            </w:pPr>
            <w:r>
              <w:rPr/>
              <w:t> </w:t>
            </w:r>
          </w:p>
        </w:tc>
        <w:tc>
          <w:tcPr>
            <w:tcW w:w="89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1,167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1,150</w:t>
            </w:r>
          </w:p>
        </w:tc>
        <w:tc>
          <w:tcPr>
            <w:tcW w:w="4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right"/>
              <w:rPr/>
            </w:pPr>
            <w:r>
              <w:rPr/>
              <w:t> </w:t>
            </w:r>
          </w:p>
        </w:tc>
        <w:tc>
          <w:tcPr>
            <w:tcW w:w="89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Not Designated as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right"/>
              <w:rPr/>
            </w:pPr>
            <w:r>
              <w:rPr/>
              <w:t> </w:t>
            </w:r>
          </w:p>
        </w:tc>
        <w:tc>
          <w:tcPr>
            <w:tcW w:w="89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7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 purchased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11,810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15,214</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 sold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right"/>
              <w:rPr/>
            </w:pPr>
            <w:r>
              <w:rPr/>
              <w:t> </w:t>
            </w:r>
          </w:p>
        </w:tc>
        <w:tc>
          <w:tcPr>
            <w:tcW w:w="89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33,053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43,307</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7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contracts purchased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5,766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5,434</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contracts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2,189</w:t>
            </w:r>
          </w:p>
        </w:tc>
        <w:tc>
          <w:tcPr>
            <w:tcW w:w="4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7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contracts purchased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2,668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2,769</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contracts sold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1,242</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897"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15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90" w:after="283"/>
        <w:jc w:val="both"/>
        <w:rPr>
          <w:rFonts w:ascii="Arial" w:hAnsi="Arial"/>
          <w:b/>
          <w:color w:val="000000"/>
          <w:sz w:val="20"/>
        </w:rPr>
      </w:pPr>
      <w:r>
        <w:rPr>
          <w:rFonts w:ascii="Arial" w:hAnsi="Arial"/>
          <w:b/>
          <w:color w:val="000000"/>
          <w:sz w:val="20"/>
        </w:rPr>
        <w:t>Fair Values of Derivative Instruments</w:t>
      </w:r>
    </w:p>
    <w:p>
      <w:pPr>
        <w:pStyle w:val="TextBody"/>
        <w:bidi w:val="0"/>
        <w:spacing w:before="180" w:after="283"/>
        <w:jc w:val="both"/>
        <w:rPr>
          <w:rFonts w:ascii="Arial" w:hAnsi="Arial"/>
          <w:color w:val="000000"/>
          <w:sz w:val="20"/>
        </w:rPr>
      </w:pPr>
      <w:r>
        <w:rPr>
          <w:rFonts w:ascii="Arial" w:hAnsi="Arial"/>
          <w:color w:val="000000"/>
          <w:sz w:val="20"/>
        </w:rPr>
        <w:t>The following table presents our derivative instruments: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06"/>
        <w:gridCol w:w="146"/>
        <w:gridCol w:w="226"/>
        <w:gridCol w:w="630"/>
        <w:gridCol w:w="166"/>
        <w:gridCol w:w="146"/>
        <w:gridCol w:w="211"/>
        <w:gridCol w:w="856"/>
        <w:gridCol w:w="166"/>
        <w:gridCol w:w="146"/>
        <w:gridCol w:w="261"/>
        <w:gridCol w:w="595"/>
        <w:gridCol w:w="166"/>
        <w:gridCol w:w="146"/>
        <w:gridCol w:w="211"/>
        <w:gridCol w:w="646"/>
        <w:gridCol w:w="681"/>
      </w:tblGrid>
      <w:tr>
        <w:trPr/>
        <w:tc>
          <w:tcPr>
            <w:tcW w:w="4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48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Derivative</w:t>
            </w:r>
          </w:p>
          <w:p>
            <w:pPr>
              <w:pStyle w:val="TableContents"/>
              <w:bidi w:val="0"/>
              <w:spacing w:before="0" w:after="283"/>
              <w:jc w:val="right"/>
              <w:rPr>
                <w:rFonts w:ascii="Arial" w:hAnsi="Arial"/>
                <w:b/>
                <w:color w:val="000000"/>
                <w:sz w:val="15"/>
              </w:rPr>
            </w:pPr>
            <w:r>
              <w:rPr>
                <w:rFonts w:ascii="Arial" w:hAnsi="Arial"/>
                <w:b/>
                <w:color w:val="000000"/>
                <w:sz w:val="15"/>
              </w:rPr>
              <w:t>Assets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Derivative</w:t>
            </w:r>
          </w:p>
          <w:p>
            <w:pPr>
              <w:pStyle w:val="TableContents"/>
              <w:bidi w:val="0"/>
              <w:spacing w:before="0" w:after="283"/>
              <w:jc w:val="right"/>
              <w:rPr>
                <w:rFonts w:ascii="Arial" w:hAnsi="Arial"/>
                <w:b/>
                <w:color w:val="000000"/>
                <w:sz w:val="15"/>
              </w:rPr>
            </w:pPr>
            <w:r>
              <w:rPr>
                <w:rFonts w:ascii="Arial" w:hAnsi="Arial"/>
                <w:b/>
                <w:color w:val="000000"/>
                <w:sz w:val="15"/>
              </w:rPr>
              <w:t>Liabilities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Derivative</w:t>
            </w:r>
          </w:p>
          <w:p>
            <w:pPr>
              <w:pStyle w:val="TableContents"/>
              <w:bidi w:val="0"/>
              <w:spacing w:before="0" w:after="283"/>
              <w:jc w:val="right"/>
              <w:rPr>
                <w:rFonts w:ascii="Arial" w:hAnsi="Arial"/>
                <w:b/>
                <w:color w:val="000000"/>
                <w:sz w:val="15"/>
              </w:rPr>
            </w:pPr>
            <w:r>
              <w:rPr>
                <w:rFonts w:ascii="Arial" w:hAnsi="Arial"/>
                <w:b/>
                <w:color w:val="000000"/>
                <w:sz w:val="15"/>
              </w:rPr>
              <w:t>Assets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Derivative</w:t>
            </w:r>
          </w:p>
          <w:p>
            <w:pPr>
              <w:pStyle w:val="TableContents"/>
              <w:bidi w:val="0"/>
              <w:spacing w:before="0" w:after="283"/>
              <w:jc w:val="right"/>
              <w:rPr>
                <w:rFonts w:ascii="Arial" w:hAnsi="Arial"/>
                <w:b/>
                <w:color w:val="000000"/>
                <w:sz w:val="15"/>
              </w:rPr>
            </w:pPr>
            <w:r>
              <w:rPr>
                <w:rFonts w:ascii="Arial" w:hAnsi="Arial"/>
                <w:b/>
                <w:color w:val="000000"/>
                <w:sz w:val="15"/>
              </w:rPr>
              <w:t>Liabilities</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September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3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8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rate contracts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Not Designated as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8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contracts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(983</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8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Gross amounts of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(1,837</w:t>
            </w:r>
          </w:p>
        </w:tc>
        <w:tc>
          <w:tcPr>
            <w:tcW w:w="68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8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Gross amounts of derivatives offset in the balance sheets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 collateral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80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Net amounts of derivatives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3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1,328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(1,676</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Reported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Short-term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3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and other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long-term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current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(1,639</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8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long-term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80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3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1,328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(1,676</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0"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Gross derivative assets and liabilities subject to legally enforceable master netting agreements for which we have elected to offset were $376</w:t>
      </w:r>
      <w:r>
        <w:rPr>
          <w:rFonts w:ascii="Times New Roman" w:hAnsi="Times New Roman"/>
          <w:color w:val="000000"/>
          <w:sz w:val="20"/>
        </w:rPr>
        <w:t xml:space="preserve"> </w:t>
      </w:r>
      <w:r>
        <w:rPr>
          <w:rFonts w:ascii="Arial" w:hAnsi="Arial"/>
          <w:color w:val="000000"/>
          <w:sz w:val="20"/>
        </w:rPr>
        <w:t>million and $802</w:t>
      </w:r>
      <w:r>
        <w:rPr>
          <w:rFonts w:ascii="Times New Roman" w:hAnsi="Times New Roman"/>
          <w:color w:val="000000"/>
          <w:sz w:val="20"/>
        </w:rPr>
        <w:t xml:space="preserve"> </w:t>
      </w:r>
      <w:r>
        <w:rPr>
          <w:rFonts w:ascii="Arial" w:hAnsi="Arial"/>
          <w:color w:val="000000"/>
          <w:sz w:val="20"/>
        </w:rPr>
        <w:t>million, respectively, as of September 30, 2025, and $452</w:t>
      </w:r>
      <w:r>
        <w:rPr>
          <w:rFonts w:ascii="Times New Roman" w:hAnsi="Times New Roman"/>
          <w:color w:val="000000"/>
          <w:sz w:val="20"/>
        </w:rPr>
        <w:t xml:space="preserve"> </w:t>
      </w:r>
      <w:r>
        <w:rPr>
          <w:rFonts w:ascii="Arial" w:hAnsi="Arial"/>
          <w:color w:val="000000"/>
          <w:sz w:val="20"/>
        </w:rPr>
        <w:t>million and $1.8</w:t>
      </w:r>
      <w:r>
        <w:rPr>
          <w:rFonts w:ascii="Times New Roman" w:hAnsi="Times New Roman"/>
          <w:color w:val="000000"/>
          <w:sz w:val="20"/>
        </w:rPr>
        <w:t xml:space="preserve"> </w:t>
      </w:r>
      <w:r>
        <w:rPr>
          <w:rFonts w:ascii="Arial" w:hAnsi="Arial"/>
          <w:color w:val="000000"/>
          <w:sz w:val="20"/>
        </w:rPr>
        <w:t>billion, respectively, as of June 30, 2025.</w:t>
      </w:r>
    </w:p>
    <w:p>
      <w:pPr>
        <w:pStyle w:val="TextBody"/>
        <w:bidi w:val="0"/>
        <w:spacing w:before="180" w:after="283"/>
        <w:jc w:val="both"/>
        <w:rPr>
          <w:rFonts w:ascii="Arial" w:hAnsi="Arial"/>
          <w:color w:val="000000"/>
          <w:sz w:val="20"/>
        </w:rPr>
      </w:pPr>
      <w:r>
        <w:rPr>
          <w:rFonts w:ascii="Arial" w:hAnsi="Arial"/>
          <w:color w:val="000000"/>
          <w:sz w:val="20"/>
        </w:rPr>
        <w:t>The following table presents the fair value of our derivatives instruments on a gross basis:</w:t>
      </w:r>
    </w:p>
    <w:p>
      <w:pPr>
        <w:pStyle w:val="TextBody"/>
        <w:bidi w:val="0"/>
        <w:jc w:val="left"/>
        <w:rPr/>
      </w:pPr>
      <w:r>
        <w:rPr/>
        <w:t> </w:t>
      </w:r>
    </w:p>
    <w:tbl>
      <w:tblPr>
        <w:tblW w:w="6700" w:type="dxa"/>
        <w:jc w:val="left"/>
        <w:tblInd w:w="0" w:type="dxa"/>
        <w:tblLayout w:type="fixed"/>
        <w:tblCellMar>
          <w:top w:w="28" w:type="dxa"/>
          <w:left w:w="28" w:type="dxa"/>
          <w:bottom w:w="28" w:type="dxa"/>
          <w:right w:w="28" w:type="dxa"/>
        </w:tblCellMar>
      </w:tblPr>
      <w:tblGrid>
        <w:gridCol w:w="2046"/>
        <w:gridCol w:w="146"/>
        <w:gridCol w:w="322"/>
        <w:gridCol w:w="323"/>
        <w:gridCol w:w="146"/>
        <w:gridCol w:w="146"/>
        <w:gridCol w:w="211"/>
        <w:gridCol w:w="646"/>
        <w:gridCol w:w="166"/>
        <w:gridCol w:w="146"/>
        <w:gridCol w:w="211"/>
        <w:gridCol w:w="586"/>
        <w:gridCol w:w="166"/>
        <w:gridCol w:w="146"/>
        <w:gridCol w:w="211"/>
        <w:gridCol w:w="646"/>
        <w:gridCol w:w="436"/>
      </w:tblGrid>
      <w:tr>
        <w:trPr/>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04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Level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Level 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Level 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September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04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Derivative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2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1,575</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Derivative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(804</w:t>
            </w:r>
          </w:p>
        </w:tc>
        <w:tc>
          <w:tcPr>
            <w:tcW w:w="4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2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04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Derivative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758</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Derivative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(1,837</w:t>
            </w:r>
          </w:p>
        </w:tc>
        <w:tc>
          <w:tcPr>
            <w:tcW w:w="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0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16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90" w:after="283"/>
        <w:jc w:val="both"/>
        <w:rPr>
          <w:rFonts w:ascii="Arial" w:hAnsi="Arial"/>
          <w:color w:val="000000"/>
          <w:sz w:val="20"/>
        </w:rPr>
      </w:pPr>
      <w:r>
        <w:rPr>
          <w:rFonts w:ascii="Arial" w:hAnsi="Arial"/>
          <w:color w:val="000000"/>
          <w:sz w:val="20"/>
        </w:rPr>
        <w:t>Gains (losses) on derivative instruments recognized in other income (expense), net were as follows:</w:t>
      </w:r>
    </w:p>
    <w:p>
      <w:pPr>
        <w:pStyle w:val="TextBody"/>
        <w:bidi w:val="0"/>
        <w:jc w:val="both"/>
        <w:rPr/>
      </w:pPr>
      <w:r>
        <w:rPr/>
        <w:t> </w:t>
      </w:r>
    </w:p>
    <w:tbl>
      <w:tblPr>
        <w:tblW w:w="8879" w:type="dxa"/>
        <w:jc w:val="left"/>
        <w:tblInd w:w="0" w:type="dxa"/>
        <w:tblLayout w:type="fixed"/>
        <w:tblCellMar>
          <w:top w:w="28" w:type="dxa"/>
          <w:left w:w="28" w:type="dxa"/>
          <w:bottom w:w="28" w:type="dxa"/>
          <w:right w:w="28" w:type="dxa"/>
        </w:tblCellMar>
      </w:tblPr>
      <w:tblGrid>
        <w:gridCol w:w="6251"/>
        <w:gridCol w:w="146"/>
        <w:gridCol w:w="211"/>
        <w:gridCol w:w="586"/>
        <w:gridCol w:w="166"/>
        <w:gridCol w:w="146"/>
        <w:gridCol w:w="211"/>
        <w:gridCol w:w="481"/>
        <w:gridCol w:w="681"/>
      </w:tblGrid>
      <w:tr>
        <w:trPr/>
        <w:tc>
          <w:tcPr>
            <w:tcW w:w="6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62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5"/>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5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Fair Value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2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rate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625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Derivatives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625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Hedged items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Cash Flow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2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625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Amount reclassified from accumulated other comprehensive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Not Designated as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2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625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contracts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1,579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62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Gains (losses), net of tax, on derivative instruments recognized in our consolidated comprehensive income statements were as follows:</w:t>
      </w:r>
    </w:p>
    <w:p>
      <w:pPr>
        <w:pStyle w:val="TextBody"/>
        <w:bidi w:val="0"/>
        <w:jc w:val="left"/>
        <w:rPr/>
      </w:pPr>
      <w:r>
        <w:rPr/>
        <w:t> </w:t>
      </w:r>
    </w:p>
    <w:tbl>
      <w:tblPr>
        <w:tblW w:w="6059" w:type="dxa"/>
        <w:jc w:val="left"/>
        <w:tblInd w:w="0" w:type="dxa"/>
        <w:tblLayout w:type="fixed"/>
        <w:tblCellMar>
          <w:top w:w="28" w:type="dxa"/>
          <w:left w:w="28" w:type="dxa"/>
          <w:bottom w:w="28" w:type="dxa"/>
          <w:right w:w="28" w:type="dxa"/>
        </w:tblCellMar>
      </w:tblPr>
      <w:tblGrid>
        <w:gridCol w:w="3911"/>
        <w:gridCol w:w="146"/>
        <w:gridCol w:w="211"/>
        <w:gridCol w:w="271"/>
        <w:gridCol w:w="166"/>
        <w:gridCol w:w="146"/>
        <w:gridCol w:w="211"/>
        <w:gridCol w:w="316"/>
        <w:gridCol w:w="681"/>
      </w:tblGrid>
      <w:tr>
        <w:trPr/>
        <w:tc>
          <w:tcPr>
            <w:tcW w:w="3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9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Cash Flow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9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Included in effectiveness assessment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spacing w:before="90" w:after="283"/>
        <w:jc w:val="center"/>
        <w:rPr>
          <w:rFonts w:ascii="Times New Roman" w:hAnsi="Times New Roman"/>
          <w:sz w:val="20"/>
        </w:rPr>
      </w:pPr>
      <w:r>
        <w:rPr>
          <w:rFonts w:ascii="Arial" w:hAnsi="Arial"/>
          <w:color w:val="000000"/>
          <w:sz w:val="20"/>
          <w:u w:val="single"/>
        </w:rPr>
        <w:t xml:space="preserve">NOTE 6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color w:val="000000"/>
          <w:sz w:val="20"/>
          <w:u w:val="single"/>
        </w:rPr>
        <w:t>PROPERTY AND EQUIPMENT</w:t>
      </w:r>
    </w:p>
    <w:p>
      <w:pPr>
        <w:pStyle w:val="TextBody"/>
        <w:bidi w:val="0"/>
        <w:spacing w:before="180" w:after="283"/>
        <w:jc w:val="both"/>
        <w:rPr>
          <w:rFonts w:ascii="Arial" w:hAnsi="Arial"/>
          <w:color w:val="000000"/>
          <w:sz w:val="20"/>
        </w:rPr>
      </w:pPr>
      <w:r>
        <w:rPr>
          <w:rFonts w:ascii="Arial" w:hAnsi="Arial"/>
          <w:color w:val="000000"/>
          <w:sz w:val="20"/>
        </w:rPr>
        <w:t>The components of property and equipment were as follows:</w:t>
      </w:r>
    </w:p>
    <w:p>
      <w:pPr>
        <w:pStyle w:val="TextBody"/>
        <w:bidi w:val="0"/>
        <w:jc w:val="both"/>
        <w:rPr/>
      </w:pPr>
      <w:r>
        <w:rPr/>
        <w:t> </w:t>
      </w:r>
    </w:p>
    <w:tbl>
      <w:tblPr>
        <w:tblW w:w="7342" w:type="dxa"/>
        <w:jc w:val="left"/>
        <w:tblInd w:w="0" w:type="dxa"/>
        <w:tblLayout w:type="fixed"/>
        <w:tblCellMar>
          <w:top w:w="28" w:type="dxa"/>
          <w:left w:w="28" w:type="dxa"/>
          <w:bottom w:w="28" w:type="dxa"/>
          <w:right w:w="28" w:type="dxa"/>
        </w:tblCellMar>
      </w:tblPr>
      <w:tblGrid>
        <w:gridCol w:w="4026"/>
        <w:gridCol w:w="146"/>
        <w:gridCol w:w="245"/>
        <w:gridCol w:w="925"/>
        <w:gridCol w:w="166"/>
        <w:gridCol w:w="146"/>
        <w:gridCol w:w="211"/>
        <w:gridCol w:w="796"/>
        <w:gridCol w:w="681"/>
      </w:tblGrid>
      <w:tr>
        <w:trPr/>
        <w:tc>
          <w:tcPr>
            <w:tcW w:w="4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4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b/>
                <w:color w:val="000000"/>
                <w:sz w:val="15"/>
              </w:rPr>
              <w:t>(In millions)</w:t>
            </w:r>
            <w:r>
              <w:rPr>
                <w:rFonts w:ascii="Times New Roman" w:hAnsi="Times New Roman"/>
                <w:color w:val="000000"/>
                <w:sz w:val="15"/>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September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6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83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2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Land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9,450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9,338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Buildings and improvements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152,433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137,921</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2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Leasehold improvements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13,610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12,117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Servers, network equipment, and software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147,701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132,836</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2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Furniture and equipment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6,547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6,407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2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at cost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329,741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298,619</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2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Accumulated depreciation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(98,880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(93,653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2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2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230,861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204,966</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5"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Depreciation expense was $7.1</w:t>
      </w:r>
      <w:r>
        <w:rPr>
          <w:rFonts w:ascii="Times New Roman" w:hAnsi="Times New Roman"/>
          <w:color w:val="000000"/>
          <w:sz w:val="20"/>
        </w:rPr>
        <w:t xml:space="preserve"> </w:t>
      </w:r>
      <w:r>
        <w:rPr>
          <w:rFonts w:ascii="Arial" w:hAnsi="Arial"/>
          <w:color w:val="000000"/>
          <w:sz w:val="20"/>
        </w:rPr>
        <w:t>billion and $4.7</w:t>
      </w:r>
      <w:r>
        <w:rPr>
          <w:rFonts w:ascii="Times New Roman" w:hAnsi="Times New Roman"/>
          <w:color w:val="000000"/>
          <w:sz w:val="20"/>
        </w:rPr>
        <w:t xml:space="preserve"> </w:t>
      </w:r>
      <w:r>
        <w:rPr>
          <w:rFonts w:ascii="Arial" w:hAnsi="Arial"/>
          <w:color w:val="000000"/>
          <w:sz w:val="20"/>
        </w:rPr>
        <w:t>billion for the three months ended September 30, 2025 and 2024, respectively.</w:t>
      </w:r>
    </w:p>
    <w:p>
      <w:pPr>
        <w:pStyle w:val="TextBody"/>
        <w:bidi w:val="0"/>
        <w:spacing w:before="180" w:after="283"/>
        <w:jc w:val="both"/>
        <w:rPr>
          <w:rFonts w:ascii="Times New Roman" w:hAnsi="Times New Roman"/>
          <w:sz w:val="20"/>
        </w:rPr>
      </w:pPr>
      <w:r>
        <w:rPr>
          <w:rFonts w:ascii="Arial" w:hAnsi="Arial"/>
          <w:color w:val="000000"/>
          <w:sz w:val="20"/>
        </w:rPr>
        <w:t>As of September 30, 2025 and June 30, 2025, purchases of property and equipment remaining in accounts payable were $18.6</w:t>
      </w:r>
      <w:r>
        <w:rPr>
          <w:rFonts w:ascii="Times New Roman" w:hAnsi="Times New Roman"/>
          <w:color w:val="000000"/>
          <w:sz w:val="20"/>
        </w:rPr>
        <w:t xml:space="preserve"> </w:t>
      </w:r>
      <w:r>
        <w:rPr>
          <w:rFonts w:ascii="Arial" w:hAnsi="Arial"/>
          <w:color w:val="000000"/>
          <w:sz w:val="20"/>
        </w:rPr>
        <w:t>billion and $6.9</w:t>
      </w:r>
      <w:r>
        <w:rPr>
          <w:rFonts w:ascii="Times New Roman" w:hAnsi="Times New Roman"/>
          <w:color w:val="000000"/>
          <w:sz w:val="20"/>
        </w:rPr>
        <w:t xml:space="preserve"> </w:t>
      </w:r>
      <w:r>
        <w:rPr>
          <w:rFonts w:ascii="Arial" w:hAnsi="Arial"/>
          <w:color w:val="000000"/>
          <w:sz w:val="20"/>
        </w:rPr>
        <w:t>billion, respectively.</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17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270" w:after="283"/>
        <w:jc w:val="center"/>
        <w:rPr>
          <w:rFonts w:ascii="Times New Roman" w:hAnsi="Times New Roman"/>
          <w:sz w:val="20"/>
        </w:rPr>
      </w:pPr>
      <w:r>
        <w:rPr>
          <w:rFonts w:ascii="Arial" w:hAnsi="Arial"/>
          <w:color w:val="000000"/>
          <w:sz w:val="20"/>
          <w:u w:val="single"/>
        </w:rPr>
        <w:t xml:space="preserve">NOTE 7 </w:t>
      </w:r>
      <w:r>
        <w:rPr>
          <w:rFonts w:ascii="Times New Roman" w:hAnsi="Times New Roman"/>
          <w:color w:val="000000"/>
          <w:sz w:val="20"/>
          <w:u w:val="single"/>
        </w:rPr>
        <w:t xml:space="preserve">— </w:t>
      </w:r>
      <w:r>
        <w:rPr>
          <w:rFonts w:ascii="Arial" w:hAnsi="Arial"/>
          <w:color w:val="000000"/>
          <w:sz w:val="20"/>
          <w:u w:val="single"/>
        </w:rPr>
        <w:t>GOODWILL</w:t>
      </w:r>
    </w:p>
    <w:p>
      <w:pPr>
        <w:pStyle w:val="TextBody"/>
        <w:bidi w:val="0"/>
        <w:spacing w:before="180" w:after="283"/>
        <w:jc w:val="both"/>
        <w:rPr>
          <w:rFonts w:ascii="Arial" w:hAnsi="Arial"/>
          <w:color w:val="000000"/>
          <w:sz w:val="20"/>
        </w:rPr>
      </w:pPr>
      <w:r>
        <w:rPr>
          <w:rFonts w:ascii="Arial" w:hAnsi="Arial"/>
          <w:color w:val="000000"/>
          <w:sz w:val="20"/>
        </w:rPr>
        <w:t>Changes in the carrying amount of goodwill were as follows:</w:t>
      </w:r>
    </w:p>
    <w:p>
      <w:pPr>
        <w:pStyle w:val="TextBody"/>
        <w:bidi w:val="0"/>
        <w:jc w:val="both"/>
        <w:rPr/>
      </w:pPr>
      <w:r>
        <w:rPr/>
        <w:t> </w:t>
      </w:r>
    </w:p>
    <w:tbl>
      <w:tblPr>
        <w:tblW w:w="9144" w:type="dxa"/>
        <w:jc w:val="left"/>
        <w:tblInd w:w="0" w:type="dxa"/>
        <w:tblLayout w:type="fixed"/>
        <w:tblCellMar>
          <w:top w:w="28" w:type="dxa"/>
          <w:left w:w="28" w:type="dxa"/>
          <w:bottom w:w="28" w:type="dxa"/>
          <w:right w:w="28" w:type="dxa"/>
        </w:tblCellMar>
      </w:tblPr>
      <w:tblGrid>
        <w:gridCol w:w="3636"/>
        <w:gridCol w:w="146"/>
        <w:gridCol w:w="211"/>
        <w:gridCol w:w="796"/>
        <w:gridCol w:w="146"/>
        <w:gridCol w:w="146"/>
        <w:gridCol w:w="510"/>
        <w:gridCol w:w="511"/>
        <w:gridCol w:w="146"/>
        <w:gridCol w:w="146"/>
        <w:gridCol w:w="211"/>
        <w:gridCol w:w="376"/>
        <w:gridCol w:w="166"/>
        <w:gridCol w:w="146"/>
        <w:gridCol w:w="245"/>
        <w:gridCol w:w="925"/>
        <w:gridCol w:w="681"/>
      </w:tblGrid>
      <w:tr>
        <w:trPr/>
        <w:tc>
          <w:tcPr>
            <w:tcW w:w="36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0"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7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5"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Acquisitions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Other</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September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Productivity and Business Processes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31,457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31,458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Intelligent Cloud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25,689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25,682</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More Personal Computing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62,363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62,357</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sz w:val="20"/>
              </w:rPr>
            </w:pPr>
            <w:r>
              <w:rPr>
                <w:rFonts w:ascii="Arial" w:hAnsi="Arial"/>
                <w:color w:val="000000"/>
                <w:sz w:val="20"/>
              </w:rPr>
              <w:t>Total</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119,509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2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119,497</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pStyle w:val="TextBody"/>
        <w:bidi w:val="0"/>
        <w:spacing w:before="180" w:after="283"/>
        <w:jc w:val="both"/>
        <w:rPr>
          <w:rFonts w:ascii="Arial" w:hAnsi="Arial"/>
          <w:color w:val="000000"/>
          <w:sz w:val="20"/>
        </w:rPr>
      </w:pPr>
      <w:r>
        <w:rPr>
          <w:rFonts w:ascii="Arial" w:hAnsi="Arial"/>
          <w:color w:val="000000"/>
          <w:sz w:val="20"/>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pStyle w:val="TextBody"/>
        <w:bidi w:val="0"/>
        <w:spacing w:before="270" w:after="283"/>
        <w:jc w:val="center"/>
        <w:rPr>
          <w:rFonts w:ascii="Times New Roman" w:hAnsi="Times New Roman"/>
          <w:sz w:val="20"/>
        </w:rPr>
      </w:pPr>
      <w:r>
        <w:rPr>
          <w:rFonts w:ascii="Arial" w:hAnsi="Arial"/>
          <w:color w:val="000000"/>
          <w:sz w:val="20"/>
          <w:u w:val="single"/>
        </w:rPr>
        <w:t>NOTE 8 — INTANGIBLE ASSETS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components of intangible assets, all of which are finite-lived, were as follows:</w:t>
      </w:r>
      <w:r>
        <w:rPr>
          <w:rFonts w:ascii="Times New Roman" w:hAnsi="Times New Roman"/>
          <w:color w:val="000000"/>
          <w:sz w:val="20"/>
        </w:rPr>
        <w:t xml:space="preserve"> </w:t>
      </w:r>
    </w:p>
    <w:p>
      <w:pPr>
        <w:pStyle w:val="TextBody"/>
        <w:bidi w:val="0"/>
        <w:jc w:val="both"/>
        <w:rPr/>
      </w:pPr>
      <w:r>
        <w:rPr/>
        <w:t> </w:t>
      </w:r>
    </w:p>
    <w:tbl>
      <w:tblPr>
        <w:tblW w:w="10023" w:type="dxa"/>
        <w:jc w:val="left"/>
        <w:tblInd w:w="0" w:type="dxa"/>
        <w:tblLayout w:type="fixed"/>
        <w:tblCellMar>
          <w:top w:w="28" w:type="dxa"/>
          <w:left w:w="28" w:type="dxa"/>
          <w:bottom w:w="28" w:type="dxa"/>
          <w:right w:w="28" w:type="dxa"/>
        </w:tblCellMar>
      </w:tblPr>
      <w:tblGrid>
        <w:gridCol w:w="1956"/>
        <w:gridCol w:w="146"/>
        <w:gridCol w:w="211"/>
        <w:gridCol w:w="691"/>
        <w:gridCol w:w="146"/>
        <w:gridCol w:w="146"/>
        <w:gridCol w:w="233"/>
        <w:gridCol w:w="833"/>
        <w:gridCol w:w="166"/>
        <w:gridCol w:w="146"/>
        <w:gridCol w:w="211"/>
        <w:gridCol w:w="691"/>
        <w:gridCol w:w="146"/>
        <w:gridCol w:w="146"/>
        <w:gridCol w:w="211"/>
        <w:gridCol w:w="691"/>
        <w:gridCol w:w="146"/>
        <w:gridCol w:w="146"/>
        <w:gridCol w:w="233"/>
        <w:gridCol w:w="833"/>
        <w:gridCol w:w="166"/>
        <w:gridCol w:w="146"/>
        <w:gridCol w:w="211"/>
        <w:gridCol w:w="691"/>
        <w:gridCol w:w="681"/>
      </w:tblGrid>
      <w:tr>
        <w:trPr/>
        <w:tc>
          <w:tcPr>
            <w:tcW w:w="19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3" w:type="dxa"/>
            <w:tcBorders/>
            <w:shd w:fill="FFFFFF" w:val="clear"/>
            <w:vAlign w:val="center"/>
          </w:tcPr>
          <w:p>
            <w:pPr>
              <w:pStyle w:val="TableContents"/>
              <w:bidi w:val="0"/>
              <w:spacing w:before="0" w:after="283"/>
              <w:jc w:val="left"/>
              <w:rPr>
                <w:sz w:val="4"/>
                <w:szCs w:val="4"/>
              </w:rPr>
            </w:pPr>
            <w:r>
              <w:rPr>
                <w:sz w:val="4"/>
                <w:szCs w:val="4"/>
              </w:rPr>
            </w:r>
          </w:p>
        </w:tc>
        <w:tc>
          <w:tcPr>
            <w:tcW w:w="833"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3" w:type="dxa"/>
            <w:tcBorders/>
            <w:shd w:fill="FFFFFF" w:val="clear"/>
            <w:vAlign w:val="center"/>
          </w:tcPr>
          <w:p>
            <w:pPr>
              <w:pStyle w:val="TableContents"/>
              <w:bidi w:val="0"/>
              <w:spacing w:before="0" w:after="283"/>
              <w:jc w:val="left"/>
              <w:rPr>
                <w:sz w:val="4"/>
                <w:szCs w:val="4"/>
              </w:rPr>
            </w:pPr>
            <w:r>
              <w:rPr>
                <w:sz w:val="4"/>
                <w:szCs w:val="4"/>
              </w:rPr>
            </w:r>
          </w:p>
        </w:tc>
        <w:tc>
          <w:tcPr>
            <w:tcW w:w="833"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19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Gross</w:t>
              <w:br/>
              <w:t>Carrying</w:t>
              <w:br/>
              <w:t>Amount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Accumulated</w:t>
              <w:br/>
              <w:t>Amortization</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Net</w:t>
              <w:br/>
              <w:t>Carrying</w:t>
              <w:br/>
              <w:t>Amount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Gross</w:t>
              <w:br/>
              <w:t>Carrying</w:t>
              <w:br/>
              <w:t>Amount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Accumulated</w:t>
              <w:br/>
              <w:t>Amortization</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Net</w:t>
            </w:r>
          </w:p>
          <w:p>
            <w:pPr>
              <w:pStyle w:val="TableContents"/>
              <w:bidi w:val="0"/>
              <w:jc w:val="right"/>
              <w:rPr>
                <w:rFonts w:ascii="Arial" w:hAnsi="Arial"/>
                <w:b/>
                <w:color w:val="000000"/>
                <w:sz w:val="15"/>
              </w:rPr>
            </w:pPr>
            <w:r>
              <w:rPr>
                <w:rFonts w:ascii="Arial" w:hAnsi="Arial"/>
                <w:b/>
                <w:color w:val="000000"/>
                <w:sz w:val="15"/>
              </w:rPr>
              <w:t>Carrying</w:t>
            </w:r>
          </w:p>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10"/>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September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10"/>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10"/>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10"/>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9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Marketing-related</w:t>
            </w:r>
            <w:r>
              <w:rPr>
                <w:rFonts w:ascii="Times New Roman" w:hAnsi="Times New Roman"/>
                <w:color w:val="000000"/>
                <w:sz w:val="20"/>
              </w:rPr>
              <w:t xml:space="preserve">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16,502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(4,101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12,401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16,502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12,601</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9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Technology-based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22,642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(16,056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6,586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22,560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(14,959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7,601</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9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Customer-related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4,278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(2,204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2,074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9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Contract-based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9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43,652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(22,416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21,236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43,557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(20,953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22,604</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Intangible assets amortization expense was $1.5</w:t>
      </w:r>
      <w:r>
        <w:rPr>
          <w:rFonts w:ascii="Times New Roman" w:hAnsi="Times New Roman"/>
          <w:color w:val="000000"/>
          <w:sz w:val="20"/>
        </w:rPr>
        <w:t xml:space="preserve"> </w:t>
      </w:r>
      <w:r>
        <w:rPr>
          <w:rFonts w:ascii="Arial" w:hAnsi="Arial"/>
          <w:color w:val="000000"/>
          <w:sz w:val="20"/>
        </w:rPr>
        <w:t>billion and $1.4</w:t>
      </w:r>
      <w:r>
        <w:rPr>
          <w:rFonts w:ascii="Times New Roman" w:hAnsi="Times New Roman"/>
          <w:color w:val="000000"/>
          <w:sz w:val="20"/>
        </w:rPr>
        <w:t xml:space="preserve"> </w:t>
      </w:r>
      <w:r>
        <w:rPr>
          <w:rFonts w:ascii="Arial" w:hAnsi="Arial"/>
          <w:color w:val="000000"/>
          <w:sz w:val="20"/>
        </w:rPr>
        <w:t>billion for the three months ended September 30, 2025 and 2024, respectively.</w:t>
      </w:r>
    </w:p>
    <w:p>
      <w:pPr>
        <w:pStyle w:val="TextBody"/>
        <w:bidi w:val="0"/>
        <w:spacing w:before="180" w:after="283"/>
        <w:jc w:val="both"/>
        <w:rPr>
          <w:rFonts w:ascii="Arial" w:hAnsi="Arial"/>
          <w:color w:val="000000"/>
          <w:sz w:val="20"/>
        </w:rPr>
      </w:pPr>
      <w:r>
        <w:rPr>
          <w:rFonts w:ascii="Arial" w:hAnsi="Arial"/>
          <w:color w:val="000000"/>
          <w:sz w:val="20"/>
        </w:rPr>
        <w:t>The following table outlines the estimated future amortization expense related to intangible assets held as of September 30, 2025:</w:t>
      </w:r>
    </w:p>
    <w:p>
      <w:pPr>
        <w:pStyle w:val="TextBody"/>
        <w:bidi w:val="0"/>
        <w:jc w:val="both"/>
        <w:rPr/>
      </w:pPr>
      <w:r>
        <w:rPr/>
        <w:t> </w:t>
      </w:r>
    </w:p>
    <w:tbl>
      <w:tblPr>
        <w:tblW w:w="7450" w:type="dxa"/>
        <w:jc w:val="left"/>
        <w:tblInd w:w="0" w:type="dxa"/>
        <w:tblLayout w:type="fixed"/>
        <w:tblCellMar>
          <w:top w:w="28" w:type="dxa"/>
          <w:left w:w="28" w:type="dxa"/>
          <w:bottom w:w="28" w:type="dxa"/>
          <w:right w:w="28" w:type="dxa"/>
        </w:tblCellMar>
      </w:tblPr>
      <w:tblGrid>
        <w:gridCol w:w="5721"/>
        <w:gridCol w:w="146"/>
        <w:gridCol w:w="211"/>
        <w:gridCol w:w="691"/>
        <w:gridCol w:w="681"/>
      </w:tblGrid>
      <w:tr>
        <w:trPr/>
        <w:tc>
          <w:tcPr>
            <w:tcW w:w="5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57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Ending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7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2026 (excluding the three months ended September 30,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3,186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7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2,932</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7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2,038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7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1,853</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7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2030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1,385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7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Thereafter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9,842</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72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21,236</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18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90" w:after="283"/>
        <w:jc w:val="center"/>
        <w:rPr>
          <w:rFonts w:ascii="Times New Roman" w:hAnsi="Times New Roman"/>
          <w:sz w:val="20"/>
        </w:rPr>
      </w:pPr>
      <w:r>
        <w:rPr>
          <w:rFonts w:ascii="Arial" w:hAnsi="Arial"/>
          <w:color w:val="000000"/>
          <w:sz w:val="20"/>
          <w:u w:val="single"/>
        </w:rPr>
        <w:t>NOTE 9 — DEBT</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components of long-term debt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01"/>
        <w:gridCol w:w="146"/>
        <w:gridCol w:w="146"/>
        <w:gridCol w:w="526"/>
        <w:gridCol w:w="226"/>
        <w:gridCol w:w="526"/>
        <w:gridCol w:w="146"/>
        <w:gridCol w:w="146"/>
        <w:gridCol w:w="532"/>
        <w:gridCol w:w="226"/>
        <w:gridCol w:w="532"/>
        <w:gridCol w:w="146"/>
        <w:gridCol w:w="146"/>
        <w:gridCol w:w="532"/>
        <w:gridCol w:w="226"/>
        <w:gridCol w:w="532"/>
        <w:gridCol w:w="146"/>
        <w:gridCol w:w="146"/>
        <w:gridCol w:w="228"/>
        <w:gridCol w:w="750"/>
        <w:gridCol w:w="166"/>
        <w:gridCol w:w="146"/>
        <w:gridCol w:w="211"/>
        <w:gridCol w:w="691"/>
        <w:gridCol w:w="686"/>
      </w:tblGrid>
      <w:tr>
        <w:trPr/>
        <w:tc>
          <w:tcPr>
            <w:tcW w:w="2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30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issuance by calendar year)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4"/>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Maturities</w:t>
            </w:r>
          </w:p>
          <w:p>
            <w:pPr>
              <w:pStyle w:val="TableContents"/>
              <w:bidi w:val="0"/>
              <w:spacing w:before="0" w:after="283"/>
              <w:jc w:val="center"/>
              <w:rPr>
                <w:rFonts w:ascii="Arial" w:hAnsi="Arial"/>
                <w:b/>
                <w:color w:val="000000"/>
                <w:sz w:val="15"/>
              </w:rPr>
            </w:pPr>
            <w:r>
              <w:rPr>
                <w:rFonts w:ascii="Arial" w:hAnsi="Arial"/>
                <w:b/>
                <w:color w:val="000000"/>
                <w:sz w:val="15"/>
              </w:rPr>
              <w:t>(calendar year)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4"/>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Stated Interest</w:t>
            </w:r>
          </w:p>
          <w:p>
            <w:pPr>
              <w:pStyle w:val="TableContents"/>
              <w:bidi w:val="0"/>
              <w:spacing w:before="0" w:after="283"/>
              <w:jc w:val="center"/>
              <w:rPr>
                <w:rFonts w:ascii="Arial" w:hAnsi="Arial"/>
                <w:b/>
                <w:color w:val="000000"/>
                <w:sz w:val="15"/>
              </w:rPr>
            </w:pPr>
            <w:r>
              <w:rPr>
                <w:rFonts w:ascii="Arial" w:hAnsi="Arial"/>
                <w:b/>
                <w:color w:val="000000"/>
                <w:sz w:val="15"/>
              </w:rPr>
              <w:t>Rate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Effective Interest</w:t>
            </w:r>
          </w:p>
          <w:p>
            <w:pPr>
              <w:pStyle w:val="TableContents"/>
              <w:bidi w:val="0"/>
              <w:spacing w:before="0" w:after="283"/>
              <w:jc w:val="center"/>
              <w:rPr>
                <w:rFonts w:ascii="Arial" w:hAnsi="Arial"/>
                <w:b/>
                <w:color w:val="000000"/>
                <w:sz w:val="15"/>
              </w:rPr>
            </w:pPr>
            <w:r>
              <w:rPr>
                <w:rFonts w:ascii="Arial" w:hAnsi="Arial"/>
                <w:b/>
                <w:color w:val="000000"/>
                <w:sz w:val="15"/>
              </w:rPr>
              <w:t>Rate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September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6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36"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9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3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2009</w:t>
            </w:r>
            <w:r>
              <w:rPr>
                <w:rFonts w:ascii="Times New Roman" w:hAnsi="Times New Roman"/>
                <w:color w:val="000000"/>
                <w:sz w:val="20"/>
              </w:rPr>
              <w:t> </w:t>
            </w:r>
            <w:r>
              <w:rPr>
                <w:rFonts w:ascii="Arial" w:hAnsi="Arial"/>
                <w:color w:val="000000"/>
                <w:sz w:val="20"/>
              </w:rPr>
              <w:t>issuance of $3.8</w:t>
            </w:r>
            <w:r>
              <w:rPr>
                <w:rFonts w:ascii="Times New Roman" w:hAnsi="Times New Roman"/>
                <w:color w:val="000000"/>
                <w:sz w:val="20"/>
              </w:rPr>
              <w:t> </w:t>
            </w:r>
            <w:r>
              <w:rPr>
                <w:rFonts w:ascii="Arial" w:hAnsi="Arial"/>
                <w:color w:val="000000"/>
                <w:sz w:val="20"/>
              </w:rPr>
              <w:t>billion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2039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5.20%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w:t>
            </w:r>
          </w:p>
        </w:tc>
        <w:tc>
          <w:tcPr>
            <w:tcW w:w="6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0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2010</w:t>
            </w:r>
            <w:r>
              <w:rPr>
                <w:rFonts w:ascii="Times New Roman" w:hAnsi="Times New Roman"/>
                <w:color w:val="000000"/>
                <w:sz w:val="20"/>
              </w:rPr>
              <w:t> </w:t>
            </w:r>
            <w:r>
              <w:rPr>
                <w:rFonts w:ascii="Arial" w:hAnsi="Arial"/>
                <w:color w:val="000000"/>
                <w:sz w:val="20"/>
              </w:rPr>
              <w:t>issuance of $4.8</w:t>
            </w:r>
            <w:r>
              <w:rPr>
                <w:rFonts w:ascii="Times New Roman" w:hAnsi="Times New Roman"/>
                <w:color w:val="000000"/>
                <w:sz w:val="20"/>
              </w:rPr>
              <w:t> </w:t>
            </w:r>
            <w:r>
              <w:rPr>
                <w:rFonts w:ascii="Arial" w:hAnsi="Arial"/>
                <w:color w:val="000000"/>
                <w:sz w:val="20"/>
              </w:rPr>
              <w:t>billion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2040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4.57%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w:t>
            </w:r>
          </w:p>
        </w:tc>
        <w:tc>
          <w:tcPr>
            <w:tcW w:w="68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2011</w:t>
            </w:r>
            <w:r>
              <w:rPr>
                <w:rFonts w:ascii="Times New Roman" w:hAnsi="Times New Roman"/>
                <w:color w:val="000000"/>
                <w:sz w:val="20"/>
              </w:rPr>
              <w:t> </w:t>
            </w:r>
            <w:r>
              <w:rPr>
                <w:rFonts w:ascii="Arial" w:hAnsi="Arial"/>
                <w:color w:val="000000"/>
                <w:sz w:val="20"/>
              </w:rPr>
              <w:t>issuance of $2.3</w:t>
            </w:r>
            <w:r>
              <w:rPr>
                <w:rFonts w:ascii="Times New Roman" w:hAnsi="Times New Roman"/>
                <w:color w:val="000000"/>
                <w:sz w:val="20"/>
              </w:rPr>
              <w:t> </w:t>
            </w:r>
            <w:r>
              <w:rPr>
                <w:rFonts w:ascii="Arial" w:hAnsi="Arial"/>
                <w:color w:val="000000"/>
                <w:sz w:val="20"/>
              </w:rPr>
              <w:t>billion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2041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5.30%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5.36%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718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718</w:t>
            </w:r>
          </w:p>
        </w:tc>
        <w:tc>
          <w:tcPr>
            <w:tcW w:w="6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2012</w:t>
            </w:r>
            <w:r>
              <w:rPr>
                <w:rFonts w:ascii="Times New Roman" w:hAnsi="Times New Roman"/>
                <w:color w:val="000000"/>
                <w:sz w:val="20"/>
              </w:rPr>
              <w:t> </w:t>
            </w:r>
            <w:r>
              <w:rPr>
                <w:rFonts w:ascii="Arial" w:hAnsi="Arial"/>
                <w:color w:val="000000"/>
                <w:sz w:val="20"/>
              </w:rPr>
              <w:t>issuance of $2.3</w:t>
            </w:r>
            <w:r>
              <w:rPr>
                <w:rFonts w:ascii="Times New Roman" w:hAnsi="Times New Roman"/>
                <w:color w:val="000000"/>
                <w:sz w:val="20"/>
              </w:rPr>
              <w:t> </w:t>
            </w:r>
            <w:r>
              <w:rPr>
                <w:rFonts w:ascii="Arial" w:hAnsi="Arial"/>
                <w:color w:val="000000"/>
                <w:sz w:val="20"/>
              </w:rPr>
              <w:t>billion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w:t>
            </w:r>
          </w:p>
        </w:tc>
        <w:tc>
          <w:tcPr>
            <w:tcW w:w="68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3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2013</w:t>
            </w:r>
            <w:r>
              <w:rPr>
                <w:rFonts w:ascii="Times New Roman" w:hAnsi="Times New Roman"/>
                <w:color w:val="000000"/>
                <w:sz w:val="20"/>
              </w:rPr>
              <w:t> </w:t>
            </w:r>
            <w:r>
              <w:rPr>
                <w:rFonts w:ascii="Arial" w:hAnsi="Arial"/>
                <w:color w:val="000000"/>
                <w:sz w:val="20"/>
              </w:rPr>
              <w:t>issuance of $5.2</w:t>
            </w:r>
            <w:r>
              <w:rPr>
                <w:rFonts w:ascii="Times New Roman" w:hAnsi="Times New Roman"/>
                <w:color w:val="000000"/>
                <w:sz w:val="20"/>
              </w:rPr>
              <w:t> </w:t>
            </w:r>
            <w:r>
              <w:rPr>
                <w:rFonts w:ascii="Arial" w:hAnsi="Arial"/>
                <w:color w:val="000000"/>
                <w:sz w:val="20"/>
              </w:rPr>
              <w:t>billion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2043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3.75%</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4.88%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3.83%</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w:t>
            </w:r>
          </w:p>
        </w:tc>
        <w:tc>
          <w:tcPr>
            <w:tcW w:w="6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0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2013</w:t>
            </w:r>
            <w:r>
              <w:rPr>
                <w:rFonts w:ascii="Times New Roman" w:hAnsi="Times New Roman"/>
                <w:color w:val="000000"/>
                <w:sz w:val="20"/>
              </w:rPr>
              <w:t> </w:t>
            </w:r>
            <w:r>
              <w:rPr>
                <w:rFonts w:ascii="Arial" w:hAnsi="Arial"/>
                <w:color w:val="000000"/>
                <w:sz w:val="20"/>
              </w:rPr>
              <w:t>issuance of €4.1</w:t>
            </w:r>
            <w:r>
              <w:rPr>
                <w:rFonts w:ascii="Times New Roman" w:hAnsi="Times New Roman"/>
                <w:color w:val="000000"/>
                <w:sz w:val="20"/>
              </w:rPr>
              <w:t> </w:t>
            </w:r>
            <w:r>
              <w:rPr>
                <w:rFonts w:ascii="Arial" w:hAnsi="Arial"/>
                <w:color w:val="000000"/>
                <w:sz w:val="20"/>
              </w:rPr>
              <w:t>billion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2028</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2.63%</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2.69%</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2,702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2,700</w:t>
            </w:r>
          </w:p>
        </w:tc>
        <w:tc>
          <w:tcPr>
            <w:tcW w:w="68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3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2015</w:t>
            </w:r>
            <w:r>
              <w:rPr>
                <w:rFonts w:ascii="Times New Roman" w:hAnsi="Times New Roman"/>
                <w:color w:val="000000"/>
                <w:sz w:val="20"/>
              </w:rPr>
              <w:t> </w:t>
            </w:r>
            <w:r>
              <w:rPr>
                <w:rFonts w:ascii="Arial" w:hAnsi="Arial"/>
                <w:color w:val="000000"/>
                <w:sz w:val="20"/>
              </w:rPr>
              <w:t>issuance of $23.8</w:t>
            </w:r>
            <w:r>
              <w:rPr>
                <w:rFonts w:ascii="Times New Roman" w:hAnsi="Times New Roman"/>
                <w:color w:val="000000"/>
                <w:sz w:val="20"/>
              </w:rPr>
              <w:t> </w:t>
            </w:r>
            <w:r>
              <w:rPr>
                <w:rFonts w:ascii="Arial" w:hAnsi="Arial"/>
                <w:color w:val="000000"/>
                <w:sz w:val="20"/>
              </w:rPr>
              <w:t>billion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2055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3.13%</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4.75%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3.18%</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4.78%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7,555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7,555</w:t>
            </w:r>
          </w:p>
        </w:tc>
        <w:tc>
          <w:tcPr>
            <w:tcW w:w="6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0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2016</w:t>
            </w:r>
            <w:r>
              <w:rPr>
                <w:rFonts w:ascii="Times New Roman" w:hAnsi="Times New Roman"/>
                <w:color w:val="000000"/>
                <w:sz w:val="20"/>
              </w:rPr>
              <w:t> </w:t>
            </w:r>
            <w:r>
              <w:rPr>
                <w:rFonts w:ascii="Arial" w:hAnsi="Arial"/>
                <w:color w:val="000000"/>
                <w:sz w:val="20"/>
              </w:rPr>
              <w:t>issuance of $19.8</w:t>
            </w:r>
            <w:r>
              <w:rPr>
                <w:rFonts w:ascii="Times New Roman" w:hAnsi="Times New Roman"/>
                <w:color w:val="000000"/>
                <w:sz w:val="20"/>
              </w:rPr>
              <w:t> </w:t>
            </w:r>
            <w:r>
              <w:rPr>
                <w:rFonts w:ascii="Arial" w:hAnsi="Arial"/>
                <w:color w:val="000000"/>
                <w:sz w:val="20"/>
              </w:rPr>
              <w:t>billion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2056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2.40%</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2.46%</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7,930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7,930</w:t>
            </w:r>
          </w:p>
        </w:tc>
        <w:tc>
          <w:tcPr>
            <w:tcW w:w="68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2017</w:t>
            </w:r>
            <w:r>
              <w:rPr>
                <w:rFonts w:ascii="Times New Roman" w:hAnsi="Times New Roman"/>
                <w:color w:val="000000"/>
                <w:sz w:val="20"/>
              </w:rPr>
              <w:t> </w:t>
            </w:r>
            <w:r>
              <w:rPr>
                <w:rFonts w:ascii="Arial" w:hAnsi="Arial"/>
                <w:color w:val="000000"/>
                <w:sz w:val="20"/>
              </w:rPr>
              <w:t>issuance of $17.1</w:t>
            </w:r>
            <w:r>
              <w:rPr>
                <w:rFonts w:ascii="Times New Roman" w:hAnsi="Times New Roman"/>
                <w:color w:val="000000"/>
                <w:sz w:val="20"/>
              </w:rPr>
              <w:t> </w:t>
            </w:r>
            <w:r>
              <w:rPr>
                <w:rFonts w:ascii="Arial" w:hAnsi="Arial"/>
                <w:color w:val="000000"/>
                <w:sz w:val="20"/>
              </w:rPr>
              <w:t>billion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2057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3.30%</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3.38%</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6,833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6,833</w:t>
            </w:r>
          </w:p>
        </w:tc>
        <w:tc>
          <w:tcPr>
            <w:tcW w:w="6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0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2020</w:t>
            </w:r>
            <w:r>
              <w:rPr>
                <w:rFonts w:ascii="Times New Roman" w:hAnsi="Times New Roman"/>
                <w:color w:val="000000"/>
                <w:sz w:val="20"/>
              </w:rPr>
              <w:t> </w:t>
            </w:r>
            <w:r>
              <w:rPr>
                <w:rFonts w:ascii="Arial" w:hAnsi="Arial"/>
                <w:color w:val="000000"/>
                <w:sz w:val="20"/>
              </w:rPr>
              <w:t>issuance of $10.1</w:t>
            </w:r>
            <w:r>
              <w:rPr>
                <w:rFonts w:ascii="Times New Roman" w:hAnsi="Times New Roman"/>
                <w:color w:val="000000"/>
                <w:sz w:val="20"/>
              </w:rPr>
              <w:t> </w:t>
            </w:r>
            <w:r>
              <w:rPr>
                <w:rFonts w:ascii="Arial" w:hAnsi="Arial"/>
                <w:color w:val="000000"/>
                <w:sz w:val="20"/>
              </w:rPr>
              <w:t>billion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2030</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2060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2.68%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2.53%</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10,111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10,111</w:t>
            </w:r>
          </w:p>
        </w:tc>
        <w:tc>
          <w:tcPr>
            <w:tcW w:w="68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2021</w:t>
            </w:r>
            <w:r>
              <w:rPr>
                <w:rFonts w:ascii="Times New Roman" w:hAnsi="Times New Roman"/>
                <w:color w:val="000000"/>
                <w:sz w:val="20"/>
              </w:rPr>
              <w:t> </w:t>
            </w:r>
            <w:r>
              <w:rPr>
                <w:rFonts w:ascii="Arial" w:hAnsi="Arial"/>
                <w:color w:val="000000"/>
                <w:sz w:val="20"/>
              </w:rPr>
              <w:t>issuance of $8.2</w:t>
            </w:r>
            <w:r>
              <w:rPr>
                <w:rFonts w:ascii="Times New Roman" w:hAnsi="Times New Roman"/>
                <w:color w:val="000000"/>
                <w:sz w:val="20"/>
              </w:rPr>
              <w:t> </w:t>
            </w:r>
            <w:r>
              <w:rPr>
                <w:rFonts w:ascii="Arial" w:hAnsi="Arial"/>
                <w:color w:val="000000"/>
                <w:sz w:val="20"/>
              </w:rPr>
              <w:t>billion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2052</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2062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2.92%</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3.04%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2.92%</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3.04%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8,185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8,185</w:t>
            </w:r>
          </w:p>
        </w:tc>
        <w:tc>
          <w:tcPr>
            <w:tcW w:w="6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2023 issuance of $0.1</w:t>
            </w:r>
            <w:r>
              <w:rPr>
                <w:rFonts w:ascii="Times New Roman" w:hAnsi="Times New Roman"/>
                <w:color w:val="000000"/>
                <w:sz w:val="20"/>
              </w:rPr>
              <w:t> </w:t>
            </w:r>
            <w:r>
              <w:rPr>
                <w:rFonts w:ascii="Arial" w:hAnsi="Arial"/>
                <w:color w:val="000000"/>
                <w:sz w:val="20"/>
              </w:rPr>
              <w:t>billion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68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3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2024 issuance of $3.3</w:t>
            </w:r>
            <w:r>
              <w:rPr>
                <w:rFonts w:ascii="Times New Roman" w:hAnsi="Times New Roman"/>
                <w:color w:val="000000"/>
                <w:sz w:val="20"/>
              </w:rPr>
              <w:t> </w:t>
            </w:r>
            <w:r>
              <w:rPr>
                <w:rFonts w:ascii="Arial" w:hAnsi="Arial"/>
                <w:color w:val="000000"/>
                <w:sz w:val="20"/>
              </w:rPr>
              <w:t>billion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5.16%</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3,344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3,344</w:t>
            </w:r>
          </w:p>
        </w:tc>
        <w:tc>
          <w:tcPr>
            <w:tcW w:w="6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4"/>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30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face value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49,208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49,206</w:t>
            </w:r>
          </w:p>
        </w:tc>
        <w:tc>
          <w:tcPr>
            <w:tcW w:w="68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Unamortized discount and issuance costs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(1,136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(1,155</w:t>
            </w:r>
          </w:p>
        </w:tc>
        <w:tc>
          <w:tcPr>
            <w:tcW w:w="6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230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Hedge fair value adjustments </w:t>
            </w:r>
            <w:r>
              <w:rPr>
                <w:rFonts w:ascii="Arial" w:hAnsi="Arial"/>
                <w:color w:val="000000"/>
                <w:sz w:val="13"/>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6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23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Premium on debt exchange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(4,836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(4,864</w:t>
            </w:r>
          </w:p>
        </w:tc>
        <w:tc>
          <w:tcPr>
            <w:tcW w:w="68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4"/>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30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debt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43,208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43,151</w:t>
            </w:r>
          </w:p>
        </w:tc>
        <w:tc>
          <w:tcPr>
            <w:tcW w:w="68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Current portion of long-term debt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(7,832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(2,999</w:t>
            </w:r>
          </w:p>
        </w:tc>
        <w:tc>
          <w:tcPr>
            <w:tcW w:w="68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4"/>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30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Long-term debt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35,376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40,152</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0"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i/>
          <w:color w:val="000000"/>
          <w:sz w:val="20"/>
        </w:rPr>
      </w:pPr>
      <w:r>
        <w:rPr>
          <w:rFonts w:ascii="Arial" w:hAnsi="Arial"/>
          <w:i/>
          <w:color w:val="000000"/>
          <w:sz w:val="20"/>
        </w:rPr>
        <w:t>Refer to Note 5 – Derivatives for further information on the interest rate swaps related to fixed-rate debt.</w:t>
      </w:r>
    </w:p>
    <w:p>
      <w:pPr>
        <w:pStyle w:val="TextBody"/>
        <w:bidi w:val="0"/>
        <w:spacing w:before="180" w:after="283"/>
        <w:jc w:val="both"/>
        <w:rPr>
          <w:rFonts w:ascii="Times New Roman" w:hAnsi="Times New Roman"/>
          <w:sz w:val="20"/>
        </w:rPr>
      </w:pPr>
      <w:r>
        <w:rPr>
          <w:rFonts w:ascii="Arial" w:hAnsi="Arial"/>
          <w:color w:val="000000"/>
          <w:sz w:val="20"/>
        </w:rPr>
        <w:t>As of September 30, 2025 and June 30, 2025, the estimated fair value of long-term debt, including the current portion, was $40.9</w:t>
      </w:r>
      <w:r>
        <w:rPr>
          <w:rFonts w:ascii="Times New Roman" w:hAnsi="Times New Roman"/>
          <w:color w:val="000000"/>
          <w:sz w:val="20"/>
        </w:rPr>
        <w:t xml:space="preserve"> </w:t>
      </w:r>
      <w:r>
        <w:rPr>
          <w:rFonts w:ascii="Arial" w:hAnsi="Arial"/>
          <w:color w:val="000000"/>
          <w:sz w:val="20"/>
        </w:rPr>
        <w:t>billion and $40.4</w:t>
      </w:r>
      <w:r>
        <w:rPr>
          <w:rFonts w:ascii="Times New Roman" w:hAnsi="Times New Roman"/>
          <w:color w:val="000000"/>
          <w:sz w:val="20"/>
        </w:rPr>
        <w:t xml:space="preserve"> </w:t>
      </w:r>
      <w:r>
        <w:rPr>
          <w:rFonts w:ascii="Arial" w:hAnsi="Arial"/>
          <w:color w:val="000000"/>
          <w:sz w:val="20"/>
        </w:rPr>
        <w:t>billion, respectively. The estimated fair values are based on Level 2 inputs.</w:t>
      </w:r>
    </w:p>
    <w:p>
      <w:pPr>
        <w:pStyle w:val="TextBody"/>
        <w:bidi w:val="0"/>
        <w:spacing w:before="180" w:after="283"/>
        <w:jc w:val="both"/>
        <w:rPr>
          <w:rFonts w:ascii="Arial" w:hAnsi="Arial"/>
          <w:color w:val="000000"/>
          <w:sz w:val="20"/>
        </w:rPr>
      </w:pPr>
      <w:r>
        <w:rPr>
          <w:rFonts w:ascii="Arial" w:hAnsi="Arial"/>
          <w:color w:val="000000"/>
          <w:sz w:val="20"/>
        </w:rPr>
        <w:t>Debt in the table above is comprised of senior unsecured obligations and ranks equally with our other outstanding obligations. Interest is paid semi-annually, except for the Euro-denominated debt, which is paid annually.</w:t>
      </w:r>
    </w:p>
    <w:p>
      <w:pPr>
        <w:pStyle w:val="TextBody"/>
        <w:bidi w:val="0"/>
        <w:spacing w:before="180" w:after="283"/>
        <w:jc w:val="both"/>
        <w:rPr>
          <w:rFonts w:ascii="Arial" w:hAnsi="Arial"/>
          <w:color w:val="000000"/>
          <w:sz w:val="20"/>
        </w:rPr>
      </w:pPr>
      <w:r>
        <w:rPr>
          <w:rFonts w:ascii="Arial" w:hAnsi="Arial"/>
          <w:color w:val="000000"/>
          <w:sz w:val="20"/>
        </w:rPr>
        <w:t>The following table outlines maturities of our long-term debt, including the current portion, as of September 30, 2025:</w:t>
      </w:r>
    </w:p>
    <w:p>
      <w:pPr>
        <w:pStyle w:val="TextBody"/>
        <w:bidi w:val="0"/>
        <w:jc w:val="both"/>
        <w:rPr/>
      </w:pPr>
      <w:r>
        <w:rPr/>
        <w:t> </w:t>
      </w:r>
    </w:p>
    <w:tbl>
      <w:tblPr>
        <w:tblW w:w="8155" w:type="dxa"/>
        <w:jc w:val="left"/>
        <w:tblInd w:w="0" w:type="dxa"/>
        <w:tblLayout w:type="fixed"/>
        <w:tblCellMar>
          <w:top w:w="28" w:type="dxa"/>
          <w:left w:w="28" w:type="dxa"/>
          <w:bottom w:w="28" w:type="dxa"/>
          <w:right w:w="28" w:type="dxa"/>
        </w:tblCellMar>
      </w:tblPr>
      <w:tblGrid>
        <w:gridCol w:w="5716"/>
        <w:gridCol w:w="386"/>
        <w:gridCol w:w="451"/>
        <w:gridCol w:w="931"/>
        <w:gridCol w:w="671"/>
      </w:tblGrid>
      <w:tr>
        <w:trPr/>
        <w:tc>
          <w:tcPr>
            <w:tcW w:w="571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571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7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b/>
                <w:color w:val="000000"/>
                <w:sz w:val="15"/>
              </w:rPr>
            </w:pPr>
            <w:r>
              <w:rPr>
                <w:rFonts w:ascii="Arial" w:hAnsi="Arial"/>
                <w:b/>
                <w:color w:val="000000"/>
                <w:sz w:val="15"/>
              </w:rPr>
              <w:t>Year Ending June 30,</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71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2026 (excluding the three months ended September 30, 2025)</w:t>
            </w:r>
          </w:p>
        </w:tc>
        <w:tc>
          <w:tcPr>
            <w:tcW w:w="38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45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b/>
                <w:color w:val="000000"/>
                <w:sz w:val="20"/>
              </w:rPr>
            </w:pPr>
            <w:r>
              <w:rPr>
                <w:rFonts w:ascii="Arial" w:hAnsi="Arial"/>
                <w:b/>
                <w:color w:val="000000"/>
                <w:sz w:val="20"/>
              </w:rPr>
              <w:t>$</w:t>
            </w:r>
          </w:p>
        </w:tc>
        <w:tc>
          <w:tcPr>
            <w:tcW w:w="93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3,000</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7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2027</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9,250</w:t>
            </w:r>
          </w:p>
        </w:tc>
        <w:tc>
          <w:tcPr>
            <w:tcW w:w="67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71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2028</w:t>
            </w:r>
          </w:p>
        </w:tc>
        <w:tc>
          <w:tcPr>
            <w:tcW w:w="38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45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93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0</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7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2029</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2,056</w:t>
            </w:r>
          </w:p>
        </w:tc>
        <w:tc>
          <w:tcPr>
            <w:tcW w:w="67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71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2030</w:t>
            </w:r>
          </w:p>
        </w:tc>
        <w:tc>
          <w:tcPr>
            <w:tcW w:w="38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45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0</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7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Thereafter</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34,902</w:t>
            </w:r>
          </w:p>
        </w:tc>
        <w:tc>
          <w:tcPr>
            <w:tcW w:w="67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71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571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Total</w:t>
            </w:r>
          </w:p>
        </w:tc>
        <w:tc>
          <w:tcPr>
            <w:tcW w:w="38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49,208</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7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NOTE 10 — INCOME TAXES</w:t>
      </w:r>
    </w:p>
    <w:p>
      <w:pPr>
        <w:pStyle w:val="TextBody"/>
        <w:bidi w:val="0"/>
        <w:spacing w:before="180" w:after="283"/>
        <w:jc w:val="both"/>
        <w:rPr>
          <w:rFonts w:ascii="Arial" w:hAnsi="Arial"/>
          <w:b/>
          <w:color w:val="000000"/>
          <w:sz w:val="20"/>
        </w:rPr>
      </w:pPr>
      <w:r>
        <w:rPr>
          <w:rFonts w:ascii="Arial" w:hAnsi="Arial"/>
          <w:b/>
          <w:color w:val="000000"/>
          <w:sz w:val="20"/>
        </w:rPr>
        <w:t>Effective Tax Rate</w:t>
      </w:r>
    </w:p>
    <w:p>
      <w:pPr>
        <w:pStyle w:val="TextBody"/>
        <w:bidi w:val="0"/>
        <w:spacing w:before="180" w:after="283"/>
        <w:jc w:val="both"/>
        <w:rPr>
          <w:rFonts w:ascii="Arial" w:hAnsi="Arial"/>
          <w:color w:val="000000"/>
          <w:sz w:val="20"/>
        </w:rPr>
      </w:pPr>
      <w:r>
        <w:rPr>
          <w:rFonts w:ascii="Arial" w:hAnsi="Arial"/>
          <w:color w:val="000000"/>
          <w:sz w:val="20"/>
        </w:rPr>
        <w:t>Our effective tax rate was 19% for both the three months ended September 30, 2025 and 2024. Our effective tax rate for the three months ended September 30, 2025 was relatively unchanged compared to prior year as U.S. tax law changes from the One Big Beautiful Bill Act enacted on July 4, 2025 were offset by changes in the mix of our earnings and tax expenses between the U.S. and foreign countries.</w:t>
      </w:r>
    </w:p>
    <w:p>
      <w:pPr>
        <w:pStyle w:val="TextBody"/>
        <w:bidi w:val="0"/>
        <w:spacing w:before="240" w:after="283"/>
        <w:jc w:val="center"/>
        <w:rPr>
          <w:rFonts w:ascii="Arial" w:hAnsi="Arial"/>
          <w:color w:val="000000"/>
          <w:sz w:val="16"/>
        </w:rPr>
      </w:pPr>
      <w:r>
        <w:rPr>
          <w:rFonts w:ascii="Arial" w:hAnsi="Arial"/>
          <w:color w:val="000000"/>
          <w:sz w:val="16"/>
        </w:rPr>
        <w:t>19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Our effective tax rate was lower than the U.S. federal statutory rate for the three months ended September 30, 2025, primarily due to earnings taxed at lower rates in foreign jurisdictions resulting from producing and distributing our products and services through our foreign regional operations center in Ireland.</w:t>
      </w:r>
    </w:p>
    <w:p>
      <w:pPr>
        <w:pStyle w:val="TextBody"/>
        <w:bidi w:val="0"/>
        <w:spacing w:before="270" w:after="283"/>
        <w:jc w:val="both"/>
        <w:rPr>
          <w:rFonts w:ascii="Arial" w:hAnsi="Arial"/>
          <w:b/>
          <w:color w:val="000000"/>
          <w:sz w:val="20"/>
        </w:rPr>
      </w:pPr>
      <w:r>
        <w:rPr>
          <w:rFonts w:ascii="Arial" w:hAnsi="Arial"/>
          <w:b/>
          <w:color w:val="000000"/>
          <w:sz w:val="20"/>
        </w:rPr>
        <w:t>Uncertain Tax Positions</w:t>
      </w:r>
    </w:p>
    <w:p>
      <w:pPr>
        <w:pStyle w:val="TextBody"/>
        <w:bidi w:val="0"/>
        <w:spacing w:before="180" w:after="283"/>
        <w:jc w:val="both"/>
        <w:rPr>
          <w:rFonts w:ascii="Times New Roman" w:hAnsi="Times New Roman"/>
          <w:sz w:val="20"/>
        </w:rPr>
      </w:pPr>
      <w:r>
        <w:rPr>
          <w:rFonts w:ascii="Arial" w:hAnsi="Arial"/>
          <w:color w:val="000000"/>
          <w:sz w:val="20"/>
        </w:rPr>
        <w:t>As of September 30, 2025 and June 30, 2025, unrecognized tax benefits and other income tax liabilities were $28.0</w:t>
      </w:r>
      <w:r>
        <w:rPr>
          <w:rFonts w:ascii="Times New Roman" w:hAnsi="Times New Roman"/>
          <w:color w:val="000000"/>
          <w:sz w:val="20"/>
        </w:rPr>
        <w:t xml:space="preserve"> </w:t>
      </w:r>
      <w:r>
        <w:rPr>
          <w:rFonts w:ascii="Arial" w:hAnsi="Arial"/>
          <w:color w:val="000000"/>
          <w:sz w:val="20"/>
        </w:rPr>
        <w:t>billion and $27.4</w:t>
      </w:r>
      <w:r>
        <w:rPr>
          <w:rFonts w:ascii="Times New Roman" w:hAnsi="Times New Roman"/>
          <w:color w:val="000000"/>
          <w:sz w:val="20"/>
        </w:rPr>
        <w:t xml:space="preserve"> </w:t>
      </w:r>
      <w:r>
        <w:rPr>
          <w:rFonts w:ascii="Arial" w:hAnsi="Arial"/>
          <w:color w:val="000000"/>
          <w:sz w:val="20"/>
        </w:rPr>
        <w:t>billion, respectively, and are included in long-term income taxes in our consolidated balance sheets.</w:t>
      </w:r>
    </w:p>
    <w:p>
      <w:pPr>
        <w:pStyle w:val="TextBody"/>
        <w:bidi w:val="0"/>
        <w:spacing w:before="180" w:after="283"/>
        <w:jc w:val="both"/>
        <w:rPr>
          <w:rFonts w:ascii="Times New Roman" w:hAnsi="Times New Roman"/>
          <w:sz w:val="20"/>
        </w:rPr>
      </w:pPr>
      <w:r>
        <w:rPr>
          <w:rFonts w:ascii="Arial" w:hAnsi="Arial"/>
          <w:color w:val="000000"/>
          <w:sz w:val="20"/>
        </w:rPr>
        <w:t>We remain under audit by the IRS for tax years 2014 to 2017. With respect to the audit for tax years 2004 to 2013, on September 26, 2023, we received Notices of Proposed Adjustment (“NOPAs”) from the IRS. The primary issues in the NOPAs relate to intercompany transfer pricing. In the NOPAs, the IRS is seeking an additional tax payment of $28.9</w:t>
      </w:r>
      <w:r>
        <w:rPr>
          <w:rFonts w:ascii="Times New Roman" w:hAnsi="Times New Roman"/>
          <w:color w:val="000000"/>
          <w:sz w:val="20"/>
        </w:rPr>
        <w:t xml:space="preserve"> </w:t>
      </w:r>
      <w:r>
        <w:rPr>
          <w:rFonts w:ascii="Arial" w:hAnsi="Arial"/>
          <w:color w:val="000000"/>
          <w:sz w:val="20"/>
        </w:rPr>
        <w:t>billion plus penalties and interest. As of September 30, 2025, we believe our allowances for income tax contingencies are adequate. We disagree with the proposed adjustments and will vigorously contest the NOPAs through the IRS’s administrative appeals office and, if necessary, judicial proceedings. We do not expect a final resolution of these issues in the next 12 months. Based on the information currently available, we do not anticipate a significant increase or decrease to our income tax contingencies for these issues within the next 12 months.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are subject to income tax in many jurisdictions outside the U.S., some of which are currently under audit by local tax authorities. The resolution of these audits is not expected to be material to our consolidated financial statements. Our operations in Ireland remain subject to examination for tax years 2020 and thereafter.</w:t>
      </w:r>
    </w:p>
    <w:p>
      <w:pPr>
        <w:pStyle w:val="TextBody"/>
        <w:bidi w:val="0"/>
        <w:spacing w:before="270" w:after="283"/>
        <w:jc w:val="center"/>
        <w:rPr>
          <w:rFonts w:ascii="Times New Roman" w:hAnsi="Times New Roman"/>
          <w:sz w:val="20"/>
        </w:rPr>
      </w:pPr>
      <w:r>
        <w:rPr>
          <w:rFonts w:ascii="Arial" w:hAnsi="Arial"/>
          <w:color w:val="000000"/>
          <w:sz w:val="20"/>
          <w:u w:val="single"/>
        </w:rPr>
        <w:t>NOTE 11 — UNEARNED REVENUE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Unearned revenue by segment was as follows:</w:t>
      </w:r>
    </w:p>
    <w:p>
      <w:pPr>
        <w:pStyle w:val="TextBody"/>
        <w:bidi w:val="0"/>
        <w:jc w:val="left"/>
        <w:rPr/>
      </w:pPr>
      <w:r>
        <w:rPr/>
        <w:t> </w:t>
      </w:r>
    </w:p>
    <w:tbl>
      <w:tblPr>
        <w:tblW w:w="6582" w:type="dxa"/>
        <w:jc w:val="left"/>
        <w:tblInd w:w="0" w:type="dxa"/>
        <w:tblLayout w:type="fixed"/>
        <w:tblCellMar>
          <w:top w:w="28" w:type="dxa"/>
          <w:left w:w="28" w:type="dxa"/>
          <w:bottom w:w="28" w:type="dxa"/>
          <w:right w:w="28" w:type="dxa"/>
        </w:tblCellMar>
      </w:tblPr>
      <w:tblGrid>
        <w:gridCol w:w="3636"/>
        <w:gridCol w:w="146"/>
        <w:gridCol w:w="273"/>
        <w:gridCol w:w="897"/>
        <w:gridCol w:w="146"/>
        <w:gridCol w:w="146"/>
        <w:gridCol w:w="211"/>
        <w:gridCol w:w="691"/>
        <w:gridCol w:w="436"/>
      </w:tblGrid>
      <w:tr>
        <w:trP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September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4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Productivity and Business Processes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9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46,357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50,567</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Intelligent Cloud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12,659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14,022</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More Personal Computing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2,517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2,676</w:t>
            </w:r>
          </w:p>
        </w:tc>
        <w:tc>
          <w:tcPr>
            <w:tcW w:w="43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9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61,533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67,265</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Changes in unearned revenue were as follows:</w:t>
      </w:r>
    </w:p>
    <w:p>
      <w:pPr>
        <w:pStyle w:val="TextBody"/>
        <w:bidi w:val="0"/>
        <w:jc w:val="both"/>
        <w:rPr/>
      </w:pPr>
      <w:r>
        <w:rPr/>
        <w:t> </w:t>
      </w:r>
    </w:p>
    <w:tbl>
      <w:tblPr>
        <w:tblW w:w="5250" w:type="dxa"/>
        <w:jc w:val="left"/>
        <w:tblInd w:w="0" w:type="dxa"/>
        <w:tblLayout w:type="fixed"/>
        <w:tblCellMar>
          <w:top w:w="28" w:type="dxa"/>
          <w:left w:w="28" w:type="dxa"/>
          <w:bottom w:w="28" w:type="dxa"/>
          <w:right w:w="28" w:type="dxa"/>
        </w:tblCellMar>
      </w:tblPr>
      <w:tblGrid>
        <w:gridCol w:w="3461"/>
        <w:gridCol w:w="146"/>
        <w:gridCol w:w="211"/>
        <w:gridCol w:w="751"/>
        <w:gridCol w:w="681"/>
      </w:tblGrid>
      <w:tr>
        <w:trPr/>
        <w:tc>
          <w:tcPr>
            <w:tcW w:w="34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34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56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569" w:type="dxa"/>
            <w:gridSpan w:val="4"/>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b/>
                <w:color w:val="000000"/>
                <w:sz w:val="15"/>
              </w:rPr>
            </w:pPr>
            <w:r>
              <w:rPr>
                <w:rFonts w:ascii="Arial" w:hAnsi="Arial"/>
                <w:b/>
                <w:color w:val="000000"/>
                <w:sz w:val="15"/>
              </w:rPr>
              <w:t>Three Months Ended September 30, 2025</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4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67,265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46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Deferral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44,297</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46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Recognition of unearned 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(50,029</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4569" w:type="dxa"/>
            <w:gridSpan w:val="4"/>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346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Balance, end of period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61,533</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Revenue allocated to remaining performance obligations, which includes unearned revenue and amounts that will be invoiced and recognized as revenue in future periods, was $398</w:t>
      </w:r>
      <w:r>
        <w:rPr>
          <w:rFonts w:ascii="Times New Roman" w:hAnsi="Times New Roman"/>
          <w:color w:val="000000"/>
          <w:sz w:val="20"/>
        </w:rPr>
        <w:t xml:space="preserve"> </w:t>
      </w:r>
      <w:r>
        <w:rPr>
          <w:rFonts w:ascii="Arial" w:hAnsi="Arial"/>
          <w:color w:val="000000"/>
          <w:sz w:val="20"/>
        </w:rPr>
        <w:t>billion as of September 30, 2025, of which $392</w:t>
      </w:r>
      <w:r>
        <w:rPr>
          <w:rFonts w:ascii="Times New Roman" w:hAnsi="Times New Roman"/>
          <w:color w:val="000000"/>
          <w:sz w:val="20"/>
        </w:rPr>
        <w:t xml:space="preserve"> </w:t>
      </w:r>
      <w:r>
        <w:rPr>
          <w:rFonts w:ascii="Arial" w:hAnsi="Arial"/>
          <w:color w:val="000000"/>
          <w:sz w:val="20"/>
        </w:rPr>
        <w:t>billion is related to the commercial portion of revenue. We expect to recognize approximately 40% of our total company remaining performance obligation revenue over the next 12</w:t>
      </w:r>
      <w:r>
        <w:rPr>
          <w:rFonts w:ascii="Times New Roman" w:hAnsi="Times New Roman"/>
          <w:color w:val="000000"/>
          <w:sz w:val="20"/>
        </w:rPr>
        <w:t xml:space="preserve"> </w:t>
      </w:r>
      <w:r>
        <w:rPr>
          <w:rFonts w:ascii="Arial" w:hAnsi="Arial"/>
          <w:color w:val="000000"/>
          <w:sz w:val="20"/>
        </w:rPr>
        <w:t>months and the remainder thereafter.</w:t>
      </w:r>
    </w:p>
    <w:p>
      <w:pPr>
        <w:pStyle w:val="TextBody"/>
        <w:bidi w:val="0"/>
        <w:spacing w:before="270" w:after="283"/>
        <w:jc w:val="center"/>
        <w:rPr>
          <w:rFonts w:ascii="Times New Roman" w:hAnsi="Times New Roman"/>
          <w:sz w:val="20"/>
        </w:rPr>
      </w:pPr>
      <w:r>
        <w:rPr>
          <w:rFonts w:ascii="Arial" w:hAnsi="Arial"/>
          <w:color w:val="000000"/>
          <w:sz w:val="20"/>
          <w:u w:val="single"/>
        </w:rPr>
        <w:t xml:space="preserve">NOTE 12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color w:val="000000"/>
          <w:sz w:val="20"/>
          <w:u w:val="single"/>
        </w:rPr>
        <w:t>LEASES</w:t>
      </w:r>
    </w:p>
    <w:p>
      <w:pPr>
        <w:pStyle w:val="TextBody"/>
        <w:bidi w:val="0"/>
        <w:spacing w:before="180" w:after="283"/>
        <w:jc w:val="both"/>
        <w:rPr>
          <w:rFonts w:ascii="Times New Roman" w:hAnsi="Times New Roman"/>
          <w:sz w:val="20"/>
        </w:rPr>
      </w:pPr>
      <w:r>
        <w:rPr>
          <w:rFonts w:ascii="Arial" w:hAnsi="Arial"/>
          <w:color w:val="000000"/>
          <w:sz w:val="20"/>
        </w:rPr>
        <w:t>We have operating and finance leases for datacenters, corporate offices, research and development facilities, Microsoft Experience Centers, and certain equipment. Our leases have remaining lease terms of less than 1</w:t>
      </w:r>
      <w:r>
        <w:rPr>
          <w:rFonts w:ascii="Times New Roman" w:hAnsi="Times New Roman"/>
          <w:color w:val="000000"/>
          <w:sz w:val="20"/>
        </w:rPr>
        <w:t xml:space="preserve"> </w:t>
      </w:r>
      <w:r>
        <w:rPr>
          <w:rFonts w:ascii="Arial" w:hAnsi="Arial"/>
          <w:color w:val="000000"/>
          <w:sz w:val="20"/>
        </w:rPr>
        <w:t>year to 20</w:t>
      </w:r>
      <w:r>
        <w:rPr>
          <w:rFonts w:ascii="Times New Roman" w:hAnsi="Times New Roman"/>
          <w:color w:val="000000"/>
          <w:sz w:val="20"/>
        </w:rPr>
        <w:t xml:space="preserve"> </w:t>
      </w:r>
      <w:r>
        <w:rPr>
          <w:rFonts w:ascii="Arial" w:hAnsi="Arial"/>
          <w:color w:val="000000"/>
          <w:sz w:val="20"/>
        </w:rPr>
        <w:t>years, some of which include options to extend the leases for up to 5</w:t>
      </w:r>
      <w:r>
        <w:rPr>
          <w:rFonts w:ascii="Times New Roman" w:hAnsi="Times New Roman"/>
          <w:color w:val="000000"/>
          <w:sz w:val="20"/>
        </w:rPr>
        <w:t xml:space="preserve"> </w:t>
      </w:r>
      <w:r>
        <w:rPr>
          <w:rFonts w:ascii="Arial" w:hAnsi="Arial"/>
          <w:color w:val="000000"/>
          <w:sz w:val="20"/>
        </w:rPr>
        <w:t>years, and some of which include options to terminate the leases within 1</w:t>
      </w:r>
      <w:r>
        <w:rPr>
          <w:rFonts w:ascii="Times New Roman" w:hAnsi="Times New Roman"/>
          <w:color w:val="000000"/>
          <w:sz w:val="20"/>
        </w:rPr>
        <w:t xml:space="preserve"> </w:t>
      </w:r>
      <w:r>
        <w:rPr>
          <w:rFonts w:ascii="Arial" w:hAnsi="Arial"/>
          <w:color w:val="000000"/>
          <w:sz w:val="20"/>
        </w:rPr>
        <w:t>year.</w:t>
      </w:r>
    </w:p>
    <w:p>
      <w:pPr>
        <w:pStyle w:val="TextBody"/>
        <w:bidi w:val="0"/>
        <w:spacing w:before="240" w:after="283"/>
        <w:jc w:val="center"/>
        <w:rPr>
          <w:rFonts w:ascii="Arial" w:hAnsi="Arial"/>
          <w:color w:val="000000"/>
          <w:sz w:val="16"/>
        </w:rPr>
      </w:pPr>
      <w:r>
        <w:rPr>
          <w:rFonts w:ascii="Arial" w:hAnsi="Arial"/>
          <w:color w:val="000000"/>
          <w:sz w:val="16"/>
        </w:rPr>
        <w:t>20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The components of lease expense were as follows:</w:t>
      </w:r>
    </w:p>
    <w:p>
      <w:pPr>
        <w:pStyle w:val="TextBody"/>
        <w:bidi w:val="0"/>
        <w:jc w:val="both"/>
        <w:rPr/>
      </w:pPr>
      <w:r>
        <w:rPr/>
        <w:t> </w:t>
      </w:r>
    </w:p>
    <w:tbl>
      <w:tblPr>
        <w:tblW w:w="6324" w:type="dxa"/>
        <w:jc w:val="left"/>
        <w:tblInd w:w="0" w:type="dxa"/>
        <w:tblLayout w:type="fixed"/>
        <w:tblCellMar>
          <w:top w:w="28" w:type="dxa"/>
          <w:left w:w="28" w:type="dxa"/>
          <w:bottom w:w="28" w:type="dxa"/>
          <w:right w:w="28" w:type="dxa"/>
        </w:tblCellMar>
      </w:tblPr>
      <w:tblGrid>
        <w:gridCol w:w="3611"/>
        <w:gridCol w:w="146"/>
        <w:gridCol w:w="211"/>
        <w:gridCol w:w="586"/>
        <w:gridCol w:w="146"/>
        <w:gridCol w:w="146"/>
        <w:gridCol w:w="211"/>
        <w:gridCol w:w="586"/>
        <w:gridCol w:w="681"/>
      </w:tblGrid>
      <w:tr>
        <w:trPr/>
        <w:tc>
          <w:tcPr>
            <w:tcW w:w="3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6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6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 cost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1,656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1,161</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81" w:type="dxa"/>
            <w:tcBorders>
              <w:top w:val="single" w:sz="12" w:space="0" w:color="000000"/>
            </w:tcBorders>
            <w:tcMar>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61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Finance lease cost: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61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Amortization of right-of-use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1,173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6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Interest on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6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Total finance lease cost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1,719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971</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Supplemental cash flow information related to leases was as follows:</w:t>
      </w:r>
    </w:p>
    <w:p>
      <w:pPr>
        <w:pStyle w:val="TextBody"/>
        <w:bidi w:val="0"/>
        <w:jc w:val="both"/>
        <w:rPr/>
      </w:pPr>
      <w:r>
        <w:rPr/>
        <w:t> </w:t>
      </w:r>
    </w:p>
    <w:tbl>
      <w:tblPr>
        <w:tblW w:w="9080" w:type="dxa"/>
        <w:jc w:val="left"/>
        <w:tblInd w:w="0" w:type="dxa"/>
        <w:tblLayout w:type="fixed"/>
        <w:tblCellMar>
          <w:top w:w="28" w:type="dxa"/>
          <w:left w:w="28" w:type="dxa"/>
          <w:bottom w:w="28" w:type="dxa"/>
          <w:right w:w="28" w:type="dxa"/>
        </w:tblCellMar>
      </w:tblPr>
      <w:tblGrid>
        <w:gridCol w:w="6511"/>
        <w:gridCol w:w="146"/>
        <w:gridCol w:w="211"/>
        <w:gridCol w:w="586"/>
        <w:gridCol w:w="109"/>
        <w:gridCol w:w="109"/>
        <w:gridCol w:w="211"/>
        <w:gridCol w:w="586"/>
        <w:gridCol w:w="611"/>
      </w:tblGrid>
      <w:tr>
        <w:trPr/>
        <w:tc>
          <w:tcPr>
            <w:tcW w:w="6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5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2"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651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Cash paid for amounts included in the measurement of lease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E5E5E5" w:val="clear"/>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r>
      <w:tr>
        <w:trPr/>
        <w:tc>
          <w:tcPr>
            <w:tcW w:w="6511" w:type="dxa"/>
            <w:tcBorders/>
            <w:tcMar>
              <w:top w:w="0" w:type="dxa"/>
              <w:left w:w="0" w:type="dxa"/>
              <w:bottom w:w="0" w:type="dxa"/>
              <w:right w:w="0" w:type="dxa"/>
            </w:tcMar>
            <w:vAlign w:val="center"/>
          </w:tcPr>
          <w:p>
            <w:pPr>
              <w:pStyle w:val="TableContents"/>
              <w:bidi w:val="0"/>
              <w:spacing w:before="0" w:after="283"/>
              <w:ind w:left="0" w:right="0" w:firstLine="480"/>
              <w:jc w:val="left"/>
              <w:rPr>
                <w:rFonts w:ascii="Arial" w:hAnsi="Arial"/>
                <w:color w:val="000000"/>
                <w:sz w:val="20"/>
              </w:rPr>
            </w:pPr>
            <w:r>
              <w:rPr>
                <w:rFonts w:ascii="Arial" w:hAnsi="Arial"/>
                <w:color w:val="000000"/>
                <w:sz w:val="20"/>
              </w:rPr>
              <w:t>Operating cash flows from operating leases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1,207</w:t>
            </w:r>
          </w:p>
        </w:tc>
        <w:tc>
          <w:tcPr>
            <w:tcW w:w="611" w:type="dxa"/>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r>
      <w:tr>
        <w:trPr/>
        <w:tc>
          <w:tcPr>
            <w:tcW w:w="6511" w:type="dxa"/>
            <w:tcBorders/>
            <w:shd w:fill="E5E5E5" w:val="clear"/>
            <w:tcMar>
              <w:top w:w="0" w:type="dxa"/>
              <w:left w:w="0" w:type="dxa"/>
              <w:bottom w:w="0" w:type="dxa"/>
              <w:right w:w="0" w:type="dxa"/>
            </w:tcMar>
            <w:vAlign w:val="center"/>
          </w:tcPr>
          <w:p>
            <w:pPr>
              <w:pStyle w:val="TableContents"/>
              <w:bidi w:val="0"/>
              <w:spacing w:before="0" w:after="283"/>
              <w:ind w:left="0" w:right="0" w:firstLine="480"/>
              <w:jc w:val="left"/>
              <w:rPr>
                <w:rFonts w:ascii="Arial" w:hAnsi="Arial"/>
                <w:color w:val="000000"/>
                <w:sz w:val="20"/>
              </w:rPr>
            </w:pPr>
            <w:r>
              <w:rPr>
                <w:rFonts w:ascii="Arial" w:hAnsi="Arial"/>
                <w:color w:val="000000"/>
                <w:sz w:val="20"/>
              </w:rPr>
              <w:t>Operating cash flows from finance leases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546</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w:t>
            </w:r>
          </w:p>
        </w:tc>
        <w:tc>
          <w:tcPr>
            <w:tcW w:w="611" w:type="dxa"/>
            <w:tcBorders/>
            <w:shd w:fill="E5E5E5" w:val="clear"/>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r>
      <w:tr>
        <w:trPr/>
        <w:tc>
          <w:tcPr>
            <w:tcW w:w="6511" w:type="dxa"/>
            <w:tcBorders/>
            <w:tcMar>
              <w:top w:w="0" w:type="dxa"/>
              <w:left w:w="0" w:type="dxa"/>
              <w:bottom w:w="0" w:type="dxa"/>
              <w:right w:w="0" w:type="dxa"/>
            </w:tcMar>
            <w:vAlign w:val="center"/>
          </w:tcPr>
          <w:p>
            <w:pPr>
              <w:pStyle w:val="TableContents"/>
              <w:bidi w:val="0"/>
              <w:spacing w:before="0" w:after="283"/>
              <w:ind w:left="0" w:right="0" w:firstLine="480"/>
              <w:jc w:val="left"/>
              <w:rPr>
                <w:rFonts w:ascii="Arial" w:hAnsi="Arial"/>
                <w:color w:val="000000"/>
                <w:sz w:val="20"/>
              </w:rPr>
            </w:pPr>
            <w:r>
              <w:rPr>
                <w:rFonts w:ascii="Arial" w:hAnsi="Arial"/>
                <w:color w:val="000000"/>
                <w:sz w:val="20"/>
              </w:rPr>
              <w:t>Financing cash flows from finance leases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802</w:t>
            </w:r>
          </w:p>
        </w:tc>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651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Right-of-use assets obtained in exchange for lease obligations: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E5E5E5" w:val="clear"/>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r>
      <w:tr>
        <w:trPr/>
        <w:tc>
          <w:tcPr>
            <w:tcW w:w="6511" w:type="dxa"/>
            <w:tcBorders/>
            <w:tcMar>
              <w:top w:w="0" w:type="dxa"/>
              <w:left w:w="0" w:type="dxa"/>
              <w:bottom w:w="0" w:type="dxa"/>
              <w:right w:w="0" w:type="dxa"/>
            </w:tcMar>
            <w:vAlign w:val="center"/>
          </w:tcPr>
          <w:p>
            <w:pPr>
              <w:pStyle w:val="TableContents"/>
              <w:bidi w:val="0"/>
              <w:spacing w:before="0" w:after="283"/>
              <w:ind w:left="0" w:right="0" w:firstLine="480"/>
              <w:jc w:val="left"/>
              <w:rPr>
                <w:rFonts w:ascii="Arial" w:hAnsi="Arial"/>
                <w:color w:val="000000"/>
                <w:sz w:val="20"/>
              </w:rPr>
            </w:pPr>
            <w:r>
              <w:rPr>
                <w:rFonts w:ascii="Arial" w:hAnsi="Arial"/>
                <w:color w:val="000000"/>
                <w:sz w:val="20"/>
              </w:rPr>
              <w:t>Operating leases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1,892</w:t>
            </w:r>
          </w:p>
        </w:tc>
        <w:tc>
          <w:tcPr>
            <w:tcW w:w="611" w:type="dxa"/>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r>
      <w:tr>
        <w:trPr/>
        <w:tc>
          <w:tcPr>
            <w:tcW w:w="6511" w:type="dxa"/>
            <w:tcBorders/>
            <w:shd w:fill="E5E5E5" w:val="clear"/>
            <w:tcMar>
              <w:top w:w="0" w:type="dxa"/>
              <w:left w:w="0" w:type="dxa"/>
              <w:bottom w:w="0" w:type="dxa"/>
              <w:right w:w="0" w:type="dxa"/>
            </w:tcMar>
            <w:vAlign w:val="center"/>
          </w:tcPr>
          <w:p>
            <w:pPr>
              <w:pStyle w:val="TableContents"/>
              <w:bidi w:val="0"/>
              <w:spacing w:before="0" w:after="283"/>
              <w:ind w:left="0" w:right="0" w:firstLine="480"/>
              <w:jc w:val="left"/>
              <w:rPr>
                <w:rFonts w:ascii="Arial" w:hAnsi="Arial"/>
                <w:color w:val="000000"/>
                <w:sz w:val="20"/>
              </w:rPr>
            </w:pPr>
            <w:r>
              <w:rPr>
                <w:rFonts w:ascii="Arial" w:hAnsi="Arial"/>
                <w:color w:val="000000"/>
                <w:sz w:val="20"/>
              </w:rPr>
              <w:t>Finance leases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9,147</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4,332</w:t>
            </w:r>
          </w:p>
        </w:tc>
        <w:tc>
          <w:tcPr>
            <w:tcW w:w="6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Supplemental balance sheet information related to leases was as follows:</w:t>
      </w:r>
    </w:p>
    <w:p>
      <w:pPr>
        <w:pStyle w:val="TextBody"/>
        <w:bidi w:val="0"/>
        <w:jc w:val="both"/>
        <w:rPr/>
      </w:pPr>
      <w:r>
        <w:rPr/>
        <w:t> </w:t>
      </w:r>
    </w:p>
    <w:tbl>
      <w:tblPr>
        <w:tblW w:w="7007" w:type="dxa"/>
        <w:jc w:val="left"/>
        <w:tblInd w:w="0" w:type="dxa"/>
        <w:tblLayout w:type="fixed"/>
        <w:tblCellMar>
          <w:top w:w="28" w:type="dxa"/>
          <w:left w:w="28" w:type="dxa"/>
          <w:bottom w:w="28" w:type="dxa"/>
          <w:right w:w="28" w:type="dxa"/>
        </w:tblCellMar>
      </w:tblPr>
      <w:tblGrid>
        <w:gridCol w:w="3706"/>
        <w:gridCol w:w="146"/>
        <w:gridCol w:w="231"/>
        <w:gridCol w:w="939"/>
        <w:gridCol w:w="166"/>
        <w:gridCol w:w="146"/>
        <w:gridCol w:w="211"/>
        <w:gridCol w:w="841"/>
        <w:gridCol w:w="62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lease term and discount rate)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September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Operating Leases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 right-of-use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24,791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24,823</w:t>
            </w:r>
          </w:p>
        </w:tc>
        <w:tc>
          <w:tcPr>
            <w:tcW w:w="62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21" w:type="dxa"/>
            <w:tcBorders>
              <w:top w:val="single" w:sz="12" w:space="0" w:color="000000"/>
            </w:tcBorders>
            <w:tcMar>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5,385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5,424</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17,348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17,437</w:t>
            </w:r>
          </w:p>
        </w:tc>
        <w:tc>
          <w:tcPr>
            <w:tcW w:w="62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9"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operating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22,733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22,861</w:t>
            </w:r>
          </w:p>
        </w:tc>
        <w:tc>
          <w:tcPr>
            <w:tcW w:w="6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9"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Finance Leases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Property and equipment, at cost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66,435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53,876</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Accumulated depreciation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(11,330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(9,861</w:t>
            </w:r>
          </w:p>
        </w:tc>
        <w:tc>
          <w:tcPr>
            <w:tcW w:w="6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9"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Property and equipment,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55,105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44,015</w:t>
            </w:r>
          </w:p>
        </w:tc>
        <w:tc>
          <w:tcPr>
            <w:tcW w:w="62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21" w:type="dxa"/>
            <w:tcBorders>
              <w:top w:val="single" w:sz="12" w:space="0" w:color="000000"/>
            </w:tcBorders>
            <w:tcMar>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3,435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3,172</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long-term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50,999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43,000</w:t>
            </w:r>
          </w:p>
        </w:tc>
        <w:tc>
          <w:tcPr>
            <w:tcW w:w="62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9"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finance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54,434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46,172</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2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Weighted Average Remaining Lease Term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shd w:fill="E5E5E5"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b/>
                <w:color w:val="000000"/>
                <w:sz w:val="20"/>
              </w:rPr>
              <w:t>6</w:t>
            </w:r>
            <w:r>
              <w:rPr>
                <w:rFonts w:ascii="Times New Roman" w:hAnsi="Times New Roman"/>
                <w:color w:val="000000"/>
                <w:sz w:val="20"/>
              </w:rPr>
              <w:t> </w:t>
            </w:r>
            <w:r>
              <w:rPr>
                <w:rFonts w:ascii="Arial" w:hAnsi="Arial"/>
                <w:b/>
                <w:color w:val="000000"/>
                <w:sz w:val="20"/>
              </w:rPr>
              <w:t>years</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6</w:t>
            </w:r>
            <w:r>
              <w:rPr>
                <w:rFonts w:ascii="Times New Roman" w:hAnsi="Times New Roman"/>
                <w:color w:val="000000"/>
                <w:sz w:val="20"/>
              </w:rPr>
              <w:t> </w:t>
            </w:r>
            <w:r>
              <w:rPr>
                <w:rFonts w:ascii="Arial" w:hAnsi="Arial"/>
                <w:color w:val="000000"/>
                <w:sz w:val="20"/>
              </w:rPr>
              <w:t>years</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Finance leases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b/>
                <w:color w:val="000000"/>
                <w:sz w:val="20"/>
              </w:rPr>
              <w:t>13</w:t>
            </w:r>
            <w:r>
              <w:rPr>
                <w:rFonts w:ascii="Times New Roman" w:hAnsi="Times New Roman"/>
                <w:color w:val="000000"/>
                <w:sz w:val="20"/>
              </w:rPr>
              <w:t> </w:t>
            </w:r>
            <w:r>
              <w:rPr>
                <w:rFonts w:ascii="Arial" w:hAnsi="Arial"/>
                <w:b/>
                <w:color w:val="000000"/>
                <w:sz w:val="20"/>
              </w:rPr>
              <w:t>years</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13</w:t>
            </w:r>
            <w:r>
              <w:rPr>
                <w:rFonts w:ascii="Times New Roman" w:hAnsi="Times New Roman"/>
                <w:color w:val="000000"/>
                <w:sz w:val="20"/>
              </w:rPr>
              <w:t> </w:t>
            </w:r>
            <w:r>
              <w:rPr>
                <w:rFonts w:ascii="Arial" w:hAnsi="Arial"/>
                <w:color w:val="000000"/>
                <w:sz w:val="20"/>
              </w:rPr>
              <w:t>years</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Weighted Average Discount Rate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Finance leases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21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following table outlines maturities of our lease liabilities as of September 30, 2025:</w:t>
      </w:r>
    </w:p>
    <w:p>
      <w:pPr>
        <w:pStyle w:val="TextBody"/>
        <w:bidi w:val="0"/>
        <w:jc w:val="both"/>
        <w:rPr/>
      </w:pPr>
      <w:r>
        <w:rPr/>
        <w:t> </w:t>
      </w:r>
    </w:p>
    <w:tbl>
      <w:tblPr>
        <w:tblW w:w="9485" w:type="dxa"/>
        <w:jc w:val="left"/>
        <w:tblInd w:w="0" w:type="dxa"/>
        <w:tblLayout w:type="fixed"/>
        <w:tblCellMar>
          <w:top w:w="28" w:type="dxa"/>
          <w:left w:w="28" w:type="dxa"/>
          <w:bottom w:w="28" w:type="dxa"/>
          <w:right w:w="28" w:type="dxa"/>
        </w:tblCellMar>
      </w:tblPr>
      <w:tblGrid>
        <w:gridCol w:w="5721"/>
        <w:gridCol w:w="146"/>
        <w:gridCol w:w="330"/>
        <w:gridCol w:w="1080"/>
        <w:gridCol w:w="166"/>
        <w:gridCol w:w="146"/>
        <w:gridCol w:w="279"/>
        <w:gridCol w:w="996"/>
        <w:gridCol w:w="621"/>
      </w:tblGrid>
      <w:tr>
        <w:trPr/>
        <w:tc>
          <w:tcPr>
            <w:tcW w:w="5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57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Ending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Operating Leases</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Finance Leases</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7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2026 (excluding the three months ended September 30,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8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4,627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4,218</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7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5,506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5,862</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7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3,770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5,909</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7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2,641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5,259</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7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2030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2,162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5,136</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7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Thereafter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6,586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46,450</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572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lease payments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25,292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72,834</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7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Less imputed interest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(2,559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(18,400</w:t>
            </w:r>
          </w:p>
        </w:tc>
        <w:tc>
          <w:tcPr>
            <w:tcW w:w="6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57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572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8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22,733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54,434</w:t>
            </w:r>
          </w:p>
        </w:tc>
        <w:tc>
          <w:tcPr>
            <w:tcW w:w="62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As of September 30, 2025, we had additional leases, primarily for datacenters, that had not yet commenced of $106.2</w:t>
      </w:r>
      <w:r>
        <w:rPr>
          <w:rFonts w:ascii="Times New Roman" w:hAnsi="Times New Roman"/>
          <w:color w:val="000000"/>
          <w:sz w:val="20"/>
        </w:rPr>
        <w:t xml:space="preserve"> </w:t>
      </w:r>
      <w:r>
        <w:rPr>
          <w:rFonts w:ascii="Arial" w:hAnsi="Arial"/>
          <w:color w:val="000000"/>
          <w:sz w:val="20"/>
        </w:rPr>
        <w:t>billion. These leases will commence between fiscal year 2026 and fiscal year 2031 with lease terms of 1</w:t>
      </w:r>
      <w:r>
        <w:rPr>
          <w:rFonts w:ascii="Times New Roman" w:hAnsi="Times New Roman"/>
          <w:color w:val="000000"/>
          <w:sz w:val="20"/>
        </w:rPr>
        <w:t xml:space="preserve"> </w:t>
      </w:r>
      <w:r>
        <w:rPr>
          <w:rFonts w:ascii="Arial" w:hAnsi="Arial"/>
          <w:color w:val="000000"/>
          <w:sz w:val="20"/>
        </w:rPr>
        <w:t>year to 20</w:t>
      </w:r>
      <w:r>
        <w:rPr>
          <w:rFonts w:ascii="Times New Roman" w:hAnsi="Times New Roman"/>
          <w:color w:val="000000"/>
          <w:sz w:val="20"/>
        </w:rPr>
        <w:t xml:space="preserve"> </w:t>
      </w:r>
      <w:r>
        <w:rPr>
          <w:rFonts w:ascii="Arial" w:hAnsi="Arial"/>
          <w:color w:val="000000"/>
          <w:sz w:val="20"/>
        </w:rPr>
        <w:t>years.</w:t>
      </w:r>
    </w:p>
    <w:p>
      <w:pPr>
        <w:pStyle w:val="TextBody"/>
        <w:bidi w:val="0"/>
        <w:spacing w:before="270" w:after="283"/>
        <w:jc w:val="center"/>
        <w:rPr>
          <w:rFonts w:ascii="Arial" w:hAnsi="Arial"/>
          <w:color w:val="000000"/>
          <w:sz w:val="20"/>
          <w:u w:val="single"/>
        </w:rPr>
      </w:pPr>
      <w:r>
        <w:rPr>
          <w:rFonts w:ascii="Arial" w:hAnsi="Arial"/>
          <w:color w:val="000000"/>
          <w:sz w:val="20"/>
          <w:u w:val="single"/>
        </w:rPr>
        <w:t>NOTE 13 — CONTINGENCIES</w:t>
      </w:r>
    </w:p>
    <w:p>
      <w:pPr>
        <w:pStyle w:val="TextBody"/>
        <w:bidi w:val="0"/>
        <w:spacing w:before="180" w:after="283"/>
        <w:jc w:val="both"/>
        <w:rPr>
          <w:rFonts w:ascii="Arial" w:hAnsi="Arial"/>
          <w:b/>
          <w:color w:val="000000"/>
          <w:sz w:val="20"/>
        </w:rPr>
      </w:pPr>
      <w:r>
        <w:rPr>
          <w:rFonts w:ascii="Arial" w:hAnsi="Arial"/>
          <w:b/>
          <w:color w:val="000000"/>
          <w:sz w:val="20"/>
        </w:rPr>
        <w:t>Irish Data Protection Commission Matter</w:t>
      </w:r>
    </w:p>
    <w:p>
      <w:pPr>
        <w:pStyle w:val="TextBody"/>
        <w:bidi w:val="0"/>
        <w:spacing w:before="180" w:after="283"/>
        <w:jc w:val="both"/>
        <w:rPr>
          <w:rFonts w:ascii="Arial" w:hAnsi="Arial"/>
          <w:color w:val="000000"/>
          <w:sz w:val="20"/>
        </w:rPr>
      </w:pPr>
      <w:r>
        <w:rPr>
          <w:rFonts w:ascii="Arial" w:hAnsi="Arial"/>
          <w:color w:val="000000"/>
          <w:sz w:val="20"/>
        </w:rPr>
        <w:t>In 2018, the Irish Data Protection Commission (“IDPC”) began investigating a complaint against LinkedIn as to whether LinkedIn’s targeted advertising practices violated the recently implemented European Union General Data Protection Regulation (“GDPR”). Microsoft cooperated throughout the period of inquiry. In October 2024, the IDPC provided LinkedIn with a final decision alleging GDPR violations and assessing a fine. In November 2024, LinkedIn appealed the final decision to the Irish courts, and the next hearing is scheduled for December 2025.</w:t>
      </w:r>
    </w:p>
    <w:p>
      <w:pPr>
        <w:pStyle w:val="TextBody"/>
        <w:bidi w:val="0"/>
        <w:spacing w:before="270" w:after="283"/>
        <w:jc w:val="both"/>
        <w:rPr>
          <w:rFonts w:ascii="Arial" w:hAnsi="Arial"/>
          <w:b/>
          <w:color w:val="000000"/>
          <w:sz w:val="20"/>
        </w:rPr>
      </w:pPr>
      <w:r>
        <w:rPr>
          <w:rFonts w:ascii="Arial" w:hAnsi="Arial"/>
          <w:b/>
          <w:color w:val="000000"/>
          <w:sz w:val="20"/>
        </w:rPr>
        <w:t>Other Contingencies</w:t>
      </w:r>
    </w:p>
    <w:p>
      <w:pPr>
        <w:pStyle w:val="TextBody"/>
        <w:bidi w:val="0"/>
        <w:spacing w:before="180" w:after="283"/>
        <w:jc w:val="both"/>
        <w:rPr>
          <w:rFonts w:ascii="Arial" w:hAnsi="Arial"/>
          <w:color w:val="000000"/>
          <w:sz w:val="20"/>
        </w:rPr>
      </w:pPr>
      <w:r>
        <w:rPr>
          <w:rFonts w:ascii="Arial" w:hAnsi="Arial"/>
          <w:color w:val="000000"/>
          <w:sz w:val="20"/>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pStyle w:val="TextBody"/>
        <w:bidi w:val="0"/>
        <w:spacing w:before="180" w:after="283"/>
        <w:jc w:val="both"/>
        <w:rPr>
          <w:rFonts w:ascii="Times New Roman" w:hAnsi="Times New Roman"/>
          <w:sz w:val="20"/>
        </w:rPr>
      </w:pPr>
      <w:r>
        <w:rPr>
          <w:rFonts w:ascii="Arial" w:hAnsi="Arial"/>
          <w:color w:val="000000"/>
          <w:sz w:val="20"/>
        </w:rPr>
        <w:t>As of September 30, 2025, we accrued aggregate legal liabilities of $530</w:t>
      </w:r>
      <w:r>
        <w:rPr>
          <w:rFonts w:ascii="Times New Roman" w:hAnsi="Times New Roman"/>
          <w:color w:val="000000"/>
          <w:sz w:val="20"/>
        </w:rPr>
        <w:t xml:space="preserve"> </w:t>
      </w:r>
      <w:r>
        <w:rPr>
          <w:rFonts w:ascii="Arial" w:hAnsi="Arial"/>
          <w:color w:val="000000"/>
          <w:sz w:val="20"/>
        </w:rPr>
        <w:t>million. While we intend to defend these matters vigorously, adverse outcomes that we estimate could reach approximately $300</w:t>
      </w:r>
      <w:r>
        <w:rPr>
          <w:rFonts w:ascii="Times New Roman" w:hAnsi="Times New Roman"/>
          <w:color w:val="000000"/>
          <w:sz w:val="20"/>
        </w:rPr>
        <w:t xml:space="preserve"> </w:t>
      </w:r>
      <w:r>
        <w:rPr>
          <w:rFonts w:ascii="Arial" w:hAnsi="Arial"/>
          <w:color w:val="000000"/>
          <w:sz w:val="20"/>
        </w:rPr>
        <w:t>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pStyle w:val="TextBody"/>
        <w:bidi w:val="0"/>
        <w:spacing w:before="270" w:after="283"/>
        <w:jc w:val="center"/>
        <w:rPr>
          <w:rFonts w:ascii="Arial" w:hAnsi="Arial"/>
          <w:color w:val="000000"/>
          <w:sz w:val="20"/>
          <w:u w:val="single"/>
        </w:rPr>
      </w:pPr>
      <w:r>
        <w:rPr>
          <w:rFonts w:ascii="Arial" w:hAnsi="Arial"/>
          <w:color w:val="000000"/>
          <w:sz w:val="20"/>
          <w:u w:val="single"/>
        </w:rPr>
        <w:t>NOTE 14 — STOCKHOLDERS’ EQUITY</w:t>
      </w:r>
    </w:p>
    <w:p>
      <w:pPr>
        <w:pStyle w:val="TextBody"/>
        <w:bidi w:val="0"/>
        <w:spacing w:before="180" w:after="283"/>
        <w:jc w:val="both"/>
        <w:rPr>
          <w:rFonts w:ascii="Arial" w:hAnsi="Arial"/>
          <w:b/>
          <w:color w:val="000000"/>
          <w:sz w:val="20"/>
        </w:rPr>
      </w:pPr>
      <w:r>
        <w:rPr>
          <w:rFonts w:ascii="Arial" w:hAnsi="Arial"/>
          <w:b/>
          <w:color w:val="000000"/>
          <w:sz w:val="20"/>
        </w:rPr>
        <w:t>Share Repurchases</w:t>
      </w:r>
    </w:p>
    <w:p>
      <w:pPr>
        <w:pStyle w:val="TextBody"/>
        <w:bidi w:val="0"/>
        <w:spacing w:before="180" w:after="283"/>
        <w:jc w:val="both"/>
        <w:rPr>
          <w:rFonts w:ascii="Times New Roman" w:hAnsi="Times New Roman"/>
          <w:sz w:val="20"/>
        </w:rPr>
      </w:pPr>
      <w:r>
        <w:rPr>
          <w:rFonts w:ascii="Arial" w:hAnsi="Arial"/>
          <w:color w:val="000000"/>
          <w:sz w:val="20"/>
        </w:rPr>
        <w:t>On September 14, 2021, our Board of Directors approved a share repurchase program authorizing up to $60.0</w:t>
      </w:r>
      <w:r>
        <w:rPr>
          <w:rFonts w:ascii="Times New Roman" w:hAnsi="Times New Roman"/>
          <w:color w:val="000000"/>
          <w:sz w:val="20"/>
        </w:rPr>
        <w:t xml:space="preserve"> </w:t>
      </w:r>
      <w:r>
        <w:rPr>
          <w:rFonts w:ascii="Arial" w:hAnsi="Arial"/>
          <w:color w:val="000000"/>
          <w:sz w:val="20"/>
        </w:rPr>
        <w:t>billion in share repurchases. This share repurchase program commenced in November 2021 and was completed in April 2025.</w:t>
      </w:r>
    </w:p>
    <w:p>
      <w:pPr>
        <w:pStyle w:val="TextBody"/>
        <w:bidi w:val="0"/>
        <w:spacing w:before="180" w:after="283"/>
        <w:jc w:val="both"/>
        <w:rPr>
          <w:rFonts w:ascii="Times New Roman" w:hAnsi="Times New Roman"/>
          <w:sz w:val="20"/>
        </w:rPr>
      </w:pPr>
      <w:r>
        <w:rPr>
          <w:rFonts w:ascii="Arial" w:hAnsi="Arial"/>
          <w:color w:val="000000"/>
          <w:sz w:val="20"/>
        </w:rPr>
        <w:t>On September 16, 2024, our Board of Directors approved a share repurchase program authorizing up to $60.0</w:t>
      </w:r>
      <w:r>
        <w:rPr>
          <w:rFonts w:ascii="Times New Roman" w:hAnsi="Times New Roman"/>
          <w:color w:val="000000"/>
          <w:sz w:val="20"/>
        </w:rPr>
        <w:t xml:space="preserve"> </w:t>
      </w:r>
      <w:r>
        <w:rPr>
          <w:rFonts w:ascii="Arial" w:hAnsi="Arial"/>
          <w:color w:val="000000"/>
          <w:sz w:val="20"/>
        </w:rPr>
        <w:t>billion in share repurchases. This share repurchase program commenced in April 2025, following completion of the program approved on September 14, 2021, has no expiration date, and may be terminated at any time. As of September 30, 2025, $53.4</w:t>
      </w:r>
      <w:r>
        <w:rPr>
          <w:rFonts w:ascii="Times New Roman" w:hAnsi="Times New Roman"/>
          <w:color w:val="000000"/>
          <w:sz w:val="20"/>
        </w:rPr>
        <w:t xml:space="preserve"> </w:t>
      </w:r>
      <w:r>
        <w:rPr>
          <w:rFonts w:ascii="Arial" w:hAnsi="Arial"/>
          <w:color w:val="000000"/>
          <w:sz w:val="20"/>
        </w:rPr>
        <w:t>billion remained of this $60.0</w:t>
      </w:r>
      <w:r>
        <w:rPr>
          <w:rFonts w:ascii="Times New Roman" w:hAnsi="Times New Roman"/>
          <w:color w:val="000000"/>
          <w:sz w:val="20"/>
        </w:rPr>
        <w:t xml:space="preserve"> </w:t>
      </w:r>
      <w:r>
        <w:rPr>
          <w:rFonts w:ascii="Arial" w:hAnsi="Arial"/>
          <w:color w:val="000000"/>
          <w:sz w:val="20"/>
        </w:rPr>
        <w:t>billion share repurchase program.</w:t>
      </w:r>
    </w:p>
    <w:p>
      <w:pPr>
        <w:pStyle w:val="TextBody"/>
        <w:bidi w:val="0"/>
        <w:spacing w:before="240" w:after="283"/>
        <w:jc w:val="center"/>
        <w:rPr>
          <w:rFonts w:ascii="Arial" w:hAnsi="Arial"/>
          <w:color w:val="000000"/>
          <w:sz w:val="16"/>
        </w:rPr>
      </w:pPr>
      <w:r>
        <w:rPr>
          <w:rFonts w:ascii="Arial" w:hAnsi="Arial"/>
          <w:color w:val="000000"/>
          <w:sz w:val="16"/>
        </w:rPr>
        <w:t>22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We repurchased the following shares of common stock under the share repurchase programs:</w:t>
      </w:r>
    </w:p>
    <w:p>
      <w:pPr>
        <w:pStyle w:val="TextBody"/>
        <w:bidi w:val="0"/>
        <w:jc w:val="both"/>
        <w:rPr/>
      </w:pPr>
      <w:r>
        <w:rPr/>
        <w:t> </w:t>
      </w:r>
    </w:p>
    <w:tbl>
      <w:tblPr>
        <w:tblW w:w="5530" w:type="dxa"/>
        <w:jc w:val="left"/>
        <w:tblInd w:w="0" w:type="dxa"/>
        <w:tblLayout w:type="fixed"/>
        <w:tblCellMar>
          <w:top w:w="28" w:type="dxa"/>
          <w:left w:w="28" w:type="dxa"/>
          <w:bottom w:w="28" w:type="dxa"/>
          <w:right w:w="28" w:type="dxa"/>
        </w:tblCellMar>
      </w:tblPr>
      <w:tblGrid>
        <w:gridCol w:w="1461"/>
        <w:gridCol w:w="109"/>
        <w:gridCol w:w="214"/>
        <w:gridCol w:w="417"/>
        <w:gridCol w:w="146"/>
        <w:gridCol w:w="109"/>
        <w:gridCol w:w="211"/>
        <w:gridCol w:w="586"/>
        <w:gridCol w:w="109"/>
        <w:gridCol w:w="109"/>
        <w:gridCol w:w="214"/>
        <w:gridCol w:w="417"/>
        <w:gridCol w:w="146"/>
        <w:gridCol w:w="109"/>
        <w:gridCol w:w="211"/>
        <w:gridCol w:w="586"/>
        <w:gridCol w:w="376"/>
      </w:tblGrid>
      <w:tr>
        <w:trPr/>
        <w:tc>
          <w:tcPr>
            <w:tcW w:w="14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4" w:type="dxa"/>
            <w:tcBorders/>
            <w:shd w:fill="FFFFFF" w:val="clear"/>
            <w:vAlign w:val="center"/>
          </w:tcPr>
          <w:p>
            <w:pPr>
              <w:pStyle w:val="TableContents"/>
              <w:bidi w:val="0"/>
              <w:spacing w:before="0" w:after="283"/>
              <w:jc w:val="left"/>
              <w:rPr>
                <w:sz w:val="4"/>
                <w:szCs w:val="4"/>
              </w:rPr>
            </w:pPr>
            <w:r>
              <w:rPr>
                <w:sz w:val="4"/>
                <w:szCs w:val="4"/>
              </w:rPr>
            </w:r>
          </w:p>
        </w:tc>
        <w:tc>
          <w:tcPr>
            <w:tcW w:w="41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4" w:type="dxa"/>
            <w:tcBorders/>
            <w:shd w:fill="FFFFFF" w:val="clear"/>
            <w:vAlign w:val="center"/>
          </w:tcPr>
          <w:p>
            <w:pPr>
              <w:pStyle w:val="TableContents"/>
              <w:bidi w:val="0"/>
              <w:spacing w:before="0" w:after="283"/>
              <w:jc w:val="left"/>
              <w:rPr>
                <w:sz w:val="4"/>
                <w:szCs w:val="4"/>
              </w:rPr>
            </w:pPr>
            <w:r>
              <w:rPr>
                <w:sz w:val="4"/>
                <w:szCs w:val="4"/>
              </w:rPr>
            </w:r>
          </w:p>
        </w:tc>
        <w:tc>
          <w:tcPr>
            <w:tcW w:w="41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376" w:type="dxa"/>
            <w:tcBorders/>
            <w:shd w:fill="FFFFFF" w:val="clear"/>
            <w:vAlign w:val="center"/>
          </w:tcPr>
          <w:p>
            <w:pPr>
              <w:pStyle w:val="TableContents"/>
              <w:bidi w:val="0"/>
              <w:spacing w:before="0" w:after="283"/>
              <w:jc w:val="left"/>
              <w:rPr>
                <w:sz w:val="4"/>
                <w:szCs w:val="4"/>
              </w:rPr>
            </w:pPr>
            <w:r>
              <w:rPr>
                <w:sz w:val="4"/>
                <w:szCs w:val="4"/>
              </w:rPr>
            </w:r>
          </w:p>
        </w:tc>
      </w:tr>
      <w:tr>
        <w:trPr/>
        <w:tc>
          <w:tcPr>
            <w:tcW w:w="14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Shares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6" w:type="dxa"/>
            <w:gridSpan w:val="3"/>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Shares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6" w:type="dxa"/>
            <w:gridSpan w:val="3"/>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6"/>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6"/>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46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Fiscal Year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4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First Quarter</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3,955</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2,800</w:t>
            </w:r>
          </w:p>
        </w:tc>
        <w:tc>
          <w:tcPr>
            <w:tcW w:w="37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All repurchases were made using cash resources. Shares repurchased during the first quarter of fiscal year 2026 were under the share repurchase program approved on September 16, 2024. Shares repurchased during the first quarter of fiscal year 2025</w:t>
      </w:r>
      <w:r>
        <w:rPr>
          <w:rFonts w:ascii="Times New Roman" w:hAnsi="Times New Roman"/>
          <w:color w:val="000000"/>
          <w:sz w:val="20"/>
        </w:rPr>
        <w:t xml:space="preserve"> </w:t>
      </w:r>
      <w:r>
        <w:rPr>
          <w:rFonts w:ascii="Arial" w:hAnsi="Arial"/>
          <w:color w:val="000000"/>
          <w:sz w:val="20"/>
        </w:rPr>
        <w:t>were under the share repurchase program approved on September 14, 2021. The above table excludes shares repurchased to settle employee tax withholding related to the vesting of stock awards of $1.7</w:t>
      </w:r>
      <w:r>
        <w:rPr>
          <w:rFonts w:ascii="Times New Roman" w:hAnsi="Times New Roman"/>
          <w:color w:val="000000"/>
          <w:sz w:val="20"/>
        </w:rPr>
        <w:t xml:space="preserve"> </w:t>
      </w:r>
      <w:r>
        <w:rPr>
          <w:rFonts w:ascii="Arial" w:hAnsi="Arial"/>
          <w:color w:val="000000"/>
          <w:sz w:val="20"/>
        </w:rPr>
        <w:t>billion and $1.3</w:t>
      </w:r>
      <w:r>
        <w:rPr>
          <w:rFonts w:ascii="Times New Roman" w:hAnsi="Times New Roman"/>
          <w:color w:val="000000"/>
          <w:sz w:val="20"/>
        </w:rPr>
        <w:t xml:space="preserve"> </w:t>
      </w:r>
      <w:r>
        <w:rPr>
          <w:rFonts w:ascii="Arial" w:hAnsi="Arial"/>
          <w:color w:val="000000"/>
          <w:sz w:val="20"/>
        </w:rPr>
        <w:t>billion for the three months ended September 30, 2025 and 2024, respectively.</w:t>
      </w:r>
    </w:p>
    <w:p>
      <w:pPr>
        <w:pStyle w:val="TextBody"/>
        <w:bidi w:val="0"/>
        <w:spacing w:before="270" w:after="283"/>
        <w:jc w:val="both"/>
        <w:rPr>
          <w:rFonts w:ascii="Arial" w:hAnsi="Arial"/>
          <w:b/>
          <w:color w:val="000000"/>
          <w:sz w:val="20"/>
        </w:rPr>
      </w:pPr>
      <w:r>
        <w:rPr>
          <w:rFonts w:ascii="Arial" w:hAnsi="Arial"/>
          <w:b/>
          <w:color w:val="000000"/>
          <w:sz w:val="20"/>
        </w:rPr>
        <w:t>Dividends</w:t>
      </w:r>
    </w:p>
    <w:p>
      <w:pPr>
        <w:pStyle w:val="TextBody"/>
        <w:bidi w:val="0"/>
        <w:spacing w:before="180" w:after="283"/>
        <w:jc w:val="both"/>
        <w:rPr>
          <w:rFonts w:ascii="Arial" w:hAnsi="Arial"/>
          <w:color w:val="000000"/>
          <w:sz w:val="20"/>
        </w:rPr>
      </w:pPr>
      <w:r>
        <w:rPr>
          <w:rFonts w:ascii="Arial" w:hAnsi="Arial"/>
          <w:color w:val="000000"/>
          <w:sz w:val="20"/>
        </w:rPr>
        <w:t>Our Board of Directors declared the following dividends: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54"/>
        <w:gridCol w:w="146"/>
        <w:gridCol w:w="391"/>
        <w:gridCol w:w="1779"/>
        <w:gridCol w:w="146"/>
        <w:gridCol w:w="146"/>
        <w:gridCol w:w="391"/>
        <w:gridCol w:w="1764"/>
        <w:gridCol w:w="146"/>
        <w:gridCol w:w="146"/>
        <w:gridCol w:w="456"/>
        <w:gridCol w:w="804"/>
        <w:gridCol w:w="146"/>
        <w:gridCol w:w="146"/>
        <w:gridCol w:w="456"/>
        <w:gridCol w:w="908"/>
        <w:gridCol w:w="380"/>
      </w:tblGrid>
      <w:tr>
        <w:trPr/>
        <w:tc>
          <w:tcPr>
            <w:tcW w:w="185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77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7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6" w:type="dxa"/>
            <w:tcBorders/>
            <w:shd w:fill="FFFFFF" w:val="clear"/>
            <w:vAlign w:val="center"/>
          </w:tcPr>
          <w:p>
            <w:pPr>
              <w:pStyle w:val="TableContents"/>
              <w:bidi w:val="0"/>
              <w:spacing w:before="0" w:after="283"/>
              <w:jc w:val="left"/>
              <w:rPr>
                <w:sz w:val="4"/>
                <w:szCs w:val="4"/>
              </w:rPr>
            </w:pPr>
            <w:r>
              <w:rPr>
                <w:sz w:val="4"/>
                <w:szCs w:val="4"/>
              </w:rPr>
            </w:r>
          </w:p>
        </w:tc>
        <w:tc>
          <w:tcPr>
            <w:tcW w:w="80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6"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c>
          <w:tcPr>
            <w:tcW w:w="380" w:type="dxa"/>
            <w:tcBorders/>
            <w:shd w:fill="FFFFFF" w:val="clear"/>
            <w:vAlign w:val="center"/>
          </w:tcPr>
          <w:p>
            <w:pPr>
              <w:pStyle w:val="TableContents"/>
              <w:bidi w:val="0"/>
              <w:spacing w:before="0" w:after="283"/>
              <w:jc w:val="left"/>
              <w:rPr>
                <w:sz w:val="4"/>
                <w:szCs w:val="4"/>
              </w:rPr>
            </w:pPr>
            <w:r>
              <w:rPr>
                <w:sz w:val="4"/>
                <w:szCs w:val="4"/>
              </w:rPr>
            </w:r>
          </w:p>
        </w:tc>
      </w:tr>
      <w:tr>
        <w:trPr/>
        <w:tc>
          <w:tcPr>
            <w:tcW w:w="185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Declaration Date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Record Date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Payment Date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Dividend</w:t>
            </w:r>
          </w:p>
          <w:p>
            <w:pPr>
              <w:pStyle w:val="TableContents"/>
              <w:bidi w:val="0"/>
              <w:spacing w:before="0" w:after="283"/>
              <w:jc w:val="right"/>
              <w:rPr>
                <w:rFonts w:ascii="Arial" w:hAnsi="Arial"/>
                <w:b/>
                <w:color w:val="000000"/>
                <w:sz w:val="15"/>
              </w:rPr>
            </w:pPr>
            <w:r>
              <w:rPr>
                <w:rFonts w:ascii="Arial" w:hAnsi="Arial"/>
                <w:b/>
                <w:color w:val="000000"/>
                <w:sz w:val="15"/>
              </w:rPr>
              <w:t>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85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Fiscal Year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7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(In millions)</w:t>
            </w:r>
          </w:p>
        </w:tc>
        <w:tc>
          <w:tcPr>
            <w:tcW w:w="3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85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September 15,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7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November 20,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6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December 11,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80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0.91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90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6,765</w:t>
            </w:r>
          </w:p>
        </w:tc>
        <w:tc>
          <w:tcPr>
            <w:tcW w:w="38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908"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Fiscal Year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7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908"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3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908"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380"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85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September 16, 2024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7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November 21, 2024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76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December 12, 2024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80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20"/>
              </w:rPr>
            </w:pPr>
            <w:r>
              <w:rPr>
                <w:rFonts w:ascii="Arial" w:hAnsi="Arial"/>
                <w:color w:val="000000"/>
                <w:sz w:val="20"/>
              </w:rPr>
              <w:t>0.83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90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20"/>
              </w:rPr>
            </w:pPr>
            <w:r>
              <w:rPr>
                <w:rFonts w:ascii="Arial" w:hAnsi="Arial"/>
                <w:color w:val="000000"/>
                <w:sz w:val="20"/>
              </w:rPr>
              <w:t>6,170</w:t>
            </w:r>
          </w:p>
        </w:tc>
        <w:tc>
          <w:tcPr>
            <w:tcW w:w="38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764"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04"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908"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38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dividend declared on September 15, 2025 was included in other current liabilities as of September 30, 2025.</w:t>
      </w:r>
    </w:p>
    <w:p>
      <w:pPr>
        <w:pStyle w:val="TextBody"/>
        <w:bidi w:val="0"/>
        <w:spacing w:before="240" w:after="283"/>
        <w:jc w:val="center"/>
        <w:rPr>
          <w:rFonts w:ascii="Arial" w:hAnsi="Arial"/>
          <w:color w:val="000000"/>
          <w:sz w:val="16"/>
        </w:rPr>
      </w:pPr>
      <w:r>
        <w:rPr>
          <w:rFonts w:ascii="Arial" w:hAnsi="Arial"/>
          <w:color w:val="000000"/>
          <w:sz w:val="16"/>
        </w:rPr>
        <w:t>23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NOTE 15 — ACCUMULATED OTHER COMPREHENSIVE INCOME (LOSS)</w:t>
      </w:r>
    </w:p>
    <w:p>
      <w:pPr>
        <w:pStyle w:val="TextBody"/>
        <w:bidi w:val="0"/>
        <w:spacing w:before="180" w:after="283"/>
        <w:jc w:val="both"/>
        <w:rPr>
          <w:rFonts w:ascii="Arial" w:hAnsi="Arial"/>
          <w:color w:val="000000"/>
          <w:sz w:val="20"/>
        </w:rPr>
      </w:pPr>
      <w:r>
        <w:rPr>
          <w:rFonts w:ascii="Arial" w:hAnsi="Arial"/>
          <w:color w:val="000000"/>
          <w:sz w:val="20"/>
        </w:rPr>
        <w:t>The following table summarizes the changes in accumulated other comprehensive income (loss) by component: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352"/>
        <w:gridCol w:w="146"/>
        <w:gridCol w:w="211"/>
        <w:gridCol w:w="646"/>
        <w:gridCol w:w="166"/>
        <w:gridCol w:w="146"/>
        <w:gridCol w:w="211"/>
        <w:gridCol w:w="646"/>
        <w:gridCol w:w="681"/>
      </w:tblGrid>
      <w:tr>
        <w:trPr/>
        <w:tc>
          <w:tcPr>
            <w:tcW w:w="7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735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Derivatives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735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7352"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Unrealized gains (losses), net of tax of </w:t>
            </w:r>
            <w:r>
              <w:rPr>
                <w:rFonts w:ascii="Arial" w:hAnsi="Arial"/>
                <w:b/>
                <w:color w:val="000000"/>
                <w:sz w:val="20"/>
              </w:rPr>
              <w:t xml:space="preserve">$(2) </w:t>
            </w:r>
            <w:r>
              <w:rPr>
                <w:rFonts w:ascii="Arial" w:hAnsi="Arial"/>
                <w:color w:val="000000"/>
                <w:sz w:val="20"/>
              </w:rPr>
              <w:t>and $7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735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Reclassification adjustments for (gains) losses included in other income (expense),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7352"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Tax expense (benefit) included in provision for income taxes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735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Amounts reclassified from accumulated other comprehensive loss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7352"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7352"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7352"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Net change related to derivatives, net of tax of </w:t>
            </w:r>
            <w:r>
              <w:rPr>
                <w:rFonts w:ascii="Arial" w:hAnsi="Arial"/>
                <w:b/>
                <w:color w:val="000000"/>
                <w:sz w:val="20"/>
              </w:rPr>
              <w:t>$(1)</w:t>
            </w:r>
            <w:r>
              <w:rPr>
                <w:rFonts w:ascii="Times New Roman" w:hAnsi="Times New Roman"/>
                <w:color w:val="000000"/>
                <w:sz w:val="20"/>
              </w:rPr>
              <w:t> </w:t>
            </w:r>
            <w:r>
              <w:rPr>
                <w:rFonts w:ascii="Arial" w:hAnsi="Arial"/>
                <w:color w:val="000000"/>
                <w:sz w:val="20"/>
              </w:rPr>
              <w:t>and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35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735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35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Investments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735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7352"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Unrealized gains, net of tax of</w:t>
            </w:r>
            <w:r>
              <w:rPr>
                <w:rFonts w:ascii="Times New Roman" w:hAnsi="Times New Roman"/>
                <w:color w:val="000000"/>
                <w:sz w:val="20"/>
              </w:rPr>
              <w:t> </w:t>
            </w:r>
            <w:r>
              <w:rPr>
                <w:rFonts w:ascii="Arial" w:hAnsi="Arial"/>
                <w:b/>
                <w:color w:val="000000"/>
                <w:sz w:val="20"/>
              </w:rPr>
              <w:t>$185</w:t>
            </w:r>
            <w:r>
              <w:rPr>
                <w:rFonts w:ascii="Times New Roman" w:hAnsi="Times New Roman"/>
                <w:color w:val="000000"/>
                <w:sz w:val="20"/>
              </w:rPr>
              <w:t> </w:t>
            </w:r>
            <w:r>
              <w:rPr>
                <w:rFonts w:ascii="Arial" w:hAnsi="Arial"/>
                <w:color w:val="000000"/>
                <w:sz w:val="20"/>
              </w:rPr>
              <w:t>and $297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695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1,118</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735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Reclassification adjustments for gains included in other income (expense),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7352"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Tax expense included in provision for income taxes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735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Amounts reclassified from accumulated other comprehensive loss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35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7352"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Net change related to investments, net of tax of </w:t>
            </w:r>
            <w:r>
              <w:rPr>
                <w:rFonts w:ascii="Arial" w:hAnsi="Arial"/>
                <w:b/>
                <w:color w:val="000000"/>
                <w:sz w:val="20"/>
              </w:rPr>
              <w:t>$183</w:t>
            </w:r>
            <w:r>
              <w:rPr>
                <w:rFonts w:ascii="Times New Roman" w:hAnsi="Times New Roman"/>
                <w:color w:val="000000"/>
                <w:sz w:val="20"/>
              </w:rPr>
              <w:t> </w:t>
            </w:r>
            <w:r>
              <w:rPr>
                <w:rFonts w:ascii="Arial" w:hAnsi="Arial"/>
                <w:color w:val="000000"/>
                <w:sz w:val="20"/>
              </w:rPr>
              <w:t>and $296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735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35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Translation Adjustments and Other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735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(2,288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(2,962</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7352"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Translation adjustments and other, net of tax of </w:t>
            </w:r>
            <w:r>
              <w:rPr>
                <w:rFonts w:ascii="Arial" w:hAnsi="Arial"/>
                <w:b/>
                <w:color w:val="000000"/>
                <w:sz w:val="20"/>
              </w:rPr>
              <w:t>$0</w:t>
            </w:r>
            <w:r>
              <w:rPr>
                <w:rFonts w:ascii="Times New Roman" w:hAnsi="Times New Roman"/>
                <w:color w:val="000000"/>
                <w:sz w:val="20"/>
              </w:rPr>
              <w:t> </w:t>
            </w:r>
            <w:r>
              <w:rPr>
                <w:rFonts w:ascii="Arial" w:hAnsi="Arial"/>
                <w:color w:val="000000"/>
                <w:sz w:val="20"/>
              </w:rPr>
              <w:t>and $0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(98</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735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(2,386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(2,658</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35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7352"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Accumulated other comprehensive loss, end of period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(2,761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(4,182</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NOTE 16 — SEGMENT INFORMATION AND GEOGRAPHIC DATA</w:t>
      </w:r>
    </w:p>
    <w:p>
      <w:pPr>
        <w:pStyle w:val="TextBody"/>
        <w:bidi w:val="0"/>
        <w:spacing w:before="180" w:after="283"/>
        <w:jc w:val="both"/>
        <w:rPr>
          <w:rFonts w:ascii="Times New Roman" w:hAnsi="Times New Roman"/>
          <w:sz w:val="20"/>
        </w:rPr>
      </w:pPr>
      <w:r>
        <w:rPr>
          <w:rFonts w:ascii="Arial" w:hAnsi="Arial"/>
          <w:color w:val="000000"/>
          <w:sz w:val="20"/>
        </w:rPr>
        <w:t>In its operation of the business, management, including our chief operating decision maker (“CODM”), who is also our Chief Executive Officer, reviews certain financial information, including segmented internal profit and loss statements. The primary profitability measure used by the CODM to review segment operating results is operating income. The CODM uses operating income to allocate resources during our annual planning process and throughout the year, as well as to assess the performance of our segments, primarily by monitoring actual results compared to prior periods and expected results.</w:t>
      </w:r>
      <w:r>
        <w:rPr>
          <w:rFonts w:ascii="Times New Roman" w:hAnsi="Times New Roman"/>
          <w:color w:val="000000"/>
          <w:sz w:val="20"/>
        </w:rPr>
        <w:t xml:space="preserve"> </w:t>
      </w:r>
      <w:r>
        <w:rPr>
          <w:rFonts w:ascii="Arial" w:hAnsi="Arial"/>
          <w:color w:val="000000"/>
          <w:sz w:val="20"/>
        </w:rPr>
        <w:t>During the periods presented, we reported our financial performance based on the following segments: Productivity and Business Processes, Intelligent Cloud, and More Personal Computing.</w:t>
      </w:r>
    </w:p>
    <w:p>
      <w:pPr>
        <w:pStyle w:val="TextBody"/>
        <w:bidi w:val="0"/>
        <w:spacing w:before="180" w:after="283"/>
        <w:jc w:val="both"/>
        <w:rPr>
          <w:rFonts w:ascii="Arial" w:hAnsi="Arial"/>
          <w:color w:val="000000"/>
          <w:sz w:val="20"/>
        </w:rPr>
      </w:pPr>
      <w:r>
        <w:rPr>
          <w:rFonts w:ascii="Arial" w:hAnsi="Arial"/>
          <w:color w:val="000000"/>
          <w:sz w:val="20"/>
        </w:rPr>
        <w:t>Our reportable segments are described below.</w:t>
      </w:r>
    </w:p>
    <w:p>
      <w:pPr>
        <w:pStyle w:val="TextBody"/>
        <w:bidi w:val="0"/>
        <w:spacing w:before="270" w:after="283"/>
        <w:jc w:val="both"/>
        <w:rPr>
          <w:rFonts w:ascii="Arial" w:hAnsi="Arial"/>
          <w:b/>
          <w:color w:val="000000"/>
          <w:sz w:val="20"/>
        </w:rPr>
      </w:pPr>
      <w:r>
        <w:rPr>
          <w:rFonts w:ascii="Arial" w:hAnsi="Arial"/>
          <w:b/>
          <w:color w:val="000000"/>
          <w:sz w:val="20"/>
        </w:rPr>
        <w:t>Productivity and Business Processes</w:t>
      </w:r>
    </w:p>
    <w:p>
      <w:pPr>
        <w:pStyle w:val="TextBody"/>
        <w:bidi w:val="0"/>
        <w:spacing w:before="180" w:after="283"/>
        <w:jc w:val="both"/>
        <w:rPr>
          <w:rFonts w:ascii="Arial" w:hAnsi="Arial"/>
          <w:color w:val="000000"/>
          <w:sz w:val="20"/>
        </w:rPr>
      </w:pPr>
      <w:r>
        <w:rPr>
          <w:rFonts w:ascii="Arial" w:hAnsi="Arial"/>
          <w:color w:val="000000"/>
          <w:sz w:val="20"/>
        </w:rPr>
        <w:t>Our Productivity and Business Processes segment consists of products and services in our portfolio of productivity, communication, and information services, spanning a variety of devices and platforms. This segment primarily comprises: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Commercial products and cloud services, including Microsoft 365 Commercial cloud, comprising Microsoft 365 Commercial, Enterprise Mobility + Security, the cloud portion of Windows Commercial, the per-user portion of Power BI, Exchange, SharePoint, Microsoft Teams, Microsoft 365 Security and Compliance, and Microsoft 365 Copilot; and Microsoft 365 Commercial products, comprising Windows Commercial on-premises and Office licensed on-premises.</w:t>
      </w:r>
    </w:p>
    <w:p>
      <w:pPr>
        <w:pStyle w:val="TextBody"/>
        <w:bidi w:val="0"/>
        <w:spacing w:before="240" w:after="283"/>
        <w:jc w:val="center"/>
        <w:rPr>
          <w:rFonts w:ascii="Arial" w:hAnsi="Arial"/>
          <w:color w:val="000000"/>
          <w:sz w:val="16"/>
        </w:rPr>
      </w:pPr>
      <w:r>
        <w:rPr>
          <w:rFonts w:ascii="Arial" w:hAnsi="Arial"/>
          <w:color w:val="000000"/>
          <w:sz w:val="16"/>
        </w:rPr>
        <w:t>24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Consumer products and cloud services, including Microsoft 365 Consumer subscriptions, Office licensed on-premises, and other consumer services.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LinkedIn, including Talent Solutions, Marketing Solutions, Premium Subscriptions, and Sales Solutions.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Dynamics products and cloud services, including Dynamics 365, comprising a set of intelligent, cloud-based applications across ERP, CRM, Power Apps, and Power Automate; and on-premises ERP and CRM applications.</w:t>
      </w:r>
    </w:p>
    <w:p>
      <w:pPr>
        <w:pStyle w:val="TextBody"/>
        <w:bidi w:val="0"/>
        <w:spacing w:before="270" w:after="283"/>
        <w:jc w:val="both"/>
        <w:rPr>
          <w:rFonts w:ascii="Arial" w:hAnsi="Arial"/>
          <w:b/>
          <w:color w:val="000000"/>
          <w:sz w:val="20"/>
        </w:rPr>
      </w:pPr>
      <w:r>
        <w:rPr>
          <w:rFonts w:ascii="Arial" w:hAnsi="Arial"/>
          <w:b/>
          <w:color w:val="000000"/>
          <w:sz w:val="20"/>
        </w:rPr>
        <w:t>Intelligent Cloud</w:t>
      </w:r>
    </w:p>
    <w:p>
      <w:pPr>
        <w:pStyle w:val="TextBody"/>
        <w:bidi w:val="0"/>
        <w:spacing w:before="180" w:after="283"/>
        <w:jc w:val="both"/>
        <w:rPr>
          <w:rFonts w:ascii="Arial" w:hAnsi="Arial"/>
          <w:color w:val="000000"/>
          <w:sz w:val="20"/>
        </w:rPr>
      </w:pPr>
      <w:r>
        <w:rPr>
          <w:rFonts w:ascii="Arial" w:hAnsi="Arial"/>
          <w:color w:val="000000"/>
          <w:sz w:val="20"/>
        </w:rPr>
        <w:t>Our Intelligent Cloud segment consists of our public, private, and hybrid server products and cloud services that power modern business and developers. This segment primarily comprises: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Server products and cloud services, including Azure and other cloud services, comprising cloud and AI consumption-based services, GitHub cloud services, Nuance Healthcare cloud services, virtual desktop offerings, and other cloud services; and Server products, comprising SQL Server, Windows Server, Visual Studio, System Center, related Client Access Licenses, and other on-premises offerings.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Enterprise and partner services, including Enterprise Support Services, Industry Solutions, Nuance professional services, Microsoft Partner Network, and Learning Experience.</w:t>
      </w:r>
    </w:p>
    <w:p>
      <w:pPr>
        <w:pStyle w:val="TextBody"/>
        <w:bidi w:val="0"/>
        <w:spacing w:before="270" w:after="283"/>
        <w:jc w:val="both"/>
        <w:rPr>
          <w:rFonts w:ascii="Arial" w:hAnsi="Arial"/>
          <w:b/>
          <w:color w:val="000000"/>
          <w:sz w:val="20"/>
        </w:rPr>
      </w:pPr>
      <w:r>
        <w:rPr>
          <w:rFonts w:ascii="Arial" w:hAnsi="Arial"/>
          <w:b/>
          <w:color w:val="000000"/>
          <w:sz w:val="20"/>
        </w:rPr>
        <w:t>More Personal Computing</w:t>
      </w:r>
    </w:p>
    <w:p>
      <w:pPr>
        <w:pStyle w:val="TextBody"/>
        <w:bidi w:val="0"/>
        <w:spacing w:before="180" w:after="283"/>
        <w:jc w:val="both"/>
        <w:rPr>
          <w:rFonts w:ascii="Arial" w:hAnsi="Arial"/>
          <w:color w:val="000000"/>
          <w:sz w:val="20"/>
        </w:rPr>
      </w:pPr>
      <w:r>
        <w:rPr>
          <w:rFonts w:ascii="Arial" w:hAnsi="Arial"/>
          <w:color w:val="000000"/>
          <w:sz w:val="20"/>
        </w:rPr>
        <w:t>Our More Personal Computing segment consists of products and services that put customers at the center of the experience with our technology. This segment primarily comprises: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Windows and Devices, including Windows OEM licensing (Windows Pro and non-Pro licenses sold through the OEM channel) and Devices, comprising Surface and PC accessories.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Gaming, including Xbox hardware and Xbox content and services, comprising first- and third-party content (including games and in-game content), Xbox Game Pass and other subscriptions, Xbox Cloud Gaming, advertising, and other cloud services.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Search and news advertising, comprising Bing and Copilot, Microsoft News, Microsoft Edge, and third-party affiliates.</w:t>
      </w:r>
    </w:p>
    <w:p>
      <w:pPr>
        <w:pStyle w:val="TextBody"/>
        <w:bidi w:val="0"/>
        <w:spacing w:before="180" w:after="283"/>
        <w:jc w:val="both"/>
        <w:rPr>
          <w:rFonts w:ascii="Arial" w:hAnsi="Arial"/>
          <w:color w:val="000000"/>
          <w:sz w:val="20"/>
        </w:rPr>
      </w:pPr>
      <w:r>
        <w:rPr>
          <w:rFonts w:ascii="Arial" w:hAnsi="Arial"/>
          <w:color w:val="000000"/>
          <w:sz w:val="20"/>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pStyle w:val="TextBody"/>
        <w:bidi w:val="0"/>
        <w:spacing w:before="180" w:after="283"/>
        <w:jc w:val="both"/>
        <w:rPr>
          <w:rFonts w:ascii="Arial" w:hAnsi="Arial"/>
          <w:color w:val="000000"/>
          <w:sz w:val="20"/>
        </w:rPr>
      </w:pPr>
      <w:r>
        <w:rPr>
          <w:rFonts w:ascii="Arial" w:hAnsi="Arial"/>
          <w:color w:val="000000"/>
          <w:sz w:val="20"/>
        </w:rPr>
        <w:t>In addition, certain costs are incurred at a corporate level and allocated to our segments. These allocated costs generally include legal, including settlements and fines, information technology, human resources, finance, excise taxes, field selling, shared facilities services, customer service and support, and severance incurred as part of a corporate program. Each allocation is measured differently based on the specific facts and circumstances of the costs being allocated and is generally based on relative gross margin or relative headcount.</w:t>
      </w:r>
    </w:p>
    <w:p>
      <w:pPr>
        <w:pStyle w:val="TextBody"/>
        <w:bidi w:val="0"/>
        <w:spacing w:before="240" w:after="283"/>
        <w:jc w:val="center"/>
        <w:rPr>
          <w:rFonts w:ascii="Arial" w:hAnsi="Arial"/>
          <w:color w:val="000000"/>
          <w:sz w:val="16"/>
        </w:rPr>
      </w:pPr>
      <w:r>
        <w:rPr>
          <w:rFonts w:ascii="Arial" w:hAnsi="Arial"/>
          <w:color w:val="000000"/>
          <w:sz w:val="16"/>
        </w:rPr>
        <w:t>25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Segment revenue, cost of revenue, operating expenses, and operating income were as follows during the periods presented:</w:t>
      </w:r>
    </w:p>
    <w:p>
      <w:pPr>
        <w:pStyle w:val="TextBody"/>
        <w:bidi w:val="0"/>
        <w:jc w:val="left"/>
        <w:rPr/>
      </w:pPr>
      <w:r>
        <w:rPr/>
        <w:t> </w:t>
      </w:r>
    </w:p>
    <w:tbl>
      <w:tblPr>
        <w:tblW w:w="5654" w:type="dxa"/>
        <w:jc w:val="left"/>
        <w:tblInd w:w="0" w:type="dxa"/>
        <w:tblLayout w:type="fixed"/>
        <w:tblCellMar>
          <w:top w:w="28" w:type="dxa"/>
          <w:left w:w="28" w:type="dxa"/>
          <w:bottom w:w="28" w:type="dxa"/>
          <w:right w:w="28" w:type="dxa"/>
        </w:tblCellMar>
      </w:tblPr>
      <w:tblGrid>
        <w:gridCol w:w="2731"/>
        <w:gridCol w:w="146"/>
        <w:gridCol w:w="211"/>
        <w:gridCol w:w="691"/>
        <w:gridCol w:w="146"/>
        <w:gridCol w:w="146"/>
        <w:gridCol w:w="211"/>
        <w:gridCol w:w="691"/>
        <w:gridCol w:w="681"/>
      </w:tblGrid>
      <w:tr>
        <w:trPr/>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973" w:type="dxa"/>
            <w:gridSpan w:val="8"/>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Productivity and Business Processes</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33,020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28,317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5,294</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7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6,507</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7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7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20,407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16,516</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73" w:type="dxa"/>
            <w:gridSpan w:val="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3" w:type="dxa"/>
            <w:gridSpan w:val="8"/>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Intelligent Cloud</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30,897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24,092</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12,314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8,614</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7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4,975</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13,391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10,503</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73" w:type="dxa"/>
            <w:gridSpan w:val="8"/>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More Personal Computing</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13,756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13,176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3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6,008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6,191</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3,585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3,452</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7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7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4,163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3,533</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8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73" w:type="dxa"/>
            <w:gridSpan w:val="8"/>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Total</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77,673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65,585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3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24,043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20,099</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15,669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14,934</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7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7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37,961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30,552</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No sales to an individual customer or country other than the United States accounted for more than 10% of revenue for the three months ended September 30, 2025 or 2024.</w:t>
      </w:r>
      <w:r>
        <w:rPr>
          <w:rFonts w:ascii="Times New Roman" w:hAnsi="Times New Roman"/>
          <w:color w:val="000000"/>
          <w:sz w:val="20"/>
        </w:rPr>
        <w:t xml:space="preserve"> </w:t>
      </w:r>
      <w:r>
        <w:rPr>
          <w:rFonts w:ascii="Arial" w:hAnsi="Arial"/>
          <w:color w:val="000000"/>
          <w:sz w:val="20"/>
        </w:rPr>
        <w:t>Revenue, classified by the major geographic areas in which our customers were located, was as follows:</w:t>
      </w:r>
    </w:p>
    <w:p>
      <w:pPr>
        <w:pStyle w:val="TextBody"/>
        <w:bidi w:val="0"/>
        <w:jc w:val="both"/>
        <w:rPr/>
      </w:pPr>
      <w:r>
        <w:rPr/>
        <w:t> </w:t>
      </w:r>
    </w:p>
    <w:tbl>
      <w:tblPr>
        <w:tblW w:w="5654" w:type="dxa"/>
        <w:jc w:val="left"/>
        <w:tblInd w:w="0" w:type="dxa"/>
        <w:tblLayout w:type="fixed"/>
        <w:tblCellMar>
          <w:top w:w="28" w:type="dxa"/>
          <w:left w:w="28" w:type="dxa"/>
          <w:bottom w:w="28" w:type="dxa"/>
          <w:right w:w="28" w:type="dxa"/>
        </w:tblCellMar>
      </w:tblPr>
      <w:tblGrid>
        <w:gridCol w:w="2731"/>
        <w:gridCol w:w="146"/>
        <w:gridCol w:w="211"/>
        <w:gridCol w:w="691"/>
        <w:gridCol w:w="146"/>
        <w:gridCol w:w="146"/>
        <w:gridCol w:w="211"/>
        <w:gridCol w:w="691"/>
        <w:gridCol w:w="681"/>
      </w:tblGrid>
      <w:tr>
        <w:trPr/>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2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United States </w:t>
            </w:r>
            <w:r>
              <w:rPr>
                <w:rFonts w:ascii="Arial" w:hAnsi="Arial"/>
                <w:color w:val="000000"/>
                <w:sz w:val="13"/>
              </w:rPr>
              <w:t>(a)</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40,077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33,913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3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Other countries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37,596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31,672</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73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77,673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65,585</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i/>
          <w:color w:val="000000"/>
          <w:sz w:val="20"/>
        </w:rPr>
      </w:pPr>
      <w:r>
        <w:rPr>
          <w:rFonts w:ascii="Arial" w:hAnsi="Arial"/>
          <w:i/>
          <w:color w:val="000000"/>
          <w:sz w:val="20"/>
        </w:rPr>
        <w:t>Includes billings to OEMs and certain multinational organizations because of the nature of these businesses and the impracticability of determining the geographic source of the revenue.</w:t>
      </w:r>
    </w:p>
    <w:p>
      <w:pPr>
        <w:pStyle w:val="TextBody"/>
        <w:bidi w:val="0"/>
        <w:spacing w:before="240" w:after="283"/>
        <w:jc w:val="center"/>
        <w:rPr>
          <w:rFonts w:ascii="Arial" w:hAnsi="Arial"/>
          <w:color w:val="000000"/>
          <w:sz w:val="16"/>
        </w:rPr>
      </w:pPr>
      <w:r>
        <w:rPr>
          <w:rFonts w:ascii="Arial" w:hAnsi="Arial"/>
          <w:color w:val="000000"/>
          <w:sz w:val="16"/>
        </w:rPr>
        <w:t>26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Revenue, classified by significant product and service offerings, was as follows:</w:t>
      </w:r>
    </w:p>
    <w:p>
      <w:pPr>
        <w:pStyle w:val="TextBody"/>
        <w:bidi w:val="0"/>
        <w:jc w:val="left"/>
        <w:rPr/>
      </w:pPr>
      <w:r>
        <w:rPr/>
        <w:t> </w:t>
      </w:r>
    </w:p>
    <w:tbl>
      <w:tblPr>
        <w:tblW w:w="8074" w:type="dxa"/>
        <w:jc w:val="left"/>
        <w:tblInd w:w="0" w:type="dxa"/>
        <w:tblLayout w:type="fixed"/>
        <w:tblCellMar>
          <w:top w:w="28" w:type="dxa"/>
          <w:left w:w="28" w:type="dxa"/>
          <w:bottom w:w="28" w:type="dxa"/>
          <w:right w:w="28" w:type="dxa"/>
        </w:tblCellMar>
      </w:tblPr>
      <w:tblGrid>
        <w:gridCol w:w="5151"/>
        <w:gridCol w:w="146"/>
        <w:gridCol w:w="211"/>
        <w:gridCol w:w="691"/>
        <w:gridCol w:w="146"/>
        <w:gridCol w:w="146"/>
        <w:gridCol w:w="211"/>
        <w:gridCol w:w="691"/>
        <w:gridCol w:w="681"/>
      </w:tblGrid>
      <w:tr>
        <w:trPr/>
        <w:tc>
          <w:tcPr>
            <w:tcW w:w="51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51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5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Server products and cloud services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28,872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22,155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15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Microsoft 365 Commercial products and cloud services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23,966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20,449</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Gaming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5,508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5,621</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15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LinkedIn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4,292</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Windows and Devices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4,551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4,329</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5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Search and news advertising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3,225</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Microsoft 365 Consumer products and cloud services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2,204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5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Dynamics products and cloud services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1,849</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Enterprise and partner services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5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Other</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9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19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15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77,673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65,585</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Our Microsoft Cloud revenue, which includes Microsoft 365 Commercial cloud, Azure and other cloud services, the commercial portion of LinkedIn, and Dynamics 365, was $49.1</w:t>
      </w:r>
      <w:r>
        <w:rPr>
          <w:rFonts w:ascii="Times New Roman" w:hAnsi="Times New Roman"/>
          <w:color w:val="000000"/>
          <w:sz w:val="20"/>
        </w:rPr>
        <w:t xml:space="preserve"> </w:t>
      </w:r>
      <w:r>
        <w:rPr>
          <w:rFonts w:ascii="Arial" w:hAnsi="Arial"/>
          <w:color w:val="000000"/>
          <w:sz w:val="20"/>
        </w:rPr>
        <w:t>billion and $38.9</w:t>
      </w:r>
      <w:r>
        <w:rPr>
          <w:rFonts w:ascii="Times New Roman" w:hAnsi="Times New Roman"/>
          <w:color w:val="000000"/>
          <w:sz w:val="20"/>
        </w:rPr>
        <w:t xml:space="preserve"> </w:t>
      </w:r>
      <w:r>
        <w:rPr>
          <w:rFonts w:ascii="Arial" w:hAnsi="Arial"/>
          <w:color w:val="000000"/>
          <w:sz w:val="20"/>
        </w:rPr>
        <w:t>billion for the three months ended September 30, 2025 and 2024, respectively. These amounts are included in Server products and cloud services, Microsoft 365 Commercial products and cloud services, LinkedIn, and Dynamics products and cloud services in the table above.</w:t>
      </w:r>
    </w:p>
    <w:p>
      <w:pPr>
        <w:pStyle w:val="TextBody"/>
        <w:bidi w:val="0"/>
        <w:spacing w:before="180" w:after="283"/>
        <w:jc w:val="both"/>
        <w:rPr>
          <w:rFonts w:ascii="Arial" w:hAnsi="Arial"/>
          <w:color w:val="000000"/>
          <w:sz w:val="20"/>
        </w:rPr>
      </w:pPr>
      <w:r>
        <w:rPr>
          <w:rFonts w:ascii="Arial" w:hAnsi="Arial"/>
          <w:color w:val="000000"/>
          <w:sz w:val="20"/>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pStyle w:val="TextBody"/>
        <w:bidi w:val="0"/>
        <w:spacing w:before="270" w:after="283"/>
        <w:jc w:val="center"/>
        <w:rPr>
          <w:rFonts w:ascii="Arial" w:hAnsi="Arial"/>
          <w:color w:val="000000"/>
          <w:sz w:val="20"/>
          <w:u w:val="single"/>
        </w:rPr>
      </w:pPr>
      <w:r>
        <w:rPr>
          <w:rFonts w:ascii="Arial" w:hAnsi="Arial"/>
          <w:color w:val="000000"/>
          <w:sz w:val="20"/>
          <w:u w:val="single"/>
        </w:rPr>
        <w:t>NOTE 17 — SUBSEQUENT EVENT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On October 28, 2025, we signed a new definitive agreement with OpenAI that extends our partnership and continues to build on our shared vision to advance artificial intelligence responsibly and make its benefits broadly accessible. Additionally, OpenAI has formed a public benefit corporation (“PBC”) and completed a recapitalization. As a result of the recapitalization, Microsoft holds approximately 27</w:t>
      </w:r>
      <w:r>
        <w:rPr>
          <w:rFonts w:ascii="Times New Roman" w:hAnsi="Times New Roman"/>
          <w:color w:val="000000"/>
          <w:sz w:val="20"/>
        </w:rPr>
        <w:t xml:space="preserve"> </w:t>
      </w:r>
      <w:r>
        <w:rPr>
          <w:rFonts w:ascii="Arial" w:hAnsi="Arial"/>
          <w:color w:val="000000"/>
          <w:sz w:val="20"/>
        </w:rPr>
        <w:t>percent in the PBC on an as-converted diluted basis. Under the new agreement, OpenAI has contracted to purchase an incremental $250</w:t>
      </w:r>
      <w:r>
        <w:rPr>
          <w:rFonts w:ascii="Times New Roman" w:hAnsi="Times New Roman"/>
          <w:color w:val="000000"/>
          <w:sz w:val="20"/>
        </w:rPr>
        <w:t xml:space="preserve"> </w:t>
      </w:r>
      <w:r>
        <w:rPr>
          <w:rFonts w:ascii="Arial" w:hAnsi="Arial"/>
          <w:color w:val="000000"/>
          <w:sz w:val="20"/>
        </w:rPr>
        <w:t>billion of Azure services, and Microsoft will no longer have a right of first refusal to be OpenAI's compute provider.</w:t>
      </w:r>
    </w:p>
    <w:p>
      <w:pPr>
        <w:pStyle w:val="TextBody"/>
        <w:bidi w:val="0"/>
        <w:spacing w:before="180" w:after="283"/>
        <w:jc w:val="both"/>
        <w:rPr>
          <w:rFonts w:ascii="Times New Roman" w:hAnsi="Times New Roman"/>
          <w:sz w:val="20"/>
        </w:rPr>
      </w:pPr>
      <w:r>
        <w:rPr>
          <w:rFonts w:ascii="Arial" w:hAnsi="Arial"/>
          <w:color w:val="000000"/>
          <w:sz w:val="20"/>
        </w:rPr>
        <w:t>We will continue to account for our $13</w:t>
      </w:r>
      <w:r>
        <w:rPr>
          <w:rFonts w:ascii="Times New Roman" w:hAnsi="Times New Roman"/>
          <w:color w:val="000000"/>
          <w:sz w:val="20"/>
        </w:rPr>
        <w:t xml:space="preserve"> </w:t>
      </w:r>
      <w:r>
        <w:rPr>
          <w:rFonts w:ascii="Arial" w:hAnsi="Arial"/>
          <w:color w:val="000000"/>
          <w:sz w:val="20"/>
        </w:rPr>
        <w:t>billion of total funding commitments to OpenAI as an investment under the equity method of accounting. Under the equity method of accounting, the impact of changes in our proportionate ownership will be recognized as a gain or loss in other income (expense), net. See Note 1 – Accounting Policies, Note 3 – Other Income (Expense), Net, and Note 4 – Investments for further details on our equity method investments and other income (expense), net.</w:t>
      </w:r>
    </w:p>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27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both"/>
        <w:rPr>
          <w:rFonts w:ascii="Arial" w:hAnsi="Arial"/>
          <w:b/>
          <w:color w:val="000000"/>
          <w:sz w:val="20"/>
        </w:rPr>
      </w:pPr>
      <w:bookmarkStart w:id="10" w:name="report_independent_registered_public_acc"/>
      <w:bookmarkEnd w:id="10"/>
      <w:r>
        <w:rPr>
          <w:rFonts w:ascii="Arial" w:hAnsi="Arial"/>
          <w:b/>
          <w:color w:val="000000"/>
          <w:sz w:val="20"/>
        </w:rPr>
        <w:t>REPORT OF INDEPENDENT REGISTERED PUBLIC ACCOUNTING FIRM</w:t>
      </w:r>
    </w:p>
    <w:p>
      <w:pPr>
        <w:pStyle w:val="TextBody"/>
        <w:bidi w:val="0"/>
        <w:spacing w:before="180" w:after="283"/>
        <w:jc w:val="both"/>
        <w:rPr>
          <w:rFonts w:ascii="Arial" w:hAnsi="Arial"/>
          <w:color w:val="000000"/>
          <w:sz w:val="20"/>
        </w:rPr>
      </w:pPr>
      <w:r>
        <w:rPr>
          <w:rFonts w:ascii="Arial" w:hAnsi="Arial"/>
          <w:color w:val="000000"/>
          <w:sz w:val="20"/>
        </w:rPr>
        <w:t>To the Stockholders and the Board of Directors of Microsoft Corporation</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Results of Review of Interim Financial Information</w:t>
      </w:r>
    </w:p>
    <w:p>
      <w:pPr>
        <w:pStyle w:val="TextBody"/>
        <w:bidi w:val="0"/>
        <w:spacing w:before="180" w:after="283"/>
        <w:jc w:val="both"/>
        <w:rPr>
          <w:rFonts w:ascii="Arial" w:hAnsi="Arial"/>
          <w:color w:val="000000"/>
          <w:sz w:val="20"/>
        </w:rPr>
      </w:pPr>
      <w:r>
        <w:rPr>
          <w:rFonts w:ascii="Arial" w:hAnsi="Arial"/>
          <w:color w:val="000000"/>
          <w:sz w:val="20"/>
        </w:rPr>
        <w:t>We have reviewed the accompanying consolidated balance sheet of Microsoft Corporation and subsidiaries (the "Company") as of September 30, 2025, the related consolidated statements of income, comprehensive income, cash flows, and stockholders’ equity for the three-month periods ended September 30, 2025 and 2024,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have previously audited, in accordance with the standards of the Public Company Accounting Oversight Board (United States) (PCAOB), the consolidated balance sheet of the Company as of June 30, 2025, and the related consolidated statements of income, comprehensive income, cash flows, and stockholders’ equity for the year then ended (not presented herein); and in our report dated July 30, 2025, we expressed an unqualified opinion on those consolidated financial statements. In our opinion, the information set forth in the accompanying consolidated balance sheet as of June 30, 2025, is fairly stated, in all material respects, in relation to the consolidated balance sheet from which it has been derived.</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Basis for Review Results</w:t>
      </w:r>
    </w:p>
    <w:p>
      <w:pPr>
        <w:pStyle w:val="TextBody"/>
        <w:bidi w:val="0"/>
        <w:spacing w:before="180" w:after="283"/>
        <w:jc w:val="both"/>
        <w:rPr>
          <w:rFonts w:ascii="Arial" w:hAnsi="Arial"/>
          <w:color w:val="000000"/>
          <w:sz w:val="20"/>
        </w:rPr>
      </w:pPr>
      <w:r>
        <w:rPr>
          <w:rFonts w:ascii="Arial" w:hAnsi="Arial"/>
          <w:color w:val="000000"/>
          <w:sz w:val="20"/>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pPr>
      <w:r>
        <w:rPr/>
        <w:t> </w:t>
      </w:r>
    </w:p>
    <w:p>
      <w:pPr>
        <w:pStyle w:val="TextBody"/>
        <w:bidi w:val="0"/>
        <w:spacing w:before="0" w:after="180"/>
        <w:jc w:val="both"/>
        <w:rPr>
          <w:rFonts w:ascii="Arial" w:hAnsi="Arial"/>
          <w:color w:val="000000"/>
          <w:sz w:val="20"/>
        </w:rPr>
      </w:pPr>
      <w:r>
        <w:rPr>
          <w:rFonts w:ascii="Arial" w:hAnsi="Arial"/>
          <w:color w:val="000000"/>
          <w:sz w:val="20"/>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t>
      </w:r>
      <w:r>
        <w:rPr>
          <w:rFonts w:ascii="Arial" w:hAnsi="Arial"/>
          <w:color w:val="000000"/>
          <w:sz w:val="15"/>
        </w:rPr>
        <w:t>S</w:t>
      </w:r>
      <w:r>
        <w:rPr>
          <w:rFonts w:ascii="Arial" w:hAnsi="Arial"/>
          <w:color w:val="000000"/>
          <w:sz w:val="20"/>
        </w:rPr>
        <w:t>/ D</w:t>
      </w:r>
      <w:r>
        <w:rPr>
          <w:rFonts w:ascii="Arial" w:hAnsi="Arial"/>
          <w:color w:val="000000"/>
          <w:sz w:val="15"/>
        </w:rPr>
        <w:t>ELOITTE</w:t>
      </w:r>
      <w:r>
        <w:rPr>
          <w:rFonts w:ascii="Times New Roman" w:hAnsi="Times New Roman"/>
          <w:color w:val="000000"/>
          <w:sz w:val="20"/>
        </w:rPr>
        <w:t xml:space="preserve"> </w:t>
      </w:r>
      <w:r>
        <w:rPr>
          <w:rFonts w:ascii="Arial" w:hAnsi="Arial"/>
          <w:color w:val="000000"/>
          <w:sz w:val="20"/>
        </w:rPr>
        <w:t>&amp; T</w:t>
      </w:r>
      <w:r>
        <w:rPr>
          <w:rFonts w:ascii="Arial" w:hAnsi="Arial"/>
          <w:color w:val="000000"/>
          <w:sz w:val="15"/>
        </w:rPr>
        <w:t>OUCHE</w:t>
      </w:r>
      <w:r>
        <w:rPr>
          <w:rFonts w:ascii="Times New Roman" w:hAnsi="Times New Roman"/>
          <w:color w:val="000000"/>
          <w:sz w:val="20"/>
        </w:rPr>
        <w:t xml:space="preserve"> </w:t>
      </w:r>
      <w:r>
        <w:rPr>
          <w:rFonts w:ascii="Arial" w:hAnsi="Arial"/>
          <w:color w:val="000000"/>
          <w:sz w:val="20"/>
        </w:rPr>
        <w:t>LLP</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Seattle, Washington</w:t>
      </w:r>
    </w:p>
    <w:p>
      <w:pPr>
        <w:pStyle w:val="TextBody"/>
        <w:bidi w:val="0"/>
        <w:jc w:val="both"/>
        <w:rPr>
          <w:rFonts w:ascii="Arial" w:hAnsi="Arial"/>
          <w:color w:val="000000"/>
          <w:sz w:val="20"/>
        </w:rPr>
      </w:pPr>
      <w:r>
        <w:rPr>
          <w:rFonts w:ascii="Arial" w:hAnsi="Arial"/>
          <w:color w:val="000000"/>
          <w:sz w:val="20"/>
        </w:rPr>
        <w:t>October 29, 2025</w:t>
      </w:r>
    </w:p>
    <w:p>
      <w:pPr>
        <w:pStyle w:val="TextBody"/>
        <w:bidi w:val="0"/>
        <w:spacing w:before="240" w:after="283"/>
        <w:jc w:val="center"/>
        <w:rPr>
          <w:rFonts w:ascii="Arial" w:hAnsi="Arial"/>
          <w:color w:val="000000"/>
          <w:sz w:val="16"/>
        </w:rPr>
      </w:pPr>
      <w:r>
        <w:rPr>
          <w:rFonts w:ascii="Arial" w:hAnsi="Arial"/>
          <w:color w:val="000000"/>
          <w:sz w:val="16"/>
        </w:rPr>
        <w:t>28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jc w:val="center"/>
        <w:rPr>
          <w:rFonts w:ascii="Times New Roman" w:hAnsi="Times New Roman"/>
          <w:sz w:val="20"/>
        </w:rPr>
      </w:pPr>
      <w:bookmarkStart w:id="11" w:name="item_2_managements_discussion_analysis_f"/>
      <w:bookmarkEnd w:id="11"/>
      <w:r>
        <w:rPr>
          <w:rFonts w:ascii="Arial" w:hAnsi="Arial"/>
          <w:b/>
          <w:color w:val="000000"/>
          <w:sz w:val="24"/>
        </w:rPr>
        <w:t>ITEM 2. MANAGEMENT’S DISCUSSION AND ANALYSIS OF</w:t>
      </w:r>
      <w:r>
        <w:rPr>
          <w:rFonts w:ascii="Times New Roman" w:hAnsi="Times New Roman"/>
          <w:color w:val="000000"/>
          <w:sz w:val="20"/>
        </w:rPr>
        <w:t xml:space="preserve"> </w:t>
      </w:r>
      <w:r>
        <w:rPr>
          <w:rFonts w:ascii="Arial" w:hAnsi="Arial"/>
          <w:b/>
          <w:color w:val="000000"/>
          <w:sz w:val="24"/>
        </w:rPr>
        <w:t>FINANCIAL CONDITION AND RESULTS OF OPERATIONS</w:t>
      </w:r>
    </w:p>
    <w:p>
      <w:pPr>
        <w:pStyle w:val="TextBody"/>
        <w:bidi w:val="0"/>
        <w:spacing w:before="180" w:after="283"/>
        <w:jc w:val="center"/>
        <w:rPr>
          <w:rFonts w:ascii="Arial" w:hAnsi="Arial"/>
          <w:b/>
          <w:color w:val="000000"/>
          <w:sz w:val="20"/>
        </w:rPr>
      </w:pPr>
      <w:r>
        <w:rPr>
          <w:rFonts w:ascii="Arial" w:hAnsi="Arial"/>
          <w:b/>
          <w:color w:val="000000"/>
          <w:sz w:val="20"/>
        </w:rPr>
        <w:t>Note About Forward-Looking Statements</w:t>
      </w:r>
    </w:p>
    <w:p>
      <w:pPr>
        <w:pStyle w:val="TextBody"/>
        <w:bidi w:val="0"/>
        <w:spacing w:before="180" w:after="283"/>
        <w:jc w:val="both"/>
        <w:rPr>
          <w:rFonts w:ascii="Arial" w:hAnsi="Arial"/>
          <w:color w:val="000000"/>
          <w:sz w:val="20"/>
        </w:rPr>
      </w:pPr>
      <w:r>
        <w:rPr>
          <w:rFonts w:ascii="Arial" w:hAnsi="Arial"/>
          <w:color w:val="000000"/>
          <w:sz w:val="20"/>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“Management’s Discussion and Analysis of Financial Condition and Results of Operations” and “Risk Factors” (Part II, Item 1A of this Form 10-Q).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“Management’s Discussion and Analysis of Financial Condition and Results of Operations,” “Quantitative and Qualitative Disclosures About Market Risk” (Part I, Item 3 of this Form 10-Q), and “Risk Factors”. We undertake no obligation to update or revise publicly any forward-looking statements, whether because of new information, future events, or otherwise.</w:t>
      </w:r>
    </w:p>
    <w:p>
      <w:pPr>
        <w:pStyle w:val="TextBody"/>
        <w:bidi w:val="0"/>
        <w:spacing w:before="180" w:after="283"/>
        <w:jc w:val="both"/>
        <w:rPr>
          <w:rFonts w:ascii="Arial" w:hAnsi="Arial"/>
          <w:color w:val="000000"/>
          <w:sz w:val="20"/>
        </w:rPr>
      </w:pPr>
      <w:r>
        <w:rPr>
          <w:rFonts w:ascii="Arial" w:hAnsi="Arial"/>
          <w:color w:val="000000"/>
          <w:sz w:val="20"/>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Annual Report on Form 10-K for the year ended June 30, 2025, and our consolidated financial statements and the accompanying Notes to Financial Statements (Part I, Item 1 of this Form 10-Q).</w:t>
      </w:r>
    </w:p>
    <w:p>
      <w:pPr>
        <w:pStyle w:val="TextBody"/>
        <w:bidi w:val="0"/>
        <w:spacing w:before="270" w:after="283"/>
        <w:jc w:val="center"/>
        <w:rPr>
          <w:rFonts w:ascii="Arial" w:hAnsi="Arial"/>
          <w:color w:val="000000"/>
          <w:sz w:val="20"/>
          <w:u w:val="single"/>
        </w:rPr>
      </w:pPr>
      <w:r>
        <w:rPr>
          <w:rFonts w:ascii="Arial" w:hAnsi="Arial"/>
          <w:color w:val="000000"/>
          <w:sz w:val="20"/>
          <w:u w:val="single"/>
        </w:rPr>
        <w:t>OVERVIEW</w:t>
      </w:r>
    </w:p>
    <w:p>
      <w:pPr>
        <w:pStyle w:val="TextBody"/>
        <w:bidi w:val="0"/>
        <w:spacing w:before="180" w:after="283"/>
        <w:jc w:val="both"/>
        <w:rPr>
          <w:rFonts w:ascii="Arial" w:hAnsi="Arial"/>
          <w:color w:val="000000"/>
          <w:sz w:val="20"/>
        </w:rPr>
      </w:pPr>
      <w:r>
        <w:rPr>
          <w:rFonts w:ascii="Arial" w:hAnsi="Arial"/>
          <w:color w:val="000000"/>
          <w:sz w:val="20"/>
        </w:rPr>
        <w:t>Microsoft is a technology company committed to making digital technology and artificial intelligence (“AI”) available broadly and doing so responsibly, with a mission to empower every person and every organization on the planet to achieve more. We create platforms and tools, powered by AI, that deliver innovative solutions that meet the evolving needs of our customers.</w:t>
      </w:r>
    </w:p>
    <w:p>
      <w:pPr>
        <w:pStyle w:val="TextBody"/>
        <w:bidi w:val="0"/>
        <w:spacing w:before="180" w:after="283"/>
        <w:jc w:val="both"/>
        <w:rPr>
          <w:rFonts w:ascii="Arial" w:hAnsi="Arial"/>
          <w:color w:val="000000"/>
          <w:sz w:val="20"/>
        </w:rPr>
      </w:pPr>
      <w:r>
        <w:rPr>
          <w:rFonts w:ascii="Arial" w:hAnsi="Arial"/>
          <w:color w:val="000000"/>
          <w:sz w:val="20"/>
        </w:rPr>
        <w:t>We generate revenue by offering a wide range of cloud-based solutions, content, and other services to people and businesses; licensing and supporting an array of software products; delivering relevant online advertising to a global audience; and designing and selling devices. Our most significant expenses are related to compensating employees; supporting and investing in our cloud-based services, including datacenter operations; designing, manufacturing, marketing, and selling our other products and services; and income taxes.</w:t>
      </w:r>
    </w:p>
    <w:p>
      <w:pPr>
        <w:pStyle w:val="TextBody"/>
        <w:bidi w:val="0"/>
        <w:spacing w:before="180" w:after="283"/>
        <w:jc w:val="both"/>
        <w:rPr>
          <w:rFonts w:ascii="Arial" w:hAnsi="Arial"/>
          <w:color w:val="000000"/>
          <w:sz w:val="20"/>
        </w:rPr>
      </w:pPr>
      <w:r>
        <w:rPr>
          <w:rFonts w:ascii="Arial" w:hAnsi="Arial"/>
          <w:color w:val="000000"/>
          <w:sz w:val="20"/>
        </w:rPr>
        <w:t>Highlights from the first quarter of fiscal year 2026 compared with the first quarter of fiscal year 2025 included:</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Cloud revenue increased 26% to $49.1 billion.</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Commercial remaining performance obligation increased 51% to $392 billion.</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Commercial cloud revenue increased 17%.</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 xml:space="preserve">Microsoft 365 Consumer cloud revenue increased 26%.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LinkedIn revenue increased 10%.</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Dynamics 365 revenue increased 18%.</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Azure and other cloud services revenue increased 40%.</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Windows OEM and Devices revenue increased 6%.</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Xbox content and services revenue increased 1%.</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Search and news advertising revenue excluding traffic acquisition costs increased 16%.</w:t>
      </w:r>
    </w:p>
    <w:p>
      <w:pPr>
        <w:pStyle w:val="TextBody"/>
        <w:bidi w:val="0"/>
        <w:spacing w:before="240" w:after="283"/>
        <w:jc w:val="center"/>
        <w:rPr>
          <w:rFonts w:ascii="Arial" w:hAnsi="Arial"/>
          <w:color w:val="000000"/>
          <w:sz w:val="16"/>
        </w:rPr>
      </w:pPr>
      <w:r>
        <w:rPr>
          <w:rFonts w:ascii="Arial" w:hAnsi="Arial"/>
          <w:color w:val="000000"/>
          <w:sz w:val="16"/>
        </w:rPr>
        <w:t>29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Industry Trends and Opportunities</w:t>
      </w:r>
    </w:p>
    <w:p>
      <w:pPr>
        <w:pStyle w:val="TextBody"/>
        <w:bidi w:val="0"/>
        <w:spacing w:before="180" w:after="283"/>
        <w:jc w:val="both"/>
        <w:rPr>
          <w:rFonts w:ascii="Arial" w:hAnsi="Arial"/>
          <w:color w:val="000000"/>
          <w:sz w:val="20"/>
        </w:rPr>
      </w:pPr>
      <w:r>
        <w:rPr>
          <w:rFonts w:ascii="Arial" w:hAnsi="Arial"/>
          <w:color w:val="000000"/>
          <w:sz w:val="20"/>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pStyle w:val="TextBody"/>
        <w:bidi w:val="0"/>
        <w:spacing w:before="180" w:after="283"/>
        <w:jc w:val="both"/>
        <w:rPr>
          <w:rFonts w:ascii="Times New Roman" w:hAnsi="Times New Roman"/>
          <w:sz w:val="20"/>
        </w:rPr>
      </w:pPr>
      <w:r>
        <w:rPr>
          <w:rFonts w:ascii="Arial" w:hAnsi="Arial"/>
          <w:color w:val="000000"/>
          <w:sz w:val="20"/>
        </w:rPr>
        <w:t>Microsoft and OpenAI Global, LLC (“OpenAI”) maintain a long-term strategic partnership originally established in 2019. Microsoft is a major investor in OpenAI, and the companies have reciprocal revenue-sharing arrangements. We hold rights to OpenAI’s intellectual property, including models and infrastructure, for integration into our products.</w:t>
      </w:r>
      <w:r>
        <w:rPr>
          <w:rFonts w:ascii="Times New Roman" w:hAnsi="Times New Roman"/>
          <w:color w:val="000000"/>
          <w:sz w:val="20"/>
        </w:rPr>
        <w:t xml:space="preserve"> </w:t>
      </w:r>
    </w:p>
    <w:p>
      <w:pPr>
        <w:pStyle w:val="TextBody"/>
        <w:bidi w:val="0"/>
        <w:spacing w:before="270" w:after="283"/>
        <w:jc w:val="both"/>
        <w:rPr>
          <w:rFonts w:ascii="Arial" w:hAnsi="Arial"/>
          <w:b/>
          <w:color w:val="000000"/>
          <w:sz w:val="20"/>
        </w:rPr>
      </w:pPr>
      <w:r>
        <w:rPr>
          <w:rFonts w:ascii="Arial" w:hAnsi="Arial"/>
          <w:b/>
          <w:color w:val="000000"/>
          <w:sz w:val="20"/>
        </w:rPr>
        <w:t>Economic Conditions, Challenges, and Risks</w:t>
      </w:r>
    </w:p>
    <w:p>
      <w:pPr>
        <w:pStyle w:val="TextBody"/>
        <w:bidi w:val="0"/>
        <w:spacing w:before="180" w:after="283"/>
        <w:jc w:val="both"/>
        <w:rPr>
          <w:rFonts w:ascii="Arial" w:hAnsi="Arial"/>
          <w:color w:val="000000"/>
          <w:sz w:val="20"/>
        </w:rPr>
      </w:pPr>
      <w:r>
        <w:rPr>
          <w:rFonts w:ascii="Arial" w:hAnsi="Arial"/>
          <w:color w:val="000000"/>
          <w:sz w:val="20"/>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influencing how users access services in the cloud and, in some cases, the user’s choice of which suite of cloud-based services to use. Aggregate demand for our software, services, and devices is also correlated to global macroeconomic and geopolitical factors, which remain dynamic. We must continue to evolve and adapt over an extended time in pace with this changing environment.</w:t>
      </w:r>
    </w:p>
    <w:p>
      <w:pPr>
        <w:pStyle w:val="TextBody"/>
        <w:bidi w:val="0"/>
        <w:spacing w:before="180" w:after="283"/>
        <w:jc w:val="both"/>
        <w:rPr>
          <w:rFonts w:ascii="Arial" w:hAnsi="Arial"/>
          <w:color w:val="000000"/>
          <w:sz w:val="20"/>
        </w:rPr>
      </w:pPr>
      <w:r>
        <w:rPr>
          <w:rFonts w:ascii="Arial" w:hAnsi="Arial"/>
          <w:color w:val="000000"/>
          <w:sz w:val="20"/>
        </w:rPr>
        <w:t>The investments we are making in cloud and AI infrastructure and devices will continue to increase our operating costs and may decrease our operating margins. We continue to identify and evaluate opportunities to expand our datacenter locations and increase our server capacity to meet the evolving needs of our customers, particularly given the growing demand for AI services. Our datacenters depend on the availability of permitted and buildable land, predictable energy, networking supplies, and servers, including graphics processing units and other components. Our devices are primarily manufactured by third-party contract manufacturers. For the majority of our products, we have the ability to use other manufacturers if a current vendor becomes unavailable or unable to meet our requirements. However, some of our products contain certain components for which there are very few qualified suppliers. Extended disruptions at these suppliers could impact our ability to manufacture devices on time to meet consumer demand.</w:t>
      </w:r>
    </w:p>
    <w:p>
      <w:pPr>
        <w:pStyle w:val="TextBody"/>
        <w:bidi w:val="0"/>
        <w:spacing w:before="180" w:after="283"/>
        <w:jc w:val="both"/>
        <w:rPr>
          <w:rFonts w:ascii="Arial" w:hAnsi="Arial"/>
          <w:color w:val="000000"/>
          <w:sz w:val="20"/>
        </w:rPr>
      </w:pPr>
      <w:r>
        <w:rPr>
          <w:rFonts w:ascii="Arial" w:hAnsi="Arial"/>
          <w:color w:val="000000"/>
          <w:sz w:val="20"/>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w:t>
      </w:r>
    </w:p>
    <w:p>
      <w:pPr>
        <w:pStyle w:val="TextBody"/>
        <w:bidi w:val="0"/>
        <w:spacing w:before="180" w:after="283"/>
        <w:jc w:val="both"/>
        <w:rPr>
          <w:rFonts w:ascii="Arial" w:hAnsi="Arial"/>
          <w:color w:val="000000"/>
          <w:sz w:val="20"/>
        </w:rPr>
      </w:pPr>
      <w:r>
        <w:rPr>
          <w:rFonts w:ascii="Arial" w:hAnsi="Arial"/>
          <w:color w:val="000000"/>
          <w:sz w:val="20"/>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Fluctuations in the U.S. dollar relative to certain foreign currencies did not have a material impact on reported revenue and expenses from our international operations in the first quarter of fiscal year 2026.</w:t>
      </w:r>
    </w:p>
    <w:p>
      <w:pPr>
        <w:pStyle w:val="TextBody"/>
        <w:bidi w:val="0"/>
        <w:spacing w:before="180" w:after="283"/>
        <w:jc w:val="both"/>
        <w:rPr>
          <w:rFonts w:ascii="Arial" w:hAnsi="Arial"/>
          <w:color w:val="000000"/>
          <w:sz w:val="20"/>
        </w:rPr>
      </w:pPr>
      <w:r>
        <w:rPr>
          <w:rFonts w:ascii="Arial" w:hAnsi="Arial"/>
          <w:color w:val="000000"/>
          <w:sz w:val="20"/>
        </w:rPr>
        <w:t>Further, global, regional, and local economic developments and changes in global trade policies such as restrictions on international trade, including tariffs and other controls on imports or exports, could result in increased supply chain challenges, cost volatility, and consumer and economic uncertainty which may adversely affect our results of operations.</w:t>
      </w:r>
    </w:p>
    <w:p>
      <w:pPr>
        <w:pStyle w:val="TextBody"/>
        <w:bidi w:val="0"/>
        <w:spacing w:before="180" w:after="283"/>
        <w:jc w:val="both"/>
        <w:rPr>
          <w:rFonts w:ascii="Arial" w:hAnsi="Arial"/>
          <w:color w:val="000000"/>
          <w:sz w:val="20"/>
        </w:rPr>
      </w:pPr>
      <w:r>
        <w:rPr>
          <w:rFonts w:ascii="Arial" w:hAnsi="Arial"/>
          <w:color w:val="000000"/>
          <w:sz w:val="20"/>
        </w:rPr>
        <w:t>Refer to Risk Factors (Part II, Item 1A of this Form 10-Q) for a discussion of these factors and other risks.</w:t>
      </w:r>
    </w:p>
    <w:p>
      <w:pPr>
        <w:pStyle w:val="TextBody"/>
        <w:bidi w:val="0"/>
        <w:spacing w:before="270" w:after="283"/>
        <w:jc w:val="both"/>
        <w:rPr>
          <w:rFonts w:ascii="Arial" w:hAnsi="Arial"/>
          <w:b/>
          <w:color w:val="000000"/>
          <w:sz w:val="20"/>
        </w:rPr>
      </w:pPr>
      <w:r>
        <w:rPr>
          <w:rFonts w:ascii="Arial" w:hAnsi="Arial"/>
          <w:b/>
          <w:color w:val="000000"/>
          <w:sz w:val="20"/>
        </w:rPr>
        <w:t>Seasonality</w:t>
      </w:r>
    </w:p>
    <w:p>
      <w:pPr>
        <w:pStyle w:val="TextBody"/>
        <w:bidi w:val="0"/>
        <w:spacing w:before="180" w:after="283"/>
        <w:jc w:val="both"/>
        <w:rPr>
          <w:rFonts w:ascii="Arial" w:hAnsi="Arial"/>
          <w:color w:val="000000"/>
          <w:sz w:val="20"/>
        </w:rPr>
      </w:pPr>
      <w:r>
        <w:rPr>
          <w:rFonts w:ascii="Arial" w:hAnsi="Arial"/>
          <w:color w:val="000000"/>
          <w:sz w:val="20"/>
        </w:rPr>
        <w:t>Our revenue fluctuates quarterly and is generally higher in the fourth quarter of our fiscal year. Fourth quarter revenue is driven by a higher volume of multi-year contracts executed during the period.</w:t>
      </w:r>
    </w:p>
    <w:p>
      <w:pPr>
        <w:pStyle w:val="TextBody"/>
        <w:bidi w:val="0"/>
        <w:spacing w:before="270" w:after="283"/>
        <w:jc w:val="both"/>
        <w:rPr>
          <w:rFonts w:ascii="Arial" w:hAnsi="Arial"/>
          <w:b/>
          <w:color w:val="000000"/>
          <w:sz w:val="20"/>
        </w:rPr>
      </w:pPr>
      <w:r>
        <w:rPr>
          <w:rFonts w:ascii="Arial" w:hAnsi="Arial"/>
          <w:b/>
          <w:color w:val="000000"/>
          <w:sz w:val="20"/>
        </w:rPr>
        <w:t>Reportable Segments</w:t>
      </w:r>
    </w:p>
    <w:p>
      <w:pPr>
        <w:pStyle w:val="TextBody"/>
        <w:bidi w:val="0"/>
        <w:spacing w:before="180" w:after="283"/>
        <w:jc w:val="both"/>
        <w:rPr>
          <w:rFonts w:ascii="Times New Roman" w:hAnsi="Times New Roman"/>
          <w:sz w:val="20"/>
        </w:rPr>
      </w:pPr>
      <w:r>
        <w:rPr>
          <w:rFonts w:ascii="Arial" w:hAnsi="Arial"/>
          <w:color w:val="000000"/>
          <w:sz w:val="20"/>
        </w:rPr>
        <w:t>We report our financial performance based on the following segments: Productivity and Business Processes, Intelligent Cloud, and More Personal Computing. The segment amounts included in MD&amp;A are presented on a basis consistent with our internal management reporting.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30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Additional information on our reportable segments is contained in Note 16 – Segment Information and Geographic Data of the Notes to Financial Statements (Part I, Item 1 of this Form 10-Q).</w:t>
      </w:r>
    </w:p>
    <w:p>
      <w:pPr>
        <w:pStyle w:val="TextBody"/>
        <w:bidi w:val="0"/>
        <w:spacing w:before="270" w:after="283"/>
        <w:jc w:val="both"/>
        <w:rPr>
          <w:rFonts w:ascii="Arial" w:hAnsi="Arial"/>
          <w:b/>
          <w:color w:val="000000"/>
          <w:sz w:val="20"/>
        </w:rPr>
      </w:pPr>
      <w:r>
        <w:rPr>
          <w:rFonts w:ascii="Arial" w:hAnsi="Arial"/>
          <w:b/>
          <w:color w:val="000000"/>
          <w:sz w:val="20"/>
        </w:rPr>
        <w:t>Metrics</w:t>
      </w:r>
    </w:p>
    <w:p>
      <w:pPr>
        <w:pStyle w:val="TextBody"/>
        <w:bidi w:val="0"/>
        <w:spacing w:before="180" w:after="283"/>
        <w:jc w:val="both"/>
        <w:rPr>
          <w:rFonts w:ascii="Arial" w:hAnsi="Arial"/>
          <w:color w:val="000000"/>
          <w:sz w:val="20"/>
        </w:rPr>
      </w:pPr>
      <w:r>
        <w:rPr>
          <w:rFonts w:ascii="Arial" w:hAnsi="Arial"/>
          <w:color w:val="000000"/>
          <w:sz w:val="20"/>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 Item 1 of this Form 10-Q). Financial metrics are calculated based on financial results prepared in accordance with accounting principles generally accepted in the United States of America (“GAAP”), and growth comparisons relate to the corresponding period of last fiscal year.</w:t>
      </w:r>
    </w:p>
    <w:p>
      <w:pPr>
        <w:pStyle w:val="TextBody"/>
        <w:bidi w:val="0"/>
        <w:spacing w:before="180" w:after="283"/>
        <w:jc w:val="both"/>
        <w:rPr>
          <w:rFonts w:ascii="Arial" w:hAnsi="Arial"/>
          <w:color w:val="000000"/>
          <w:sz w:val="20"/>
        </w:rPr>
      </w:pPr>
      <w:r>
        <w:rPr>
          <w:rFonts w:ascii="Arial" w:hAnsi="Arial"/>
          <w:color w:val="000000"/>
          <w:sz w:val="20"/>
        </w:rPr>
        <w:t>In the first quarter of fiscal year 2026, we made updates to our metrics to align with how we manage and monitor certain businesses. As part of these updates, Microsoft 365 Consumer subscribers was removed as a metric.</w:t>
      </w:r>
    </w:p>
    <w:p>
      <w:pPr>
        <w:pStyle w:val="TextBody"/>
        <w:bidi w:val="0"/>
        <w:spacing w:before="270" w:after="283"/>
        <w:jc w:val="both"/>
        <w:rPr>
          <w:rFonts w:ascii="Arial" w:hAnsi="Arial"/>
          <w:b/>
          <w:i/>
          <w:color w:val="000000"/>
          <w:sz w:val="20"/>
        </w:rPr>
      </w:pPr>
      <w:r>
        <w:rPr>
          <w:rFonts w:ascii="Arial" w:hAnsi="Arial"/>
          <w:b/>
          <w:i/>
          <w:color w:val="000000"/>
          <w:sz w:val="20"/>
        </w:rPr>
        <w:t>Commercial</w:t>
      </w:r>
    </w:p>
    <w:p>
      <w:pPr>
        <w:pStyle w:val="TextBody"/>
        <w:bidi w:val="0"/>
        <w:spacing w:before="180" w:after="283"/>
        <w:jc w:val="both"/>
        <w:rPr>
          <w:rFonts w:ascii="Arial" w:hAnsi="Arial"/>
          <w:color w:val="000000"/>
          <w:sz w:val="20"/>
        </w:rPr>
      </w:pPr>
      <w:r>
        <w:rPr>
          <w:rFonts w:ascii="Arial" w:hAnsi="Arial"/>
          <w:color w:val="000000"/>
          <w:sz w:val="20"/>
        </w:rPr>
        <w:t>Our commercial business primarily consists of Server products and cloud services, Microsoft 365 Commercial products and cloud services, the commercial portion of LinkedIn, Dynamics products and cloud services, and Enterprise and partner services. Our commercial metrics allow management and investors to assess the overall health of our commercial business and include leading indicators of future performance.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25"/>
        <w:gridCol w:w="146"/>
        <w:gridCol w:w="7534"/>
      </w:tblGrid>
      <w:tr>
        <w:trPr/>
        <w:tc>
          <w:tcPr>
            <w:tcW w:w="2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34" w:type="dxa"/>
            <w:tcBorders/>
            <w:vAlign w:val="center"/>
          </w:tcPr>
          <w:p>
            <w:pPr>
              <w:pStyle w:val="TableContents"/>
              <w:bidi w:val="0"/>
              <w:spacing w:before="0" w:after="283"/>
              <w:ind w:left="0" w:right="0" w:firstLine="187"/>
              <w:jc w:val="left"/>
              <w:rPr>
                <w:sz w:val="4"/>
                <w:szCs w:val="4"/>
              </w:rPr>
            </w:pPr>
            <w:r>
              <w:rPr>
                <w:sz w:val="4"/>
                <w:szCs w:val="4"/>
              </w:rPr>
            </w:r>
          </w:p>
        </w:tc>
      </w:tr>
      <w:tr>
        <w:trPr/>
        <w:tc>
          <w:tcPr>
            <w:tcW w:w="2525"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Commercial remaining performance obligation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4"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Commercial portion of revenue allocated to remaining performance obligations, which includes unearned revenue and amounts that will be invoiced and recognized as revenue in future periods</w:t>
            </w:r>
          </w:p>
        </w:tc>
      </w:tr>
      <w:tr>
        <w:trPr/>
        <w:tc>
          <w:tcPr>
            <w:tcW w:w="2525"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34"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r>
      <w:tr>
        <w:trPr/>
        <w:tc>
          <w:tcPr>
            <w:tcW w:w="2525"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Microsoft Cloud revenue and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4"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Revenue from Microsoft 365 Commercial cloud, Azure and other cloud services, the commercial portion of LinkedIn, and Dynamics 365</w:t>
            </w:r>
          </w:p>
        </w:tc>
      </w:tr>
      <w:tr>
        <w:trPr/>
        <w:tc>
          <w:tcPr>
            <w:tcW w:w="2525"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34"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r>
      <w:tr>
        <w:trPr/>
        <w:tc>
          <w:tcPr>
            <w:tcW w:w="2525"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Microsoft Cloud gross margin percentage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Gross margin percentage for our Microsoft Cloud business</w:t>
            </w:r>
          </w:p>
        </w:tc>
      </w:tr>
    </w:tbl>
    <w:p>
      <w:pPr>
        <w:pStyle w:val="TextBody"/>
        <w:bidi w:val="0"/>
        <w:jc w:val="both"/>
        <w:rPr/>
      </w:pPr>
      <w:r>
        <w:rPr/>
        <w:t> </w:t>
      </w:r>
    </w:p>
    <w:p>
      <w:pPr>
        <w:pStyle w:val="TextBody"/>
        <w:bidi w:val="0"/>
        <w:spacing w:before="90" w:after="283"/>
        <w:jc w:val="both"/>
        <w:rPr>
          <w:rFonts w:ascii="Arial" w:hAnsi="Arial"/>
          <w:b/>
          <w:i/>
          <w:color w:val="000000"/>
          <w:sz w:val="20"/>
        </w:rPr>
      </w:pPr>
      <w:r>
        <w:rPr>
          <w:rFonts w:ascii="Arial" w:hAnsi="Arial"/>
          <w:b/>
          <w:i/>
          <w:color w:val="000000"/>
          <w:sz w:val="20"/>
        </w:rPr>
        <w:t>Productivity and Business Processes and Intelligent Cloud</w:t>
      </w:r>
    </w:p>
    <w:p>
      <w:pPr>
        <w:pStyle w:val="TextBody"/>
        <w:bidi w:val="0"/>
        <w:spacing w:before="180" w:after="283"/>
        <w:jc w:val="both"/>
        <w:rPr>
          <w:rFonts w:ascii="Arial" w:hAnsi="Arial"/>
          <w:color w:val="000000"/>
          <w:sz w:val="20"/>
        </w:rPr>
      </w:pPr>
      <w:r>
        <w:rPr>
          <w:rFonts w:ascii="Arial" w:hAnsi="Arial"/>
          <w:color w:val="000000"/>
          <w:sz w:val="20"/>
        </w:rPr>
        <w:t>Metrics related to our Productivity and Business Processes and Intelligent Cloud segments assess the health of our core businesses within these segments. The metrics primarily reflect growth across our cloud services.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98"/>
        <w:gridCol w:w="146"/>
        <w:gridCol w:w="7961"/>
      </w:tblGrid>
      <w:tr>
        <w:trPr/>
        <w:tc>
          <w:tcPr>
            <w:tcW w:w="2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1" w:type="dxa"/>
            <w:tcBorders/>
            <w:vAlign w:val="center"/>
          </w:tcPr>
          <w:p>
            <w:pPr>
              <w:pStyle w:val="TableContents"/>
              <w:bidi w:val="0"/>
              <w:spacing w:before="0" w:after="283"/>
              <w:ind w:left="0" w:right="0" w:firstLine="187"/>
              <w:jc w:val="left"/>
              <w:rPr>
                <w:sz w:val="4"/>
                <w:szCs w:val="4"/>
              </w:rPr>
            </w:pPr>
            <w:r>
              <w:rPr>
                <w:sz w:val="4"/>
                <w:szCs w:val="4"/>
              </w:rPr>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Microsoft 365 Commercial cloud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Revenue from Microsoft 365 Commercial subscriptions, comprising Microsoft 365 Commercial, Enterprise Mobility + Security, the cloud portion of Windows Commercial, the per-user portion of Power BI, Exchange, SharePoint, Microsoft Teams, Microsoft 365 Security and Compliance, and Microsoft 365 Copilot</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Microsoft 365 Commercial seat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The number of Microsoft 365 Commercial seats at end of period where seats are paid users covered by a Microsoft 365 Commercial subscription</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Microsoft 365 Consumer cloud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Revenue from Microsoft 365 Consumer subscriptions and other consumer services</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LinkedIn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Revenue from LinkedIn, including Talent Solutions, Marketing Solutions, Premium Subscriptions, and Sales Solutions</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Dynamics 365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Revenue from Dynamics 365, including a set of intelligent, cloud-based applications across ERP, CRM, Power Apps, and Power Automate</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Azure and other cloud services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 from Azure and other cloud services, including cloud and AI consumption-based services, GitHub cloud services, Nuance Healthcare cloud services, virtual desktop offerings, and other cloud services</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31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90" w:after="283"/>
        <w:jc w:val="both"/>
        <w:rPr>
          <w:rFonts w:ascii="Arial" w:hAnsi="Arial"/>
          <w:b/>
          <w:i/>
          <w:color w:val="000000"/>
          <w:sz w:val="20"/>
        </w:rPr>
      </w:pPr>
      <w:r>
        <w:rPr>
          <w:rFonts w:ascii="Arial" w:hAnsi="Arial"/>
          <w:b/>
          <w:i/>
          <w:color w:val="000000"/>
          <w:sz w:val="20"/>
        </w:rPr>
        <w:t>More Personal Computing</w:t>
      </w:r>
    </w:p>
    <w:p>
      <w:pPr>
        <w:pStyle w:val="TextBody"/>
        <w:bidi w:val="0"/>
        <w:spacing w:before="180" w:after="283"/>
        <w:jc w:val="both"/>
        <w:rPr>
          <w:rFonts w:ascii="Arial" w:hAnsi="Arial"/>
          <w:color w:val="000000"/>
          <w:sz w:val="20"/>
        </w:rPr>
      </w:pPr>
      <w:r>
        <w:rPr>
          <w:rFonts w:ascii="Arial" w:hAnsi="Arial"/>
          <w:color w:val="000000"/>
          <w:sz w:val="20"/>
        </w:rPr>
        <w:t>Metrics related to our More Personal Computing segment assess the performance of our key consumer businesses.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97"/>
        <w:gridCol w:w="146"/>
        <w:gridCol w:w="7562"/>
      </w:tblGrid>
      <w:tr>
        <w:trPr/>
        <w:tc>
          <w:tcPr>
            <w:tcW w:w="24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62" w:type="dxa"/>
            <w:tcBorders/>
            <w:vAlign w:val="center"/>
          </w:tcPr>
          <w:p>
            <w:pPr>
              <w:pStyle w:val="TableContents"/>
              <w:bidi w:val="0"/>
              <w:spacing w:before="0" w:after="283"/>
              <w:ind w:left="0" w:right="0" w:firstLine="187"/>
              <w:jc w:val="left"/>
              <w:rPr>
                <w:sz w:val="4"/>
                <w:szCs w:val="4"/>
              </w:rPr>
            </w:pPr>
            <w:r>
              <w:rPr>
                <w:sz w:val="4"/>
                <w:szCs w:val="4"/>
              </w:rPr>
            </w:r>
          </w:p>
        </w:tc>
      </w:tr>
      <w:tr>
        <w:trPr/>
        <w:tc>
          <w:tcPr>
            <w:tcW w:w="2497"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Windows OEM and Devices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2"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Revenue from sales of Windows Pro and non-Pro licenses sold through the OEM channel and sales of first-party Devices, including Surface and PC accessories</w:t>
            </w:r>
          </w:p>
        </w:tc>
      </w:tr>
      <w:tr>
        <w:trPr/>
        <w:tc>
          <w:tcPr>
            <w:tcW w:w="2497"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62"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r>
      <w:tr>
        <w:trPr/>
        <w:tc>
          <w:tcPr>
            <w:tcW w:w="2497"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Xbox content and services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2"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Revenue from Xbox content and services, comprising first- and third-party content (including games and in-game content), Xbox Game Pass and other subscriptions, Xbox Cloud Gaming, advertising, and other cloud services</w:t>
            </w:r>
          </w:p>
        </w:tc>
      </w:tr>
      <w:tr>
        <w:trPr/>
        <w:tc>
          <w:tcPr>
            <w:tcW w:w="2497"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62"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r>
      <w:tr>
        <w:trPr/>
        <w:tc>
          <w:tcPr>
            <w:tcW w:w="2497"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Search and news advertising revenue (ex TAC)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 from search and news advertising excluding traffic acquisition costs (“TAC”) paid to Bing Ads network publishers and news partners</w:t>
            </w:r>
          </w:p>
        </w:tc>
      </w:tr>
    </w:tbl>
    <w:p>
      <w:pPr>
        <w:pStyle w:val="TextBody"/>
        <w:bidi w:val="0"/>
        <w:jc w:val="both"/>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SUMMARY RESULTS OF OPERATIONS</w:t>
      </w:r>
    </w:p>
    <w:p>
      <w:pPr>
        <w:pStyle w:val="TextBody"/>
        <w:bidi w:val="0"/>
        <w:jc w:val="both"/>
        <w:rPr/>
      </w:pPr>
      <w:r>
        <w:rPr/>
        <w:t> </w:t>
      </w:r>
    </w:p>
    <w:tbl>
      <w:tblPr>
        <w:tblW w:w="8452" w:type="dxa"/>
        <w:jc w:val="left"/>
        <w:tblInd w:w="0" w:type="dxa"/>
        <w:tblLayout w:type="fixed"/>
        <w:tblCellMar>
          <w:top w:w="28" w:type="dxa"/>
          <w:left w:w="28" w:type="dxa"/>
          <w:bottom w:w="28" w:type="dxa"/>
          <w:right w:w="28" w:type="dxa"/>
        </w:tblCellMar>
      </w:tblPr>
      <w:tblGrid>
        <w:gridCol w:w="4536"/>
        <w:gridCol w:w="146"/>
        <w:gridCol w:w="211"/>
        <w:gridCol w:w="691"/>
        <w:gridCol w:w="146"/>
        <w:gridCol w:w="146"/>
        <w:gridCol w:w="211"/>
        <w:gridCol w:w="691"/>
        <w:gridCol w:w="146"/>
        <w:gridCol w:w="146"/>
        <w:gridCol w:w="298"/>
        <w:gridCol w:w="648"/>
        <w:gridCol w:w="436"/>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453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b/>
                <w:color w:val="000000"/>
                <w:sz w:val="15"/>
              </w:rPr>
            </w:pPr>
            <w:r>
              <w:rPr>
                <w:rFonts w:ascii="Arial" w:hAnsi="Arial"/>
                <w:b/>
                <w:color w:val="000000"/>
                <w:sz w:val="15"/>
              </w:rPr>
              <w:t>(In millions, except percentages and per share amounts)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5" w:type="dxa"/>
            <w:gridSpan w:val="5"/>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September 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536" w:type="dxa"/>
            <w:tcBorders/>
            <w:tcMar>
              <w:top w:w="0" w:type="dxa"/>
              <w:left w:w="0" w:type="dxa"/>
              <w:bottom w:w="0" w:type="dxa"/>
              <w:right w:w="0" w:type="dxa"/>
            </w:tcMar>
            <w:vAlign w:val="center"/>
          </w:tcPr>
          <w:p>
            <w:pPr>
              <w:pStyle w:val="TableContents"/>
              <w:bidi w:val="0"/>
              <w:spacing w:before="0" w:after="283"/>
              <w:ind w:left="0" w:right="0" w:firstLine="24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53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77,673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65,585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453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Gross margin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53,630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45,486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43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453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Operating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37,961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30,552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453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Arial" w:hAnsi="Arial"/>
                <w:color w:val="000000"/>
                <w:sz w:val="20"/>
              </w:rPr>
              <w:t>Net income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27,747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24,667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5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Diluted earnings per share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5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5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Adjusted net income (non-GAAP)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30,833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5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Adjusted diluted earnings per share (non-GAAP)</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536" w:type="dxa"/>
            <w:tcBorders>
              <w:bottom w:val="single" w:sz="2" w:space="0" w:color="000000"/>
            </w:tcBorders>
            <w:tcMar>
              <w:top w:w="0" w:type="dxa"/>
              <w:left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Adjusted net income and adjusted diluted earnings per share (“EPS”) are non-GAAP financial measures. These non-GAAP financial measures exclude net losses from investments in OpenAI. Refer to the Non-GAAP Financial Measures section below for a reconciliation of our financial results reported in accordance with GAAP to non-GAAP financial results.</w:t>
      </w:r>
    </w:p>
    <w:p>
      <w:pPr>
        <w:pStyle w:val="TextBody"/>
        <w:bidi w:val="0"/>
        <w:spacing w:before="90" w:after="283"/>
        <w:jc w:val="both"/>
        <w:rPr>
          <w:rFonts w:ascii="Arial" w:hAnsi="Arial"/>
          <w:b/>
          <w:i/>
          <w:color w:val="000000"/>
          <w:sz w:val="20"/>
        </w:rPr>
      </w:pPr>
      <w:r>
        <w:rPr>
          <w:rFonts w:ascii="Arial" w:hAnsi="Arial"/>
          <w:b/>
          <w:i/>
          <w:color w:val="000000"/>
          <w:sz w:val="20"/>
        </w:rPr>
        <w:t>Three Months Ended September 30, 2025 Compared with Three Months Ended September 30, 2024</w:t>
      </w:r>
    </w:p>
    <w:p>
      <w:pPr>
        <w:pStyle w:val="TextBody"/>
        <w:bidi w:val="0"/>
        <w:spacing w:before="180" w:after="283"/>
        <w:jc w:val="both"/>
        <w:rPr>
          <w:rFonts w:ascii="Arial" w:hAnsi="Arial"/>
          <w:color w:val="000000"/>
          <w:sz w:val="20"/>
        </w:rPr>
      </w:pPr>
      <w:r>
        <w:rPr>
          <w:rFonts w:ascii="Arial" w:hAnsi="Arial"/>
          <w:color w:val="000000"/>
          <w:sz w:val="20"/>
        </w:rPr>
        <w:t>Revenue increased $12.1 billion or 18% with growth across each of our segments. Intelligent Cloud revenue increased driven by Azure. Productivity and Business Processes revenue increased driven by Microsoft 365 Commercial cloud. More Personal Computing revenue increased driven by Windows OEM and Search and news advertising, offset in part by declines in our hardware businesses, including Devices and Xbox hardware.</w:t>
      </w:r>
    </w:p>
    <w:p>
      <w:pPr>
        <w:pStyle w:val="TextBody"/>
        <w:bidi w:val="0"/>
        <w:spacing w:before="180" w:after="283"/>
        <w:jc w:val="both"/>
        <w:rPr>
          <w:rFonts w:ascii="Arial" w:hAnsi="Arial"/>
          <w:color w:val="000000"/>
          <w:sz w:val="20"/>
        </w:rPr>
      </w:pPr>
      <w:r>
        <w:rPr>
          <w:rFonts w:ascii="Arial" w:hAnsi="Arial"/>
          <w:color w:val="000000"/>
          <w:sz w:val="20"/>
        </w:rPr>
        <w:t>Cost of revenue increased $3.9 billion or 20% driven by growth in Microsoft Cloud.</w:t>
      </w:r>
    </w:p>
    <w:p>
      <w:pPr>
        <w:pStyle w:val="TextBody"/>
        <w:bidi w:val="0"/>
        <w:spacing w:before="180" w:after="283"/>
        <w:jc w:val="both"/>
        <w:rPr>
          <w:rFonts w:ascii="Arial" w:hAnsi="Arial"/>
          <w:color w:val="000000"/>
          <w:sz w:val="20"/>
        </w:rPr>
      </w:pPr>
      <w:r>
        <w:rPr>
          <w:rFonts w:ascii="Arial" w:hAnsi="Arial"/>
          <w:color w:val="000000"/>
          <w:sz w:val="20"/>
        </w:rPr>
        <w:t>Gross margin increased $8.1 billion or 18% with growth across each of our segments.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percentage decreased slightly driven by scaling our AI infrastructure and growing usage of AI product features, offset in part by efficiency gains across the Microsoft Cloud.</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Cloud gross margin percentage decreased to 68% driven by scaling our AI infrastructure and growing usage of AI product features, offset in part by efficiency gains in Azure and Microsoft 365 Commercial cloud.</w:t>
      </w:r>
    </w:p>
    <w:p>
      <w:pPr>
        <w:pStyle w:val="TextBody"/>
        <w:bidi w:val="0"/>
        <w:spacing w:before="180" w:after="283"/>
        <w:jc w:val="both"/>
        <w:rPr>
          <w:rFonts w:ascii="Times New Roman" w:hAnsi="Times New Roman"/>
          <w:sz w:val="20"/>
        </w:rPr>
      </w:pPr>
      <w:r>
        <w:rPr>
          <w:rFonts w:ascii="Arial" w:hAnsi="Arial"/>
          <w:color w:val="000000"/>
          <w:sz w:val="20"/>
        </w:rPr>
        <w:t>Operating expenses increased $735 million or 5% driven by investments in cloud and AI engineering, including compute capacity and AI talent to support product development across the portfolio.</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Operating income increased $7.4 billion or 24% with growth across each of our segments.</w:t>
      </w:r>
    </w:p>
    <w:p>
      <w:pPr>
        <w:pStyle w:val="TextBody"/>
        <w:bidi w:val="0"/>
        <w:spacing w:before="180" w:after="283"/>
        <w:jc w:val="both"/>
        <w:rPr>
          <w:rFonts w:ascii="Arial" w:hAnsi="Arial"/>
          <w:color w:val="000000"/>
          <w:sz w:val="20"/>
        </w:rPr>
      </w:pPr>
      <w:r>
        <w:rPr>
          <w:rFonts w:ascii="Arial" w:hAnsi="Arial"/>
          <w:color w:val="000000"/>
          <w:sz w:val="20"/>
        </w:rPr>
        <w:t>Gross margin and operating income both included a favorable foreign currency impact of 2%.</w:t>
      </w:r>
    </w:p>
    <w:p>
      <w:pPr>
        <w:pStyle w:val="TextBody"/>
        <w:bidi w:val="0"/>
        <w:spacing w:before="240" w:after="283"/>
        <w:jc w:val="center"/>
        <w:rPr>
          <w:rFonts w:ascii="Arial" w:hAnsi="Arial"/>
          <w:color w:val="000000"/>
          <w:sz w:val="16"/>
        </w:rPr>
      </w:pPr>
      <w:r>
        <w:rPr>
          <w:rFonts w:ascii="Arial" w:hAnsi="Arial"/>
          <w:color w:val="000000"/>
          <w:sz w:val="16"/>
        </w:rPr>
        <w:t>32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Current year net income and diluted EPS were negatively impacted by net losses from investments in OpenAI, which resulted in a decrease in net income and diluted EPS of $3.1 billion and $0.41, respectively. Prior year net income and diluted EPS were negatively impacted by net losses from investments in OpenAI, which resulted in a decrease in net income and diluted EPS of $523 million and $0.07, respectively.</w:t>
      </w:r>
    </w:p>
    <w:p>
      <w:pPr>
        <w:pStyle w:val="TextBody"/>
        <w:bidi w:val="0"/>
        <w:spacing w:before="270" w:after="283"/>
        <w:jc w:val="center"/>
        <w:rPr>
          <w:rFonts w:ascii="Arial" w:hAnsi="Arial"/>
          <w:color w:val="000000"/>
          <w:sz w:val="20"/>
          <w:u w:val="single"/>
        </w:rPr>
      </w:pPr>
      <w:r>
        <w:rPr>
          <w:rFonts w:ascii="Arial" w:hAnsi="Arial"/>
          <w:color w:val="000000"/>
          <w:sz w:val="20"/>
          <w:u w:val="single"/>
        </w:rPr>
        <w:t>SEGMENT RESULTS OF OPERATIONS</w:t>
      </w:r>
    </w:p>
    <w:p>
      <w:pPr>
        <w:pStyle w:val="TextBody"/>
        <w:bidi w:val="0"/>
        <w:jc w:val="both"/>
        <w:rPr/>
      </w:pPr>
      <w:r>
        <w:rPr/>
        <w:t> </w:t>
      </w:r>
    </w:p>
    <w:tbl>
      <w:tblPr>
        <w:tblW w:w="7302" w:type="dxa"/>
        <w:jc w:val="left"/>
        <w:tblInd w:w="0" w:type="dxa"/>
        <w:tblLayout w:type="fixed"/>
        <w:tblCellMar>
          <w:top w:w="28" w:type="dxa"/>
          <w:left w:w="28" w:type="dxa"/>
          <w:bottom w:w="28" w:type="dxa"/>
          <w:right w:w="28" w:type="dxa"/>
        </w:tblCellMar>
      </w:tblPr>
      <w:tblGrid>
        <w:gridCol w:w="3141"/>
        <w:gridCol w:w="146"/>
        <w:gridCol w:w="211"/>
        <w:gridCol w:w="691"/>
        <w:gridCol w:w="146"/>
        <w:gridCol w:w="146"/>
        <w:gridCol w:w="211"/>
        <w:gridCol w:w="691"/>
        <w:gridCol w:w="146"/>
        <w:gridCol w:w="146"/>
        <w:gridCol w:w="280"/>
        <w:gridCol w:w="666"/>
        <w:gridCol w:w="681"/>
      </w:tblGrid>
      <w:tr>
        <w:trPr/>
        <w:tc>
          <w:tcPr>
            <w:tcW w:w="3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percentages)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September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Arial" w:hAnsi="Arial"/>
                <w:b/>
                <w:color w:val="000000"/>
                <w:sz w:val="15"/>
              </w:rPr>
              <w:t>Percentage</w:t>
              <w:br/>
              <w:t>Change</w:t>
            </w:r>
            <w:r>
              <w:rPr>
                <w:rFonts w:ascii="Times New Roman" w:hAnsi="Times New Roman"/>
                <w:color w:val="000000"/>
                <w:sz w:val="15"/>
              </w:rPr>
              <w:t xml:space="preserve"> </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Productivity and Business Processes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1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33,020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28,317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20,407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16,516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Intelligent Cloud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30,897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12,314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8,614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13,391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More Personal Computing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13,756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13,176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6,008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3,585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3,452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4,163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77,673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65,585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24,043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20,099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15,669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14,934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37,961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30,552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spacing w:before="90" w:after="283"/>
        <w:jc w:val="both"/>
        <w:rPr>
          <w:rFonts w:ascii="Arial" w:hAnsi="Arial"/>
          <w:b/>
          <w:color w:val="000000"/>
          <w:sz w:val="20"/>
        </w:rPr>
      </w:pPr>
      <w:r>
        <w:rPr>
          <w:rFonts w:ascii="Arial" w:hAnsi="Arial"/>
          <w:b/>
          <w:color w:val="000000"/>
          <w:sz w:val="20"/>
        </w:rPr>
        <w:t>Reportable Segments</w:t>
      </w:r>
    </w:p>
    <w:p>
      <w:pPr>
        <w:pStyle w:val="TextBody"/>
        <w:bidi w:val="0"/>
        <w:spacing w:before="180" w:after="283"/>
        <w:jc w:val="both"/>
        <w:rPr>
          <w:rFonts w:ascii="Arial" w:hAnsi="Arial"/>
          <w:b/>
          <w:i/>
          <w:color w:val="000000"/>
          <w:sz w:val="20"/>
        </w:rPr>
      </w:pPr>
      <w:r>
        <w:rPr>
          <w:rFonts w:ascii="Arial" w:hAnsi="Arial"/>
          <w:b/>
          <w:i/>
          <w:color w:val="000000"/>
          <w:sz w:val="20"/>
        </w:rPr>
        <w:t>Three Months Ended September 30, 2025 Compared with Three Months Ended September 30, 2024</w:t>
      </w:r>
    </w:p>
    <w:p>
      <w:pPr>
        <w:pStyle w:val="TextBody"/>
        <w:bidi w:val="0"/>
        <w:spacing w:before="180" w:after="283"/>
        <w:jc w:val="both"/>
        <w:rPr>
          <w:rFonts w:ascii="Arial" w:hAnsi="Arial"/>
          <w:i/>
          <w:color w:val="000000"/>
          <w:sz w:val="20"/>
        </w:rPr>
      </w:pPr>
      <w:r>
        <w:rPr>
          <w:rFonts w:ascii="Arial" w:hAnsi="Arial"/>
          <w:i/>
          <w:color w:val="000000"/>
          <w:sz w:val="20"/>
        </w:rPr>
        <w:t>Productivity and Business Processes</w:t>
      </w:r>
    </w:p>
    <w:p>
      <w:pPr>
        <w:pStyle w:val="TextBody"/>
        <w:bidi w:val="0"/>
        <w:spacing w:before="180" w:after="283"/>
        <w:jc w:val="both"/>
        <w:rPr>
          <w:rFonts w:ascii="Arial" w:hAnsi="Arial"/>
          <w:color w:val="000000"/>
          <w:sz w:val="20"/>
        </w:rPr>
      </w:pPr>
      <w:r>
        <w:rPr>
          <w:rFonts w:ascii="Arial" w:hAnsi="Arial"/>
          <w:color w:val="000000"/>
          <w:sz w:val="20"/>
        </w:rPr>
        <w:t>Revenue increased $4.7 billion or 17%.</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Commercial products and cloud services revenue increased $3.5 billion or 17%. Microsoft 365 Commercial cloud revenue grew 17% with growth in revenue per user driven by Microsoft 365 E5 and Microsoft 365 Copilot, as well as benefit from in-period revenue recognition. Microsoft 365 Commercial seats grew 6% driven by small and medium businesses and frontline worker offerings. Microsoft 365 Commercial products revenue grew 17% driven by an increase in Office 2024 transactional purchasing as well as growth in the Windows Commercial on-premises components of Microsoft 365 suite sales.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Consumer products and cloud services revenue increased $477 million or 28%. Microsoft 365 Consumer cloud revenue grew 26% driven by growth in revenue per user and Microsoft 365 Consumer subscriber growth of 7%.</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LinkedIn revenue increased $422 million or 10% driven by growth in Marketing Solutions.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Dynamics products and cloud services revenue increased $287 million or 16% driven by growth in Dynamics 365. Dynamics 365 revenue grew 18% with growth across all workloads.</w:t>
      </w:r>
    </w:p>
    <w:p>
      <w:pPr>
        <w:pStyle w:val="TextBody"/>
        <w:bidi w:val="0"/>
        <w:spacing w:before="180" w:after="283"/>
        <w:jc w:val="both"/>
        <w:rPr>
          <w:rFonts w:ascii="Arial" w:hAnsi="Arial"/>
          <w:color w:val="000000"/>
          <w:sz w:val="20"/>
        </w:rPr>
      </w:pPr>
      <w:r>
        <w:rPr>
          <w:rFonts w:ascii="Arial" w:hAnsi="Arial"/>
          <w:color w:val="000000"/>
          <w:sz w:val="20"/>
        </w:rPr>
        <w:t>Operating income increased $3.9 billion or 24%.</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Cost of revenue increased $427 million or 8% driven by growth in Microsoft 365 Commercial cloud.</w:t>
      </w:r>
    </w:p>
    <w:p>
      <w:pPr>
        <w:pStyle w:val="TextBody"/>
        <w:bidi w:val="0"/>
        <w:spacing w:before="240" w:after="283"/>
        <w:jc w:val="center"/>
        <w:rPr>
          <w:rFonts w:ascii="Arial" w:hAnsi="Arial"/>
          <w:color w:val="000000"/>
          <w:sz w:val="16"/>
        </w:rPr>
      </w:pPr>
      <w:r>
        <w:rPr>
          <w:rFonts w:ascii="Arial" w:hAnsi="Arial"/>
          <w:color w:val="000000"/>
          <w:sz w:val="16"/>
        </w:rPr>
        <w:t>33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$4.3 billion or 19% driven by growth in Microsoft 365 Commercial cloud. Gross margin percentage increased driven by efficiency gains in Microsoft 365 Commercial cloud even with the impact of scaling our AI infrastructure and growing usage of AI product features.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increased $385 million or 6% driven by investments in cloud and AI engineering, including compute capacity and AI talent to support product development that benefits the entire portfolio.</w:t>
      </w:r>
    </w:p>
    <w:p>
      <w:pPr>
        <w:pStyle w:val="TextBody"/>
        <w:bidi w:val="0"/>
        <w:spacing w:before="180" w:after="283"/>
        <w:jc w:val="both"/>
        <w:rPr>
          <w:rFonts w:ascii="Times New Roman" w:hAnsi="Times New Roman"/>
          <w:sz w:val="20"/>
        </w:rPr>
      </w:pPr>
      <w:r>
        <w:rPr>
          <w:rFonts w:ascii="Arial" w:hAnsi="Arial"/>
          <w:color w:val="000000"/>
          <w:sz w:val="20"/>
        </w:rPr>
        <w:t>Revenue, gross margin, and operating income included a favorable foreign currency impact of 3%, 3%, and 4%, respectively.</w:t>
      </w:r>
      <w:r>
        <w:rPr>
          <w:rFonts w:ascii="Times New Roman" w:hAnsi="Times New Roman"/>
          <w:color w:val="000000"/>
          <w:sz w:val="20"/>
        </w:rPr>
        <w:t xml:space="preserve"> </w:t>
      </w:r>
    </w:p>
    <w:p>
      <w:pPr>
        <w:pStyle w:val="TextBody"/>
        <w:bidi w:val="0"/>
        <w:spacing w:before="270" w:after="283"/>
        <w:jc w:val="both"/>
        <w:rPr>
          <w:rFonts w:ascii="Arial" w:hAnsi="Arial"/>
          <w:i/>
          <w:color w:val="000000"/>
          <w:sz w:val="20"/>
        </w:rPr>
      </w:pPr>
      <w:r>
        <w:rPr>
          <w:rFonts w:ascii="Arial" w:hAnsi="Arial"/>
          <w:i/>
          <w:color w:val="000000"/>
          <w:sz w:val="20"/>
        </w:rPr>
        <w:t>Intelligent Cloud</w:t>
      </w:r>
    </w:p>
    <w:p>
      <w:pPr>
        <w:pStyle w:val="TextBody"/>
        <w:bidi w:val="0"/>
        <w:spacing w:before="180" w:after="283"/>
        <w:jc w:val="both"/>
        <w:rPr>
          <w:rFonts w:ascii="Arial" w:hAnsi="Arial"/>
          <w:color w:val="000000"/>
          <w:sz w:val="20"/>
        </w:rPr>
      </w:pPr>
      <w:r>
        <w:rPr>
          <w:rFonts w:ascii="Arial" w:hAnsi="Arial"/>
          <w:color w:val="000000"/>
          <w:sz w:val="20"/>
        </w:rPr>
        <w:t>Revenue increased $6.8 billion or 28%.</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Server products and cloud services revenue increased $6.7 billion or 30% driven by Azure and other cloud services. Azure and other cloud services revenue grew 40% driven by demand for our portfolio of services with continued growth across all workloads. Server products revenue increased 1% driven by an increase in transactional purchasing of Windows Server 2025.</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Enterprise and partner services revenue increased $94 million or 5% driven by growth in Enterprise Support Services, offset in part by a decline in Industry Solutions.</w:t>
      </w:r>
    </w:p>
    <w:p>
      <w:pPr>
        <w:pStyle w:val="TextBody"/>
        <w:bidi w:val="0"/>
        <w:spacing w:before="180" w:after="283"/>
        <w:jc w:val="both"/>
        <w:rPr>
          <w:rFonts w:ascii="Arial" w:hAnsi="Arial"/>
          <w:color w:val="000000"/>
          <w:sz w:val="20"/>
        </w:rPr>
      </w:pPr>
      <w:r>
        <w:rPr>
          <w:rFonts w:ascii="Arial" w:hAnsi="Arial"/>
          <w:color w:val="000000"/>
          <w:sz w:val="20"/>
        </w:rPr>
        <w:t>Operating income increased $2.9 billion or 27%.</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 xml:space="preserve">Cost of revenue increased $3.7 billion or 43% driven by growth in Azure.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$3.1 billion or 20% driven by growth in Azure. Gross margin percentage decreased driven by the impact of scaling our AI infrastructure, offset in part by efficiency gains in Azure.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increased $217 million or 4% driven by investments in cloud and AI engineering, including compute capacity and AI talent to support product development that benefits the entire portfolio.</w:t>
      </w:r>
    </w:p>
    <w:p>
      <w:pPr>
        <w:pStyle w:val="TextBody"/>
        <w:bidi w:val="0"/>
        <w:spacing w:before="270" w:after="283"/>
        <w:jc w:val="both"/>
        <w:rPr>
          <w:rFonts w:ascii="Arial" w:hAnsi="Arial"/>
          <w:i/>
          <w:color w:val="000000"/>
          <w:sz w:val="20"/>
        </w:rPr>
      </w:pPr>
      <w:r>
        <w:rPr>
          <w:rFonts w:ascii="Arial" w:hAnsi="Arial"/>
          <w:i/>
          <w:color w:val="000000"/>
          <w:sz w:val="20"/>
        </w:rPr>
        <w:t>More Personal Computing</w:t>
      </w:r>
    </w:p>
    <w:p>
      <w:pPr>
        <w:pStyle w:val="TextBody"/>
        <w:bidi w:val="0"/>
        <w:spacing w:before="180" w:after="283"/>
        <w:jc w:val="both"/>
        <w:rPr>
          <w:rFonts w:ascii="Arial" w:hAnsi="Arial"/>
          <w:color w:val="000000"/>
          <w:sz w:val="20"/>
        </w:rPr>
      </w:pPr>
      <w:r>
        <w:rPr>
          <w:rFonts w:ascii="Arial" w:hAnsi="Arial"/>
          <w:color w:val="000000"/>
          <w:sz w:val="20"/>
        </w:rPr>
        <w:t>Revenue increased $580 million or 4%.</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 xml:space="preserve">Windows and Devices revenue increased $222 million or 5%. Windows OEM and Devices revenue increased 6% driven by Windows OEM growth of 18% with demand ahead of Windows 10 end of support and inventory levels that remained elevated, offset in part by a decline in Devices.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Gaming revenue decreased $113 million or 2% driven by a decline in Xbox hardware, offset in part by growth in Xbox content and services. Xbox hardware revenue decreased 29% driven by lower volume of consoles sold. Xbox content and services revenue increased 1% on a strong prior year comparable with growth in Xbox Game Pass and third-party content, offset in part by a decline in first-party content.</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Search and news advertising revenue increased $472 million or 15%. Search and news advertising revenue excluding traffic acquisition costs increased 16% driven by higher search volume and continued benefit from third-party partnerships.</w:t>
      </w:r>
    </w:p>
    <w:p>
      <w:pPr>
        <w:pStyle w:val="TextBody"/>
        <w:bidi w:val="0"/>
        <w:spacing w:before="180" w:after="283"/>
        <w:jc w:val="both"/>
        <w:rPr>
          <w:rFonts w:ascii="Arial" w:hAnsi="Arial"/>
          <w:color w:val="000000"/>
          <w:sz w:val="20"/>
        </w:rPr>
      </w:pPr>
      <w:r>
        <w:rPr>
          <w:rFonts w:ascii="Arial" w:hAnsi="Arial"/>
          <w:color w:val="000000"/>
          <w:sz w:val="20"/>
        </w:rPr>
        <w:t>Operating income increased $630 million or 18%.</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Cost of revenue decreased $183 million or 3% driven by lower hardware sales, offset in part by growth in Search and news advertising.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$763 million or 11% driven by growth in Windows OEM and Search and news advertising. Gross margin percentage increased driven by sales mix shift to higher margin businesses.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increased $133 million or 4% driven by investments in AI talent and compute capacity to support product development that benefits the entire portfolio.</w:t>
      </w:r>
    </w:p>
    <w:p>
      <w:pPr>
        <w:pStyle w:val="TextBody"/>
        <w:bidi w:val="0"/>
        <w:spacing w:before="180" w:after="283"/>
        <w:jc w:val="both"/>
        <w:rPr>
          <w:rFonts w:ascii="Arial" w:hAnsi="Arial"/>
          <w:color w:val="000000"/>
          <w:sz w:val="20"/>
        </w:rPr>
      </w:pPr>
      <w:r>
        <w:rPr>
          <w:rFonts w:ascii="Arial" w:hAnsi="Arial"/>
          <w:color w:val="000000"/>
          <w:sz w:val="20"/>
        </w:rPr>
        <w:t>Operating income included a favorable foreign currency impact of 2%.</w:t>
      </w:r>
    </w:p>
    <w:p>
      <w:pPr>
        <w:pStyle w:val="TextBody"/>
        <w:bidi w:val="0"/>
        <w:spacing w:before="240" w:after="283"/>
        <w:jc w:val="center"/>
        <w:rPr>
          <w:rFonts w:ascii="Arial" w:hAnsi="Arial"/>
          <w:color w:val="000000"/>
          <w:sz w:val="16"/>
        </w:rPr>
      </w:pPr>
      <w:r>
        <w:rPr>
          <w:rFonts w:ascii="Arial" w:hAnsi="Arial"/>
          <w:color w:val="000000"/>
          <w:sz w:val="16"/>
        </w:rPr>
        <w:t>34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OPERATING EXPENSES</w:t>
      </w:r>
    </w:p>
    <w:p>
      <w:pPr>
        <w:pStyle w:val="TextBody"/>
        <w:bidi w:val="0"/>
        <w:spacing w:before="180" w:after="283"/>
        <w:jc w:val="both"/>
        <w:rPr>
          <w:rFonts w:ascii="Arial" w:hAnsi="Arial"/>
          <w:b/>
          <w:color w:val="000000"/>
          <w:sz w:val="20"/>
        </w:rPr>
      </w:pPr>
      <w:r>
        <w:rPr>
          <w:rFonts w:ascii="Arial" w:hAnsi="Arial"/>
          <w:b/>
          <w:color w:val="000000"/>
          <w:sz w:val="20"/>
        </w:rPr>
        <w:t>Research and Development</w:t>
      </w:r>
    </w:p>
    <w:p>
      <w:pPr>
        <w:pStyle w:val="TextBody"/>
        <w:bidi w:val="0"/>
        <w:jc w:val="both"/>
        <w:rPr/>
      </w:pPr>
      <w:r>
        <w:rPr/>
        <w:t> </w:t>
      </w:r>
    </w:p>
    <w:tbl>
      <w:tblPr>
        <w:tblW w:w="6472" w:type="dxa"/>
        <w:jc w:val="left"/>
        <w:tblInd w:w="0" w:type="dxa"/>
        <w:tblLayout w:type="fixed"/>
        <w:tblCellMar>
          <w:top w:w="28" w:type="dxa"/>
          <w:left w:w="28" w:type="dxa"/>
          <w:bottom w:w="28" w:type="dxa"/>
          <w:right w:w="28" w:type="dxa"/>
        </w:tblCellMar>
      </w:tblPr>
      <w:tblGrid>
        <w:gridCol w:w="2766"/>
        <w:gridCol w:w="146"/>
        <w:gridCol w:w="211"/>
        <w:gridCol w:w="586"/>
        <w:gridCol w:w="146"/>
        <w:gridCol w:w="146"/>
        <w:gridCol w:w="211"/>
        <w:gridCol w:w="586"/>
        <w:gridCol w:w="146"/>
        <w:gridCol w:w="146"/>
        <w:gridCol w:w="264"/>
        <w:gridCol w:w="682"/>
        <w:gridCol w:w="436"/>
      </w:tblGrid>
      <w:tr>
        <w:trPr/>
        <w:tc>
          <w:tcPr>
            <w:tcW w:w="2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4" w:type="dxa"/>
            <w:tcBorders/>
            <w:shd w:fill="FFFFFF" w:val="clear"/>
            <w:vAlign w:val="center"/>
          </w:tcPr>
          <w:p>
            <w:pPr>
              <w:pStyle w:val="TableContents"/>
              <w:bidi w:val="0"/>
              <w:spacing w:before="0" w:after="283"/>
              <w:jc w:val="left"/>
              <w:rPr>
                <w:sz w:val="4"/>
                <w:szCs w:val="4"/>
              </w:rPr>
            </w:pPr>
            <w:r>
              <w:rPr>
                <w:sz w:val="4"/>
                <w:szCs w:val="4"/>
              </w:rPr>
            </w:r>
          </w:p>
        </w:tc>
        <w:tc>
          <w:tcPr>
            <w:tcW w:w="682"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ind w:left="0" w:right="0" w:firstLine="245"/>
              <w:jc w:val="both"/>
              <w:rPr>
                <w:rFonts w:ascii="Arial" w:hAnsi="Arial"/>
                <w:b/>
                <w:color w:val="000000"/>
                <w:sz w:val="15"/>
              </w:rPr>
            </w:pPr>
            <w:r>
              <w:rPr>
                <w:rFonts w:ascii="Arial" w:hAnsi="Arial"/>
                <w:b/>
                <w:color w:val="000000"/>
                <w:sz w:val="15"/>
              </w:rPr>
              <w:t>(In millions, except percentages)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September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6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Research and development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8,146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7,544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As a percent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(2)ppt</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Research and development expenses include payroll, employee benefits, stock-based compensation expense, and other headcount-related expenses associated with product development. Research and development expenses also include technology development costs, including AI training and other infrastructure costs, third-party development and programming costs, and the amortization of purchased software code and services content.</w:t>
      </w:r>
    </w:p>
    <w:p>
      <w:pPr>
        <w:pStyle w:val="TextBody"/>
        <w:bidi w:val="0"/>
        <w:spacing w:before="270" w:after="283"/>
        <w:jc w:val="both"/>
        <w:rPr>
          <w:rFonts w:ascii="Arial" w:hAnsi="Arial"/>
          <w:b/>
          <w:i/>
          <w:color w:val="000000"/>
          <w:sz w:val="20"/>
        </w:rPr>
      </w:pPr>
      <w:r>
        <w:rPr>
          <w:rFonts w:ascii="Arial" w:hAnsi="Arial"/>
          <w:b/>
          <w:i/>
          <w:color w:val="000000"/>
          <w:sz w:val="20"/>
        </w:rPr>
        <w:t>Three Months Ended September 30, 2025 Compared with Three Months Ended September 30, 2024</w:t>
      </w:r>
    </w:p>
    <w:p>
      <w:pPr>
        <w:pStyle w:val="TextBody"/>
        <w:bidi w:val="0"/>
        <w:spacing w:before="180" w:after="283"/>
        <w:jc w:val="both"/>
        <w:rPr>
          <w:rFonts w:ascii="Arial" w:hAnsi="Arial"/>
          <w:color w:val="000000"/>
          <w:sz w:val="20"/>
        </w:rPr>
      </w:pPr>
      <w:r>
        <w:rPr>
          <w:rFonts w:ascii="Arial" w:hAnsi="Arial"/>
          <w:color w:val="000000"/>
          <w:sz w:val="20"/>
        </w:rPr>
        <w:t>Research and development expenses increased $602 million or 8% driven by investments in cloud and AI engineering, including compute capacity and AI talent to support product development across the portfolio.</w:t>
      </w:r>
    </w:p>
    <w:p>
      <w:pPr>
        <w:pStyle w:val="TextBody"/>
        <w:bidi w:val="0"/>
        <w:spacing w:before="270" w:after="283"/>
        <w:jc w:val="both"/>
        <w:rPr>
          <w:rFonts w:ascii="Arial" w:hAnsi="Arial"/>
          <w:b/>
          <w:color w:val="000000"/>
          <w:sz w:val="20"/>
        </w:rPr>
      </w:pPr>
      <w:r>
        <w:rPr>
          <w:rFonts w:ascii="Arial" w:hAnsi="Arial"/>
          <w:b/>
          <w:color w:val="000000"/>
          <w:sz w:val="20"/>
        </w:rPr>
        <w:t>Sales and Marketing</w:t>
      </w:r>
    </w:p>
    <w:p>
      <w:pPr>
        <w:pStyle w:val="TextBody"/>
        <w:bidi w:val="0"/>
        <w:jc w:val="both"/>
        <w:rPr/>
      </w:pPr>
      <w:r>
        <w:rPr/>
        <w:t> </w:t>
      </w:r>
    </w:p>
    <w:tbl>
      <w:tblPr>
        <w:tblW w:w="6472" w:type="dxa"/>
        <w:jc w:val="left"/>
        <w:tblInd w:w="0" w:type="dxa"/>
        <w:tblLayout w:type="fixed"/>
        <w:tblCellMar>
          <w:top w:w="28" w:type="dxa"/>
          <w:left w:w="28" w:type="dxa"/>
          <w:bottom w:w="28" w:type="dxa"/>
          <w:right w:w="28" w:type="dxa"/>
        </w:tblCellMar>
      </w:tblPr>
      <w:tblGrid>
        <w:gridCol w:w="2766"/>
        <w:gridCol w:w="146"/>
        <w:gridCol w:w="211"/>
        <w:gridCol w:w="586"/>
        <w:gridCol w:w="146"/>
        <w:gridCol w:w="146"/>
        <w:gridCol w:w="211"/>
        <w:gridCol w:w="586"/>
        <w:gridCol w:w="146"/>
        <w:gridCol w:w="146"/>
        <w:gridCol w:w="264"/>
        <w:gridCol w:w="682"/>
        <w:gridCol w:w="436"/>
      </w:tblGrid>
      <w:tr>
        <w:trPr/>
        <w:tc>
          <w:tcPr>
            <w:tcW w:w="2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4" w:type="dxa"/>
            <w:tcBorders/>
            <w:shd w:fill="FFFFFF" w:val="clear"/>
            <w:vAlign w:val="center"/>
          </w:tcPr>
          <w:p>
            <w:pPr>
              <w:pStyle w:val="TableContents"/>
              <w:bidi w:val="0"/>
              <w:spacing w:before="0" w:after="283"/>
              <w:jc w:val="left"/>
              <w:rPr>
                <w:sz w:val="4"/>
                <w:szCs w:val="4"/>
              </w:rPr>
            </w:pPr>
            <w:r>
              <w:rPr>
                <w:sz w:val="4"/>
                <w:szCs w:val="4"/>
              </w:rPr>
            </w:r>
          </w:p>
        </w:tc>
        <w:tc>
          <w:tcPr>
            <w:tcW w:w="682"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ind w:left="0" w:right="0" w:firstLine="245"/>
              <w:jc w:val="both"/>
              <w:rPr>
                <w:rFonts w:ascii="Arial" w:hAnsi="Arial"/>
                <w:b/>
                <w:color w:val="000000"/>
                <w:sz w:val="15"/>
              </w:rPr>
            </w:pPr>
            <w:r>
              <w:rPr>
                <w:rFonts w:ascii="Arial" w:hAnsi="Arial"/>
                <w:b/>
                <w:color w:val="000000"/>
                <w:sz w:val="15"/>
              </w:rPr>
              <w:t>(In millions, except percentages)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Three Months Ended</w:t>
              <w:br/>
              <w:t>September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6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Sales and marketing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5,717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5,717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As a percent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(2)ppt</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pStyle w:val="TextBody"/>
        <w:bidi w:val="0"/>
        <w:spacing w:before="270" w:after="283"/>
        <w:jc w:val="both"/>
        <w:rPr>
          <w:rFonts w:ascii="Arial" w:hAnsi="Arial"/>
          <w:b/>
          <w:i/>
          <w:color w:val="000000"/>
          <w:sz w:val="20"/>
        </w:rPr>
      </w:pPr>
      <w:r>
        <w:rPr>
          <w:rFonts w:ascii="Arial" w:hAnsi="Arial"/>
          <w:b/>
          <w:i/>
          <w:color w:val="000000"/>
          <w:sz w:val="20"/>
        </w:rPr>
        <w:t>Three Months Ended September 30, 2025 Compared with Three Months Ended September 30, 2024</w:t>
      </w:r>
    </w:p>
    <w:p>
      <w:pPr>
        <w:pStyle w:val="TextBody"/>
        <w:bidi w:val="0"/>
        <w:spacing w:before="180" w:after="283"/>
        <w:jc w:val="both"/>
        <w:rPr>
          <w:rFonts w:ascii="Arial" w:hAnsi="Arial"/>
          <w:color w:val="000000"/>
          <w:sz w:val="20"/>
        </w:rPr>
      </w:pPr>
      <w:r>
        <w:rPr>
          <w:rFonts w:ascii="Arial" w:hAnsi="Arial"/>
          <w:color w:val="000000"/>
          <w:sz w:val="20"/>
        </w:rPr>
        <w:t>Sales and marketing expenses were relatively unchanged.</w:t>
      </w:r>
    </w:p>
    <w:p>
      <w:pPr>
        <w:pStyle w:val="TextBody"/>
        <w:bidi w:val="0"/>
        <w:spacing w:before="270" w:after="283"/>
        <w:jc w:val="both"/>
        <w:rPr>
          <w:rFonts w:ascii="Arial" w:hAnsi="Arial"/>
          <w:b/>
          <w:color w:val="000000"/>
          <w:sz w:val="20"/>
        </w:rPr>
      </w:pPr>
      <w:r>
        <w:rPr>
          <w:rFonts w:ascii="Arial" w:hAnsi="Arial"/>
          <w:b/>
          <w:color w:val="000000"/>
          <w:sz w:val="20"/>
        </w:rPr>
        <w:t>General and Administrative</w:t>
      </w:r>
    </w:p>
    <w:p>
      <w:pPr>
        <w:pStyle w:val="TextBody"/>
        <w:bidi w:val="0"/>
        <w:jc w:val="both"/>
        <w:rPr/>
      </w:pPr>
      <w:r>
        <w:rPr/>
        <w:t> </w:t>
      </w:r>
    </w:p>
    <w:tbl>
      <w:tblPr>
        <w:tblW w:w="6472" w:type="dxa"/>
        <w:jc w:val="left"/>
        <w:tblInd w:w="0" w:type="dxa"/>
        <w:tblLayout w:type="fixed"/>
        <w:tblCellMar>
          <w:top w:w="28" w:type="dxa"/>
          <w:left w:w="28" w:type="dxa"/>
          <w:bottom w:w="28" w:type="dxa"/>
          <w:right w:w="28" w:type="dxa"/>
        </w:tblCellMar>
      </w:tblPr>
      <w:tblGrid>
        <w:gridCol w:w="2766"/>
        <w:gridCol w:w="146"/>
        <w:gridCol w:w="211"/>
        <w:gridCol w:w="586"/>
        <w:gridCol w:w="146"/>
        <w:gridCol w:w="146"/>
        <w:gridCol w:w="211"/>
        <w:gridCol w:w="586"/>
        <w:gridCol w:w="146"/>
        <w:gridCol w:w="146"/>
        <w:gridCol w:w="264"/>
        <w:gridCol w:w="682"/>
        <w:gridCol w:w="436"/>
      </w:tblGrid>
      <w:tr>
        <w:trPr/>
        <w:tc>
          <w:tcPr>
            <w:tcW w:w="2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4" w:type="dxa"/>
            <w:tcBorders/>
            <w:shd w:fill="FFFFFF" w:val="clear"/>
            <w:vAlign w:val="center"/>
          </w:tcPr>
          <w:p>
            <w:pPr>
              <w:pStyle w:val="TableContents"/>
              <w:bidi w:val="0"/>
              <w:spacing w:before="0" w:after="283"/>
              <w:jc w:val="left"/>
              <w:rPr>
                <w:sz w:val="4"/>
                <w:szCs w:val="4"/>
              </w:rPr>
            </w:pPr>
            <w:r>
              <w:rPr>
                <w:sz w:val="4"/>
                <w:szCs w:val="4"/>
              </w:rPr>
            </w:r>
          </w:p>
        </w:tc>
        <w:tc>
          <w:tcPr>
            <w:tcW w:w="682"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(In millions, except percentages)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Three Months Ended</w:t>
              <w:br/>
              <w:t>September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6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General and administrative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1,806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As a percent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(1)ppt</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General and administrative expenses include payroll, employee benefits, stock-based compensation expense, employee severance expense incurred as part of a corporate program, and other headcount-related expenses associated with finance, legal, facilities, certain human resources and other administrative personnel, certain taxes, and legal and other administrative fees.</w:t>
      </w:r>
    </w:p>
    <w:p>
      <w:pPr>
        <w:pStyle w:val="TextBody"/>
        <w:bidi w:val="0"/>
        <w:spacing w:before="270" w:after="283"/>
        <w:jc w:val="both"/>
        <w:rPr>
          <w:rFonts w:ascii="Arial" w:hAnsi="Arial"/>
          <w:b/>
          <w:i/>
          <w:color w:val="000000"/>
          <w:sz w:val="20"/>
        </w:rPr>
      </w:pPr>
      <w:r>
        <w:rPr>
          <w:rFonts w:ascii="Arial" w:hAnsi="Arial"/>
          <w:b/>
          <w:i/>
          <w:color w:val="000000"/>
          <w:sz w:val="20"/>
        </w:rPr>
        <w:t>Three Months Ended September 30, 2025 Compared with Three Months Ended September 30, 2024</w:t>
      </w:r>
    </w:p>
    <w:p>
      <w:pPr>
        <w:pStyle w:val="TextBody"/>
        <w:bidi w:val="0"/>
        <w:spacing w:before="180" w:after="283"/>
        <w:jc w:val="both"/>
        <w:rPr>
          <w:rFonts w:ascii="Arial" w:hAnsi="Arial"/>
          <w:color w:val="000000"/>
          <w:sz w:val="20"/>
        </w:rPr>
      </w:pPr>
      <w:r>
        <w:rPr>
          <w:rFonts w:ascii="Arial" w:hAnsi="Arial"/>
          <w:color w:val="000000"/>
          <w:sz w:val="20"/>
        </w:rPr>
        <w:t>General and administrative expenses increased $133 million or 8% driven by higher legal expenses.</w:t>
      </w:r>
    </w:p>
    <w:p>
      <w:pPr>
        <w:pStyle w:val="TextBody"/>
        <w:bidi w:val="0"/>
        <w:spacing w:before="240" w:after="283"/>
        <w:jc w:val="center"/>
        <w:rPr>
          <w:rFonts w:ascii="Arial" w:hAnsi="Arial"/>
          <w:color w:val="000000"/>
          <w:sz w:val="16"/>
        </w:rPr>
      </w:pPr>
      <w:r>
        <w:rPr>
          <w:rFonts w:ascii="Arial" w:hAnsi="Arial"/>
          <w:color w:val="000000"/>
          <w:sz w:val="16"/>
        </w:rPr>
        <w:t>35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center"/>
        <w:rPr>
          <w:rFonts w:ascii="Arial" w:hAnsi="Arial"/>
          <w:color w:val="000000"/>
          <w:sz w:val="20"/>
          <w:u w:val="single"/>
        </w:rPr>
      </w:pPr>
      <w:bookmarkStart w:id="12" w:name="fis_unidentified_table_10"/>
      <w:bookmarkEnd w:id="12"/>
      <w:r>
        <w:rPr>
          <w:rFonts w:ascii="Arial" w:hAnsi="Arial"/>
          <w:color w:val="000000"/>
          <w:sz w:val="20"/>
          <w:u w:val="single"/>
        </w:rPr>
        <w:t>OTHER INCOME (EXPENSE), NET</w:t>
      </w:r>
    </w:p>
    <w:p>
      <w:pPr>
        <w:pStyle w:val="TextBody"/>
        <w:bidi w:val="0"/>
        <w:spacing w:before="180" w:after="283"/>
        <w:jc w:val="both"/>
        <w:rPr>
          <w:rFonts w:ascii="Arial" w:hAnsi="Arial"/>
          <w:color w:val="000000"/>
          <w:sz w:val="20"/>
        </w:rPr>
      </w:pPr>
      <w:r>
        <w:rPr>
          <w:rFonts w:ascii="Arial" w:hAnsi="Arial"/>
          <w:color w:val="000000"/>
          <w:sz w:val="20"/>
        </w:rPr>
        <w:t>The components of other income (expense), net were as follows:</w:t>
      </w:r>
    </w:p>
    <w:p>
      <w:pPr>
        <w:pStyle w:val="TextBody"/>
        <w:bidi w:val="0"/>
        <w:jc w:val="both"/>
        <w:rPr/>
      </w:pPr>
      <w:r>
        <w:rPr/>
        <w:t> </w:t>
      </w:r>
    </w:p>
    <w:tbl>
      <w:tblPr>
        <w:tblW w:w="7869" w:type="dxa"/>
        <w:jc w:val="left"/>
        <w:tblInd w:w="0" w:type="dxa"/>
        <w:tblLayout w:type="fixed"/>
        <w:tblCellMar>
          <w:top w:w="28" w:type="dxa"/>
          <w:left w:w="28" w:type="dxa"/>
          <w:bottom w:w="28" w:type="dxa"/>
          <w:right w:w="28" w:type="dxa"/>
        </w:tblCellMar>
      </w:tblPr>
      <w:tblGrid>
        <w:gridCol w:w="5181"/>
        <w:gridCol w:w="146"/>
        <w:gridCol w:w="211"/>
        <w:gridCol w:w="646"/>
        <w:gridCol w:w="166"/>
        <w:gridCol w:w="146"/>
        <w:gridCol w:w="211"/>
        <w:gridCol w:w="481"/>
        <w:gridCol w:w="681"/>
      </w:tblGrid>
      <w:tr>
        <w:trPr/>
        <w:tc>
          <w:tcPr>
            <w:tcW w:w="51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51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and dividends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976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1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expense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(698</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(582</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recognized gains (losses) on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gains (losses) on derivatives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1,579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gains (losses) on foreign currency remeasurements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net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(4,923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1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(3,660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use derivative instruments to manage risks related to foreign currencies, interest rates, equity prices, and credit; to enhance investment returns; and to facilitate portfolio diversification. Gains and losses from changes in fair values of derivatives that are not designated as hedging instruments are primarily recognized in other income (expense), net.</w:t>
      </w:r>
    </w:p>
    <w:p>
      <w:pPr>
        <w:pStyle w:val="TextBody"/>
        <w:bidi w:val="0"/>
        <w:spacing w:before="180" w:after="283"/>
        <w:jc w:val="both"/>
        <w:rPr>
          <w:rFonts w:ascii="Arial" w:hAnsi="Arial"/>
          <w:color w:val="000000"/>
          <w:sz w:val="20"/>
        </w:rPr>
      </w:pPr>
      <w:r>
        <w:rPr>
          <w:rFonts w:ascii="Arial" w:hAnsi="Arial"/>
          <w:color w:val="000000"/>
          <w:sz w:val="20"/>
        </w:rPr>
        <w:t>For the three months ended September 30, 2025 and 2024, other income (expense), net included $4.1 billion and $688 million, respectively, of net losses from investments in OpenAI, primarily net recognized losses on our equity method investment.</w:t>
      </w:r>
    </w:p>
    <w:p>
      <w:pPr>
        <w:pStyle w:val="TextBody"/>
        <w:bidi w:val="0"/>
        <w:spacing w:before="270" w:after="283"/>
        <w:jc w:val="both"/>
        <w:rPr>
          <w:rFonts w:ascii="Arial" w:hAnsi="Arial"/>
          <w:b/>
          <w:i/>
          <w:color w:val="000000"/>
          <w:sz w:val="20"/>
        </w:rPr>
      </w:pPr>
      <w:r>
        <w:rPr>
          <w:rFonts w:ascii="Arial" w:hAnsi="Arial"/>
          <w:b/>
          <w:i/>
          <w:color w:val="000000"/>
          <w:sz w:val="20"/>
        </w:rPr>
        <w:t>Three Months Ended September 30, 2025 Compared with Three Months Ended September 30, 2024</w:t>
      </w:r>
    </w:p>
    <w:p>
      <w:pPr>
        <w:pStyle w:val="TextBody"/>
        <w:bidi w:val="0"/>
        <w:spacing w:before="180" w:after="283"/>
        <w:jc w:val="both"/>
        <w:rPr>
          <w:rFonts w:ascii="Arial" w:hAnsi="Arial"/>
          <w:color w:val="000000"/>
          <w:sz w:val="20"/>
        </w:rPr>
      </w:pPr>
      <w:r>
        <w:rPr>
          <w:rFonts w:ascii="Arial" w:hAnsi="Arial"/>
          <w:color w:val="000000"/>
          <w:sz w:val="20"/>
        </w:rPr>
        <w:t>Interest and dividends income increased primarily due to higher portfolio balances and higher yields on debt securities. Interest expense increased primarily due to higher finance lease interest expense, offset in part by higher capitalization of debt interest expense. Net recognized losses on investments increased primarily due to losses on equity securities in the current period as compared to gains in the prior period. Net gains on derivatives increased primarily due to gains on equity derivatives in the current period as compared to losses in the prior period. Other, net primarily reflects net recognized losses on equity method investments, including OpenAI.</w:t>
      </w:r>
    </w:p>
    <w:p>
      <w:pPr>
        <w:pStyle w:val="TextBody"/>
        <w:bidi w:val="0"/>
        <w:spacing w:before="270" w:after="283"/>
        <w:jc w:val="center"/>
        <w:rPr>
          <w:rFonts w:ascii="Arial" w:hAnsi="Arial"/>
          <w:color w:val="000000"/>
          <w:sz w:val="20"/>
          <w:u w:val="single"/>
        </w:rPr>
      </w:pPr>
      <w:r>
        <w:rPr>
          <w:rFonts w:ascii="Arial" w:hAnsi="Arial"/>
          <w:color w:val="000000"/>
          <w:sz w:val="20"/>
          <w:u w:val="single"/>
        </w:rPr>
        <w:t>INCOME TAXES</w:t>
      </w:r>
    </w:p>
    <w:p>
      <w:pPr>
        <w:pStyle w:val="TextBody"/>
        <w:bidi w:val="0"/>
        <w:spacing w:before="180" w:after="283"/>
        <w:jc w:val="both"/>
        <w:rPr>
          <w:rFonts w:ascii="Arial" w:hAnsi="Arial"/>
          <w:b/>
          <w:color w:val="000000"/>
          <w:sz w:val="20"/>
        </w:rPr>
      </w:pPr>
      <w:r>
        <w:rPr>
          <w:rFonts w:ascii="Arial" w:hAnsi="Arial"/>
          <w:b/>
          <w:color w:val="000000"/>
          <w:sz w:val="20"/>
        </w:rPr>
        <w:t>Effective Tax Rate</w:t>
      </w:r>
    </w:p>
    <w:p>
      <w:pPr>
        <w:pStyle w:val="TextBody"/>
        <w:bidi w:val="0"/>
        <w:spacing w:before="180" w:after="283"/>
        <w:jc w:val="both"/>
        <w:rPr>
          <w:rFonts w:ascii="Arial" w:hAnsi="Arial"/>
          <w:color w:val="000000"/>
          <w:sz w:val="20"/>
        </w:rPr>
      </w:pPr>
      <w:r>
        <w:rPr>
          <w:rFonts w:ascii="Arial" w:hAnsi="Arial"/>
          <w:color w:val="000000"/>
          <w:sz w:val="20"/>
        </w:rPr>
        <w:t>Our effective tax rate was 19% for both the three months ended September 30, 2025 and 2024. Our effective tax rate for the three months ended September 30, 2025 was relatively unchanged compared to prior year as U.S. tax law changes from the One Big Beautiful Bill Act enacted on July 4, 2025 were offset by changes in the mix of our earnings and tax expenses between the U.S. and foreign countries.</w:t>
      </w:r>
    </w:p>
    <w:p>
      <w:pPr>
        <w:pStyle w:val="TextBody"/>
        <w:bidi w:val="0"/>
        <w:spacing w:before="180" w:after="283"/>
        <w:jc w:val="both"/>
        <w:rPr>
          <w:rFonts w:ascii="Arial" w:hAnsi="Arial"/>
          <w:color w:val="000000"/>
          <w:sz w:val="20"/>
        </w:rPr>
      </w:pPr>
      <w:r>
        <w:rPr>
          <w:rFonts w:ascii="Arial" w:hAnsi="Arial"/>
          <w:color w:val="000000"/>
          <w:sz w:val="20"/>
        </w:rPr>
        <w:t>Our effective tax rate was lower than the U.S. federal statutory rate for the three months ended September 30, 2025, primarily due to earnings taxed at lower rates in foreign jurisdictions resulting from producing and distributing our products and services through our foreign regional operations center in Ireland.</w:t>
      </w:r>
    </w:p>
    <w:p>
      <w:pPr>
        <w:pStyle w:val="TextBody"/>
        <w:bidi w:val="0"/>
        <w:spacing w:before="270" w:after="283"/>
        <w:jc w:val="both"/>
        <w:rPr>
          <w:rFonts w:ascii="Arial" w:hAnsi="Arial"/>
          <w:b/>
          <w:color w:val="000000"/>
          <w:sz w:val="20"/>
        </w:rPr>
      </w:pPr>
      <w:r>
        <w:rPr>
          <w:rFonts w:ascii="Arial" w:hAnsi="Arial"/>
          <w:b/>
          <w:color w:val="000000"/>
          <w:sz w:val="20"/>
        </w:rPr>
        <w:t>Uncertain Tax Positions</w:t>
      </w:r>
    </w:p>
    <w:p>
      <w:pPr>
        <w:pStyle w:val="TextBody"/>
        <w:bidi w:val="0"/>
        <w:spacing w:before="180" w:after="283"/>
        <w:jc w:val="both"/>
        <w:rPr>
          <w:rFonts w:ascii="Arial" w:hAnsi="Arial"/>
          <w:color w:val="000000"/>
          <w:sz w:val="20"/>
        </w:rPr>
      </w:pPr>
      <w:r>
        <w:rPr>
          <w:rFonts w:ascii="Arial" w:hAnsi="Arial"/>
          <w:color w:val="000000"/>
          <w:sz w:val="20"/>
        </w:rPr>
        <w:t>We remain under audit by the IRS for tax years 2014 to 2017. With respect to the audit for tax years 2004 to 2013, on September 26, 2023, we received Notices of Proposed Adjustment (“NOPAs”) from the IRS. The primary issues in the NOPAs relate to intercompany transfer pricing. In the NOPAs, the IRS is seeking an additional tax payment of $28.9 billion plus penalties and interest. As of September 30, 2025, we believe our allowances for income tax contingencies are adequate. We disagree with the proposed adjustments and will vigorously contest the NOPAs through the IRS’s administrative appeals office and, if necessary, judicial proceedings. We do not expect a final resolution of these issues in the next 12 months. Based on the information currently available, we do not anticipate a significant increase or decrease to our income tax contingencies for these issues within the next 12 months.</w:t>
      </w:r>
    </w:p>
    <w:p>
      <w:pPr>
        <w:pStyle w:val="TextBody"/>
        <w:bidi w:val="0"/>
        <w:spacing w:before="180" w:after="283"/>
        <w:jc w:val="both"/>
        <w:rPr>
          <w:rFonts w:ascii="Arial" w:hAnsi="Arial"/>
          <w:color w:val="000000"/>
          <w:sz w:val="20"/>
        </w:rPr>
      </w:pPr>
      <w:r>
        <w:rPr>
          <w:rFonts w:ascii="Arial" w:hAnsi="Arial"/>
          <w:color w:val="000000"/>
          <w:sz w:val="20"/>
        </w:rPr>
        <w:t>We are subject to income tax in many jurisdictions outside the U.S., some of which are currently under audit by local tax authorities. The resolution of these audits is not expected to be material to our consolidated financial statements. Our operations in Ireland remain subject to examination for tax years 2020 and thereafter.</w:t>
      </w:r>
    </w:p>
    <w:p>
      <w:pPr>
        <w:pStyle w:val="TextBody"/>
        <w:bidi w:val="0"/>
        <w:spacing w:before="240" w:after="283"/>
        <w:jc w:val="center"/>
        <w:rPr>
          <w:rFonts w:ascii="Arial" w:hAnsi="Arial"/>
          <w:color w:val="000000"/>
          <w:sz w:val="16"/>
        </w:rPr>
      </w:pPr>
      <w:r>
        <w:rPr>
          <w:rFonts w:ascii="Arial" w:hAnsi="Arial"/>
          <w:color w:val="000000"/>
          <w:sz w:val="16"/>
        </w:rPr>
        <w:t>36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NON-GAAP FINANCIAL MEASURES</w:t>
      </w:r>
    </w:p>
    <w:p>
      <w:pPr>
        <w:pStyle w:val="TextBody"/>
        <w:bidi w:val="0"/>
        <w:spacing w:before="180" w:after="283"/>
        <w:jc w:val="both"/>
        <w:rPr>
          <w:rFonts w:ascii="Arial" w:hAnsi="Arial"/>
          <w:color w:val="000000"/>
          <w:sz w:val="20"/>
        </w:rPr>
      </w:pPr>
      <w:r>
        <w:rPr>
          <w:rFonts w:ascii="Arial" w:hAnsi="Arial"/>
          <w:color w:val="000000"/>
          <w:sz w:val="20"/>
        </w:rPr>
        <w:t>Adjusted other income (expense), net, adjusted net income, and adjusted diluted EPS are non-GAAP financial measures which exclude net losses from investments in OpenAI. We believe these non-GAAP measures aid investors by providing additional insight into our financial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pStyle w:val="TextBody"/>
        <w:bidi w:val="0"/>
        <w:spacing w:before="180" w:after="283"/>
        <w:jc w:val="both"/>
        <w:rPr>
          <w:rFonts w:ascii="Arial" w:hAnsi="Arial"/>
          <w:color w:val="000000"/>
          <w:sz w:val="20"/>
        </w:rPr>
      </w:pPr>
      <w:r>
        <w:rPr>
          <w:rFonts w:ascii="Arial" w:hAnsi="Arial"/>
          <w:color w:val="000000"/>
          <w:sz w:val="20"/>
        </w:rPr>
        <w:t>The following table reconciles our financial results reported in accordance with GAAP to non-GAAP financial results:</w:t>
      </w:r>
    </w:p>
    <w:p>
      <w:pPr>
        <w:pStyle w:val="TextBody"/>
        <w:bidi w:val="0"/>
        <w:jc w:val="left"/>
        <w:rPr/>
      </w:pPr>
      <w:r>
        <w:rPr/>
        <w:t> </w:t>
      </w:r>
    </w:p>
    <w:tbl>
      <w:tblPr>
        <w:tblW w:w="9203" w:type="dxa"/>
        <w:jc w:val="left"/>
        <w:tblInd w:w="0" w:type="dxa"/>
        <w:tblLayout w:type="fixed"/>
        <w:tblCellMar>
          <w:top w:w="28" w:type="dxa"/>
          <w:left w:w="28" w:type="dxa"/>
          <w:bottom w:w="28" w:type="dxa"/>
          <w:right w:w="28" w:type="dxa"/>
        </w:tblCellMar>
      </w:tblPr>
      <w:tblGrid>
        <w:gridCol w:w="4976"/>
        <w:gridCol w:w="146"/>
        <w:gridCol w:w="211"/>
        <w:gridCol w:w="691"/>
        <w:gridCol w:w="166"/>
        <w:gridCol w:w="146"/>
        <w:gridCol w:w="211"/>
        <w:gridCol w:w="691"/>
        <w:gridCol w:w="166"/>
        <w:gridCol w:w="146"/>
        <w:gridCol w:w="146"/>
        <w:gridCol w:w="886"/>
        <w:gridCol w:w="621"/>
      </w:tblGrid>
      <w:tr>
        <w:trPr/>
        <w:tc>
          <w:tcPr>
            <w:tcW w:w="4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4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15"/>
              </w:rPr>
              <w:t>(In millions, except percentages</w:t>
            </w:r>
            <w:r>
              <w:rPr>
                <w:rFonts w:ascii="Times New Roman" w:hAnsi="Times New Roman"/>
                <w:color w:val="000000"/>
                <w:sz w:val="20"/>
              </w:rPr>
              <w:t xml:space="preserve"> </w:t>
            </w:r>
            <w:r>
              <w:rPr>
                <w:rFonts w:ascii="Arial" w:hAnsi="Arial"/>
                <w:b/>
                <w:color w:val="000000"/>
                <w:sz w:val="15"/>
              </w:rPr>
              <w:t>and per share amounts)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Three Months Ended</w:t>
              <w:br/>
              <w:t>September 30,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Arial" w:hAnsi="Arial"/>
                <w:b/>
                <w:color w:val="000000"/>
                <w:sz w:val="15"/>
              </w:rPr>
              <w:t>Percentage</w:t>
              <w:br/>
              <w:t>Change</w:t>
            </w:r>
            <w:r>
              <w:rPr>
                <w:rFonts w:ascii="Times New Roman" w:hAnsi="Times New Roman"/>
                <w:color w:val="000000"/>
                <w:sz w:val="15"/>
              </w:rPr>
              <w:t xml:space="preserve">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97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97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97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9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income (expense),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(3,660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(1,193)%</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9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losses from investments in OpenAI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4,061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97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97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49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Adjusted other income (expense), net (non-GAAP)</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97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97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49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27,747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24,667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9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losses from investments in OpenAI, net of tax</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3,086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97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97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497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Adjusted net income (non-GAAP)</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30,833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25,190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97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97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9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Diluted earnings per share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9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losses from investments in OpenAI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0.41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97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97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49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Adjusted diluted earnings per share (non-GAAP)</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97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LIQUIDITY AND CAPITAL RESOURCES</w:t>
      </w:r>
    </w:p>
    <w:p>
      <w:pPr>
        <w:pStyle w:val="TextBody"/>
        <w:bidi w:val="0"/>
        <w:spacing w:before="180" w:after="283"/>
        <w:jc w:val="both"/>
        <w:rPr>
          <w:rFonts w:ascii="Arial" w:hAnsi="Arial"/>
          <w:color w:val="000000"/>
          <w:sz w:val="20"/>
        </w:rPr>
      </w:pPr>
      <w:r>
        <w:rPr>
          <w:rFonts w:ascii="Arial" w:hAnsi="Arial"/>
          <w:color w:val="000000"/>
          <w:sz w:val="20"/>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and material capital expenditures, for at least the next 12 months and thereafter for the foreseeable future.</w:t>
      </w:r>
    </w:p>
    <w:p>
      <w:pPr>
        <w:pStyle w:val="TextBody"/>
        <w:bidi w:val="0"/>
        <w:spacing w:before="270" w:after="283"/>
        <w:jc w:val="both"/>
        <w:rPr>
          <w:rFonts w:ascii="Arial" w:hAnsi="Arial"/>
          <w:b/>
          <w:color w:val="000000"/>
          <w:sz w:val="20"/>
        </w:rPr>
      </w:pPr>
      <w:r>
        <w:rPr>
          <w:rFonts w:ascii="Arial" w:hAnsi="Arial"/>
          <w:b/>
          <w:color w:val="000000"/>
          <w:sz w:val="20"/>
        </w:rPr>
        <w:t>Cash, Cash Equivalents, and Investments</w:t>
      </w:r>
    </w:p>
    <w:p>
      <w:pPr>
        <w:pStyle w:val="TextBody"/>
        <w:bidi w:val="0"/>
        <w:spacing w:before="180" w:after="283"/>
        <w:jc w:val="both"/>
        <w:rPr>
          <w:rFonts w:ascii="Arial" w:hAnsi="Arial"/>
          <w:color w:val="000000"/>
          <w:sz w:val="20"/>
        </w:rPr>
      </w:pPr>
      <w:r>
        <w:rPr>
          <w:rFonts w:ascii="Arial" w:hAnsi="Arial"/>
          <w:color w:val="000000"/>
          <w:sz w:val="20"/>
        </w:rPr>
        <w:t>Cash, cash equivalents, and short-term investments totaled $102.0 billion and $94.6 billion as of September 30, 2025 and June 30, 2025, respectively. Equity and other investments were $11.5 billion and $15.4 billion as of September 30, 2025 and June 30, 2025,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pStyle w:val="TextBody"/>
        <w:bidi w:val="0"/>
        <w:spacing w:before="270" w:after="283"/>
        <w:jc w:val="both"/>
        <w:rPr>
          <w:rFonts w:ascii="Arial" w:hAnsi="Arial"/>
          <w:b/>
          <w:color w:val="000000"/>
          <w:sz w:val="20"/>
        </w:rPr>
      </w:pPr>
      <w:r>
        <w:rPr>
          <w:rFonts w:ascii="Arial" w:hAnsi="Arial"/>
          <w:b/>
          <w:color w:val="000000"/>
          <w:sz w:val="20"/>
        </w:rPr>
        <w:t>Valuation</w:t>
      </w:r>
    </w:p>
    <w:p>
      <w:pPr>
        <w:pStyle w:val="TextBody"/>
        <w:bidi w:val="0"/>
        <w:spacing w:before="180" w:after="283"/>
        <w:jc w:val="both"/>
        <w:rPr>
          <w:rFonts w:ascii="Arial" w:hAnsi="Arial"/>
          <w:color w:val="000000"/>
          <w:sz w:val="20"/>
        </w:rPr>
      </w:pPr>
      <w:r>
        <w:rPr>
          <w:rFonts w:ascii="Arial" w:hAnsi="Arial"/>
          <w:color w:val="000000"/>
          <w:sz w:val="20"/>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pStyle w:val="TextBody"/>
        <w:bidi w:val="0"/>
        <w:spacing w:before="240" w:after="283"/>
        <w:jc w:val="center"/>
        <w:rPr>
          <w:rFonts w:ascii="Arial" w:hAnsi="Arial"/>
          <w:color w:val="000000"/>
          <w:sz w:val="16"/>
        </w:rPr>
      </w:pPr>
      <w:r>
        <w:rPr>
          <w:rFonts w:ascii="Arial" w:hAnsi="Arial"/>
          <w:color w:val="000000"/>
          <w:sz w:val="16"/>
        </w:rPr>
        <w:t>37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pStyle w:val="TextBody"/>
        <w:bidi w:val="0"/>
        <w:spacing w:before="270" w:after="283"/>
        <w:jc w:val="both"/>
        <w:rPr>
          <w:rFonts w:ascii="Arial" w:hAnsi="Arial"/>
          <w:b/>
          <w:color w:val="000000"/>
          <w:sz w:val="20"/>
        </w:rPr>
      </w:pPr>
      <w:r>
        <w:rPr>
          <w:rFonts w:ascii="Arial" w:hAnsi="Arial"/>
          <w:b/>
          <w:color w:val="000000"/>
          <w:sz w:val="20"/>
        </w:rPr>
        <w:t>Cash Flows</w:t>
      </w:r>
    </w:p>
    <w:p>
      <w:pPr>
        <w:pStyle w:val="TextBody"/>
        <w:bidi w:val="0"/>
        <w:spacing w:before="180" w:after="283"/>
        <w:jc w:val="both"/>
        <w:rPr>
          <w:rFonts w:ascii="Arial" w:hAnsi="Arial"/>
          <w:color w:val="000000"/>
          <w:sz w:val="20"/>
        </w:rPr>
      </w:pPr>
      <w:r>
        <w:rPr>
          <w:rFonts w:ascii="Arial" w:hAnsi="Arial"/>
          <w:color w:val="000000"/>
          <w:sz w:val="20"/>
        </w:rPr>
        <w:t>Cash from operations increased $10.9 billion to $45.1 billion for the three months ended September 30, 2025, primarily due to an increase in cash received from customers, offset in part by an increase in cash paid to suppliers and cash used to pay income taxes. Cash used in financing decreased $4.8 billion to $11.8 billion for the three months ended September 30, 2025, primarily due to a $6.7 billion decrease in cash used for repayments of debt, offset in part by a $1.5 billion increase in common stock repurchases. Cash used in investing increased $19.4 billion to $34.6 billion for the three months ended September 30, 2025, primarily due to a $10.9 billion increase in cash used in net investment purchases, sales, and maturities, a $5.3 billion increase in other investing to facilitate the purchase of components, and a $4.5 billion increase in additions to property and equipment.</w:t>
      </w:r>
    </w:p>
    <w:p>
      <w:pPr>
        <w:pStyle w:val="TextBody"/>
        <w:bidi w:val="0"/>
        <w:spacing w:before="270" w:after="283"/>
        <w:jc w:val="both"/>
        <w:rPr>
          <w:rFonts w:ascii="Arial" w:hAnsi="Arial"/>
          <w:b/>
          <w:color w:val="000000"/>
          <w:sz w:val="20"/>
        </w:rPr>
      </w:pPr>
      <w:r>
        <w:rPr>
          <w:rFonts w:ascii="Arial" w:hAnsi="Arial"/>
          <w:b/>
          <w:color w:val="000000"/>
          <w:sz w:val="20"/>
        </w:rPr>
        <w:t>Debt Proceeds</w:t>
      </w:r>
    </w:p>
    <w:p>
      <w:pPr>
        <w:pStyle w:val="TextBody"/>
        <w:bidi w:val="0"/>
        <w:spacing w:before="180" w:after="283"/>
        <w:jc w:val="both"/>
        <w:rPr>
          <w:rFonts w:ascii="Arial" w:hAnsi="Arial"/>
          <w:color w:val="000000"/>
          <w:sz w:val="20"/>
        </w:rPr>
      </w:pPr>
      <w:r>
        <w:rPr>
          <w:rFonts w:ascii="Arial" w:hAnsi="Arial"/>
          <w:color w:val="000000"/>
          <w:sz w:val="20"/>
        </w:rPr>
        <w:t>We issue debt to take advantage of favorable pricing and liquidity in the debt markets, reflecting our credit rating. The proceeds of these issuances were or will be used for general corporate purposes, which may include, among other things, funding for working capital, capital expenditures, repurchases of capital stock, acquisitions, and repayment of existing debt. Refer to Note 9 – Debt of the Notes to Financial Statements (Part I, Item 1 of this Form 10-Q).</w:t>
      </w:r>
    </w:p>
    <w:p>
      <w:pPr>
        <w:pStyle w:val="TextBody"/>
        <w:bidi w:val="0"/>
        <w:spacing w:before="270" w:after="283"/>
        <w:jc w:val="both"/>
        <w:rPr>
          <w:rFonts w:ascii="Arial" w:hAnsi="Arial"/>
          <w:b/>
          <w:color w:val="000000"/>
          <w:sz w:val="20"/>
        </w:rPr>
      </w:pPr>
      <w:r>
        <w:rPr>
          <w:rFonts w:ascii="Arial" w:hAnsi="Arial"/>
          <w:b/>
          <w:color w:val="000000"/>
          <w:sz w:val="20"/>
        </w:rPr>
        <w:t>Unearned Revenue</w:t>
      </w:r>
    </w:p>
    <w:p>
      <w:pPr>
        <w:pStyle w:val="TextBody"/>
        <w:bidi w:val="0"/>
        <w:spacing w:before="180" w:after="283"/>
        <w:jc w:val="both"/>
        <w:rPr>
          <w:rFonts w:ascii="Arial" w:hAnsi="Arial"/>
          <w:color w:val="000000"/>
          <w:sz w:val="20"/>
        </w:rPr>
      </w:pPr>
      <w:r>
        <w:rPr>
          <w:rFonts w:ascii="Arial" w:hAnsi="Arial"/>
          <w:color w:val="000000"/>
          <w:sz w:val="20"/>
        </w:rPr>
        <w:t>Unearned revenue comprises mainly unearned revenue related to volume licensing programs, which may include cloud services and Software Assurance (“SA”).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w:t>
      </w:r>
    </w:p>
    <w:p>
      <w:pPr>
        <w:pStyle w:val="TextBody"/>
        <w:bidi w:val="0"/>
        <w:spacing w:before="180" w:after="283"/>
        <w:jc w:val="both"/>
        <w:rPr>
          <w:rFonts w:ascii="Arial" w:hAnsi="Arial"/>
          <w:color w:val="000000"/>
          <w:sz w:val="20"/>
        </w:rPr>
      </w:pPr>
      <w:r>
        <w:rPr>
          <w:rFonts w:ascii="Arial" w:hAnsi="Arial"/>
          <w:color w:val="000000"/>
          <w:sz w:val="20"/>
        </w:rPr>
        <w:t>The following table outlines the expected future recognition of unearned revenue as of September 30, 2025:</w:t>
      </w:r>
    </w:p>
    <w:p>
      <w:pPr>
        <w:pStyle w:val="TextBody"/>
        <w:bidi w:val="0"/>
        <w:jc w:val="both"/>
        <w:rPr/>
      </w:pPr>
      <w:r>
        <w:rPr/>
        <w:t> </w:t>
      </w:r>
    </w:p>
    <w:tbl>
      <w:tblPr>
        <w:tblW w:w="3845" w:type="dxa"/>
        <w:jc w:val="left"/>
        <w:tblInd w:w="0" w:type="dxa"/>
        <w:tblLayout w:type="fixed"/>
        <w:tblCellMar>
          <w:top w:w="28" w:type="dxa"/>
          <w:left w:w="28" w:type="dxa"/>
          <w:bottom w:w="28" w:type="dxa"/>
          <w:right w:w="28" w:type="dxa"/>
        </w:tblCellMar>
      </w:tblPr>
      <w:tblGrid>
        <w:gridCol w:w="2116"/>
        <w:gridCol w:w="146"/>
        <w:gridCol w:w="211"/>
        <w:gridCol w:w="691"/>
        <w:gridCol w:w="681"/>
      </w:tblGrid>
      <w:tr>
        <w:trPr/>
        <w:tc>
          <w:tcPr>
            <w:tcW w:w="21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ind w:left="0" w:right="0" w:firstLine="245"/>
              <w:jc w:val="both"/>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ind w:left="0" w:right="0" w:firstLine="245"/>
              <w:jc w:val="both"/>
              <w:rPr>
                <w:rFonts w:ascii="Arial" w:hAnsi="Arial"/>
                <w:b/>
                <w:color w:val="000000"/>
                <w:sz w:val="15"/>
              </w:rPr>
            </w:pPr>
            <w:r>
              <w:rPr>
                <w:rFonts w:ascii="Arial" w:hAnsi="Arial"/>
                <w:b/>
                <w:color w:val="000000"/>
                <w:sz w:val="15"/>
              </w:rPr>
              <w:t>Three Months Ending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11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both"/>
              <w:rPr>
                <w:rFonts w:ascii="Arial" w:hAnsi="Arial"/>
                <w:color w:val="000000"/>
                <w:sz w:val="20"/>
              </w:rPr>
            </w:pPr>
            <w:r>
              <w:rPr>
                <w:rFonts w:ascii="Arial" w:hAnsi="Arial"/>
                <w:color w:val="000000"/>
                <w:sz w:val="20"/>
              </w:rPr>
              <w:t>December 31,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26,848</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March 31,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19,044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30, 2026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10,770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ind w:left="0" w:right="0" w:firstLine="240"/>
              <w:jc w:val="both"/>
              <w:rPr>
                <w:rFonts w:ascii="Arial" w:hAnsi="Arial"/>
                <w:color w:val="000000"/>
                <w:sz w:val="20"/>
              </w:rPr>
            </w:pPr>
            <w:r>
              <w:rPr>
                <w:rFonts w:ascii="Arial" w:hAnsi="Arial"/>
                <w:color w:val="000000"/>
                <w:sz w:val="20"/>
              </w:rPr>
              <w:t>September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2,325</w:t>
            </w:r>
          </w:p>
        </w:tc>
        <w:tc>
          <w:tcPr>
            <w:tcW w:w="68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11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both"/>
              <w:rPr>
                <w:rFonts w:ascii="Arial" w:hAnsi="Arial"/>
                <w:color w:val="000000"/>
                <w:sz w:val="20"/>
              </w:rPr>
            </w:pPr>
            <w:r>
              <w:rPr>
                <w:rFonts w:ascii="Arial" w:hAnsi="Arial"/>
                <w:color w:val="000000"/>
                <w:sz w:val="20"/>
              </w:rPr>
              <w:t>Thereafter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2,546</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6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ind w:left="0" w:right="0" w:firstLine="490"/>
              <w:jc w:val="both"/>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61,533</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 Refer to Note 11 – Unearned Revenue of the Notes to Financial Statements (Part I, Item 1 of this Form 10-Q).</w:t>
      </w:r>
    </w:p>
    <w:p>
      <w:pPr>
        <w:pStyle w:val="TextBody"/>
        <w:bidi w:val="0"/>
        <w:spacing w:before="240" w:after="283"/>
        <w:jc w:val="center"/>
        <w:rPr>
          <w:rFonts w:ascii="Arial" w:hAnsi="Arial"/>
          <w:color w:val="000000"/>
          <w:sz w:val="16"/>
        </w:rPr>
      </w:pPr>
      <w:r>
        <w:rPr>
          <w:rFonts w:ascii="Arial" w:hAnsi="Arial"/>
          <w:color w:val="000000"/>
          <w:sz w:val="16"/>
        </w:rPr>
        <w:t>38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Material Cash Requirements and Other Obligations</w:t>
      </w:r>
    </w:p>
    <w:p>
      <w:pPr>
        <w:pStyle w:val="TextBody"/>
        <w:bidi w:val="0"/>
        <w:spacing w:before="180" w:after="283"/>
        <w:jc w:val="both"/>
        <w:rPr>
          <w:rFonts w:ascii="Arial" w:hAnsi="Arial"/>
          <w:b/>
          <w:i/>
          <w:color w:val="000000"/>
          <w:sz w:val="20"/>
        </w:rPr>
      </w:pPr>
      <w:r>
        <w:rPr>
          <w:rFonts w:ascii="Arial" w:hAnsi="Arial"/>
          <w:b/>
          <w:i/>
          <w:color w:val="000000"/>
          <w:sz w:val="20"/>
        </w:rPr>
        <w:t>Share Repurchases</w:t>
      </w:r>
    </w:p>
    <w:p>
      <w:pPr>
        <w:pStyle w:val="TextBody"/>
        <w:bidi w:val="0"/>
        <w:spacing w:before="180" w:after="283"/>
        <w:jc w:val="both"/>
        <w:rPr>
          <w:rFonts w:ascii="Arial" w:hAnsi="Arial"/>
          <w:color w:val="000000"/>
          <w:sz w:val="20"/>
        </w:rPr>
      </w:pPr>
      <w:r>
        <w:rPr>
          <w:rFonts w:ascii="Arial" w:hAnsi="Arial"/>
          <w:color w:val="000000"/>
          <w:sz w:val="20"/>
        </w:rPr>
        <w:t>For the three months ended September 30, 2025 and 2024, we repurchased 8 million shares and 7 million shares of our common stock for $4.0 billion and $2.8 billion, respectively, through our share repurchase program. All repurchases were made using cash resources. As of September 30, 2025, $53.4 billion remained of our $60 billion share repurchase program. Refer to Note 14 – Stockholders’ Equity of the Notes to Financial Statements (Part I, Item 1 of this Form 10-Q).</w:t>
      </w:r>
    </w:p>
    <w:p>
      <w:pPr>
        <w:pStyle w:val="TextBody"/>
        <w:bidi w:val="0"/>
        <w:spacing w:before="270" w:after="283"/>
        <w:jc w:val="both"/>
        <w:rPr>
          <w:rFonts w:ascii="Arial" w:hAnsi="Arial"/>
          <w:b/>
          <w:i/>
          <w:color w:val="000000"/>
          <w:sz w:val="20"/>
        </w:rPr>
      </w:pPr>
      <w:r>
        <w:rPr>
          <w:rFonts w:ascii="Arial" w:hAnsi="Arial"/>
          <w:b/>
          <w:i/>
          <w:color w:val="000000"/>
          <w:sz w:val="20"/>
        </w:rPr>
        <w:t>Dividends</w:t>
      </w:r>
    </w:p>
    <w:p>
      <w:pPr>
        <w:pStyle w:val="TextBody"/>
        <w:bidi w:val="0"/>
        <w:spacing w:before="180" w:after="283"/>
        <w:jc w:val="both"/>
        <w:rPr>
          <w:rFonts w:ascii="Arial" w:hAnsi="Arial"/>
          <w:color w:val="000000"/>
          <w:sz w:val="20"/>
        </w:rPr>
      </w:pPr>
      <w:r>
        <w:rPr>
          <w:rFonts w:ascii="Arial" w:hAnsi="Arial"/>
          <w:color w:val="000000"/>
          <w:sz w:val="20"/>
        </w:rPr>
        <w:t>For the three months ended September 30, 2025 and 2024, our Board of Directors declared dividends totaling $6.8 billion and $6.2 billion, respectively. We intend to continue returning capital to shareholders in the form of dividends, subject to declaration by our Board of Directors. Refer to Note 14 – Stockholders’ Equity of the Notes to Financial Statements (Part I, Item 1 of this Form 10-Q).</w:t>
      </w:r>
    </w:p>
    <w:p>
      <w:pPr>
        <w:pStyle w:val="TextBody"/>
        <w:bidi w:val="0"/>
        <w:spacing w:before="270" w:after="283"/>
        <w:jc w:val="both"/>
        <w:rPr>
          <w:rFonts w:ascii="Arial" w:hAnsi="Arial"/>
          <w:b/>
          <w:i/>
          <w:color w:val="000000"/>
          <w:sz w:val="20"/>
        </w:rPr>
      </w:pPr>
      <w:r>
        <w:rPr>
          <w:rFonts w:ascii="Arial" w:hAnsi="Arial"/>
          <w:b/>
          <w:i/>
          <w:color w:val="000000"/>
          <w:sz w:val="20"/>
        </w:rPr>
        <w:t>Other Planned Uses of Capital</w:t>
      </w:r>
    </w:p>
    <w:p>
      <w:pPr>
        <w:pStyle w:val="TextBody"/>
        <w:bidi w:val="0"/>
        <w:spacing w:before="180" w:after="283"/>
        <w:jc w:val="both"/>
        <w:rPr>
          <w:rFonts w:ascii="Arial" w:hAnsi="Arial"/>
          <w:color w:val="000000"/>
          <w:sz w:val="20"/>
        </w:rPr>
      </w:pPr>
      <w:r>
        <w:rPr>
          <w:rFonts w:ascii="Arial" w:hAnsi="Arial"/>
          <w:color w:val="000000"/>
          <w:sz w:val="20"/>
        </w:rPr>
        <w:t>We will continue to invest in sales, marketing, product support infrastructure, and existing and advanced areas of technology, as well as acquisitions that align with our business strategy. Additions to property and equipment will continue, including new facilities, datacenters, and computer systems for research and development, sales and marketing, support, and administrative staff. We will continue to invest in capital expenditures to support growth in our cloud offerings and our investments in AI infrastructure and training. We have operating and finance leases for datacenters, corporate offices, research and development facilities, Microsoft Experience Centers, and certain equipment. We have not engaged in any related party transactions or arrangements with unconsolidated entities or other persons that are reasonably likely to materially affect liquidity or the availability of capital resources.</w:t>
      </w:r>
    </w:p>
    <w:p>
      <w:pPr>
        <w:pStyle w:val="TextBody"/>
        <w:bidi w:val="0"/>
        <w:spacing w:before="270" w:after="283"/>
        <w:jc w:val="center"/>
        <w:rPr>
          <w:rFonts w:ascii="Arial" w:hAnsi="Arial"/>
          <w:color w:val="000000"/>
          <w:sz w:val="20"/>
          <w:u w:val="single"/>
        </w:rPr>
      </w:pPr>
      <w:r>
        <w:rPr>
          <w:rFonts w:ascii="Arial" w:hAnsi="Arial"/>
          <w:color w:val="000000"/>
          <w:sz w:val="20"/>
          <w:u w:val="single"/>
        </w:rPr>
        <w:t>RECENT ACCOUNTING GUIDANCE</w:t>
      </w:r>
    </w:p>
    <w:p>
      <w:pPr>
        <w:pStyle w:val="TextBody"/>
        <w:bidi w:val="0"/>
        <w:spacing w:before="180" w:after="283"/>
        <w:jc w:val="both"/>
        <w:rPr>
          <w:rFonts w:ascii="Arial" w:hAnsi="Arial"/>
          <w:color w:val="000000"/>
          <w:sz w:val="20"/>
        </w:rPr>
      </w:pPr>
      <w:r>
        <w:rPr>
          <w:rFonts w:ascii="Arial" w:hAnsi="Arial"/>
          <w:color w:val="000000"/>
          <w:sz w:val="20"/>
        </w:rPr>
        <w:t>Refer to Note 1 – Accounting Policies of the Notes to Financial Statements (Part I, Item 1 of this Form 10-Q).</w:t>
      </w:r>
    </w:p>
    <w:p>
      <w:pPr>
        <w:pStyle w:val="TextBody"/>
        <w:bidi w:val="0"/>
        <w:spacing w:before="270" w:after="283"/>
        <w:jc w:val="center"/>
        <w:rPr>
          <w:rFonts w:ascii="Arial" w:hAnsi="Arial"/>
          <w:color w:val="000000"/>
          <w:sz w:val="20"/>
          <w:u w:val="single"/>
        </w:rPr>
      </w:pPr>
      <w:r>
        <w:rPr>
          <w:rFonts w:ascii="Arial" w:hAnsi="Arial"/>
          <w:color w:val="000000"/>
          <w:sz w:val="20"/>
          <w:u w:val="single"/>
        </w:rPr>
        <w:t>CRITICAL ACCOUNTING ESTIMATES</w:t>
      </w:r>
    </w:p>
    <w:p>
      <w:pPr>
        <w:pStyle w:val="TextBody"/>
        <w:bidi w:val="0"/>
        <w:spacing w:before="180" w:after="283"/>
        <w:jc w:val="both"/>
        <w:rPr>
          <w:rFonts w:ascii="Arial" w:hAnsi="Arial"/>
          <w:color w:val="000000"/>
          <w:sz w:val="20"/>
        </w:rPr>
      </w:pPr>
      <w:r>
        <w:rPr>
          <w:rFonts w:ascii="Arial" w:hAnsi="Arial"/>
          <w:color w:val="000000"/>
          <w:sz w:val="20"/>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Critical accounting estimates are those estimates that involve a significant level of estimation uncertainty and could have a material impact on our financial condition or results of operations. We have critical accounting estimates in the areas of revenue recognition, impairment of investment securities, goodwill, research and development costs, legal and other contingencies, and income taxes.</w:t>
      </w:r>
    </w:p>
    <w:p>
      <w:pPr>
        <w:pStyle w:val="TextBody"/>
        <w:bidi w:val="0"/>
        <w:spacing w:before="270" w:after="283"/>
        <w:jc w:val="both"/>
        <w:rPr>
          <w:rFonts w:ascii="Arial" w:hAnsi="Arial"/>
          <w:b/>
          <w:color w:val="000000"/>
          <w:sz w:val="20"/>
        </w:rPr>
      </w:pPr>
      <w:r>
        <w:rPr>
          <w:rFonts w:ascii="Arial" w:hAnsi="Arial"/>
          <w:b/>
          <w:color w:val="000000"/>
          <w:sz w:val="20"/>
        </w:rPr>
        <w:t>Revenue Recognition</w:t>
      </w:r>
    </w:p>
    <w:p>
      <w:pPr>
        <w:pStyle w:val="TextBody"/>
        <w:bidi w:val="0"/>
        <w:spacing w:before="180" w:after="283"/>
        <w:jc w:val="both"/>
        <w:rPr>
          <w:rFonts w:ascii="Arial" w:hAnsi="Arial"/>
          <w:color w:val="000000"/>
          <w:sz w:val="20"/>
        </w:rPr>
      </w:pPr>
      <w:r>
        <w:rPr>
          <w:rFonts w:ascii="Arial" w:hAnsi="Arial"/>
          <w:color w:val="000000"/>
          <w:sz w:val="20"/>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pStyle w:val="TextBody"/>
        <w:bidi w:val="0"/>
        <w:spacing w:before="180" w:after="283"/>
        <w:jc w:val="both"/>
        <w:rPr>
          <w:rFonts w:ascii="Arial" w:hAnsi="Arial"/>
          <w:color w:val="000000"/>
          <w:sz w:val="20"/>
        </w:rPr>
      </w:pPr>
      <w:r>
        <w:rPr>
          <w:rFonts w:ascii="Arial" w:hAnsi="Arial"/>
          <w:color w:val="000000"/>
          <w:sz w:val="20"/>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pStyle w:val="TextBody"/>
        <w:bidi w:val="0"/>
        <w:spacing w:before="240" w:after="283"/>
        <w:jc w:val="center"/>
        <w:rPr>
          <w:rFonts w:ascii="Arial" w:hAnsi="Arial"/>
          <w:color w:val="000000"/>
          <w:sz w:val="16"/>
        </w:rPr>
      </w:pPr>
      <w:r>
        <w:rPr>
          <w:rFonts w:ascii="Arial" w:hAnsi="Arial"/>
          <w:color w:val="000000"/>
          <w:sz w:val="16"/>
        </w:rPr>
        <w:t>39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pStyle w:val="TextBody"/>
        <w:bidi w:val="0"/>
        <w:spacing w:before="180" w:after="283"/>
        <w:jc w:val="both"/>
        <w:rPr>
          <w:rFonts w:ascii="Arial" w:hAnsi="Arial"/>
          <w:color w:val="000000"/>
          <w:sz w:val="20"/>
        </w:rPr>
      </w:pPr>
      <w:r>
        <w:rPr>
          <w:rFonts w:ascii="Arial" w:hAnsi="Arial"/>
          <w:color w:val="000000"/>
          <w:sz w:val="20"/>
        </w:rPr>
        <w:t>Due to the various benefits from and the nature of our SA program, judgment is required to assess the pattern of delivery, including the exercise pattern of certain benefits across our portfolio of customers.</w:t>
      </w:r>
    </w:p>
    <w:p>
      <w:pPr>
        <w:pStyle w:val="TextBody"/>
        <w:bidi w:val="0"/>
        <w:spacing w:before="180" w:after="283"/>
        <w:jc w:val="both"/>
        <w:rPr>
          <w:rFonts w:ascii="Arial" w:hAnsi="Arial"/>
          <w:color w:val="000000"/>
          <w:sz w:val="20"/>
        </w:rPr>
      </w:pPr>
      <w:r>
        <w:rPr>
          <w:rFonts w:ascii="Arial" w:hAnsi="Arial"/>
          <w:color w:val="000000"/>
          <w:sz w:val="20"/>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pStyle w:val="TextBody"/>
        <w:bidi w:val="0"/>
        <w:spacing w:before="270" w:after="283"/>
        <w:jc w:val="both"/>
        <w:rPr>
          <w:rFonts w:ascii="Arial" w:hAnsi="Arial"/>
          <w:b/>
          <w:color w:val="000000"/>
          <w:sz w:val="20"/>
        </w:rPr>
      </w:pPr>
      <w:r>
        <w:rPr>
          <w:rFonts w:ascii="Arial" w:hAnsi="Arial"/>
          <w:b/>
          <w:color w:val="000000"/>
          <w:sz w:val="20"/>
        </w:rPr>
        <w:t>Impairment of Investment Securities</w:t>
      </w:r>
    </w:p>
    <w:p>
      <w:pPr>
        <w:pStyle w:val="TextBody"/>
        <w:bidi w:val="0"/>
        <w:spacing w:before="180" w:after="283"/>
        <w:jc w:val="both"/>
        <w:rPr>
          <w:rFonts w:ascii="Arial" w:hAnsi="Arial"/>
          <w:color w:val="000000"/>
          <w:sz w:val="20"/>
        </w:rPr>
      </w:pPr>
      <w:r>
        <w:rPr>
          <w:rFonts w:ascii="Arial" w:hAnsi="Arial"/>
          <w:color w:val="000000"/>
          <w:sz w:val="20"/>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pStyle w:val="TextBody"/>
        <w:bidi w:val="0"/>
        <w:spacing w:before="180" w:after="283"/>
        <w:jc w:val="both"/>
        <w:rPr>
          <w:rFonts w:ascii="Arial" w:hAnsi="Arial"/>
          <w:color w:val="000000"/>
          <w:sz w:val="20"/>
        </w:rPr>
      </w:pPr>
      <w:r>
        <w:rPr>
          <w:rFonts w:ascii="Arial" w:hAnsi="Arial"/>
          <w:color w:val="000000"/>
          <w:sz w:val="20"/>
        </w:rPr>
        <w:t>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p>
    <w:p>
      <w:pPr>
        <w:pStyle w:val="TextBody"/>
        <w:bidi w:val="0"/>
        <w:spacing w:before="270" w:after="283"/>
        <w:jc w:val="both"/>
        <w:rPr>
          <w:rFonts w:ascii="Arial" w:hAnsi="Arial"/>
          <w:b/>
          <w:color w:val="000000"/>
          <w:sz w:val="20"/>
        </w:rPr>
      </w:pPr>
      <w:r>
        <w:rPr>
          <w:rFonts w:ascii="Arial" w:hAnsi="Arial"/>
          <w:b/>
          <w:color w:val="000000"/>
          <w:sz w:val="20"/>
        </w:rPr>
        <w:t>Goodwill</w:t>
      </w:r>
    </w:p>
    <w:p>
      <w:pPr>
        <w:pStyle w:val="TextBody"/>
        <w:bidi w:val="0"/>
        <w:spacing w:before="180" w:after="283"/>
        <w:jc w:val="both"/>
        <w:rPr>
          <w:rFonts w:ascii="Arial" w:hAnsi="Arial"/>
          <w:color w:val="000000"/>
          <w:sz w:val="20"/>
        </w:rPr>
      </w:pPr>
      <w:r>
        <w:rPr>
          <w:rFonts w:ascii="Arial" w:hAnsi="Arial"/>
          <w:color w:val="000000"/>
          <w:sz w:val="20"/>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pStyle w:val="TextBody"/>
        <w:bidi w:val="0"/>
        <w:spacing w:before="180" w:after="283"/>
        <w:jc w:val="both"/>
        <w:rPr>
          <w:rFonts w:ascii="Arial" w:hAnsi="Arial"/>
          <w:color w:val="000000"/>
          <w:sz w:val="20"/>
        </w:rPr>
      </w:pPr>
      <w:r>
        <w:rPr>
          <w:rFonts w:ascii="Arial" w:hAnsi="Arial"/>
          <w:color w:val="000000"/>
          <w:sz w:val="20"/>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pStyle w:val="TextBody"/>
        <w:bidi w:val="0"/>
        <w:spacing w:before="180" w:after="283"/>
        <w:jc w:val="both"/>
        <w:rPr>
          <w:rFonts w:ascii="Arial" w:hAnsi="Arial"/>
          <w:color w:val="000000"/>
          <w:sz w:val="20"/>
        </w:rPr>
      </w:pPr>
      <w:r>
        <w:rPr>
          <w:rFonts w:ascii="Arial" w:hAnsi="Arial"/>
          <w:color w:val="000000"/>
          <w:sz w:val="20"/>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pStyle w:val="TextBody"/>
        <w:bidi w:val="0"/>
        <w:spacing w:before="240" w:after="283"/>
        <w:jc w:val="center"/>
        <w:rPr>
          <w:rFonts w:ascii="Arial" w:hAnsi="Arial"/>
          <w:color w:val="000000"/>
          <w:sz w:val="16"/>
        </w:rPr>
      </w:pPr>
      <w:r>
        <w:rPr>
          <w:rFonts w:ascii="Arial" w:hAnsi="Arial"/>
          <w:color w:val="000000"/>
          <w:sz w:val="16"/>
        </w:rPr>
        <w:t>40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Research and Development Costs</w:t>
      </w:r>
    </w:p>
    <w:p>
      <w:pPr>
        <w:pStyle w:val="TextBody"/>
        <w:bidi w:val="0"/>
        <w:spacing w:before="180" w:after="283"/>
        <w:jc w:val="both"/>
        <w:rPr>
          <w:rFonts w:ascii="Arial" w:hAnsi="Arial"/>
          <w:color w:val="000000"/>
          <w:sz w:val="20"/>
        </w:rPr>
      </w:pPr>
      <w:r>
        <w:rPr>
          <w:rFonts w:ascii="Arial" w:hAnsi="Arial"/>
          <w:color w:val="000000"/>
          <w:sz w:val="20"/>
        </w:rPr>
        <w:t>Costs incurred internally in researching and developing a software product to be marketed or sold to external users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pStyle w:val="TextBody"/>
        <w:bidi w:val="0"/>
        <w:spacing w:before="270" w:after="283"/>
        <w:jc w:val="both"/>
        <w:rPr>
          <w:rFonts w:ascii="Arial" w:hAnsi="Arial"/>
          <w:b/>
          <w:color w:val="000000"/>
          <w:sz w:val="20"/>
        </w:rPr>
      </w:pPr>
      <w:r>
        <w:rPr>
          <w:rFonts w:ascii="Arial" w:hAnsi="Arial"/>
          <w:b/>
          <w:color w:val="000000"/>
          <w:sz w:val="20"/>
        </w:rPr>
        <w:t>Legal and Other Contingencies</w:t>
      </w:r>
    </w:p>
    <w:p>
      <w:pPr>
        <w:pStyle w:val="TextBody"/>
        <w:bidi w:val="0"/>
        <w:spacing w:before="180" w:after="283"/>
        <w:jc w:val="both"/>
        <w:rPr>
          <w:rFonts w:ascii="Arial" w:hAnsi="Arial"/>
          <w:color w:val="000000"/>
          <w:sz w:val="20"/>
        </w:rPr>
      </w:pPr>
      <w:r>
        <w:rPr>
          <w:rFonts w:ascii="Arial" w:hAnsi="Arial"/>
          <w:color w:val="000000"/>
          <w:sz w:val="20"/>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pStyle w:val="TextBody"/>
        <w:bidi w:val="0"/>
        <w:spacing w:before="270" w:after="283"/>
        <w:jc w:val="both"/>
        <w:rPr>
          <w:rFonts w:ascii="Arial" w:hAnsi="Arial"/>
          <w:b/>
          <w:color w:val="000000"/>
          <w:sz w:val="20"/>
        </w:rPr>
      </w:pPr>
      <w:r>
        <w:rPr>
          <w:rFonts w:ascii="Arial" w:hAnsi="Arial"/>
          <w:b/>
          <w:color w:val="000000"/>
          <w:sz w:val="20"/>
        </w:rPr>
        <w:t>Income Taxes</w:t>
      </w:r>
    </w:p>
    <w:p>
      <w:pPr>
        <w:pStyle w:val="TextBody"/>
        <w:bidi w:val="0"/>
        <w:spacing w:before="180" w:after="283"/>
        <w:jc w:val="both"/>
        <w:rPr>
          <w:rFonts w:ascii="Arial" w:hAnsi="Arial"/>
          <w:color w:val="000000"/>
          <w:sz w:val="20"/>
        </w:rPr>
      </w:pPr>
      <w:r>
        <w:rPr>
          <w:rFonts w:ascii="Arial" w:hAnsi="Arial"/>
          <w:color w:val="000000"/>
          <w:sz w:val="20"/>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pStyle w:val="TextBody"/>
        <w:bidi w:val="0"/>
        <w:spacing w:before="240" w:after="283"/>
        <w:jc w:val="center"/>
        <w:rPr>
          <w:rFonts w:ascii="Arial" w:hAnsi="Arial"/>
          <w:color w:val="000000"/>
          <w:sz w:val="16"/>
        </w:rPr>
      </w:pPr>
      <w:r>
        <w:rPr>
          <w:rFonts w:ascii="Arial" w:hAnsi="Arial"/>
          <w:color w:val="000000"/>
          <w:sz w:val="16"/>
        </w:rPr>
        <w:t>41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3, 4</w:t>
      </w:r>
    </w:p>
    <w:p>
      <w:pPr>
        <w:pStyle w:val="TextBody"/>
        <w:bidi w:val="0"/>
        <w:jc w:val="left"/>
        <w:rPr/>
      </w:pPr>
      <w:r>
        <w:rPr/>
        <w:t> </w:t>
      </w:r>
    </w:p>
    <w:p>
      <w:pPr>
        <w:pStyle w:val="TextBody"/>
        <w:bidi w:val="0"/>
        <w:jc w:val="center"/>
        <w:rPr>
          <w:rFonts w:ascii="Arial" w:hAnsi="Arial"/>
          <w:b/>
          <w:color w:val="000000"/>
          <w:sz w:val="24"/>
        </w:rPr>
      </w:pPr>
      <w:bookmarkStart w:id="13" w:name="item_3_quantitative_qualitative_disclosu"/>
      <w:bookmarkEnd w:id="13"/>
      <w:r>
        <w:rPr>
          <w:rFonts w:ascii="Arial" w:hAnsi="Arial"/>
          <w:b/>
          <w:color w:val="000000"/>
          <w:sz w:val="24"/>
        </w:rPr>
        <w:t>ITEM 3. QUANTITATIVE AND QUALITATIVE DISCLOSURES ABOUT MARKET RISK</w:t>
      </w:r>
    </w:p>
    <w:p>
      <w:pPr>
        <w:pStyle w:val="TextBody"/>
        <w:bidi w:val="0"/>
        <w:spacing w:before="180" w:after="283"/>
        <w:jc w:val="center"/>
        <w:rPr>
          <w:rFonts w:ascii="Arial" w:hAnsi="Arial"/>
          <w:color w:val="000000"/>
          <w:sz w:val="20"/>
          <w:u w:val="single"/>
        </w:rPr>
      </w:pPr>
      <w:r>
        <w:rPr>
          <w:rFonts w:ascii="Arial" w:hAnsi="Arial"/>
          <w:color w:val="000000"/>
          <w:sz w:val="20"/>
          <w:u w:val="single"/>
        </w:rPr>
        <w:t>RISKS</w:t>
      </w:r>
    </w:p>
    <w:p>
      <w:pPr>
        <w:pStyle w:val="TextBody"/>
        <w:bidi w:val="0"/>
        <w:spacing w:before="180" w:after="283"/>
        <w:jc w:val="both"/>
        <w:rPr>
          <w:rFonts w:ascii="Arial" w:hAnsi="Arial"/>
          <w:color w:val="000000"/>
          <w:sz w:val="20"/>
        </w:rPr>
      </w:pPr>
      <w:r>
        <w:rPr>
          <w:rFonts w:ascii="Arial" w:hAnsi="Arial"/>
          <w:color w:val="000000"/>
          <w:sz w:val="20"/>
        </w:rPr>
        <w:t>We are exposed to economic risk from foreign exchange rates, interest rates, credit risk, and equity prices. We use derivatives instruments to manage these risks, however, they may still impact our consolidated financial statements.</w:t>
      </w:r>
    </w:p>
    <w:p>
      <w:pPr>
        <w:pStyle w:val="TextBody"/>
        <w:bidi w:val="0"/>
        <w:spacing w:before="270" w:after="283"/>
        <w:jc w:val="both"/>
        <w:rPr>
          <w:rFonts w:ascii="Arial" w:hAnsi="Arial"/>
          <w:b/>
          <w:color w:val="000000"/>
          <w:sz w:val="20"/>
        </w:rPr>
      </w:pPr>
      <w:r>
        <w:rPr>
          <w:rFonts w:ascii="Arial" w:hAnsi="Arial"/>
          <w:b/>
          <w:color w:val="000000"/>
          <w:sz w:val="20"/>
        </w:rPr>
        <w:t>Foreign Currencies</w:t>
      </w:r>
    </w:p>
    <w:p>
      <w:pPr>
        <w:pStyle w:val="TextBody"/>
        <w:bidi w:val="0"/>
        <w:spacing w:before="180" w:after="283"/>
        <w:jc w:val="both"/>
        <w:rPr>
          <w:rFonts w:ascii="Arial" w:hAnsi="Arial"/>
          <w:color w:val="000000"/>
          <w:sz w:val="20"/>
        </w:rPr>
      </w:pPr>
      <w:r>
        <w:rPr>
          <w:rFonts w:ascii="Arial" w:hAnsi="Arial"/>
          <w:color w:val="000000"/>
          <w:sz w:val="20"/>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pStyle w:val="TextBody"/>
        <w:bidi w:val="0"/>
        <w:spacing w:before="270" w:after="283"/>
        <w:jc w:val="both"/>
        <w:rPr>
          <w:rFonts w:ascii="Arial" w:hAnsi="Arial"/>
          <w:b/>
          <w:color w:val="000000"/>
          <w:sz w:val="20"/>
        </w:rPr>
      </w:pPr>
      <w:r>
        <w:rPr>
          <w:rFonts w:ascii="Arial" w:hAnsi="Arial"/>
          <w:b/>
          <w:color w:val="000000"/>
          <w:sz w:val="20"/>
        </w:rPr>
        <w:t>Interest Rate</w:t>
      </w:r>
    </w:p>
    <w:p>
      <w:pPr>
        <w:pStyle w:val="TextBody"/>
        <w:bidi w:val="0"/>
        <w:spacing w:before="180" w:after="283"/>
        <w:jc w:val="both"/>
        <w:rPr>
          <w:rFonts w:ascii="Arial" w:hAnsi="Arial"/>
          <w:color w:val="000000"/>
          <w:sz w:val="20"/>
        </w:rPr>
      </w:pPr>
      <w:r>
        <w:rPr>
          <w:rFonts w:ascii="Arial" w:hAnsi="Arial"/>
          <w:color w:val="000000"/>
          <w:sz w:val="20"/>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pStyle w:val="TextBody"/>
        <w:bidi w:val="0"/>
        <w:spacing w:before="270" w:after="283"/>
        <w:jc w:val="both"/>
        <w:rPr>
          <w:rFonts w:ascii="Arial" w:hAnsi="Arial"/>
          <w:b/>
          <w:color w:val="000000"/>
          <w:sz w:val="20"/>
        </w:rPr>
      </w:pPr>
      <w:r>
        <w:rPr>
          <w:rFonts w:ascii="Arial" w:hAnsi="Arial"/>
          <w:b/>
          <w:color w:val="000000"/>
          <w:sz w:val="20"/>
        </w:rPr>
        <w:t>Credit</w:t>
      </w:r>
    </w:p>
    <w:p>
      <w:pPr>
        <w:pStyle w:val="TextBody"/>
        <w:bidi w:val="0"/>
        <w:spacing w:before="180" w:after="283"/>
        <w:jc w:val="both"/>
        <w:rPr>
          <w:rFonts w:ascii="Arial" w:hAnsi="Arial"/>
          <w:color w:val="000000"/>
          <w:sz w:val="20"/>
        </w:rPr>
      </w:pPr>
      <w:r>
        <w:rPr>
          <w:rFonts w:ascii="Arial" w:hAnsi="Arial"/>
          <w:color w:val="000000"/>
          <w:sz w:val="20"/>
        </w:rPr>
        <w:t>Our fixed-income portfolio is diversified and consists primarily of investment-grade securities. We manage credit exposures relative to broad-based indices to facilitate portfolio diversification.</w:t>
      </w:r>
    </w:p>
    <w:p>
      <w:pPr>
        <w:pStyle w:val="TextBody"/>
        <w:bidi w:val="0"/>
        <w:spacing w:before="270" w:after="283"/>
        <w:jc w:val="both"/>
        <w:rPr>
          <w:rFonts w:ascii="Arial" w:hAnsi="Arial"/>
          <w:b/>
          <w:color w:val="000000"/>
          <w:sz w:val="20"/>
        </w:rPr>
      </w:pPr>
      <w:r>
        <w:rPr>
          <w:rFonts w:ascii="Arial" w:hAnsi="Arial"/>
          <w:b/>
          <w:color w:val="000000"/>
          <w:sz w:val="20"/>
        </w:rPr>
        <w:t>Equity</w:t>
      </w:r>
    </w:p>
    <w:p>
      <w:pPr>
        <w:pStyle w:val="TextBody"/>
        <w:bidi w:val="0"/>
        <w:spacing w:before="180" w:after="283"/>
        <w:jc w:val="both"/>
        <w:rPr>
          <w:rFonts w:ascii="Arial" w:hAnsi="Arial"/>
          <w:color w:val="000000"/>
          <w:sz w:val="20"/>
        </w:rPr>
      </w:pPr>
      <w:r>
        <w:rPr>
          <w:rFonts w:ascii="Arial" w:hAnsi="Arial"/>
          <w:color w:val="000000"/>
          <w:sz w:val="20"/>
        </w:rPr>
        <w:t>Securities held in our equity investments portfolio are subject to price risk.</w:t>
      </w:r>
    </w:p>
    <w:p>
      <w:pPr>
        <w:pStyle w:val="TextBody"/>
        <w:bidi w:val="0"/>
        <w:spacing w:before="270" w:after="283"/>
        <w:jc w:val="center"/>
        <w:rPr>
          <w:rFonts w:ascii="Arial" w:hAnsi="Arial"/>
          <w:color w:val="000000"/>
          <w:sz w:val="20"/>
          <w:u w:val="single"/>
        </w:rPr>
      </w:pPr>
      <w:r>
        <w:rPr>
          <w:rFonts w:ascii="Arial" w:hAnsi="Arial"/>
          <w:color w:val="000000"/>
          <w:sz w:val="20"/>
          <w:u w:val="single"/>
        </w:rPr>
        <w:t>SENSITIVITY ANALYSIS</w:t>
      </w:r>
    </w:p>
    <w:p>
      <w:pPr>
        <w:pStyle w:val="TextBody"/>
        <w:bidi w:val="0"/>
        <w:spacing w:before="180" w:after="283"/>
        <w:jc w:val="both"/>
        <w:rPr>
          <w:rFonts w:ascii="Arial" w:hAnsi="Arial"/>
          <w:color w:val="000000"/>
          <w:sz w:val="20"/>
        </w:rPr>
      </w:pPr>
      <w:r>
        <w:rPr>
          <w:rFonts w:ascii="Arial" w:hAnsi="Arial"/>
          <w:color w:val="000000"/>
          <w:sz w:val="20"/>
        </w:rPr>
        <w:t>The following table sets forth the potential loss in future earnings or fair values, including associated derivatives, resulting from hypothetical changes in relevant market rates or prices: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10"/>
        <w:gridCol w:w="146"/>
        <w:gridCol w:w="391"/>
        <w:gridCol w:w="3992"/>
        <w:gridCol w:w="146"/>
        <w:gridCol w:w="243"/>
        <w:gridCol w:w="869"/>
        <w:gridCol w:w="166"/>
        <w:gridCol w:w="146"/>
        <w:gridCol w:w="476"/>
        <w:gridCol w:w="480"/>
        <w:gridCol w:w="440"/>
      </w:tblGrid>
      <w:tr>
        <w:trPr/>
        <w:tc>
          <w:tcPr>
            <w:tcW w:w="2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8663" w:type="dxa"/>
            <w:gridSpan w:val="8"/>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6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0"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Risk Categories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9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Hypothetical Change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September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Impact</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10"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currency – 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9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 decrease in foreign exchange rates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6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(12,305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Earnings</w:t>
            </w:r>
          </w:p>
        </w:tc>
        <w:tc>
          <w:tcPr>
            <w:tcW w:w="440"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710"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currency – Investments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 decrease in foreign exchange rates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440"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710"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rate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9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100 basis point increase in U.S. treasury interest rates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(1,569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440"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71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Credit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9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 basis point increase in credit spreads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440"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710"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9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 decrease in equity market prices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(906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Earnings</w:t>
            </w:r>
          </w:p>
        </w:tc>
        <w:tc>
          <w:tcPr>
            <w:tcW w:w="44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center"/>
        <w:rPr>
          <w:rFonts w:ascii="Times New Roman" w:hAnsi="Times New Roman"/>
          <w:sz w:val="20"/>
        </w:rPr>
      </w:pPr>
      <w:bookmarkStart w:id="14" w:name="item_4_controls_procedures"/>
      <w:bookmarkEnd w:id="14"/>
      <w:r>
        <w:rPr>
          <w:rFonts w:ascii="Arial" w:hAnsi="Arial"/>
          <w:b/>
          <w:color w:val="000000"/>
          <w:sz w:val="24"/>
        </w:rPr>
        <w:t>ITEM 4. CONTROLS</w:t>
      </w:r>
      <w:r>
        <w:rPr>
          <w:rFonts w:ascii="Times New Roman" w:hAnsi="Times New Roman"/>
          <w:color w:val="000000"/>
          <w:sz w:val="20"/>
        </w:rPr>
        <w:t xml:space="preserve"> </w:t>
      </w:r>
      <w:r>
        <w:rPr>
          <w:rFonts w:ascii="Arial" w:hAnsi="Arial"/>
          <w:b/>
          <w:color w:val="000000"/>
          <w:sz w:val="24"/>
        </w:rPr>
        <w:t>AND PROCEDURES</w:t>
      </w:r>
    </w:p>
    <w:p>
      <w:pPr>
        <w:pStyle w:val="TextBody"/>
        <w:bidi w:val="0"/>
        <w:spacing w:before="180" w:after="283"/>
        <w:jc w:val="both"/>
        <w:rPr>
          <w:rFonts w:ascii="Arial" w:hAnsi="Arial"/>
          <w:color w:val="000000"/>
          <w:sz w:val="20"/>
        </w:rPr>
      </w:pPr>
      <w:r>
        <w:rPr>
          <w:rFonts w:ascii="Arial" w:hAnsi="Arial"/>
          <w:color w:val="000000"/>
          <w:sz w:val="20"/>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 There were no changes in our internal control over financial reporting during the quarter ended September 30, 2025 that have materially affected, or are reasonably likely to materially affect, our internal control over financial reporting.</w:t>
      </w:r>
    </w:p>
    <w:p>
      <w:pPr>
        <w:pStyle w:val="TextBody"/>
        <w:bidi w:val="0"/>
        <w:spacing w:before="240" w:after="283"/>
        <w:jc w:val="center"/>
        <w:rPr>
          <w:rFonts w:ascii="Arial" w:hAnsi="Arial"/>
          <w:color w:val="000000"/>
          <w:sz w:val="16"/>
        </w:rPr>
      </w:pPr>
      <w:r>
        <w:rPr>
          <w:rFonts w:ascii="Arial" w:hAnsi="Arial"/>
          <w:color w:val="000000"/>
          <w:sz w:val="16"/>
        </w:rPr>
        <w:t>42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 1A</w:t>
      </w:r>
    </w:p>
    <w:p>
      <w:pPr>
        <w:pStyle w:val="TextBody"/>
        <w:bidi w:val="0"/>
        <w:jc w:val="left"/>
        <w:rPr/>
      </w:pPr>
      <w:r>
        <w:rPr/>
        <w:t> </w:t>
      </w:r>
    </w:p>
    <w:p>
      <w:pPr>
        <w:pStyle w:val="TextBody"/>
        <w:bidi w:val="0"/>
        <w:jc w:val="center"/>
        <w:rPr>
          <w:rFonts w:ascii="Times New Roman" w:hAnsi="Times New Roman"/>
          <w:sz w:val="20"/>
        </w:rPr>
      </w:pPr>
      <w:bookmarkStart w:id="15" w:name="part_ii_or_information"/>
      <w:bookmarkEnd w:id="15"/>
      <w:r>
        <w:rPr>
          <w:rFonts w:ascii="Arial" w:hAnsi="Arial"/>
          <w:b/>
          <w:color w:val="000000"/>
          <w:sz w:val="20"/>
        </w:rPr>
        <w:t>PART II. OTHER</w:t>
      </w:r>
      <w:r>
        <w:rPr>
          <w:rFonts w:ascii="Times New Roman" w:hAnsi="Times New Roman"/>
          <w:color w:val="000000"/>
          <w:sz w:val="20"/>
        </w:rPr>
        <w:t xml:space="preserve"> </w:t>
      </w:r>
      <w:r>
        <w:rPr>
          <w:rFonts w:ascii="Arial" w:hAnsi="Arial"/>
          <w:b/>
          <w:color w:val="000000"/>
          <w:sz w:val="20"/>
        </w:rPr>
        <w:t>INFORMATION</w:t>
      </w:r>
    </w:p>
    <w:p>
      <w:pPr>
        <w:pStyle w:val="TextBody"/>
        <w:bidi w:val="0"/>
        <w:spacing w:before="180" w:after="283"/>
        <w:jc w:val="center"/>
        <w:rPr>
          <w:rFonts w:ascii="Arial" w:hAnsi="Arial"/>
          <w:b/>
          <w:color w:val="000000"/>
          <w:sz w:val="24"/>
        </w:rPr>
      </w:pPr>
      <w:bookmarkStart w:id="16" w:name="item_1_legal_proceedings"/>
      <w:bookmarkEnd w:id="16"/>
      <w:r>
        <w:rPr>
          <w:rFonts w:ascii="Arial" w:hAnsi="Arial"/>
          <w:b/>
          <w:color w:val="000000"/>
          <w:sz w:val="24"/>
        </w:rPr>
        <w:t>ITEM 1. LEGAL PROCEEDINGS</w:t>
      </w:r>
    </w:p>
    <w:p>
      <w:pPr>
        <w:pStyle w:val="TextBody"/>
        <w:bidi w:val="0"/>
        <w:spacing w:before="180" w:after="283"/>
        <w:jc w:val="both"/>
        <w:rPr>
          <w:rFonts w:ascii="Arial" w:hAnsi="Arial"/>
          <w:color w:val="000000"/>
          <w:sz w:val="20"/>
        </w:rPr>
      </w:pPr>
      <w:r>
        <w:rPr>
          <w:rFonts w:ascii="Arial" w:hAnsi="Arial"/>
          <w:color w:val="000000"/>
          <w:sz w:val="20"/>
        </w:rPr>
        <w:t>Refer to Note 13 – Contingencies of the Notes to Financial Statements (Part I, Item 1 of this Form 10-Q) for information regarding legal proceedings in which we are involved.</w:t>
      </w:r>
    </w:p>
    <w:p>
      <w:pPr>
        <w:pStyle w:val="TextBody"/>
        <w:bidi w:val="0"/>
        <w:spacing w:before="270" w:after="283"/>
        <w:jc w:val="center"/>
        <w:rPr>
          <w:rFonts w:ascii="Arial" w:hAnsi="Arial"/>
          <w:b/>
          <w:color w:val="000000"/>
          <w:sz w:val="24"/>
        </w:rPr>
      </w:pPr>
      <w:bookmarkStart w:id="17" w:name="item_1a_risk_factors"/>
      <w:bookmarkEnd w:id="17"/>
      <w:r>
        <w:rPr>
          <w:rFonts w:ascii="Arial" w:hAnsi="Arial"/>
          <w:b/>
          <w:color w:val="000000"/>
          <w:sz w:val="24"/>
        </w:rPr>
        <w:t>ITEM 1A. RISK FACTORS</w:t>
      </w:r>
    </w:p>
    <w:p>
      <w:pPr>
        <w:pStyle w:val="TextBody"/>
        <w:bidi w:val="0"/>
        <w:spacing w:before="180" w:after="283"/>
        <w:jc w:val="both"/>
        <w:rPr>
          <w:rFonts w:ascii="Arial" w:hAnsi="Arial"/>
          <w:color w:val="000000"/>
          <w:sz w:val="20"/>
        </w:rPr>
      </w:pPr>
      <w:r>
        <w:rPr>
          <w:rFonts w:ascii="Arial" w:hAnsi="Arial"/>
          <w:color w:val="000000"/>
          <w:sz w:val="20"/>
        </w:rPr>
        <w:t>Our operations and financial results are subject to various risks and uncertainties, including those described below, that could adversely affect our business, operations, financial condition, results of operations, liquidity, and the trading price of our common stock.</w:t>
      </w:r>
    </w:p>
    <w:p>
      <w:pPr>
        <w:pStyle w:val="TextBody"/>
        <w:bidi w:val="0"/>
        <w:spacing w:before="270" w:after="283"/>
        <w:jc w:val="center"/>
        <w:rPr>
          <w:rFonts w:ascii="Arial" w:hAnsi="Arial"/>
          <w:color w:val="000000"/>
          <w:sz w:val="20"/>
          <w:u w:val="single"/>
        </w:rPr>
      </w:pPr>
      <w:r>
        <w:rPr>
          <w:rFonts w:ascii="Arial" w:hAnsi="Arial"/>
          <w:color w:val="000000"/>
          <w:sz w:val="20"/>
          <w:u w:val="single"/>
        </w:rPr>
        <w:t>STRATEGIC AND COMPETITIVE RISKS</w:t>
      </w:r>
    </w:p>
    <w:p>
      <w:pPr>
        <w:pStyle w:val="TextBody"/>
        <w:bidi w:val="0"/>
        <w:spacing w:before="180" w:after="283"/>
        <w:jc w:val="both"/>
        <w:rPr>
          <w:rFonts w:ascii="Arial" w:hAnsi="Arial"/>
          <w:b/>
          <w:color w:val="000000"/>
          <w:sz w:val="20"/>
        </w:rPr>
      </w:pPr>
      <w:r>
        <w:rPr>
          <w:rFonts w:ascii="Arial" w:hAnsi="Arial"/>
          <w:b/>
          <w:color w:val="000000"/>
          <w:sz w:val="20"/>
        </w:rPr>
        <w:t>We face intense competition across all markets for our products and services, which could adversely affect our results of operations.</w:t>
      </w:r>
    </w:p>
    <w:p>
      <w:pPr>
        <w:pStyle w:val="TextBody"/>
        <w:bidi w:val="0"/>
        <w:spacing w:before="180" w:after="283"/>
        <w:jc w:val="both"/>
        <w:rPr>
          <w:rFonts w:ascii="Arial" w:hAnsi="Arial"/>
          <w:b/>
          <w:i/>
          <w:color w:val="000000"/>
          <w:sz w:val="20"/>
        </w:rPr>
      </w:pPr>
      <w:r>
        <w:rPr>
          <w:rFonts w:ascii="Arial" w:hAnsi="Arial"/>
          <w:b/>
          <w:i/>
          <w:color w:val="000000"/>
          <w:sz w:val="20"/>
        </w:rPr>
        <w:t>Competition in the technology sector</w:t>
      </w:r>
    </w:p>
    <w:p>
      <w:pPr>
        <w:pStyle w:val="TextBody"/>
        <w:bidi w:val="0"/>
        <w:spacing w:before="180" w:after="283"/>
        <w:jc w:val="both"/>
        <w:rPr>
          <w:rFonts w:ascii="Arial" w:hAnsi="Arial"/>
          <w:color w:val="000000"/>
          <w:sz w:val="20"/>
        </w:rPr>
      </w:pPr>
      <w:r>
        <w:rPr>
          <w:rFonts w:ascii="Arial" w:hAnsi="Arial"/>
          <w:color w:val="000000"/>
          <w:sz w:val="20"/>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If we do not continue to innovate and provide products, devices, and services that appeal to businesses and consumers, we may not remain competitive, which could adversely affect our business, financial condition, and results of operations.</w:t>
      </w:r>
    </w:p>
    <w:p>
      <w:pPr>
        <w:pStyle w:val="TextBody"/>
        <w:bidi w:val="0"/>
        <w:spacing w:before="270" w:after="283"/>
        <w:jc w:val="both"/>
        <w:rPr>
          <w:rFonts w:ascii="Arial" w:hAnsi="Arial"/>
          <w:b/>
          <w:i/>
          <w:color w:val="000000"/>
          <w:sz w:val="20"/>
        </w:rPr>
      </w:pPr>
      <w:r>
        <w:rPr>
          <w:rFonts w:ascii="Arial" w:hAnsi="Arial"/>
          <w:b/>
          <w:i/>
          <w:color w:val="000000"/>
          <w:sz w:val="20"/>
        </w:rPr>
        <w:t>Competition among platform-based ecosystems</w:t>
      </w:r>
    </w:p>
    <w:p>
      <w:pPr>
        <w:pStyle w:val="TextBody"/>
        <w:bidi w:val="0"/>
        <w:spacing w:before="180" w:after="283"/>
        <w:jc w:val="both"/>
        <w:rPr>
          <w:rFonts w:ascii="Arial" w:hAnsi="Arial"/>
          <w:color w:val="000000"/>
          <w:sz w:val="20"/>
        </w:rPr>
      </w:pPr>
      <w:r>
        <w:rPr>
          <w:rFonts w:ascii="Arial" w:hAnsi="Arial"/>
          <w:color w:val="000000"/>
          <w:sz w:val="20"/>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meet consumer demand and to achieve and maintain attractive margins. We face significant competition from firms that provide competing platforms.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A competing vertically-integrated model, in which a single firm controls the hardware and software elements of a product and related services, has succeeded with some consumer products such as PCs, tablets, smartphones,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vertically-integrated offer. We also offer some vertically-integrated hardware and software products and services. Shifting a portion of our business to a vertically-integrated model may increase our cost of revenue and reduce our operating margins.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We derive substantial revenue from licenses of Windows operating systems on PCs. We face significant competition from competing platforms developed for new devices and form factors such as smartphones and tablets. These devices compete on multiple bases including price and the perceived utility of the device and its platform. Users continue to turn to these devices to perform functions that in the past were performed by PCs. Even if many users view these devices as complementary to a PC,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OEM partners, which may affect their commitment to our platform.</w:t>
      </w:r>
    </w:p>
    <w:p>
      <w:pPr>
        <w:pStyle w:val="TextBody"/>
        <w:bidi w:val="0"/>
        <w:spacing w:before="240" w:after="283"/>
        <w:jc w:val="center"/>
        <w:rPr>
          <w:rFonts w:ascii="Arial" w:hAnsi="Arial"/>
          <w:color w:val="000000"/>
          <w:sz w:val="16"/>
        </w:rPr>
      </w:pPr>
      <w:r>
        <w:rPr>
          <w:rFonts w:ascii="Arial" w:hAnsi="Arial"/>
          <w:color w:val="000000"/>
          <w:sz w:val="16"/>
        </w:rPr>
        <w:t>43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pStyle w:val="TextBody"/>
        <w:bidi w:val="0"/>
        <w:spacing w:before="180" w:after="283"/>
        <w:jc w:val="both"/>
        <w:rPr>
          <w:rFonts w:ascii="Arial" w:hAnsi="Arial"/>
          <w:color w:val="000000"/>
          <w:sz w:val="20"/>
        </w:rPr>
      </w:pPr>
      <w:r>
        <w:rPr>
          <w:rFonts w:ascii="Arial" w:hAnsi="Arial"/>
          <w:color w:val="000000"/>
          <w:sz w:val="20"/>
        </w:rPr>
        <w:t>For all of these reasons, we may not be able to compete successfully against our current and future competitors, which could adversely affect our business, operations, financial condition, and results of operations.</w:t>
      </w:r>
    </w:p>
    <w:p>
      <w:pPr>
        <w:pStyle w:val="TextBody"/>
        <w:bidi w:val="0"/>
        <w:spacing w:before="270" w:after="283"/>
        <w:jc w:val="both"/>
        <w:rPr>
          <w:rFonts w:ascii="Arial" w:hAnsi="Arial"/>
          <w:b/>
          <w:i/>
          <w:color w:val="000000"/>
          <w:sz w:val="20"/>
        </w:rPr>
      </w:pPr>
      <w:r>
        <w:rPr>
          <w:rFonts w:ascii="Arial" w:hAnsi="Arial"/>
          <w:b/>
          <w:i/>
          <w:color w:val="000000"/>
          <w:sz w:val="20"/>
        </w:rPr>
        <w:t>Business model competition</w:t>
      </w:r>
    </w:p>
    <w:p>
      <w:pPr>
        <w:pStyle w:val="TextBody"/>
        <w:bidi w:val="0"/>
        <w:spacing w:before="180" w:after="283"/>
        <w:jc w:val="both"/>
        <w:rPr>
          <w:rFonts w:ascii="Arial" w:hAnsi="Arial"/>
          <w:color w:val="000000"/>
          <w:sz w:val="20"/>
        </w:rPr>
      </w:pPr>
      <w:r>
        <w:rPr>
          <w:rFonts w:ascii="Arial" w:hAnsi="Arial"/>
          <w:color w:val="000000"/>
          <w:sz w:val="20"/>
        </w:rPr>
        <w:t>Companies compete with us based on a growing variety of business models.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A material part of our business involves cloud-based services available across the spectrum of computing devices. We and our competitors continue to devote significant resources to developing and deploying cloud-based strategies and services for consumers and business customers, and pricing and delivery models are evolving.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We are investing in artificial intelligence (“AI”) across the entire company and infusing generative AI capabilities into our consumer and commercial offerings. AI technology and services are a highly competitive and rapidly evolving market, and new competitors continue to enter the market. We will bear significant development and operational costs to build and support the AI models, services, platforms, and infrastructure necessary to meet the needs of our customers. To compete effectively we must also be responsive to technological change, new and potential regulatory developments, and public scrutiny.</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Even as we transition more of our business to infrastructure-, platform-, and software-as-a-service business models,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Other competitors develop and offer free applications, online services, and content, and make money by selling third-party advertising. Advertising revenue funds development of products and services these competitors provide to users at little or no cost, competing directly with our revenue-generating products.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Some companies compete with us by modifying and then distributing open-source software at little or no cost to end users, developing, making available, or using AI models that are open, and earning revenue on advertising or integrated products and services. These firms do not bear the full costs of research and development for the open-source products. Some open-source products mimic the features and functionality of our products.</w:t>
      </w:r>
    </w:p>
    <w:p>
      <w:pPr>
        <w:pStyle w:val="TextBody"/>
        <w:bidi w:val="0"/>
        <w:spacing w:before="180" w:after="283"/>
        <w:jc w:val="both"/>
        <w:rPr>
          <w:rFonts w:ascii="Arial" w:hAnsi="Arial"/>
          <w:color w:val="000000"/>
          <w:sz w:val="20"/>
        </w:rPr>
      </w:pPr>
      <w:r>
        <w:rPr>
          <w:rFonts w:ascii="Arial" w:hAnsi="Arial"/>
          <w:color w:val="000000"/>
          <w:sz w:val="20"/>
        </w:rPr>
        <w:t>The competitive pressures described above may cause decreased sales volumes, price reductions, and/or increased operating costs, such as for research and development, marketing, and sales incentives, which could adversely affect our financial condition and results of operations.</w:t>
      </w:r>
    </w:p>
    <w:p>
      <w:pPr>
        <w:pStyle w:val="TextBody"/>
        <w:bidi w:val="0"/>
        <w:spacing w:before="180" w:after="283"/>
        <w:jc w:val="both"/>
        <w:rPr>
          <w:rFonts w:ascii="Times New Roman" w:hAnsi="Times New Roman"/>
          <w:sz w:val="20"/>
        </w:rPr>
      </w:pPr>
      <w:r>
        <w:rPr>
          <w:rFonts w:ascii="Arial" w:hAnsi="Arial"/>
          <w:b/>
          <w:color w:val="000000"/>
          <w:sz w:val="20"/>
        </w:rPr>
        <w:t>Our focus on cloud-based and AI services presents execution and competitive risks.</w:t>
      </w:r>
      <w:r>
        <w:rPr>
          <w:rFonts w:ascii="Times New Roman" w:hAnsi="Times New Roman"/>
          <w:color w:val="000000"/>
          <w:sz w:val="20"/>
        </w:rPr>
        <w:t xml:space="preserve"> </w:t>
      </w:r>
      <w:r>
        <w:rPr>
          <w:rFonts w:ascii="Arial" w:hAnsi="Arial"/>
          <w:color w:val="000000"/>
          <w:sz w:val="20"/>
        </w:rPr>
        <w:t>We are incurring significant costs to build and maintain infrastructure to support cloud-based and AI services, reducing operating margins. Whether we succeed in cloud-based and AI services depends on our execution in several areas, including: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Continuing to bring to market compelling cloud-based and AI services and products that generate increasing traffic and market share.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Maintaining the utility, compatibility, and performance of our cloud-based and AI services on the growing array of computing devices, including PCs, smartphones, tablets, gaming consoles, and other devices.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Continuing to enhance the attractiveness of our cloud platforms to third-party developers.</w:t>
      </w:r>
    </w:p>
    <w:p>
      <w:pPr>
        <w:pStyle w:val="TextBody"/>
        <w:bidi w:val="0"/>
        <w:spacing w:before="240" w:after="283"/>
        <w:jc w:val="center"/>
        <w:rPr>
          <w:rFonts w:ascii="Arial" w:hAnsi="Arial"/>
          <w:color w:val="000000"/>
          <w:sz w:val="16"/>
        </w:rPr>
      </w:pPr>
      <w:r>
        <w:rPr>
          <w:rFonts w:ascii="Arial" w:hAnsi="Arial"/>
          <w:color w:val="000000"/>
          <w:sz w:val="16"/>
        </w:rPr>
        <w:t>44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Ensuring our cloud-based services meet the reliability expectations and specific requirements of our customers and maintain the security of their data as well as help them meet their own compliance needs.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Making our suite of cloud-based services platform-agnostic, available on a wide range of devices and ecosystems, including those of our competitors.</w:t>
      </w:r>
    </w:p>
    <w:p>
      <w:pPr>
        <w:pStyle w:val="TextBody"/>
        <w:bidi w:val="0"/>
        <w:spacing w:before="180" w:after="283"/>
        <w:jc w:val="both"/>
        <w:rPr>
          <w:rFonts w:ascii="Arial" w:hAnsi="Arial"/>
          <w:color w:val="000000"/>
          <w:sz w:val="20"/>
        </w:rPr>
      </w:pPr>
      <w:r>
        <w:rPr>
          <w:rFonts w:ascii="Arial" w:hAnsi="Arial"/>
          <w:color w:val="000000"/>
          <w:sz w:val="20"/>
        </w:rPr>
        <w:t>It is uncertain whether our strategies will continue to attract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could adversely affect our operations, financial condition, and results of operations.</w:t>
      </w:r>
    </w:p>
    <w:p>
      <w:pPr>
        <w:pStyle w:val="TextBody"/>
        <w:bidi w:val="0"/>
        <w:spacing w:before="180" w:after="283"/>
        <w:jc w:val="both"/>
        <w:rPr>
          <w:rFonts w:ascii="Arial" w:hAnsi="Arial"/>
          <w:color w:val="000000"/>
          <w:sz w:val="20"/>
        </w:rPr>
      </w:pPr>
      <w:r>
        <w:rPr>
          <w:rFonts w:ascii="Arial" w:hAnsi="Arial"/>
          <w:color w:val="000000"/>
          <w:sz w:val="20"/>
        </w:rPr>
        <w:t>Our AI systems offer users powerful tools and capabilities. However, there may be instances where these systems are used in ways that are unintended or inappropriate. In addition, some users may also engage in fraudulent or abusive activities through our cloud-based and AI services, such as unauthorized account access, payment fraud, or terms of service violations including cryptocurrency mining or launching cyberattacks. While we are committed to detecting and controlling such misuse of our cloud-based and AI services, our efforts may not be effective, and we may incur reputational damage or experience adverse impacts to our business and results of operations.</w:t>
      </w:r>
    </w:p>
    <w:p>
      <w:pPr>
        <w:pStyle w:val="TextBody"/>
        <w:bidi w:val="0"/>
        <w:spacing w:before="270" w:after="283"/>
        <w:jc w:val="center"/>
        <w:rPr>
          <w:rFonts w:ascii="Arial" w:hAnsi="Arial"/>
          <w:color w:val="000000"/>
          <w:sz w:val="20"/>
          <w:u w:val="single"/>
        </w:rPr>
      </w:pPr>
      <w:r>
        <w:rPr>
          <w:rFonts w:ascii="Arial" w:hAnsi="Arial"/>
          <w:color w:val="000000"/>
          <w:sz w:val="20"/>
          <w:u w:val="single"/>
        </w:rPr>
        <w:t>RISKS RELATING TO THE EVOLUTION OF OUR BUSINESS</w:t>
      </w:r>
    </w:p>
    <w:p>
      <w:pPr>
        <w:pStyle w:val="TextBody"/>
        <w:bidi w:val="0"/>
        <w:spacing w:before="180" w:after="283"/>
        <w:jc w:val="both"/>
        <w:rPr>
          <w:rFonts w:ascii="Times New Roman" w:hAnsi="Times New Roman"/>
          <w:sz w:val="20"/>
        </w:rPr>
      </w:pPr>
      <w:r>
        <w:rPr>
          <w:rFonts w:ascii="Arial" w:hAnsi="Arial"/>
          <w:b/>
          <w:color w:val="000000"/>
          <w:sz w:val="20"/>
        </w:rPr>
        <w:t>We make significant investments in products and services that may not achieve expected returns.</w:t>
      </w:r>
      <w:r>
        <w:rPr>
          <w:rFonts w:ascii="Times New Roman" w:hAnsi="Times New Roman"/>
          <w:color w:val="000000"/>
          <w:sz w:val="20"/>
        </w:rPr>
        <w:t xml:space="preserve"> </w:t>
      </w:r>
      <w:r>
        <w:rPr>
          <w:rFonts w:ascii="Arial" w:hAnsi="Arial"/>
          <w:color w:val="000000"/>
          <w:sz w:val="20"/>
        </w:rPr>
        <w:t>We will continue to make significant investments in research, development, and marketing for existing products, services, and technologies, including AI-based products and services. We also invest in the development and acquisition of a variety of hardware for productivity, communication, and entertainment, including PCs, tablets, and gaming devices. Investments in new technology are speculative. Commercial success depends on many factors, including innovation,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or may not achieve operating margins as high as we have experienced historically. We may not get engagement in certain features that drive post-sale monetization opportunities. Our data-handling practices across our products and services will continue to be under scrutiny. Perceptions of mismanagement, driven by regulatory activity or negative public reaction to our practices or product experiences, could negatively impact product and feature adoption. Developing new technologies is complex. It can require long development and testing periods. We could experience significant delays in new releases or significant problems in creating new products or services. These factors could adversely affect our business, financial condition, and results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color w:val="000000"/>
          <w:sz w:val="20"/>
        </w:rPr>
        <w:t>Acquisitions, joint ventures, and strategic alliances could have an adverse effect on our business.</w:t>
      </w:r>
      <w:r>
        <w:rPr>
          <w:rFonts w:ascii="Times New Roman" w:hAnsi="Times New Roman"/>
          <w:color w:val="000000"/>
          <w:sz w:val="20"/>
        </w:rPr>
        <w:t xml:space="preserve"> </w:t>
      </w:r>
      <w:r>
        <w:rPr>
          <w:rFonts w:ascii="Arial" w:hAnsi="Arial"/>
          <w:color w:val="000000"/>
          <w:sz w:val="20"/>
        </w:rPr>
        <w:t>We expect to continue making acquisitions and entering into joint ventures and strategic alliances as part of our long-term business strategy. For example, in October 2023 we completed our acquisition of Activision Blizzard, Inc. In January 2023 we announced the third phase of our strategic partnership with OpenAI Global, LLC (“OpenAI”). Acquisitions and other transactions and arrangements involve significant challenges and risks, including that they do not advance our business strategy, that we get an unsatisfactory return on our investment, that they raise new compliance-related obligations and challenges, that we have difficulty integrating and retaining new employees, business systems, and technology, that they distract management from our other businesses, or that announced transactions may not be completed. If an arrangement fails to adequately anticipate changing circumstances and interests of a party, it may result in early termination or renegotiation of the arrangement. We also have limited ability to control or influence third parties with whom we have arrangements, which may impact our ability to realize the anticipated benefits. The success of these transactions and arrangements depend in part on our ability to leverage them to enhance our existing products and services or develop compelling new ones, as well as the acquired companies’ ability to meet our policies and processes in areas such as data governance, privacy, digital safety, responsible AI, and cybersecurity. It may take longer than expected to realize the full economic benefits from these transactions and arrangements, such as increased revenue or enhanced efficiencies, or the benefits may ultimately be smaller than we expected, which could cause an impairment of goodwill or intangibles. We have recorded, and may in the future be required to record, a significant charge in our consolidated financial statements during the period in which any impairment of our goodwill or amortizable intangible assets is determined, negatively affecting our results of operations. In addition, an acquisition may be subject to challenge even after it has been completed. These events could adversely affect our business, operations, financial condition, and results of operations.</w:t>
      </w:r>
    </w:p>
    <w:p>
      <w:pPr>
        <w:pStyle w:val="TextBody"/>
        <w:bidi w:val="0"/>
        <w:spacing w:before="240" w:after="283"/>
        <w:jc w:val="center"/>
        <w:rPr>
          <w:rFonts w:ascii="Arial" w:hAnsi="Arial"/>
          <w:color w:val="000000"/>
          <w:sz w:val="16"/>
        </w:rPr>
      </w:pPr>
      <w:r>
        <w:rPr>
          <w:rFonts w:ascii="Arial" w:hAnsi="Arial"/>
          <w:color w:val="000000"/>
          <w:sz w:val="16"/>
        </w:rPr>
        <w:t>45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CYBERSECURITY, DATA PRIVACY, AND PLATFORM ABUSE RISKS</w:t>
      </w:r>
    </w:p>
    <w:p>
      <w:pPr>
        <w:pStyle w:val="TextBody"/>
        <w:bidi w:val="0"/>
        <w:spacing w:before="180" w:after="283"/>
        <w:jc w:val="both"/>
        <w:rPr>
          <w:rFonts w:ascii="Arial" w:hAnsi="Arial"/>
          <w:b/>
          <w:color w:val="000000"/>
          <w:sz w:val="20"/>
        </w:rPr>
      </w:pPr>
      <w:r>
        <w:rPr>
          <w:rFonts w:ascii="Arial" w:hAnsi="Arial"/>
          <w:b/>
          <w:color w:val="000000"/>
          <w:sz w:val="20"/>
        </w:rPr>
        <w:t>Cyberattacks and security vulnerabilities could lead to reduced revenue, increased costs, liability claims, or harm to our reputation or competitive position.</w:t>
      </w:r>
    </w:p>
    <w:p>
      <w:pPr>
        <w:pStyle w:val="TextBody"/>
        <w:bidi w:val="0"/>
        <w:spacing w:before="180" w:after="283"/>
        <w:jc w:val="both"/>
        <w:rPr>
          <w:rFonts w:ascii="Arial" w:hAnsi="Arial"/>
          <w:b/>
          <w:i/>
          <w:color w:val="000000"/>
          <w:sz w:val="20"/>
        </w:rPr>
      </w:pPr>
      <w:r>
        <w:rPr>
          <w:rFonts w:ascii="Arial" w:hAnsi="Arial"/>
          <w:b/>
          <w:i/>
          <w:color w:val="000000"/>
          <w:sz w:val="20"/>
        </w:rPr>
        <w:t>Security of our information technology</w:t>
      </w:r>
    </w:p>
    <w:p>
      <w:pPr>
        <w:pStyle w:val="TextBody"/>
        <w:bidi w:val="0"/>
        <w:spacing w:before="180" w:after="283"/>
        <w:jc w:val="both"/>
        <w:rPr>
          <w:rFonts w:ascii="Arial" w:hAnsi="Arial"/>
          <w:color w:val="000000"/>
          <w:sz w:val="20"/>
        </w:rPr>
      </w:pPr>
      <w:r>
        <w:rPr>
          <w:rFonts w:ascii="Arial" w:hAnsi="Arial"/>
          <w:color w:val="000000"/>
          <w:sz w:val="20"/>
        </w:rPr>
        <w:t>Threats to security can take a variety of forms. Threat actors, including individual and groups of hackers and sophisticated organizations, including nation-states, state-sponsored organizations, or cybercriminal groups, continuously undertake attacks that pose threats to our customers and our internal infrastructure, and we have experienced cybersecurity incidents in which such actors have gained unauthorized access to our systems and data, including customer systems and data. These actors use a wide variety of methods, which include developing and deploying malicious software; exploiting known and potential vulnerabilities or intentionally designed processes in our or third-party hardware, software, or other infrastructure to attack our products and services or gain access to our networks and datacenters; using social engineering techniques to induce our employees, users, partners, or customers to disclose sensitive information, such as passwords, or take other actions to gain access to our data or our users’ or customers’ data; or acting in a coordinated manner or conducting coordinated attacks. For example, as previously disclosed in our Form 8-K filed with the Securities and Exchange Commission on January 19, 2024 and amended on March 8, 2024, beginning in late November 2023, a nation-state associated threat actor used a password spray attack to compromise a legacy test account and, in turn, gain access to Microsoft email accounts. The threat actor used information it obtained to gain unauthorized access to some of our source code repositories and internal systems, and the threat actor could continue to utilize this and other information to attempt to gain access to our systems or otherwise adversely affect our business and results of operations. This incident has and may continue to result in harm to our reputation and customer relationships. Nation-state and state-sponsored actors can sustain malicious activities for extended periods and deploy significant resources to plan and carry out attacks. Nation-state attacks against us, our customers, or our partners have and may continue to intensify due to our transparency to our customers, other stakeholders, and the public about cyberattacks, and during elections or periods of intense diplomatic or armed conflict. Challenges or failures in applying security patches to all hardware and devices connected to our systems, including end-of-life and end-of-support equipment, have and may continue to result in unauthorized access to our systems and data in the future. Cyber incidents and attacks, individually or in the aggregate, could adversely affect our financial condition, results of operations, competitive position, and reputation, or expose us to legal or regulatory risk.</w:t>
      </w:r>
    </w:p>
    <w:p>
      <w:pPr>
        <w:pStyle w:val="TextBody"/>
        <w:bidi w:val="0"/>
        <w:spacing w:before="180" w:after="283"/>
        <w:jc w:val="both"/>
        <w:rPr>
          <w:rFonts w:ascii="Arial" w:hAnsi="Arial"/>
          <w:color w:val="000000"/>
          <w:sz w:val="20"/>
        </w:rPr>
      </w:pPr>
      <w:r>
        <w:rPr>
          <w:rFonts w:ascii="Arial" w:hAnsi="Arial"/>
          <w:color w:val="000000"/>
          <w:sz w:val="20"/>
        </w:rPr>
        <w:t>Inadequate account security or organizational security practices, including those of companies we have acquired or those of the third parties we utilize, have resulted and may result in unauthorized access to our systems and data, including customer systems and data. For example, passwords may not be rotated and employee access may not be updated or removed on a timely basis. Employees or third parties may intentionally compromise our or our users’ security or systems or reveal confidential information, and laws in foreign jurisdictions may compel actions by such parties against our interests and could limit our recourse. Malicious actors may employ the supply chain to introduce malware through software updates or compromised supplier accounts or hardware.</w:t>
      </w:r>
    </w:p>
    <w:p>
      <w:pPr>
        <w:pStyle w:val="TextBody"/>
        <w:bidi w:val="0"/>
        <w:spacing w:before="180" w:after="283"/>
        <w:jc w:val="both"/>
        <w:rPr>
          <w:rFonts w:ascii="Arial" w:hAnsi="Arial"/>
          <w:color w:val="000000"/>
          <w:sz w:val="20"/>
        </w:rPr>
      </w:pPr>
      <w:r>
        <w:rPr>
          <w:rFonts w:ascii="Arial" w:hAnsi="Arial"/>
          <w:color w:val="000000"/>
          <w:sz w:val="20"/>
        </w:rPr>
        <w:t>Cyberthreats are constantly evolving and becoming increasingly sophisticated and complex, increasing the difficulty of detecting and successfully defending against them. Threat actors may also utilize emerging technologies, such as AI and machine learning. Our current capabilities may not detect certain vulnerabilities or new attack methods, which may allow them to persist in the environment over long periods of time. It may be difficult to determine the best way to investigate, mitigate, contain, and remediate the harm caused by a cyber incident. Such efforts may not be successful, and we may make errors or fail to take necessary actions. It is possible that threat actors may gain undetected access to other networks and systems after establishing a foothold on an internal system. Cyber incidents and attacks can have cascading impacts that unfold with increasing speed across our internal networks and systems, as well as those of our partners and customers. In addition, it may take considerable time for us to investigate and evaluate the full impact of incidents, particularly for sophisticated attacks. As a result of these and other factors, we may not be able to provide prompt, full, and reliable information about the incident to our customers, partners, regulators, and the public. Breaches of our facilities, network, or data security can disrupt the security of our systems and business applications, impair our ability to provide services to our customers and protect the privacy of their data, result in product development delays, compromise confidential or technical business information, result in theft or misuse of our intellectual property or other assets, subject us to ransomware attacks, require us to allocate more resources to improve technologies or remediate the impacts of attacks, or otherwise adversely affect our business. In addition, actions taken to remediate an incident could result in outages, data losses, and disruptions of our services.</w:t>
      </w:r>
    </w:p>
    <w:p>
      <w:pPr>
        <w:pStyle w:val="TextBody"/>
        <w:bidi w:val="0"/>
        <w:spacing w:before="240" w:after="283"/>
        <w:jc w:val="center"/>
        <w:rPr>
          <w:rFonts w:ascii="Arial" w:hAnsi="Arial"/>
          <w:color w:val="000000"/>
          <w:sz w:val="16"/>
        </w:rPr>
      </w:pPr>
      <w:r>
        <w:rPr>
          <w:rFonts w:ascii="Arial" w:hAnsi="Arial"/>
          <w:color w:val="000000"/>
          <w:sz w:val="16"/>
        </w:rPr>
        <w:t>46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Our internal environment continues to evolve. Often, we are early adopters of new devices and technologies. We embrace new ways of sharing data and communicating internally and with partners and customers using methods such as social networking and other consumer-oriented technologies. Increasing use of generative AI models in our internal or third-party systems may create new attack surfaces or methods for adversaries. Our business policies and internal security controls may not keep pace with these changes as new threats emerge or the emerging cybersecurity regulations in jurisdictions worldwide.</w:t>
      </w:r>
    </w:p>
    <w:p>
      <w:pPr>
        <w:pStyle w:val="TextBody"/>
        <w:bidi w:val="0"/>
        <w:spacing w:before="270" w:after="283"/>
        <w:jc w:val="both"/>
        <w:rPr>
          <w:rFonts w:ascii="Arial" w:hAnsi="Arial"/>
          <w:b/>
          <w:i/>
          <w:color w:val="000000"/>
          <w:sz w:val="20"/>
        </w:rPr>
      </w:pPr>
      <w:r>
        <w:rPr>
          <w:rFonts w:ascii="Arial" w:hAnsi="Arial"/>
          <w:b/>
          <w:i/>
          <w:color w:val="000000"/>
          <w:sz w:val="20"/>
        </w:rPr>
        <w:t>Security of our products, services, devices, and customers’ data</w:t>
      </w:r>
    </w:p>
    <w:p>
      <w:pPr>
        <w:pStyle w:val="TextBody"/>
        <w:bidi w:val="0"/>
        <w:spacing w:before="180" w:after="283"/>
        <w:jc w:val="both"/>
        <w:rPr>
          <w:rFonts w:ascii="Arial" w:hAnsi="Arial"/>
          <w:color w:val="000000"/>
          <w:sz w:val="20"/>
        </w:rPr>
      </w:pPr>
      <w:r>
        <w:rPr>
          <w:rFonts w:ascii="Arial" w:hAnsi="Arial"/>
          <w:color w:val="000000"/>
          <w:sz w:val="20"/>
        </w:rPr>
        <w:t>The security of our products and services is important in our customers’ decisions to purchase or use our products or services across cloud and on-premises environments. Security threats are a significant challenge to companies like us, whose business is providing technology products and services to others. Threats to or attacks on our own infrastructure, such as the nation-state attack described in the prior risk factor, have also affected our customers and may do so in the future. The reliability of our cloud-based services and the protection of customer data depend on the security of our infrastructure, which includes hardware, software, and other elements provided by third parties. Adversaries tend to focus their efforts on the most popular operating systems, programs, and services, including many of ours, as well as customers with sensitive data, and we expect that to continue. In addition, adversaries can attack our customers’ on-premises or cloud environments, sometimes exploiting previously unknown (“zero-day”) vulnerabilities. Product vulnerabilities can persist even after we have issued security patches if customers have not installed the most recent updates, or if the attackers exploited the vulnerabilities before patching to install additional malware to further compromise customers’ systems. Adversaries will continue to attack customers using our cloud services as customers embrace digital transformation. Adversaries that acquire user account information can use that information to compromise our users’ accounts, including where accounts share the same attributes such as passwords. Inadequate account security practices may also result in unauthorized access, and user activity may result in ransomware or other malicious software impacting a customer’s use of our products or services. Weaknesses in our development processes can result in vulnerabilities in our products. Open-source software can also contain vulnerabilities that may make our products susceptible to cyberattacks as we increasingly incorporate open-source software into our products. Additionally, features that rely on generative AI can be susceptible to security threats.</w:t>
      </w:r>
    </w:p>
    <w:p>
      <w:pPr>
        <w:pStyle w:val="TextBody"/>
        <w:bidi w:val="0"/>
        <w:spacing w:before="180" w:after="283"/>
        <w:jc w:val="both"/>
        <w:rPr>
          <w:rFonts w:ascii="Arial" w:hAnsi="Arial"/>
          <w:color w:val="000000"/>
          <w:sz w:val="20"/>
        </w:rPr>
      </w:pPr>
      <w:r>
        <w:rPr>
          <w:rFonts w:ascii="Arial" w:hAnsi="Arial"/>
          <w:color w:val="000000"/>
          <w:sz w:val="20"/>
        </w:rPr>
        <w:t>Our customers operate complex systems with third-party hardware and software from multiple vendors that may include systems acquired over many years. They expect our products and services to support all these systems and products, including those that no longer incorporate the strongest current security advances or standards. As a result, we may not be able to discontinue support of our services for a product, service, standard, or feature solely because a more secure alternative is available. Failure to utilize the most current security advances and standards can increase our customers’ vulnerability to attack. Further, customers of widely varied sizes and technical sophistication use our technology, and consequently may still have limited capabilities and resources to help them adopt and implement state-of-the-art cybersecurity practices and technologies. In addition, we must account for this wide variation of technical sophistication when defining default settings for our products and services, including security default settings, as these settings may limit or otherwise impact other aspects of operations and some customers may have limited capability to review and reset these defaults.</w:t>
      </w:r>
    </w:p>
    <w:p>
      <w:pPr>
        <w:pStyle w:val="TextBody"/>
        <w:bidi w:val="0"/>
        <w:spacing w:before="180" w:after="283"/>
        <w:jc w:val="both"/>
        <w:rPr>
          <w:rFonts w:ascii="Arial" w:hAnsi="Arial"/>
          <w:color w:val="000000"/>
          <w:sz w:val="20"/>
        </w:rPr>
      </w:pPr>
      <w:r>
        <w:rPr>
          <w:rFonts w:ascii="Arial" w:hAnsi="Arial"/>
          <w:color w:val="000000"/>
          <w:sz w:val="20"/>
        </w:rPr>
        <w:t>Cyberattacks could adversely impact our customers even if our production services are not directly compromised. We are committed to notifying our customers whose systems have been impacted as we become aware and have actionable information for customers to help protect themselves. We are also committed to providing guidance and support on detection, tracking, and remediation. We may not be able to detect the existence or extent of these attacks for all of our customers or have information on how to detect or track an attack, especially where an attack involves on-premises software such as Exchange Server where we may have no or limited visibility into our customers’ computing environments.</w:t>
      </w:r>
    </w:p>
    <w:p>
      <w:pPr>
        <w:pStyle w:val="TextBody"/>
        <w:bidi w:val="0"/>
        <w:spacing w:before="180" w:after="283"/>
        <w:jc w:val="both"/>
        <w:rPr>
          <w:rFonts w:ascii="Arial" w:hAnsi="Arial"/>
          <w:color w:val="000000"/>
          <w:sz w:val="20"/>
        </w:rPr>
      </w:pPr>
      <w:r>
        <w:rPr>
          <w:rFonts w:ascii="Arial" w:hAnsi="Arial"/>
          <w:color w:val="000000"/>
          <w:sz w:val="20"/>
        </w:rPr>
        <w:t>Any of the foregoing events could result in reputational harm, loss of revenue, increased costs, or otherwise adversely affect our business, financial condition, and results of operations.</w:t>
      </w:r>
    </w:p>
    <w:p>
      <w:pPr>
        <w:pStyle w:val="TextBody"/>
        <w:bidi w:val="0"/>
        <w:spacing w:before="240" w:after="283"/>
        <w:jc w:val="center"/>
        <w:rPr>
          <w:rFonts w:ascii="Arial" w:hAnsi="Arial"/>
          <w:color w:val="000000"/>
          <w:sz w:val="16"/>
        </w:rPr>
      </w:pPr>
      <w:r>
        <w:rPr>
          <w:rFonts w:ascii="Arial" w:hAnsi="Arial"/>
          <w:color w:val="000000"/>
          <w:sz w:val="16"/>
        </w:rPr>
        <w:t>47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270" w:after="283"/>
        <w:jc w:val="both"/>
        <w:rPr>
          <w:rFonts w:ascii="Arial" w:hAnsi="Arial"/>
          <w:b/>
          <w:i/>
          <w:color w:val="000000"/>
          <w:sz w:val="20"/>
        </w:rPr>
      </w:pPr>
      <w:r>
        <w:rPr>
          <w:rFonts w:ascii="Arial" w:hAnsi="Arial"/>
          <w:b/>
          <w:i/>
          <w:color w:val="000000"/>
          <w:sz w:val="20"/>
        </w:rPr>
        <w:t>Development and deployment of defensive measures</w:t>
      </w:r>
    </w:p>
    <w:p>
      <w:pPr>
        <w:pStyle w:val="TextBody"/>
        <w:bidi w:val="0"/>
        <w:spacing w:before="180" w:after="283"/>
        <w:jc w:val="both"/>
        <w:rPr>
          <w:rFonts w:ascii="Arial" w:hAnsi="Arial"/>
          <w:color w:val="000000"/>
          <w:sz w:val="20"/>
        </w:rPr>
      </w:pPr>
      <w:r>
        <w:rPr>
          <w:rFonts w:ascii="Arial" w:hAnsi="Arial"/>
          <w:color w:val="000000"/>
          <w:sz w:val="20"/>
        </w:rPr>
        <w:t>To defend against security threats to our internal infrastructure, our cloud-based services, and our customers’ systems, we must take a complex and multifaceted approach. This includes continuously engineering more secure products and services, and enhancing security, threat detection, and reliability features. We must also escalate and improve our development processes and the deployment of software updates to address security vulnerabilities in our own products as well as those provided by others in a timely manner. In addition, we must develop mitigation technologies that help to secure customers from attacks even when software updates are not deployed, and maintain the digital security infrastructure that protects the integrity of our network, products, and services. Further, we must provide security tools such as firewalls, anti-virus software, and advanced security and information about the need to deploy security measures and the impact of doing so.</w:t>
      </w:r>
    </w:p>
    <w:p>
      <w:pPr>
        <w:pStyle w:val="TextBody"/>
        <w:bidi w:val="0"/>
        <w:spacing w:before="180" w:after="283"/>
        <w:jc w:val="both"/>
        <w:rPr>
          <w:rFonts w:ascii="Arial" w:hAnsi="Arial"/>
          <w:color w:val="000000"/>
          <w:sz w:val="20"/>
        </w:rPr>
      </w:pPr>
      <w:r>
        <w:rPr>
          <w:rFonts w:ascii="Arial" w:hAnsi="Arial"/>
          <w:color w:val="000000"/>
          <w:sz w:val="20"/>
        </w:rPr>
        <w:t>The cost of these measures to protect products and customer-facing services could reduce our operating margins. If we fail to do these things well, actual or perceived security vulnerabilities in our processes, products, and services, data corruption issues, or reduced performance could harm our reputation and lead customers to exercise contractual or other remedies against us, reduce or delay future purchases of products or subscriptions to services, or to use competing products or services. Customers and third parties granted access to customer systems may fail to update their systems, continue to run software or operating systems we no longer support, may fail to timely install or enable security patches, or may otherwise fail to adopt adequate security practices. Customers may also spend more on protecting their existing computer systems from attack, which could delay adoption of additional products or services. Customers in certain industries such as financial services, health care, and government have enhanced or specialized expectations and requirements to which we must develop and engineer our products and services. Any of these could adversely affect our reputation and results of operations.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pStyle w:val="TextBody"/>
        <w:bidi w:val="0"/>
        <w:spacing w:before="180" w:after="283"/>
        <w:jc w:val="both"/>
        <w:rPr>
          <w:rFonts w:ascii="Arial" w:hAnsi="Arial"/>
          <w:color w:val="000000"/>
          <w:sz w:val="20"/>
        </w:rPr>
      </w:pPr>
      <w:r>
        <w:rPr>
          <w:rFonts w:ascii="Arial" w:hAnsi="Arial"/>
          <w:color w:val="000000"/>
          <w:sz w:val="20"/>
        </w:rPr>
        <w:t>Our products operate in conjunction with and are dependent on products and components across a broad ecosystem of third parties. If there is a security vulnerability in one of these components, and if there is a security exploit targeting it, we could experience adverse impacts to our results of operations, reputation, or competitive position.</w:t>
      </w:r>
    </w:p>
    <w:p>
      <w:pPr>
        <w:pStyle w:val="TextBody"/>
        <w:bidi w:val="0"/>
        <w:spacing w:before="180" w:after="283"/>
        <w:jc w:val="both"/>
        <w:rPr>
          <w:rFonts w:ascii="Times New Roman" w:hAnsi="Times New Roman"/>
          <w:sz w:val="20"/>
        </w:rPr>
      </w:pPr>
      <w:r>
        <w:rPr>
          <w:rFonts w:ascii="Arial" w:hAnsi="Arial"/>
          <w:b/>
          <w:color w:val="000000"/>
          <w:sz w:val="20"/>
        </w:rPr>
        <w:t>Disclosure and misuse of personal data could result in liability and harm our reputation.</w:t>
      </w:r>
      <w:r>
        <w:rPr>
          <w:rFonts w:ascii="Times New Roman" w:hAnsi="Times New Roman"/>
          <w:color w:val="000000"/>
          <w:sz w:val="20"/>
        </w:rPr>
        <w:t xml:space="preserve"> </w:t>
      </w:r>
      <w:r>
        <w:rPr>
          <w:rFonts w:ascii="Arial" w:hAnsi="Arial"/>
          <w:color w:val="000000"/>
          <w:sz w:val="20"/>
        </w:rPr>
        <w:t>As we continue to grow the number, breadth, and scale of our cloud-based offerings, we store and process increasingly large amounts of personal data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Relatedly, despite our efforts to continuously improve security controls, it is possible that we may fail to identify or mitigate insider threat activities that could lead to the misuse of our systems or customer and user data.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take to address customer or user concerns, or constraints on our flexibility to determine where and how to operate datacenters in response to customer or user expectations or governmental rules or actions, may increase costs or hinder sales of our products and services.</w:t>
      </w:r>
    </w:p>
    <w:p>
      <w:pPr>
        <w:pStyle w:val="TextBody"/>
        <w:bidi w:val="0"/>
        <w:spacing w:before="180" w:after="283"/>
        <w:jc w:val="both"/>
        <w:rPr>
          <w:rFonts w:ascii="Times New Roman" w:hAnsi="Times New Roman"/>
          <w:sz w:val="20"/>
        </w:rPr>
      </w:pPr>
      <w:r>
        <w:rPr>
          <w:rFonts w:ascii="Arial" w:hAnsi="Arial"/>
          <w:b/>
          <w:color w:val="000000"/>
          <w:sz w:val="20"/>
        </w:rPr>
        <w:t>We may not be able to protect information in our products and services from use by others.</w:t>
      </w:r>
      <w:r>
        <w:rPr>
          <w:rFonts w:ascii="Times New Roman" w:hAnsi="Times New Roman"/>
          <w:color w:val="000000"/>
          <w:sz w:val="20"/>
        </w:rPr>
        <w:t xml:space="preserve"> </w:t>
      </w:r>
      <w:r>
        <w:rPr>
          <w:rFonts w:ascii="Arial" w:hAnsi="Arial"/>
          <w:color w:val="000000"/>
          <w:sz w:val="20"/>
        </w:rPr>
        <w:t>LinkedIn and other Microsoft products and 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which could adversely affect our business, financial condition, and results of operations.</w:t>
      </w:r>
    </w:p>
    <w:p>
      <w:pPr>
        <w:pStyle w:val="TextBody"/>
        <w:bidi w:val="0"/>
        <w:spacing w:before="240" w:after="283"/>
        <w:jc w:val="center"/>
        <w:rPr>
          <w:rFonts w:ascii="Arial" w:hAnsi="Arial"/>
          <w:color w:val="000000"/>
          <w:sz w:val="16"/>
        </w:rPr>
      </w:pPr>
      <w:r>
        <w:rPr>
          <w:rFonts w:ascii="Arial" w:hAnsi="Arial"/>
          <w:color w:val="000000"/>
          <w:sz w:val="16"/>
        </w:rPr>
        <w:t>48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Abuse of our platforms may harm our reputation or user engagement.</w:t>
      </w:r>
    </w:p>
    <w:p>
      <w:pPr>
        <w:pStyle w:val="TextBody"/>
        <w:bidi w:val="0"/>
        <w:spacing w:before="180" w:after="283"/>
        <w:jc w:val="both"/>
        <w:rPr>
          <w:rFonts w:ascii="Arial" w:hAnsi="Arial"/>
          <w:b/>
          <w:i/>
          <w:color w:val="000000"/>
          <w:sz w:val="20"/>
        </w:rPr>
      </w:pPr>
      <w:r>
        <w:rPr>
          <w:rFonts w:ascii="Arial" w:hAnsi="Arial"/>
          <w:b/>
          <w:i/>
          <w:color w:val="000000"/>
          <w:sz w:val="20"/>
        </w:rPr>
        <w:t>Advertising, professional, marketplace, and gaming platform abuses</w:t>
      </w:r>
    </w:p>
    <w:p>
      <w:pPr>
        <w:pStyle w:val="TextBody"/>
        <w:bidi w:val="0"/>
        <w:spacing w:before="180" w:after="283"/>
        <w:jc w:val="both"/>
        <w:rPr>
          <w:rFonts w:ascii="Arial" w:hAnsi="Arial"/>
          <w:color w:val="000000"/>
          <w:sz w:val="20"/>
        </w:rPr>
      </w:pPr>
      <w:r>
        <w:rPr>
          <w:rFonts w:ascii="Arial" w:hAnsi="Arial"/>
          <w:color w:val="000000"/>
          <w:sz w:val="20"/>
        </w:rPr>
        <w:t>For platform products and services that provide content or host ads that come from or can be influenced by third parties, our reputation or user engagement may be negatively affected by activity that is hostile or inappropriate. This activity may come from users impersonating other people or organizations, including through the use of AI technologies, dissemination of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financial condition, and results of operations.</w:t>
      </w:r>
    </w:p>
    <w:p>
      <w:pPr>
        <w:pStyle w:val="TextBody"/>
        <w:bidi w:val="0"/>
        <w:spacing w:before="270" w:after="283"/>
        <w:jc w:val="both"/>
        <w:rPr>
          <w:rFonts w:ascii="Arial" w:hAnsi="Arial"/>
          <w:b/>
          <w:i/>
          <w:color w:val="000000"/>
          <w:sz w:val="20"/>
        </w:rPr>
      </w:pPr>
      <w:r>
        <w:rPr>
          <w:rFonts w:ascii="Arial" w:hAnsi="Arial"/>
          <w:b/>
          <w:i/>
          <w:color w:val="000000"/>
          <w:sz w:val="20"/>
        </w:rPr>
        <w:t>Other digital safety abuses</w:t>
      </w:r>
    </w:p>
    <w:p>
      <w:pPr>
        <w:pStyle w:val="TextBody"/>
        <w:bidi w:val="0"/>
        <w:spacing w:before="180" w:after="283"/>
        <w:jc w:val="both"/>
        <w:rPr>
          <w:rFonts w:ascii="Arial" w:hAnsi="Arial"/>
          <w:color w:val="000000"/>
          <w:sz w:val="20"/>
        </w:rPr>
      </w:pPr>
      <w:r>
        <w:rPr>
          <w:rFonts w:ascii="Arial" w:hAnsi="Arial"/>
          <w:color w:val="000000"/>
          <w:sz w:val="20"/>
        </w:rPr>
        <w:t>Our consumer services as well as our enterprise services may be used to find, generate, store, or disseminate harmful or illegal content in violation of our terms or applicable law. We may not proactively discover such content due to scale, the limitations of existing technologies, and conflicting legal frameworks. When discovered by users and others, such content may negatively affect our reputation, our brands, and user engagement. Regulations and other initiatives have been enacted to make platforms responsible for preventing or eliminating harmful content online. At the same time, regulations and other initiatives regarding freedom of expression may conflict with such content moderation regulations. Further, duties to address risks to children are driving new obligations for age verification and parental controls across the online ecosystem, including within app stores and operating systems. The legal and regulatory environment in this area is complex and continues to evolve across multiple jurisdictions. As a result, there is considerable uncertainty regarding both current and future compliance obligations. Failure to comply with content requirements may subject us to enhanced regulatory oversight, civil or criminal liability, or reputational damage, which could adversely affect our business, financial condition, and results of operations.</w:t>
      </w:r>
    </w:p>
    <w:p>
      <w:pPr>
        <w:pStyle w:val="TextBody"/>
        <w:bidi w:val="0"/>
        <w:spacing w:before="180" w:after="283"/>
        <w:jc w:val="both"/>
        <w:rPr>
          <w:rFonts w:ascii="Times New Roman" w:hAnsi="Times New Roman"/>
          <w:sz w:val="20"/>
        </w:rPr>
      </w:pPr>
      <w:r>
        <w:rPr>
          <w:rFonts w:ascii="Arial" w:hAnsi="Arial"/>
          <w:b/>
          <w:color w:val="000000"/>
          <w:sz w:val="20"/>
        </w:rPr>
        <w:t>Our products and services, how they are used by customers, and how third-party products and services interact with them, may present security, privacy, and execution risks.</w:t>
      </w:r>
      <w:r>
        <w:rPr>
          <w:rFonts w:ascii="Times New Roman" w:hAnsi="Times New Roman"/>
          <w:color w:val="000000"/>
          <w:sz w:val="20"/>
        </w:rPr>
        <w:t xml:space="preserve"> </w:t>
      </w:r>
      <w:r>
        <w:rPr>
          <w:rFonts w:ascii="Arial" w:hAnsi="Arial"/>
          <w:color w:val="000000"/>
          <w:sz w:val="20"/>
        </w:rPr>
        <w:t>Our products and services may contain defects in design, manufacture, or operation that make them insecure or ineffective for their intended purposes. For example, customers control our products and services, including our AI products, within their environments, and may deploy them in high-risk scenarios or utilize them inappropriately. Our products may also collect large amounts of data in manners which may not satisfy customers or regulatory requirements. Our customers also operate complex systems with third-party hardware and software from multiple vendors whose products or personnel may take or fail to take actions which impact the reliability or security of our products and services. If our products and services do not work as intended, are utilized in methods not intended, violate the law, or harm individuals or businesses, we may be subject to legal claims or enforcement actions. These risks, if realized, may increase our costs, damage our reputation, or adversely affect our results of operations.</w:t>
      </w:r>
    </w:p>
    <w:p>
      <w:pPr>
        <w:pStyle w:val="TextBody"/>
        <w:bidi w:val="0"/>
        <w:spacing w:before="240" w:after="283"/>
        <w:jc w:val="center"/>
        <w:rPr>
          <w:rFonts w:ascii="Arial" w:hAnsi="Arial"/>
          <w:color w:val="000000"/>
          <w:sz w:val="16"/>
        </w:rPr>
      </w:pPr>
      <w:r>
        <w:rPr>
          <w:rFonts w:ascii="Arial" w:hAnsi="Arial"/>
          <w:color w:val="000000"/>
          <w:sz w:val="16"/>
        </w:rPr>
        <w:t>49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Issues in the development, deployment, and use of AI may result in reputational or competitive harm or liability.</w:t>
      </w:r>
      <w:r>
        <w:rPr>
          <w:rFonts w:ascii="Times New Roman" w:hAnsi="Times New Roman"/>
          <w:color w:val="000000"/>
          <w:sz w:val="20"/>
        </w:rPr>
        <w:t xml:space="preserve"> </w:t>
      </w:r>
      <w:r>
        <w:rPr>
          <w:rFonts w:ascii="Arial" w:hAnsi="Arial"/>
          <w:color w:val="000000"/>
          <w:sz w:val="20"/>
        </w:rPr>
        <w:t>We are building AI into many of our offerings, including our productivity services, and we are also making AI available for our customers to use in solutions that they build. This AI may be developed by Microsoft or others, including our strategic partner, OpenAI. We expect these elements of our business to grow. We envision a future in which AI operating in devices, applications, and the cloud helps our customers be more productive in their work and personal lives. As with many innovations, AI presents risks and challenges that could affect its adoption, and therefore our business. AI algorithms or training methodologies may be flawed. Datasets may be overbroad, insufficient, or contain biased or inaccurate information. Content generated by AI systems may be offensive, illegal, inaccurate, or otherwise harmful. Ineffective or inadequate AI development or deployment practices by Microsoft or others could result in incidents that impair the acceptance of AI solutions, cause harm to individuals, customers, or society, or result in our products and services not working as intended. Human review of certain inputs and outputs or other forms of human oversight may be required, including for agentic AI systems that can take actions autonomously. Companion or highly-personalized AI systems may result in over-reliance or dependence by users that is harmful. Our implementation of AI systems could result in legal liability, regulatory action, brand, reputational, or competitive harm, or other adverse impacts. These risks may stem from issues related to intellectual property, data privacy, and other claims associated with AI training, outputs, and system behavior. They are further compounded by the evolving regulatory landscape, with new laws emerging globally, including the European Union (“EU”). Certain AI technologies and use cases present ethical issues or may have broad or uneven impacts on society or vulnerable groups within society. There is also rising divergence globally in how to address these issues and impacts, with the result that we will need to navigate a web of different tensions across geographies. If we enable or offer AI solutions that have unintended consequences, unintended usage or customization by our customers and partners, are contrary to our responsible AI policies and practices, or are otherwise controversial because of the impact on human rights, privacy, employment, or other social, economic, or political issues, our reputation, competitive position, business, financial condition, and results of operations could be adversely affected.</w:t>
      </w:r>
    </w:p>
    <w:p>
      <w:pPr>
        <w:pStyle w:val="TextBody"/>
        <w:bidi w:val="0"/>
        <w:spacing w:before="270" w:after="283"/>
        <w:jc w:val="center"/>
        <w:rPr>
          <w:rFonts w:ascii="Arial" w:hAnsi="Arial"/>
          <w:color w:val="000000"/>
          <w:sz w:val="20"/>
          <w:u w:val="single"/>
        </w:rPr>
      </w:pPr>
      <w:r>
        <w:rPr>
          <w:rFonts w:ascii="Arial" w:hAnsi="Arial"/>
          <w:color w:val="000000"/>
          <w:sz w:val="20"/>
          <w:u w:val="single"/>
        </w:rPr>
        <w:t>OPERATIONAL RISKS</w:t>
      </w:r>
    </w:p>
    <w:p>
      <w:pPr>
        <w:pStyle w:val="TextBody"/>
        <w:bidi w:val="0"/>
        <w:spacing w:before="180" w:after="283"/>
        <w:jc w:val="both"/>
        <w:rPr>
          <w:rFonts w:ascii="Times New Roman" w:hAnsi="Times New Roman"/>
          <w:sz w:val="20"/>
        </w:rPr>
      </w:pPr>
      <w:r>
        <w:rPr>
          <w:rFonts w:ascii="Arial" w:hAnsi="Arial"/>
          <w:b/>
          <w:color w:val="000000"/>
          <w:sz w:val="20"/>
        </w:rPr>
        <w:t>We may have excessive outages, data losses, and disruptions of our online services if we fail to maintain an adequate operations infrastructure.</w:t>
      </w:r>
      <w:r>
        <w:rPr>
          <w:rFonts w:ascii="Times New Roman" w:hAnsi="Times New Roman"/>
          <w:color w:val="000000"/>
          <w:sz w:val="20"/>
        </w:rPr>
        <w:t xml:space="preserve"> </w:t>
      </w:r>
      <w:r>
        <w:rPr>
          <w:rFonts w:ascii="Arial" w:hAnsi="Arial"/>
          <w:color w:val="000000"/>
          <w:sz w:val="20"/>
        </w:rPr>
        <w:t>Our increasing user traffic, growth in services, and the complexity of our products and services demand more computing power. We spend substantial amounts to build, purchase, or lease datacenters and equipment and to upgrade our technology and network infrastructure to handle more traffic on our websites and in our datacenters. Our datacenters depend on the availability of permitted and buildable land, predictable energy, networking supplies, and servers, including graphics processing units and other components. The cost or availability of these dependencies could be adversely affected by a variety of factors, including the transition to a clean energy economy, local and regional environmental regulations, and geopolitical disruptions. These demands continue to increase as we introduce new products and services and support the growth and the augmentation of existing services, including through the incorporation of AI features and/or functionality. We are rapidly growing our business of providing a platform and back-end hosting for services provided by third parties to their end users. Maintaining, securing, and expanding this infrastructure is expensive and complex, and requires development of principles for datacenter builds in geographies with higher safety and reliability risks. It requires that we maintain an Internet connectivity infrastructure and storage and compute capacity that is robust and reliable within competitive and regulatory constraints that continue to evolve. We also face community opposition, local moratoriums, and hyper-local dissent that may impede or delay infrastructure development. Inefficiencies or operational failures, including temporary or permanent loss of customer data, outages, insufficient Internet connectivity, insufficient or unavailable power or water supply, or inadequate storage and compute capacity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could adversely affect our business, operations, financial condition, and results of operations.</w:t>
      </w:r>
    </w:p>
    <w:p>
      <w:pPr>
        <w:pStyle w:val="TextBody"/>
        <w:bidi w:val="0"/>
        <w:spacing w:before="240" w:after="283"/>
        <w:jc w:val="center"/>
        <w:rPr>
          <w:rFonts w:ascii="Arial" w:hAnsi="Arial"/>
          <w:color w:val="000000"/>
          <w:sz w:val="16"/>
        </w:rPr>
      </w:pPr>
      <w:r>
        <w:rPr>
          <w:rFonts w:ascii="Arial" w:hAnsi="Arial"/>
          <w:color w:val="000000"/>
          <w:sz w:val="16"/>
        </w:rPr>
        <w:t>50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We may experience supply or quality problems.</w:t>
      </w:r>
      <w:r>
        <w:rPr>
          <w:rFonts w:ascii="Times New Roman" w:hAnsi="Times New Roman"/>
          <w:color w:val="000000"/>
          <w:sz w:val="20"/>
        </w:rPr>
        <w:t xml:space="preserve"> </w:t>
      </w:r>
      <w:r>
        <w:rPr>
          <w:rFonts w:ascii="Arial" w:hAnsi="Arial"/>
          <w:color w:val="000000"/>
          <w:sz w:val="20"/>
        </w:rPr>
        <w:t>There are limited suppliers for certain device and datacenter components. We continue to identify and evaluate opportunities to expand our datacenter locations and increase our server capacity to meet the evolving needs of our customers, particularly given the growing demand for AI services. Capacity available to us may be affected as competitors use some of the same suppliers and materials for hardware components. If components are delayed or become unavailable, whether because of supplier capacity constraint, industry shortages, legal or regulatory changes that restrict supply sources, or other reasons, we may not obtain timely replacement supplies, resulting in reduced sales or inadequate datacenter capacity to support the delivery and continued development of our products and services. Component shortages, excess or obsolete inventory, or price reductions resulting in inventory adjustments may increase our cost of revenue. Datacenter servers, Xbox consoles, Surface devices, and other hardware are assembled in Asia and other geographies that may be subject to disruptions in the supply chain, resulting in shortages which could adversely affect our business, operations, financial condition, and results of operations.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software products and services also have and may in the future experience quality or reliability problems. The processes we use to develop our software are imperfect. Like all software, our software contains bugs and other defects that interfere with their intended operation. Our customers increasingly rely on us for critical business functions and multiple workloads. Many of our products and services are interdependent on one another. Our products and services may be impacted by interaction with third-party products and services. Our customers may also utilize their own or third-party products and services whose reliability is dependent on interaction with our products and services. Each of these circumstances potentially magnifies the impact of quality or reliability issues. Weaknesses in our processes could result in defects we do not detect and fix in pre-release testing, which could cause reduced sales, damage to our reputation, repair or remediation costs, delays in the release of new products or versions, or legal liability, and could adversely affect our business, financial condition, and results of operations. Although our license agreements typically contain provisions that eliminate or limit our exposure to liability, there is no assurance these provisions will withstand legal challenge.</w:t>
      </w:r>
    </w:p>
    <w:p>
      <w:pPr>
        <w:pStyle w:val="TextBody"/>
        <w:bidi w:val="0"/>
        <w:spacing w:before="180" w:after="283"/>
        <w:jc w:val="both"/>
        <w:rPr>
          <w:rFonts w:ascii="Times New Roman" w:hAnsi="Times New Roman"/>
          <w:sz w:val="20"/>
        </w:rPr>
      </w:pPr>
      <w:r>
        <w:rPr>
          <w:rFonts w:ascii="Arial" w:hAnsi="Arial"/>
          <w:color w:val="000000"/>
          <w:sz w:val="20"/>
        </w:rPr>
        <w:t>Our hardware products such as Xbox consoles, Surface devices, and other devices we design and market are highly complex. Failure to prevent, detect, or address defects in design, manufacture, or associated software could result in recalls, safety alerts, or product liability claims, which could adversely affect our business and results of operations.</w:t>
      </w:r>
      <w:r>
        <w:rPr>
          <w:rFonts w:ascii="Times New Roman" w:hAnsi="Times New Roman"/>
          <w:color w:val="000000"/>
          <w:sz w:val="20"/>
        </w:rPr>
        <w:t xml:space="preserve"> </w:t>
      </w:r>
    </w:p>
    <w:p>
      <w:pPr>
        <w:pStyle w:val="TextBody"/>
        <w:bidi w:val="0"/>
        <w:spacing w:before="270" w:after="283"/>
        <w:jc w:val="center"/>
        <w:rPr>
          <w:rFonts w:ascii="Arial" w:hAnsi="Arial"/>
          <w:color w:val="000000"/>
          <w:sz w:val="20"/>
          <w:u w:val="single"/>
        </w:rPr>
      </w:pPr>
      <w:r>
        <w:rPr>
          <w:rFonts w:ascii="Arial" w:hAnsi="Arial"/>
          <w:color w:val="000000"/>
          <w:sz w:val="20"/>
          <w:u w:val="single"/>
        </w:rPr>
        <w:t>LEGAL, REGULATORY, AND LITIGATION RISKS</w:t>
      </w:r>
    </w:p>
    <w:p>
      <w:pPr>
        <w:pStyle w:val="TextBody"/>
        <w:bidi w:val="0"/>
        <w:spacing w:before="180" w:after="283"/>
        <w:jc w:val="both"/>
        <w:rPr>
          <w:rFonts w:ascii="Times New Roman" w:hAnsi="Times New Roman"/>
          <w:sz w:val="20"/>
        </w:rPr>
      </w:pPr>
      <w:r>
        <w:rPr>
          <w:rFonts w:ascii="Arial" w:hAnsi="Arial"/>
          <w:b/>
          <w:color w:val="000000"/>
          <w:sz w:val="20"/>
        </w:rPr>
        <w:t>We are subject to a variety of new, existing, and evolving legal and regulatory requirements that could adversely affect our results of operations.</w:t>
      </w:r>
      <w:r>
        <w:rPr>
          <w:rFonts w:ascii="Times New Roman" w:hAnsi="Times New Roman"/>
          <w:color w:val="000000"/>
          <w:sz w:val="20"/>
        </w:rPr>
        <w:t xml:space="preserve"> </w:t>
      </w:r>
      <w:r>
        <w:rPr>
          <w:rFonts w:ascii="Arial" w:hAnsi="Arial"/>
          <w:color w:val="000000"/>
          <w:sz w:val="20"/>
        </w:rPr>
        <w:t>We are subject to a wide range of laws, regulations, and legal requirements in the U.S. and globally, including those that may apply to our products and online services offerings, and those that impose requirements related to user privacy, telecommunications, data storage and protection, digital accessibility, advertising, and online safety. Laws in several jurisdictions, including EU Member State laws under the European Electronic Communications Code, increasingly define certain of our services as regulated services. This trend may continue with our offerings becoming subject to additional data protection, security, digital safety, law enforcement surveillance, and other obligations. Regulators and private litigants may assert that our collection, use, and management of customer data and other information is inconsistent with their laws and regulations, including laws that apply to the tracking of users via technology such as cookies. In addition, laws requiring us to retrieve and produce customer data in response to compulsory legal demands from law enforcement and governmental authorities are expanding and the requests we are experiencing are increasing in volume and complexity.</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51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New, existing, and evolving laws and regulations, or interpretations or applications of existing laws and regulations in a manner inconsistent with our interpretations of such laws and regulations or our practices, may result in modification of our products and services, altered business models and operations, increased costs, reputational damage, and civil or criminal liability. Examples include laws and regulations regarding:</w:t>
      </w:r>
      <w:r>
        <w:rPr>
          <w:rFonts w:ascii="Times New Roman" w:hAnsi="Times New Roman"/>
          <w:color w:val="000000"/>
          <w:sz w:val="20"/>
        </w:rPr>
        <w:t xml:space="preserve"> </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b/>
          <w:color w:val="000000"/>
          <w:sz w:val="20"/>
        </w:rPr>
        <w:t>Competition laws and new market regulation:</w:t>
      </w:r>
      <w:r>
        <w:rPr>
          <w:color w:val="000000"/>
        </w:rPr>
        <w:t xml:space="preserve"> </w:t>
      </w:r>
      <w:r>
        <w:rPr>
          <w:rFonts w:ascii="Arial" w:hAnsi="Arial"/>
          <w:color w:val="000000"/>
          <w:sz w:val="20"/>
        </w:rPr>
        <w:t>Government agencies closely scrutinize us under U.S. and foreign competition laws. Governments are actively enforcing competition laws and regulations and enacting new regulations to intervene in digital markets, and this includes markets such as the EU, the United Kingdom, the U.S., and China. Some jurisdictions also allow competitors or consumers to assert claims of anti-competitive conduct. U.S. and foreign antitrust authorities have previously brought enforcement actions and continue to scrutinize our business. Competition law enforcement actions and court decisions along with new market regulations may result in fines or hinder our ability to provide the benefits of our software to consumers and businesses, reducing the attractiveness of our products and the revenue that comes from them. New competition law actions or obligations under market regulation schemes could be initiated, potentially using previous actions as precedent.</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b/>
          <w:color w:val="000000"/>
          <w:sz w:val="20"/>
        </w:rPr>
        <w:t>AI:</w:t>
      </w:r>
      <w:r>
        <w:rPr>
          <w:color w:val="000000"/>
        </w:rPr>
        <w:t xml:space="preserve"> </w:t>
      </w:r>
      <w:r>
        <w:rPr>
          <w:rFonts w:ascii="Arial" w:hAnsi="Arial"/>
          <w:color w:val="000000"/>
          <w:sz w:val="20"/>
        </w:rPr>
        <w:t xml:space="preserve">Legislative and regulatory action is emerging in AI, which could increase costs or restrict opportunity. For example, the EU’s AI Act may increase costs or impact the provision or operation of our AI models and services in the European market. AI regulatory areas include model and system development and deployment, frontier model safety, transparency, and content provenance. </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b/>
          <w:color w:val="000000"/>
          <w:sz w:val="20"/>
        </w:rPr>
        <w:t xml:space="preserve">Anti-corruption: </w:t>
      </w:r>
      <w:r>
        <w:rPr>
          <w:rFonts w:ascii="Arial" w:hAnsi="Arial"/>
          <w:color w:val="000000"/>
          <w:sz w:val="20"/>
        </w:rPr>
        <w:t>The Foreign Corrupt Practices Act (“FCPA”) and other anti-corruption laws and regulations (“Anti-Corruption Laws”) prohibit corrupt 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and our compliance with Anti-Corruption Laws. Periodically, we receive such reports directly and investigate them and also cooperate with investigations by U.S. and foreign law enforcement authorities.</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b/>
          <w:color w:val="000000"/>
          <w:sz w:val="20"/>
        </w:rPr>
        <w:t>Trade:</w:t>
      </w:r>
      <w:r>
        <w:rPr>
          <w:color w:val="000000"/>
        </w:rPr>
        <w:t xml:space="preserve"> </w:t>
      </w:r>
      <w:r>
        <w:rPr>
          <w:rFonts w:ascii="Arial" w:hAnsi="Arial"/>
          <w:color w:val="000000"/>
          <w:sz w:val="20"/>
        </w:rPr>
        <w:t>Increasing trade laws, policies, sanctions, and other regulatory requirements also affect our operations in and outside the U.S. relating to trade and investment. Economic sanctions in the U.S., the EU, and other countries prohibit most business with restricted entities or countries. U.S. export controls restrict Microsoft from offering many of its products and services to, or making investments in, certain entities in specified countries. U.S. import controls restrict us from integrating certain information and communication technologies into our supply chain and allow for government review of transactions involving information and communications technology from countries determined to be foreign adversaries. Supply chain regulations may impact the availability of goods or result in additional regulatory scrutiny. Restrictions on data flows and outbound investment and customer sensitivities may limit our ability to leverage parts of our global engineering footprint to provide services in certain jurisdictions. Increased geopolitical instabilities and changing U.S. Administration priorities create an unpredictable trade landscape. U.S. tariff and shifting AI export controls policies, like the AI Diffusion Rule, could increase operational costs, create uncertainty in the continuity of our products, and accelerate sovereignty initiatives among international partners and customers. The volatility of U.S. tariffs has triggered economic uncertainty and could impact cloud and devices supply chain cost competitiveness. The potential replacement of the recently rescinded AI Diffusion Rule and other potential AI-related rulemakings could adversely affect Microsoft’s business, strategy, and operations. Periods of intense diplomatic or armed conflict like the ongoing conflict in Ukraine and the Israel-Hamas conflict could result in (1) new and rapidly evolving sanctions and trade restrictions, which may impair trade with sanctioned individuals and countries, and (2) negative impacts to regional trade ecosystems among our customers, partners, and us.</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b/>
          <w:color w:val="000000"/>
          <w:sz w:val="20"/>
        </w:rPr>
        <w:t>Cybersecurity:</w:t>
      </w:r>
      <w:r>
        <w:rPr>
          <w:color w:val="000000"/>
        </w:rPr>
        <w:t xml:space="preserve"> </w:t>
      </w:r>
      <w:r>
        <w:rPr>
          <w:rFonts w:ascii="Arial" w:hAnsi="Arial"/>
          <w:color w:val="000000"/>
          <w:sz w:val="20"/>
        </w:rPr>
        <w:t>Legislative and regulatory actions related to cybersecurity may increase the costs associated with developing, implementing, or securing our products and services. The legal and regulatory environment in this area is complex and continues to evolve across multiple jurisdictions. As a result, there is considerable uncertainty regarding both current and future compliance obligations. This uncertainty increases the risk that we may incur additional operational costs, face regulatory enforcement actions, or encounter challenges in the development and deployment of our products.</w:t>
      </w:r>
    </w:p>
    <w:p>
      <w:pPr>
        <w:pStyle w:val="TextBody"/>
        <w:bidi w:val="0"/>
        <w:spacing w:before="240" w:after="283"/>
        <w:jc w:val="center"/>
        <w:rPr>
          <w:rFonts w:ascii="Arial" w:hAnsi="Arial"/>
          <w:color w:val="000000"/>
          <w:sz w:val="16"/>
        </w:rPr>
      </w:pPr>
      <w:r>
        <w:rPr>
          <w:rFonts w:ascii="Arial" w:hAnsi="Arial"/>
          <w:color w:val="000000"/>
          <w:sz w:val="16"/>
        </w:rPr>
        <w:t>52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b/>
          <w:color w:val="000000"/>
          <w:sz w:val="20"/>
        </w:rPr>
        <w:t>Handling of personal data:</w:t>
      </w:r>
      <w:r>
        <w:rPr>
          <w:color w:val="000000"/>
        </w:rPr>
        <w:t xml:space="preserve"> </w:t>
      </w:r>
      <w:r>
        <w:rPr>
          <w:rFonts w:ascii="Arial" w:hAnsi="Arial"/>
          <w:color w:val="000000"/>
          <w:sz w:val="20"/>
        </w:rPr>
        <w:t>Legal requirements relating to the collection, storage, handling, and transfer of personal data globally continue to evolve. The growth of our Internet- and cloud-based services internationally relies on the movement of data across national boundaries. Data protection authorities and governments in the EU and other markets have and may again restrict and/or block the use of services that involve the transfer of data across borders. New and evolving rules and restrictions on the flow of data across borders could increase the cost and complexity of delivering our products and services. In addition, the EU General Data Protection Regulation and other similar regulations impose a range of compliance obligations regarding the handling of personal data. New requirements related to the use of data, including the Data Act, add additional rules and restrictions on the use of data in our products and services.</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b/>
          <w:color w:val="000000"/>
          <w:sz w:val="20"/>
        </w:rPr>
        <w:t>Environmental, Social, and Governance:</w:t>
      </w:r>
      <w:r>
        <w:rPr>
          <w:color w:val="000000"/>
        </w:rPr>
        <w:t xml:space="preserve"> </w:t>
      </w:r>
      <w:r>
        <w:rPr>
          <w:rFonts w:ascii="Arial" w:hAnsi="Arial"/>
          <w:color w:val="000000"/>
          <w:sz w:val="20"/>
        </w:rPr>
        <w:t>Laws, regulations, and policies relating to environmental, social, and governance matters are being developed and formalized in Europe, the U.S., and elsewhere, which may include greenhouse gas emissions and energy usage caps, as well as specific, target-driven environmental, social, and governance frameworks and disclosure requirements. In addition, in 2020 we announced goals to become carbon negative, water positive, and zero waste by 2030. Any failure or perceived failure to meet our sustainability goals, or to meet various sustainability regulatory requirements, could result in claims and lawsuits, regulatory actions, penalties, or damage to our reputation, each of which could adversely affect our business, operations, financial condition, and results of operations.</w:t>
      </w:r>
    </w:p>
    <w:p>
      <w:pPr>
        <w:pStyle w:val="TextBody"/>
        <w:bidi w:val="0"/>
        <w:spacing w:before="180" w:after="283"/>
        <w:jc w:val="both"/>
        <w:rPr>
          <w:rFonts w:ascii="Arial" w:hAnsi="Arial"/>
          <w:color w:val="000000"/>
          <w:sz w:val="20"/>
        </w:rPr>
      </w:pPr>
      <w:r>
        <w:rPr>
          <w:rFonts w:ascii="Arial" w:hAnsi="Arial"/>
          <w:color w:val="000000"/>
          <w:sz w:val="20"/>
        </w:rPr>
        <w:t>How these laws and regulations apply to our business is often unclear, subject to change, and sometimes may be inconsistent from jurisdiction to jurisdiction. In addition, governments’ approach to enforcement, and our products and services, are continuing to evolve. Compliance with existing, expanding, or new laws and regulations may involve significant costs and operational efforts, or require changes in products or business practices that could adversely affect our results of operations. Noncompliance could result in the imposition of penalties, criminal sanctions, or orders to cease the alleged noncompliant activity. If our products do not meet customer expectations or legal requirements, we could face regulatory or legal actions, and our business, operations, financial condition, and results of operations could be adversely affected.</w:t>
      </w:r>
    </w:p>
    <w:p>
      <w:pPr>
        <w:pStyle w:val="TextBody"/>
        <w:bidi w:val="0"/>
        <w:spacing w:before="180" w:after="283"/>
        <w:jc w:val="both"/>
        <w:rPr>
          <w:rFonts w:ascii="Times New Roman" w:hAnsi="Times New Roman"/>
          <w:sz w:val="20"/>
        </w:rPr>
      </w:pPr>
      <w:r>
        <w:rPr>
          <w:rFonts w:ascii="Arial" w:hAnsi="Arial"/>
          <w:b/>
          <w:color w:val="000000"/>
          <w:sz w:val="20"/>
        </w:rPr>
        <w:t>We have claims and lawsuits against us that may result in adverse outcomes.</w:t>
      </w:r>
      <w:r>
        <w:rPr>
          <w:rFonts w:ascii="Times New Roman" w:hAnsi="Times New Roman"/>
          <w:color w:val="000000"/>
          <w:sz w:val="20"/>
        </w:rPr>
        <w:t xml:space="preserve"> </w:t>
      </w:r>
      <w:r>
        <w:rPr>
          <w:rFonts w:ascii="Arial" w:hAnsi="Arial"/>
          <w:color w:val="000000"/>
          <w:sz w:val="20"/>
        </w:rPr>
        <w:t>We are subject to a variety of claims and lawsuits. These claims may arise from a wide variety of business practices and initiatives, including major new product releases, AI services, significant business transactions, warranty or product claims, employment practices, and regulation. As we continue to expand our business and offerings, we may experience new and novel legal claims. Adverse outcomes in some or all of these claims may result in significant monetary damages or injunctive relief that could adversely affect our ability to conduct our business. Litigation and other claims are subject to inherent uncertainties and management’s view of these matters may change in the future. An adverse impact to our financial condition and results of operations could occur for the period in which the effect of an unfavorable outcome becomes probable and reasonably estimable.</w:t>
      </w:r>
    </w:p>
    <w:p>
      <w:pPr>
        <w:pStyle w:val="TextBody"/>
        <w:bidi w:val="0"/>
        <w:spacing w:before="180" w:after="283"/>
        <w:jc w:val="both"/>
        <w:rPr>
          <w:rFonts w:ascii="Times New Roman" w:hAnsi="Times New Roman"/>
          <w:sz w:val="20"/>
        </w:rPr>
      </w:pPr>
      <w:r>
        <w:rPr>
          <w:rFonts w:ascii="Arial" w:hAnsi="Arial"/>
          <w:b/>
          <w:color w:val="000000"/>
          <w:sz w:val="20"/>
        </w:rPr>
        <w:t>Our business with government customers may present additional uncertainties.</w:t>
      </w:r>
      <w:r>
        <w:rPr>
          <w:rFonts w:ascii="Times New Roman" w:hAnsi="Times New Roman"/>
          <w:color w:val="000000"/>
          <w:sz w:val="20"/>
        </w:rPr>
        <w:t xml:space="preserve"> </w:t>
      </w:r>
      <w:r>
        <w:rPr>
          <w:rFonts w:ascii="Arial" w:hAnsi="Arial"/>
          <w:color w:val="000000"/>
          <w:sz w:val="20"/>
        </w:rPr>
        <w:t>We derive substantial revenue from government contracts. Government contracts and regulatory requirements can present risks and challenges not present in private commercial agreements. For instance, we are subject to government audits and investigations relating to these contracts, and we are required to provide assurance and attestations about our products and processes. If we do not satisfy contractual or regulatory requirements,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cancellations, or delays which could adversely impact public-sector demand for our products and services. These events could negatively impact our financial condition, results of operations, and reputation.</w:t>
      </w:r>
    </w:p>
    <w:p>
      <w:pPr>
        <w:pStyle w:val="TextBody"/>
        <w:bidi w:val="0"/>
        <w:spacing w:before="240" w:after="283"/>
        <w:jc w:val="center"/>
        <w:rPr>
          <w:rFonts w:ascii="Arial" w:hAnsi="Arial"/>
          <w:color w:val="000000"/>
          <w:sz w:val="16"/>
        </w:rPr>
      </w:pPr>
      <w:r>
        <w:rPr>
          <w:rFonts w:ascii="Arial" w:hAnsi="Arial"/>
          <w:color w:val="000000"/>
          <w:sz w:val="16"/>
        </w:rPr>
        <w:t>53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We may have additional tax liabilities.</w:t>
      </w:r>
      <w:r>
        <w:rPr>
          <w:rFonts w:ascii="Times New Roman" w:hAnsi="Times New Roman"/>
          <w:color w:val="000000"/>
          <w:sz w:val="20"/>
        </w:rPr>
        <w:t xml:space="preserve"> </w:t>
      </w:r>
      <w:r>
        <w:rPr>
          <w:rFonts w:ascii="Arial" w:hAnsi="Arial"/>
          <w:color w:val="000000"/>
          <w:sz w:val="20"/>
        </w:rPr>
        <w:t>We are subject to income taxes in the U.S. and many foreign jurisdictions. Significant judgment is required in determining our worldwide provision for income taxes. In the course of our business, there are many transactions and calculations where the ultimate tax determination is uncertain. We may recognize additional tax expense and be subject to additional tax liabilities due to changes in tax laws, regulations, and administrative practices and principles, including changes to the global tax framework, in various jurisdictions. In recent years, multiple domestic and international tax proposals were proposed to impose greater tax burdens on large multinational enterprises. For example, the Organisation for Economic Co-operation and Development continues to advance proposals or guidance in international taxation, including the establishment of a global minimum tax.</w:t>
      </w:r>
    </w:p>
    <w:p>
      <w:pPr>
        <w:pStyle w:val="TextBody"/>
        <w:bidi w:val="0"/>
        <w:spacing w:before="180" w:after="283"/>
        <w:jc w:val="both"/>
        <w:rPr>
          <w:rFonts w:ascii="Arial" w:hAnsi="Arial"/>
          <w:color w:val="000000"/>
          <w:sz w:val="20"/>
        </w:rPr>
      </w:pPr>
      <w:r>
        <w:rPr>
          <w:rFonts w:ascii="Arial" w:hAnsi="Arial"/>
          <w:color w:val="000000"/>
          <w:sz w:val="20"/>
        </w:rPr>
        <w:t>We are regularly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IRS audit for prior tax years and have received Notices of Proposed Adjustment (“NOPAs”) from the IRS for the tax years 2004 to 2013. The primary issues in the NOPAs relate to intercompany transfer pricing. In the NOPAs, the IRS is seeking an additional tax payment of $28.9 billion plus penalties and interest. The final resolution of the proposed adjustments, and other audits or litigation, may differ from the amounts recorded in our consolidated financial statements and adversely affect our results of operations in the period or periods in which that determination is made.</w:t>
      </w:r>
    </w:p>
    <w:p>
      <w:pPr>
        <w:pStyle w:val="TextBody"/>
        <w:bidi w:val="0"/>
        <w:spacing w:before="180" w:after="283"/>
        <w:jc w:val="both"/>
        <w:rPr>
          <w:rFonts w:ascii="Arial" w:hAnsi="Arial"/>
          <w:color w:val="000000"/>
          <w:sz w:val="20"/>
        </w:rPr>
      </w:pPr>
      <w:r>
        <w:rPr>
          <w:rFonts w:ascii="Arial" w:hAnsi="Arial"/>
          <w:color w:val="000000"/>
          <w:sz w:val="20"/>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global fundamental law changes currently being considered by many countries, including in the U.S., and changes in taxing jurisdictions’ administrative interpretations, decisions, policies, and positions could adversely affect our financial condition and results of operations.</w:t>
      </w:r>
    </w:p>
    <w:p>
      <w:pPr>
        <w:pStyle w:val="TextBody"/>
        <w:bidi w:val="0"/>
        <w:spacing w:before="270" w:after="283"/>
        <w:jc w:val="center"/>
        <w:rPr>
          <w:rFonts w:ascii="Arial" w:hAnsi="Arial"/>
          <w:color w:val="000000"/>
          <w:sz w:val="20"/>
          <w:u w:val="single"/>
        </w:rPr>
      </w:pPr>
      <w:r>
        <w:rPr>
          <w:rFonts w:ascii="Arial" w:hAnsi="Arial"/>
          <w:color w:val="000000"/>
          <w:sz w:val="20"/>
          <w:u w:val="single"/>
        </w:rPr>
        <w:t>INTELLECTUAL PROPERTY RISKS</w:t>
      </w:r>
    </w:p>
    <w:p>
      <w:pPr>
        <w:pStyle w:val="TextBody"/>
        <w:bidi w:val="0"/>
        <w:spacing w:before="180" w:after="283"/>
        <w:jc w:val="both"/>
        <w:rPr>
          <w:rFonts w:ascii="Times New Roman" w:hAnsi="Times New Roman"/>
          <w:sz w:val="20"/>
        </w:rPr>
      </w:pPr>
      <w:r>
        <w:rPr>
          <w:rFonts w:ascii="Arial" w:hAnsi="Arial"/>
          <w:b/>
          <w:color w:val="000000"/>
          <w:sz w:val="20"/>
        </w:rPr>
        <w:t>We face risks related to the protection and utilization of our intellectual property that may result in our business and operating results being harmed.</w:t>
      </w:r>
      <w:r>
        <w:rPr>
          <w:rFonts w:ascii="Times New Roman" w:hAnsi="Times New Roman"/>
          <w:color w:val="000000"/>
          <w:sz w:val="20"/>
        </w:rPr>
        <w:t xml:space="preserve"> </w:t>
      </w:r>
      <w:r>
        <w:rPr>
          <w:rFonts w:ascii="Arial" w:hAnsi="Arial"/>
          <w:color w:val="000000"/>
          <w:sz w:val="20"/>
        </w:rPr>
        <w:t>Protecting our intellectual property rights and combating unlicensed copying and use of our software, source code, and other intellectual property on a global basis is difficult. Similarly, the absence of harmonized patent laws makes it more difficult to ensure consistent respect for patent rights.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Changes in the law may continue to weaken our ability to prevent the use of patented technology. Our increasing engagement with open-source software will also cause us to license our intellectual property rights broadly in certain situations. If we are unable to protect our intellectual property, our results of operations could be adversely affected.</w:t>
      </w:r>
    </w:p>
    <w:p>
      <w:pPr>
        <w:pStyle w:val="TextBody"/>
        <w:bidi w:val="0"/>
        <w:spacing w:before="180" w:after="283"/>
        <w:jc w:val="both"/>
        <w:rPr>
          <w:rFonts w:ascii="Arial" w:hAnsi="Arial"/>
          <w:color w:val="000000"/>
          <w:sz w:val="20"/>
        </w:rPr>
      </w:pPr>
      <w:r>
        <w:rPr>
          <w:rFonts w:ascii="Arial" w:hAnsi="Arial"/>
          <w:color w:val="000000"/>
          <w:sz w:val="20"/>
        </w:rPr>
        <w:t>Source code, the detailed program commands for our operating systems and other software programs, is critical to our business. If our source code leaks, we might lose future trade secret protection for that code. It may then become easier for third parties to compete with our products by copying functionality, which could adversely affect our results of operations. Unauthorized access to or disclosure of source code or other intellectual property also increases the security risks described elsewhere in these risk factors.</w:t>
      </w:r>
    </w:p>
    <w:p>
      <w:pPr>
        <w:pStyle w:val="TextBody"/>
        <w:bidi w:val="0"/>
        <w:spacing w:before="180" w:after="283"/>
        <w:jc w:val="both"/>
        <w:rPr>
          <w:rFonts w:ascii="Times New Roman" w:hAnsi="Times New Roman"/>
          <w:sz w:val="20"/>
        </w:rPr>
      </w:pPr>
      <w:r>
        <w:rPr>
          <w:rFonts w:ascii="Arial" w:hAnsi="Arial"/>
          <w:b/>
          <w:color w:val="000000"/>
          <w:sz w:val="20"/>
        </w:rPr>
        <w:t>Third parties may claim that we infringe their intellectual property.</w:t>
      </w:r>
      <w:r>
        <w:rPr>
          <w:rFonts w:ascii="Times New Roman" w:hAnsi="Times New Roman"/>
          <w:color w:val="000000"/>
          <w:sz w:val="20"/>
        </w:rPr>
        <w:t xml:space="preserve"> </w:t>
      </w:r>
      <w:r>
        <w:rPr>
          <w:rFonts w:ascii="Arial" w:hAnsi="Arial"/>
          <w:color w:val="000000"/>
          <w:sz w:val="20"/>
        </w:rPr>
        <w:t>From time to time, others claim we infringe their intellectual property rights, including current copyright infringement and other claims arising from AI training and output. To resolve these claims, we may enter into royalty-bearing data access or licensing agreements on terms that are less favorable than currently available, stop selling or redesign affected products or services, or pay damages to satisfy indemnification commitments with our customers. Adverse outcomes could also include monetary damages or injunctive relief that may limit or prevent importing, marketing, and selling our products or services that have infringing technologies. We have paid significant amounts to settle claims related to the use of technology and intellectual property rights and to procure intellectual property rights as part of our strategy to manage this risk, and may continue to do so, which could adversely affect our results of operations.</w:t>
      </w:r>
    </w:p>
    <w:p>
      <w:pPr>
        <w:pStyle w:val="TextBody"/>
        <w:bidi w:val="0"/>
        <w:spacing w:before="240" w:after="283"/>
        <w:jc w:val="center"/>
        <w:rPr>
          <w:rFonts w:ascii="Arial" w:hAnsi="Arial"/>
          <w:color w:val="000000"/>
          <w:sz w:val="16"/>
        </w:rPr>
      </w:pPr>
      <w:r>
        <w:rPr>
          <w:rFonts w:ascii="Arial" w:hAnsi="Arial"/>
          <w:color w:val="000000"/>
          <w:sz w:val="16"/>
        </w:rPr>
        <w:t>54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GENERAL RISKS</w:t>
      </w:r>
    </w:p>
    <w:p>
      <w:pPr>
        <w:pStyle w:val="TextBody"/>
        <w:bidi w:val="0"/>
        <w:spacing w:before="180" w:after="283"/>
        <w:jc w:val="both"/>
        <w:rPr>
          <w:rFonts w:ascii="Times New Roman" w:hAnsi="Times New Roman"/>
          <w:sz w:val="20"/>
        </w:rPr>
      </w:pPr>
      <w:r>
        <w:rPr>
          <w:rFonts w:ascii="Arial" w:hAnsi="Arial"/>
          <w:b/>
          <w:color w:val="000000"/>
          <w:sz w:val="20"/>
        </w:rPr>
        <w:t>If our reputation or our brands are damaged, our business and results of operations may be harmed.</w:t>
      </w:r>
      <w:r>
        <w:rPr>
          <w:rFonts w:ascii="Times New Roman" w:hAnsi="Times New Roman"/>
          <w:color w:val="000000"/>
          <w:sz w:val="20"/>
        </w:rPr>
        <w:t xml:space="preserve"> </w:t>
      </w:r>
      <w:r>
        <w:rPr>
          <w:rFonts w:ascii="Arial" w:hAnsi="Arial"/>
          <w:color w:val="000000"/>
          <w:sz w:val="20"/>
        </w:rPr>
        <w:t>Our reputation and brands are globally recognized and are important to our business. Our reputation and brands affect our ability to attract and retain consumer, business, and public-sector customers. There are numerous ways our reputation or brands could be damaged. These include product safety or quality issues, our environmental impact and sustainability, supply chain practices, or human rights record. We may experience backlash from customers, government entities, advocacy groups, employees, and other stakeholders that disagree with our product offering decisions, public policy positions, or corporate philanthropic initiatives. Damage to our reputation or our brands may occur from, among other things: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The introduction of new features, products, services, or terms of service that customers, users, or partners do not like.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Public scrutiny of our decisions regarding user privacy, data practices, content, or development and deployment of AI.</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Data security breaches, cybersecurity incidents, responsible AI failures, compliance failures, or actions of partners or individual employees.</w:t>
      </w:r>
    </w:p>
    <w:p>
      <w:pPr>
        <w:pStyle w:val="TextBody"/>
        <w:bidi w:val="0"/>
        <w:spacing w:before="180" w:after="283"/>
        <w:jc w:val="both"/>
        <w:rPr>
          <w:rFonts w:ascii="Arial" w:hAnsi="Arial"/>
          <w:color w:val="000000"/>
          <w:sz w:val="20"/>
        </w:rPr>
      </w:pPr>
      <w:r>
        <w:rPr>
          <w:rFonts w:ascii="Arial" w:hAnsi="Arial"/>
          <w:color w:val="000000"/>
          <w:sz w:val="20"/>
        </w:rPr>
        <w:t>Social media may increase the likelihood, speed, and magnitude of negative brand events. If our brands or reputation are damaged, it could adversely affect our business, results of operations, or ability to attract the most highly qualified employees.</w:t>
      </w:r>
    </w:p>
    <w:p>
      <w:pPr>
        <w:pStyle w:val="TextBody"/>
        <w:bidi w:val="0"/>
        <w:spacing w:before="180" w:after="283"/>
        <w:jc w:val="both"/>
        <w:rPr>
          <w:rFonts w:ascii="Times New Roman" w:hAnsi="Times New Roman"/>
          <w:sz w:val="20"/>
        </w:rPr>
      </w:pPr>
      <w:r>
        <w:rPr>
          <w:rFonts w:ascii="Arial" w:hAnsi="Arial"/>
          <w:b/>
          <w:color w:val="000000"/>
          <w:sz w:val="20"/>
        </w:rPr>
        <w:t>Adverse economic or market conditions could harm our business.</w:t>
      </w:r>
      <w:r>
        <w:rPr>
          <w:rFonts w:ascii="Times New Roman" w:hAnsi="Times New Roman"/>
          <w:color w:val="000000"/>
          <w:sz w:val="20"/>
        </w:rPr>
        <w:t xml:space="preserve"> </w:t>
      </w:r>
      <w:r>
        <w:rPr>
          <w:rFonts w:ascii="Arial" w:hAnsi="Arial"/>
          <w:color w:val="000000"/>
          <w:sz w:val="20"/>
        </w:rPr>
        <w:t>Worsening economic conditions, including inflation, recession, pandemic, or other changes in economic conditions, may cause lower IT spending and adversely affect our results of operations. If demand for computing power, PCs, servers, and other computing devices declines, or consumer or business spending for those products declines, our results of operations could be adversely affected.</w:t>
      </w:r>
    </w:p>
    <w:p>
      <w:pPr>
        <w:pStyle w:val="TextBody"/>
        <w:bidi w:val="0"/>
        <w:spacing w:before="180" w:after="283"/>
        <w:jc w:val="both"/>
        <w:rPr>
          <w:rFonts w:ascii="Arial" w:hAnsi="Arial"/>
          <w:color w:val="000000"/>
          <w:sz w:val="20"/>
        </w:rPr>
      </w:pPr>
      <w:r>
        <w:rPr>
          <w:rFonts w:ascii="Arial" w:hAnsi="Arial"/>
          <w:color w:val="000000"/>
          <w:sz w:val="20"/>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pStyle w:val="TextBody"/>
        <w:bidi w:val="0"/>
        <w:spacing w:before="180" w:after="283"/>
        <w:jc w:val="both"/>
        <w:rPr>
          <w:rFonts w:ascii="Arial" w:hAnsi="Arial"/>
          <w:color w:val="000000"/>
          <w:sz w:val="20"/>
        </w:rPr>
      </w:pPr>
      <w:r>
        <w:rPr>
          <w:rFonts w:ascii="Arial" w:hAnsi="Arial"/>
          <w:color w:val="000000"/>
          <w:sz w:val="20"/>
        </w:rPr>
        <w:t>Challenging economic conditions also may impair the ability of our customers to pay for products and services they have purchased. As a result, allowances for doubtful accounts and write-offs of accounts receivable may increase.</w:t>
      </w:r>
    </w:p>
    <w:p>
      <w:pPr>
        <w:pStyle w:val="TextBody"/>
        <w:bidi w:val="0"/>
        <w:spacing w:before="180" w:after="283"/>
        <w:jc w:val="both"/>
        <w:rPr>
          <w:rFonts w:ascii="Arial" w:hAnsi="Arial"/>
          <w:color w:val="000000"/>
          <w:sz w:val="20"/>
        </w:rPr>
      </w:pPr>
      <w:r>
        <w:rPr>
          <w:rFonts w:ascii="Arial" w:hAnsi="Arial"/>
          <w:color w:val="000000"/>
          <w:sz w:val="20"/>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could be adversely affected and we could determine that more of our investments have experienced a decline in fair value, requiring impairment charges that could adversely affect our financial condition and results of operations.</w:t>
      </w:r>
    </w:p>
    <w:p>
      <w:pPr>
        <w:pStyle w:val="TextBody"/>
        <w:bidi w:val="0"/>
        <w:spacing w:before="180" w:after="283"/>
        <w:jc w:val="both"/>
        <w:rPr>
          <w:rFonts w:ascii="Times New Roman" w:hAnsi="Times New Roman"/>
          <w:sz w:val="20"/>
        </w:rPr>
      </w:pPr>
      <w:r>
        <w:rPr>
          <w:rFonts w:ascii="Arial" w:hAnsi="Arial"/>
          <w:b/>
          <w:color w:val="000000"/>
          <w:sz w:val="20"/>
        </w:rPr>
        <w:t>Catastrophic events or geopolitical conditions could disrupt our business.</w:t>
      </w:r>
      <w:r>
        <w:rPr>
          <w:rFonts w:ascii="Times New Roman" w:hAnsi="Times New Roman"/>
          <w:color w:val="000000"/>
          <w:sz w:val="20"/>
        </w:rPr>
        <w:t xml:space="preserve"> </w:t>
      </w:r>
      <w:r>
        <w:rPr>
          <w:rFonts w:ascii="Arial" w:hAnsi="Arial"/>
          <w:color w:val="000000"/>
          <w:sz w:val="20"/>
        </w:rPr>
        <w:t>A disruption or failure of our systems, operations, or supply chain because of a major earthquake, weather event, cyberattack, terrorist attack, pandemic,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systems, or the infrastructure or systems they rely on, such as power grids, could harm our ability to conduct normal business operations or adversely affect our results of operations. Providing our customers with more services and solutions in the cloud puts a premium on the resilience of our systems and strength of our business continuity management plans and magnifies the potential negative consequences of prolonged service outages.</w:t>
      </w:r>
    </w:p>
    <w:p>
      <w:pPr>
        <w:pStyle w:val="TextBody"/>
        <w:bidi w:val="0"/>
        <w:spacing w:before="240" w:after="283"/>
        <w:jc w:val="center"/>
        <w:rPr>
          <w:rFonts w:ascii="Arial" w:hAnsi="Arial"/>
          <w:color w:val="000000"/>
          <w:sz w:val="16"/>
        </w:rPr>
      </w:pPr>
      <w:r>
        <w:rPr>
          <w:rFonts w:ascii="Arial" w:hAnsi="Arial"/>
          <w:color w:val="000000"/>
          <w:sz w:val="16"/>
        </w:rPr>
        <w:t>55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Abrupt political change, terrorist activity, and armed conflict, such as the ongoing conflict in Ukraine, pose economic and other risks, which may negatively impact our ability to sell to and collect from customers, increase our operating costs, or otherwise disrupt our operations in markets both directly and indirectly impacted by such events. These conditions also may add uncertainty to the timing and budget for technology investment decisions by our customers and may cause supply chain disruptions for hardware manufacturers.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could adversely affect our results of operations. Changes in geopolitical conditions also increase the security risks described elsewhere in these risk factors.</w:t>
      </w:r>
    </w:p>
    <w:p>
      <w:pPr>
        <w:pStyle w:val="TextBody"/>
        <w:bidi w:val="0"/>
        <w:spacing w:before="180" w:after="283"/>
        <w:jc w:val="both"/>
        <w:rPr>
          <w:rFonts w:ascii="Arial" w:hAnsi="Arial"/>
          <w:color w:val="000000"/>
          <w:sz w:val="20"/>
        </w:rPr>
      </w:pPr>
      <w:r>
        <w:rPr>
          <w:rFonts w:ascii="Arial" w:hAnsi="Arial"/>
          <w:color w:val="000000"/>
          <w:sz w:val="20"/>
        </w:rPr>
        <w:t>The occurrence of regional epidemics or a global pandemic, such as COVID-19, could adversely affect our business, operations, financial condition, and results of operations. The extent to which global pandemics impact our business going forward will depend on factors such as the duration and scope of the pandemic; governmental, business, and individuals' actions in response to the pandemic; and the impact on economic activity, including the possibility of recession or financial market instability. Measures to contain a global pandemic may intensify other risks described in these Risk Factors.</w:t>
      </w:r>
    </w:p>
    <w:p>
      <w:pPr>
        <w:pStyle w:val="TextBody"/>
        <w:bidi w:val="0"/>
        <w:spacing w:before="180" w:after="283"/>
        <w:jc w:val="both"/>
        <w:rPr>
          <w:rFonts w:ascii="Arial" w:hAnsi="Arial"/>
          <w:color w:val="000000"/>
          <w:sz w:val="20"/>
        </w:rPr>
      </w:pPr>
      <w:r>
        <w:rPr>
          <w:rFonts w:ascii="Arial" w:hAnsi="Arial"/>
          <w:color w:val="000000"/>
          <w:sz w:val="20"/>
        </w:rPr>
        <w:t>The long-term effects of climate change on the global economy and the IT industry in particular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pStyle w:val="TextBody"/>
        <w:bidi w:val="0"/>
        <w:spacing w:before="180" w:after="283"/>
        <w:jc w:val="both"/>
        <w:rPr>
          <w:rFonts w:ascii="Times New Roman" w:hAnsi="Times New Roman"/>
          <w:sz w:val="20"/>
        </w:rPr>
      </w:pPr>
      <w:r>
        <w:rPr>
          <w:rFonts w:ascii="Arial" w:hAnsi="Arial"/>
          <w:b/>
          <w:color w:val="000000"/>
          <w:sz w:val="20"/>
        </w:rPr>
        <w:t>Our global business exposes us to operational and economic risks.</w:t>
      </w:r>
      <w:r>
        <w:rPr>
          <w:rFonts w:ascii="Times New Roman" w:hAnsi="Times New Roman"/>
          <w:color w:val="000000"/>
          <w:sz w:val="20"/>
        </w:rPr>
        <w:t xml:space="preserve"> </w:t>
      </w:r>
      <w:r>
        <w:rPr>
          <w:rFonts w:ascii="Arial" w:hAnsi="Arial"/>
          <w:color w:val="000000"/>
          <w:sz w:val="20"/>
        </w:rPr>
        <w:t>Our customers, employees, and infrastructure are located throughout the world and a significant part of our revenue comes from international sales. The global nature of our business creates operational, economic, and geopolitical risks. Global, regional, and local economic developments, monetary policy, geopolitical tension, particularly between the U.S. and Europe, restrictions on international trade, such as tariffs and other controls on imports or exports, inflation, and recession, as well as political and military disputes, could adversely affect our results of operations. Non-compliance with sanctions as well as general ecosystem disruptions could result in reputational harm, operational delays, monetary fines, loss of revenue, increased costs, loss of export privileges, or criminal sanctions, which could adversely affect our business, financial condition, and results of operations.</w:t>
      </w:r>
    </w:p>
    <w:p>
      <w:pPr>
        <w:pStyle w:val="TextBody"/>
        <w:bidi w:val="0"/>
        <w:spacing w:before="180" w:after="283"/>
        <w:jc w:val="both"/>
        <w:rPr>
          <w:rFonts w:ascii="Arial" w:hAnsi="Arial"/>
          <w:color w:val="000000"/>
          <w:sz w:val="20"/>
        </w:rPr>
      </w:pPr>
      <w:r>
        <w:rPr>
          <w:rFonts w:ascii="Arial" w:hAnsi="Arial"/>
          <w:color w:val="000000"/>
          <w:sz w:val="20"/>
        </w:rPr>
        <w:t>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and concerns about human rights, the environment, and political expression in specific countries may significantly alter the trade and commercial environments. Changes to trade policy or agreements as a result of populism, protectionism, or economic nationalism may result in higher tariffs, local sourcing initiatives, and non-local sourcing restrictions, export controls, investment restrictions, or other developments that make it more difficult to operate and sell our products in foreign countries. Disruptions of these kinds in developed or emerging markets could negatively impact demand for our products and services, impair our ability to operate in certain regions, or increase operating costs. Although we hedge a portion of our international currency exposure, significant fluctuations in foreign exchange rates between the U.S. dollar and foreign currencies could adversely affect our results of operations.</w:t>
      </w:r>
    </w:p>
    <w:p>
      <w:pPr>
        <w:pStyle w:val="TextBody"/>
        <w:bidi w:val="0"/>
        <w:spacing w:before="240" w:after="283"/>
        <w:jc w:val="center"/>
        <w:rPr>
          <w:rFonts w:ascii="Arial" w:hAnsi="Arial"/>
          <w:color w:val="000000"/>
          <w:sz w:val="16"/>
        </w:rPr>
      </w:pPr>
      <w:r>
        <w:rPr>
          <w:rFonts w:ascii="Arial" w:hAnsi="Arial"/>
          <w:color w:val="000000"/>
          <w:sz w:val="16"/>
        </w:rPr>
        <w:t>56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Our business depends on our ability to attract and retain talented employees.</w:t>
      </w:r>
      <w:r>
        <w:rPr>
          <w:rFonts w:ascii="Times New Roman" w:hAnsi="Times New Roman"/>
          <w:color w:val="000000"/>
          <w:sz w:val="20"/>
        </w:rPr>
        <w:t xml:space="preserve"> </w:t>
      </w:r>
      <w:r>
        <w:rPr>
          <w:rFonts w:ascii="Arial" w:hAnsi="Arial"/>
          <w:color w:val="000000"/>
          <w:sz w:val="20"/>
        </w:rPr>
        <w:t>Our business is based on successfully attracting, training, and retaining talented employees representing diverse backgrounds, experiences, and skill sets. The market for highly skilled workers and leaders in our industry is extremely competitive. Maintaining our brand and reputation, as well as an inclusive work environment that enables all our employees to thrive, are important to our ability to recruit and retain employees. We are also limited in our ability to recruit internationally by restrictive domestic immigration laws. Restraints on the flow of technical and professional talent, including those derived from changes to U.S. immigration policies or laws, may inhibit our ability to adequately staff our research and development efforts. If we are less successful in our recruiting efforts, or if we cannot retain highly skilled workers and key leaders, our ability to develop and deliver successful products and services could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 Our global workforce is predominantly non-unionized, although we do have some employees in the U.S. and internationally who are represented by unions or works councils. In the U.S., there has been a general increase in workers exercising their right to form or join a union. The unionization of significant employee populations could result in higher costs and other operational changes necessary to respond to changing conditions and to establish new relationships with worker representatives.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57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jc w:val="center"/>
        <w:rPr>
          <w:rFonts w:ascii="Arial" w:hAnsi="Arial"/>
          <w:b/>
          <w:color w:val="000000"/>
          <w:sz w:val="24"/>
        </w:rPr>
      </w:pPr>
      <w:bookmarkStart w:id="18" w:name="item_2_unregistered_sales_equity_securit"/>
      <w:bookmarkEnd w:id="18"/>
      <w:r>
        <w:rPr>
          <w:rFonts w:ascii="Arial" w:hAnsi="Arial"/>
          <w:b/>
          <w:color w:val="000000"/>
          <w:sz w:val="24"/>
        </w:rPr>
        <w:t>ITEM 2. UNREGISTERED SALES OF EQUITY SECURITIES AND USE OF PROCEEDS</w:t>
      </w:r>
    </w:p>
    <w:p>
      <w:pPr>
        <w:pStyle w:val="TextBody"/>
        <w:bidi w:val="0"/>
        <w:spacing w:before="180" w:after="283"/>
        <w:jc w:val="center"/>
        <w:rPr>
          <w:rFonts w:ascii="Arial" w:hAnsi="Arial"/>
          <w:color w:val="000000"/>
          <w:sz w:val="20"/>
          <w:u w:val="single"/>
        </w:rPr>
      </w:pPr>
      <w:r>
        <w:rPr>
          <w:rFonts w:ascii="Arial" w:hAnsi="Arial"/>
          <w:color w:val="000000"/>
          <w:sz w:val="20"/>
          <w:u w:val="single"/>
        </w:rPr>
        <w:t>SHARE REPURCHASES AND DIVIDENDS</w:t>
      </w:r>
    </w:p>
    <w:p>
      <w:pPr>
        <w:pStyle w:val="TextBody"/>
        <w:bidi w:val="0"/>
        <w:spacing w:before="180" w:after="283"/>
        <w:jc w:val="both"/>
        <w:rPr>
          <w:rFonts w:ascii="Arial" w:hAnsi="Arial"/>
          <w:color w:val="000000"/>
          <w:sz w:val="20"/>
        </w:rPr>
      </w:pPr>
      <w:r>
        <w:rPr>
          <w:rFonts w:ascii="Arial" w:hAnsi="Arial"/>
          <w:color w:val="000000"/>
          <w:sz w:val="20"/>
        </w:rPr>
        <w:t>Following are our monthly share repurchases for the first quarter of fiscal year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006"/>
        <w:gridCol w:w="146"/>
        <w:gridCol w:w="146"/>
        <w:gridCol w:w="961"/>
        <w:gridCol w:w="146"/>
        <w:gridCol w:w="146"/>
        <w:gridCol w:w="211"/>
        <w:gridCol w:w="691"/>
        <w:gridCol w:w="146"/>
        <w:gridCol w:w="146"/>
        <w:gridCol w:w="182"/>
        <w:gridCol w:w="1200"/>
        <w:gridCol w:w="146"/>
        <w:gridCol w:w="146"/>
        <w:gridCol w:w="329"/>
        <w:gridCol w:w="1079"/>
        <w:gridCol w:w="378"/>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Total Number</w:t>
            </w:r>
          </w:p>
          <w:p>
            <w:pPr>
              <w:pStyle w:val="TableContents"/>
              <w:bidi w:val="0"/>
              <w:jc w:val="right"/>
              <w:rPr>
                <w:rFonts w:ascii="Arial" w:hAnsi="Arial"/>
                <w:b/>
                <w:color w:val="000000"/>
                <w:sz w:val="15"/>
              </w:rPr>
            </w:pPr>
            <w:r>
              <w:rPr>
                <w:rFonts w:ascii="Arial" w:hAnsi="Arial"/>
                <w:b/>
                <w:color w:val="000000"/>
                <w:sz w:val="15"/>
              </w:rPr>
              <w:t>of Shares</w:t>
            </w:r>
          </w:p>
          <w:p>
            <w:pPr>
              <w:pStyle w:val="TableContents"/>
              <w:bidi w:val="0"/>
              <w:spacing w:before="0" w:after="283"/>
              <w:jc w:val="right"/>
              <w:rPr>
                <w:rFonts w:ascii="Arial" w:hAnsi="Arial"/>
                <w:b/>
                <w:color w:val="000000"/>
                <w:sz w:val="15"/>
              </w:rPr>
            </w:pPr>
            <w:r>
              <w:rPr>
                <w:rFonts w:ascii="Arial" w:hAnsi="Arial"/>
                <w:b/>
                <w:color w:val="000000"/>
                <w:sz w:val="15"/>
              </w:rPr>
              <w:t>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Average</w:t>
            </w:r>
          </w:p>
          <w:p>
            <w:pPr>
              <w:pStyle w:val="TableContents"/>
              <w:bidi w:val="0"/>
              <w:jc w:val="right"/>
              <w:rPr>
                <w:rFonts w:ascii="Arial" w:hAnsi="Arial"/>
                <w:b/>
                <w:color w:val="000000"/>
                <w:sz w:val="15"/>
              </w:rPr>
            </w:pPr>
            <w:r>
              <w:rPr>
                <w:rFonts w:ascii="Arial" w:hAnsi="Arial"/>
                <w:b/>
                <w:color w:val="000000"/>
                <w:sz w:val="15"/>
              </w:rPr>
              <w:t>Price Paid</w:t>
            </w:r>
          </w:p>
          <w:p>
            <w:pPr>
              <w:pStyle w:val="TableContents"/>
              <w:bidi w:val="0"/>
              <w:spacing w:before="0" w:after="283"/>
              <w:jc w:val="right"/>
              <w:rPr>
                <w:rFonts w:ascii="Arial" w:hAnsi="Arial"/>
                <w:b/>
                <w:color w:val="000000"/>
                <w:sz w:val="15"/>
              </w:rPr>
            </w:pPr>
            <w:r>
              <w:rPr>
                <w:rFonts w:ascii="Arial" w:hAnsi="Arial"/>
                <w:b/>
                <w:color w:val="000000"/>
                <w:sz w:val="15"/>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Total Number</w:t>
            </w:r>
          </w:p>
          <w:p>
            <w:pPr>
              <w:pStyle w:val="TableContents"/>
              <w:bidi w:val="0"/>
              <w:jc w:val="right"/>
              <w:rPr>
                <w:color w:val="000000"/>
              </w:rPr>
            </w:pPr>
            <w:r>
              <w:rPr>
                <w:color w:val="000000"/>
              </w:rPr>
              <w:t> </w:t>
            </w:r>
            <w:r>
              <w:rPr>
                <w:rFonts w:ascii="Arial" w:hAnsi="Arial"/>
                <w:b/>
                <w:color w:val="000000"/>
                <w:sz w:val="15"/>
              </w:rPr>
              <w:t>of Shares</w:t>
            </w:r>
          </w:p>
          <w:p>
            <w:pPr>
              <w:pStyle w:val="TableContents"/>
              <w:bidi w:val="0"/>
              <w:jc w:val="right"/>
              <w:rPr>
                <w:color w:val="000000"/>
              </w:rPr>
            </w:pPr>
            <w:r>
              <w:rPr>
                <w:color w:val="000000"/>
              </w:rPr>
              <w:t> </w:t>
            </w:r>
            <w:r>
              <w:rPr>
                <w:rFonts w:ascii="Arial" w:hAnsi="Arial"/>
                <w:b/>
                <w:color w:val="000000"/>
                <w:sz w:val="15"/>
              </w:rPr>
              <w:t>Purchased as</w:t>
            </w:r>
          </w:p>
          <w:p>
            <w:pPr>
              <w:pStyle w:val="TableContents"/>
              <w:bidi w:val="0"/>
              <w:jc w:val="right"/>
              <w:rPr>
                <w:rFonts w:ascii="Arial" w:hAnsi="Arial"/>
                <w:b/>
                <w:color w:val="000000"/>
                <w:sz w:val="15"/>
              </w:rPr>
            </w:pPr>
            <w:r>
              <w:rPr>
                <w:rFonts w:ascii="Arial" w:hAnsi="Arial"/>
                <w:b/>
                <w:color w:val="000000"/>
                <w:sz w:val="15"/>
              </w:rPr>
              <w:t>Part of Publicly</w:t>
            </w:r>
          </w:p>
          <w:p>
            <w:pPr>
              <w:pStyle w:val="TableContents"/>
              <w:bidi w:val="0"/>
              <w:jc w:val="right"/>
              <w:rPr>
                <w:rFonts w:ascii="Arial" w:hAnsi="Arial"/>
                <w:b/>
                <w:color w:val="000000"/>
                <w:sz w:val="15"/>
              </w:rPr>
            </w:pPr>
            <w:r>
              <w:rPr>
                <w:rFonts w:ascii="Arial" w:hAnsi="Arial"/>
                <w:b/>
                <w:color w:val="000000"/>
                <w:sz w:val="15"/>
              </w:rPr>
              <w:t>Announced Plans</w:t>
            </w:r>
          </w:p>
          <w:p>
            <w:pPr>
              <w:pStyle w:val="TableContents"/>
              <w:bidi w:val="0"/>
              <w:spacing w:before="0" w:after="283"/>
              <w:jc w:val="right"/>
              <w:rPr>
                <w:rFonts w:ascii="Arial" w:hAnsi="Arial"/>
                <w:b/>
                <w:color w:val="000000"/>
                <w:sz w:val="15"/>
              </w:rPr>
            </w:pPr>
            <w:r>
              <w:rPr>
                <w:rFonts w:ascii="Arial" w:hAnsi="Arial"/>
                <w:b/>
                <w:color w:val="000000"/>
                <w:sz w:val="15"/>
              </w:rPr>
              <w:t>or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Approximate</w:t>
            </w:r>
          </w:p>
          <w:p>
            <w:pPr>
              <w:pStyle w:val="TableContents"/>
              <w:bidi w:val="0"/>
              <w:jc w:val="right"/>
              <w:rPr>
                <w:rFonts w:ascii="Arial" w:hAnsi="Arial"/>
                <w:b/>
                <w:color w:val="000000"/>
                <w:sz w:val="15"/>
              </w:rPr>
            </w:pPr>
            <w:r>
              <w:rPr>
                <w:rFonts w:ascii="Arial" w:hAnsi="Arial"/>
                <w:b/>
                <w:color w:val="000000"/>
                <w:sz w:val="15"/>
              </w:rPr>
              <w:t>Dollar Value of</w:t>
            </w:r>
          </w:p>
          <w:p>
            <w:pPr>
              <w:pStyle w:val="TableContents"/>
              <w:bidi w:val="0"/>
              <w:jc w:val="right"/>
              <w:rPr>
                <w:rFonts w:ascii="Arial" w:hAnsi="Arial"/>
                <w:b/>
                <w:color w:val="000000"/>
                <w:sz w:val="15"/>
              </w:rPr>
            </w:pPr>
            <w:r>
              <w:rPr>
                <w:rFonts w:ascii="Arial" w:hAnsi="Arial"/>
                <w:b/>
                <w:color w:val="000000"/>
                <w:sz w:val="15"/>
              </w:rPr>
              <w:t>Shares That May</w:t>
            </w:r>
          </w:p>
          <w:p>
            <w:pPr>
              <w:pStyle w:val="TableContents"/>
              <w:bidi w:val="0"/>
              <w:jc w:val="right"/>
              <w:rPr>
                <w:rFonts w:ascii="Arial" w:hAnsi="Arial"/>
                <w:b/>
                <w:color w:val="000000"/>
                <w:sz w:val="15"/>
              </w:rPr>
            </w:pPr>
            <w:r>
              <w:rPr>
                <w:rFonts w:ascii="Arial" w:hAnsi="Arial"/>
                <w:b/>
                <w:color w:val="000000"/>
                <w:sz w:val="15"/>
              </w:rPr>
              <w:t>Yet Be Purchased</w:t>
            </w:r>
          </w:p>
          <w:p>
            <w:pPr>
              <w:pStyle w:val="TableContents"/>
              <w:bidi w:val="0"/>
              <w:jc w:val="right"/>
              <w:rPr>
                <w:color w:val="000000"/>
              </w:rPr>
            </w:pPr>
            <w:r>
              <w:rPr>
                <w:color w:val="000000"/>
              </w:rPr>
              <w:t> </w:t>
            </w:r>
            <w:r>
              <w:rPr>
                <w:rFonts w:ascii="Arial" w:hAnsi="Arial"/>
                <w:b/>
                <w:color w:val="000000"/>
                <w:sz w:val="15"/>
              </w:rPr>
              <w:t>Under the Plans</w:t>
            </w:r>
          </w:p>
          <w:p>
            <w:pPr>
              <w:pStyle w:val="TableContents"/>
              <w:bidi w:val="0"/>
              <w:spacing w:before="0" w:after="283"/>
              <w:jc w:val="right"/>
              <w:rPr>
                <w:rFonts w:ascii="Arial" w:hAnsi="Arial"/>
                <w:b/>
                <w:color w:val="000000"/>
                <w:sz w:val="15"/>
              </w:rPr>
            </w:pPr>
            <w:r>
              <w:rPr>
                <w:rFonts w:ascii="Arial" w:hAnsi="Arial"/>
                <w:b/>
                <w:color w:val="000000"/>
                <w:sz w:val="15"/>
              </w:rPr>
              <w:t>or Programs</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(In millions)</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0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July 1, 2025 – July 31,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2,123,765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506.40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2,123,765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107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56,274</w:t>
            </w:r>
          </w:p>
        </w:tc>
        <w:tc>
          <w:tcPr>
            <w:tcW w:w="37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August 1, 2025 – August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2,613,910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2,613,910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54,922</w:t>
            </w:r>
          </w:p>
        </w:tc>
        <w:tc>
          <w:tcPr>
            <w:tcW w:w="37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0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September 1, 2025 – September 30,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3,011,828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507.29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3,011,828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53,394</w:t>
            </w:r>
          </w:p>
        </w:tc>
        <w:tc>
          <w:tcPr>
            <w:tcW w:w="37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7,749,503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7,749,503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pStyle w:val="TextBody"/>
        <w:bidi w:val="0"/>
        <w:spacing w:before="180" w:after="283"/>
        <w:jc w:val="both"/>
        <w:rPr>
          <w:rFonts w:ascii="Arial" w:hAnsi="Arial"/>
          <w:color w:val="000000"/>
          <w:sz w:val="20"/>
        </w:rPr>
      </w:pPr>
      <w:r>
        <w:rPr>
          <w:rFonts w:ascii="Arial" w:hAnsi="Arial"/>
          <w:color w:val="000000"/>
          <w:sz w:val="20"/>
        </w:rPr>
        <w:t>Our Board of Directors declared the following dividends during the first quarter of fiscal year 2026:</w:t>
      </w:r>
    </w:p>
    <w:p>
      <w:pPr>
        <w:pStyle w:val="TextBody"/>
        <w:bidi w:val="0"/>
        <w:jc w:val="both"/>
        <w:rPr/>
      </w:pPr>
      <w:r>
        <w:rPr/>
        <w:t> </w:t>
      </w:r>
    </w:p>
    <w:tbl>
      <w:tblPr>
        <w:tblW w:w="9862" w:type="dxa"/>
        <w:jc w:val="left"/>
        <w:tblInd w:w="0" w:type="dxa"/>
        <w:tblLayout w:type="fixed"/>
        <w:tblCellMar>
          <w:top w:w="28" w:type="dxa"/>
          <w:left w:w="28" w:type="dxa"/>
          <w:bottom w:w="28" w:type="dxa"/>
          <w:right w:w="28" w:type="dxa"/>
        </w:tblCellMar>
      </w:tblPr>
      <w:tblGrid>
        <w:gridCol w:w="2181"/>
        <w:gridCol w:w="146"/>
        <w:gridCol w:w="146"/>
        <w:gridCol w:w="1861"/>
        <w:gridCol w:w="146"/>
        <w:gridCol w:w="146"/>
        <w:gridCol w:w="146"/>
        <w:gridCol w:w="1846"/>
        <w:gridCol w:w="146"/>
        <w:gridCol w:w="146"/>
        <w:gridCol w:w="211"/>
        <w:gridCol w:w="841"/>
        <w:gridCol w:w="146"/>
        <w:gridCol w:w="146"/>
        <w:gridCol w:w="211"/>
        <w:gridCol w:w="961"/>
        <w:gridCol w:w="436"/>
      </w:tblGrid>
      <w:tr>
        <w:trPr/>
        <w:tc>
          <w:tcPr>
            <w:tcW w:w="2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1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Declaration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Record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Payment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Dividend</w:t>
            </w:r>
          </w:p>
          <w:p>
            <w:pPr>
              <w:pStyle w:val="TableContents"/>
              <w:bidi w:val="0"/>
              <w:spacing w:before="0" w:after="283"/>
              <w:jc w:val="right"/>
              <w:rPr>
                <w:rFonts w:ascii="Arial" w:hAnsi="Arial"/>
                <w:b/>
                <w:color w:val="000000"/>
                <w:sz w:val="15"/>
              </w:rPr>
            </w:pPr>
            <w:r>
              <w:rPr>
                <w:rFonts w:ascii="Arial" w:hAnsi="Arial"/>
                <w:b/>
                <w:color w:val="000000"/>
                <w:sz w:val="15"/>
              </w:rPr>
              <w:t>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(In millions)</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1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September 15,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November 20,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December 11,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0.91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61" w:type="dxa"/>
            <w:tcBorders/>
            <w:shd w:fill="E5E5E5"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b/>
                <w:color w:val="000000"/>
                <w:sz w:val="20"/>
              </w:rPr>
              <w:t>6,765</w:t>
            </w:r>
            <w:r>
              <w:rPr>
                <w:rFonts w:ascii="Times New Roman" w:hAnsi="Times New Roman"/>
                <w:color w:val="000000"/>
                <w:sz w:val="20"/>
              </w:rPr>
              <w:t xml:space="preserve"> </w:t>
            </w:r>
          </w:p>
        </w:tc>
        <w:tc>
          <w:tcPr>
            <w:tcW w:w="43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returned $10.7 billion to shareholders in the form of share repurchases and dividends in the first quarter of fiscal year 2026. Refer to Note 14 – Stockholders’ Equity of the Notes to Financial Statements (Part I, Item 1 of this Form 10-Q) for further discussion regarding share repurchases and dividends.</w:t>
      </w:r>
    </w:p>
    <w:p>
      <w:pPr>
        <w:pStyle w:val="TextBody"/>
        <w:bidi w:val="0"/>
        <w:spacing w:before="240" w:after="283"/>
        <w:jc w:val="center"/>
        <w:rPr>
          <w:rFonts w:ascii="Arial" w:hAnsi="Arial"/>
          <w:color w:val="000000"/>
          <w:sz w:val="16"/>
        </w:rPr>
      </w:pPr>
      <w:r>
        <w:rPr>
          <w:rFonts w:ascii="Arial" w:hAnsi="Arial"/>
          <w:color w:val="000000"/>
          <w:sz w:val="16"/>
        </w:rPr>
        <w:t>58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5</w:t>
      </w:r>
    </w:p>
    <w:p>
      <w:pPr>
        <w:pStyle w:val="TextBody"/>
        <w:bidi w:val="0"/>
        <w:jc w:val="left"/>
        <w:rPr/>
      </w:pPr>
      <w:r>
        <w:rPr/>
        <w:t> </w:t>
      </w:r>
    </w:p>
    <w:p>
      <w:pPr>
        <w:pStyle w:val="TextBody"/>
        <w:bidi w:val="0"/>
        <w:jc w:val="center"/>
        <w:rPr>
          <w:rFonts w:ascii="Arial" w:hAnsi="Arial"/>
          <w:b/>
          <w:color w:val="000000"/>
          <w:sz w:val="24"/>
        </w:rPr>
      </w:pPr>
      <w:bookmarkStart w:id="19" w:name="item_5"/>
      <w:bookmarkEnd w:id="19"/>
      <w:r>
        <w:rPr>
          <w:rFonts w:ascii="Arial" w:hAnsi="Arial"/>
          <w:b/>
          <w:color w:val="000000"/>
          <w:sz w:val="24"/>
        </w:rPr>
        <w:t>ITEM 5. OTHER INFORMATION</w:t>
      </w:r>
    </w:p>
    <w:p>
      <w:pPr>
        <w:pStyle w:val="TextBody"/>
        <w:bidi w:val="0"/>
        <w:spacing w:before="180" w:after="283"/>
        <w:jc w:val="both"/>
        <w:rPr>
          <w:rFonts w:ascii="Arial" w:hAnsi="Arial"/>
          <w:b/>
          <w:color w:val="000000"/>
          <w:sz w:val="20"/>
        </w:rPr>
      </w:pPr>
      <w:r>
        <w:rPr>
          <w:rFonts w:ascii="Arial" w:hAnsi="Arial"/>
          <w:b/>
          <w:color w:val="000000"/>
          <w:sz w:val="20"/>
        </w:rPr>
        <w:t>Insider Trading Arrangements</w:t>
      </w:r>
    </w:p>
    <w:p>
      <w:pPr>
        <w:pStyle w:val="TextBody"/>
        <w:bidi w:val="0"/>
        <w:spacing w:before="180" w:after="283"/>
        <w:jc w:val="both"/>
        <w:rPr>
          <w:rFonts w:ascii="Times New Roman" w:hAnsi="Times New Roman"/>
          <w:sz w:val="20"/>
        </w:rPr>
      </w:pPr>
      <w:r>
        <w:rPr>
          <w:rFonts w:ascii="Arial" w:hAnsi="Arial"/>
          <w:color w:val="000000"/>
          <w:sz w:val="20"/>
        </w:rPr>
        <w:t>None of our officers or directors, as defined in Rule 16a-1(f) of the Securities Exchange Act of 1934, adopted, modified, or terminated</w:t>
      </w:r>
      <w:r>
        <w:rPr>
          <w:rFonts w:ascii="Times New Roman" w:hAnsi="Times New Roman"/>
          <w:color w:val="000000"/>
          <w:sz w:val="20"/>
        </w:rPr>
        <w:t xml:space="preserve"> </w:t>
      </w:r>
      <w:r>
        <w:rPr>
          <w:rFonts w:ascii="Arial" w:hAnsi="Arial"/>
          <w:color w:val="000000"/>
          <w:sz w:val="20"/>
        </w:rPr>
        <w:t>a “Rule 10b5-1</w:t>
      </w:r>
      <w:r>
        <w:rPr>
          <w:rFonts w:ascii="Times New Roman" w:hAnsi="Times New Roman"/>
          <w:color w:val="000000"/>
          <w:sz w:val="20"/>
        </w:rPr>
        <w:t xml:space="preserve"> </w:t>
      </w:r>
      <w:r>
        <w:rPr>
          <w:rFonts w:ascii="Arial" w:hAnsi="Arial"/>
          <w:color w:val="000000"/>
          <w:sz w:val="20"/>
        </w:rPr>
        <w:t>trading arrangement” or a “non-Rule 10b5-1</w:t>
      </w:r>
      <w:r>
        <w:rPr>
          <w:rFonts w:ascii="Times New Roman" w:hAnsi="Times New Roman"/>
          <w:color w:val="000000"/>
          <w:sz w:val="20"/>
        </w:rPr>
        <w:t xml:space="preserve"> </w:t>
      </w:r>
      <w:r>
        <w:rPr>
          <w:rFonts w:ascii="Arial" w:hAnsi="Arial"/>
          <w:color w:val="000000"/>
          <w:sz w:val="20"/>
        </w:rPr>
        <w:t>trading arrangement,” as defined in Item 408 of Regulation S-K, during the three months ended September 30, 2025.</w:t>
      </w:r>
    </w:p>
    <w:p>
      <w:pPr>
        <w:pStyle w:val="TextBody"/>
        <w:bidi w:val="0"/>
        <w:spacing w:before="240" w:after="283"/>
        <w:jc w:val="center"/>
        <w:rPr>
          <w:rFonts w:ascii="Arial" w:hAnsi="Arial"/>
          <w:color w:val="000000"/>
          <w:sz w:val="16"/>
        </w:rPr>
      </w:pPr>
      <w:r>
        <w:rPr>
          <w:rFonts w:ascii="Arial" w:hAnsi="Arial"/>
          <w:color w:val="000000"/>
          <w:sz w:val="16"/>
        </w:rPr>
        <w:t>59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6</w:t>
      </w:r>
    </w:p>
    <w:p>
      <w:pPr>
        <w:pStyle w:val="TextBody"/>
        <w:bidi w:val="0"/>
        <w:jc w:val="left"/>
        <w:rPr/>
      </w:pPr>
      <w:r>
        <w:rPr/>
        <w:t> </w:t>
      </w:r>
    </w:p>
    <w:p>
      <w:pPr>
        <w:pStyle w:val="TextBody"/>
        <w:bidi w:val="0"/>
        <w:jc w:val="center"/>
        <w:rPr>
          <w:rFonts w:ascii="Arial" w:hAnsi="Arial"/>
          <w:b/>
          <w:color w:val="000000"/>
          <w:sz w:val="24"/>
        </w:rPr>
      </w:pPr>
      <w:bookmarkStart w:id="20" w:name="item_6_exhibits"/>
      <w:bookmarkEnd w:id="20"/>
      <w:r>
        <w:rPr>
          <w:rFonts w:ascii="Arial" w:hAnsi="Arial"/>
          <w:b/>
          <w:color w:val="000000"/>
          <w:sz w:val="24"/>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4"/>
        <w:gridCol w:w="146"/>
        <w:gridCol w:w="5440"/>
        <w:gridCol w:w="146"/>
        <w:gridCol w:w="751"/>
        <w:gridCol w:w="146"/>
        <w:gridCol w:w="481"/>
        <w:gridCol w:w="146"/>
        <w:gridCol w:w="616"/>
        <w:gridCol w:w="146"/>
        <w:gridCol w:w="616"/>
        <w:gridCol w:w="146"/>
        <w:gridCol w:w="671"/>
      </w:tblGrid>
      <w:tr>
        <w:trPr/>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754"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44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22"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Incorporated by Reference</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Exhibit</w:t>
              <w:br/>
              <w:t>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0"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Exhibit Description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Filed</w:t>
            </w:r>
          </w:p>
          <w:p>
            <w:pPr>
              <w:pStyle w:val="TableContents"/>
              <w:bidi w:val="0"/>
              <w:spacing w:before="0" w:after="283"/>
              <w:jc w:val="center"/>
              <w:rPr>
                <w:rFonts w:ascii="Arial" w:hAnsi="Arial"/>
                <w:b/>
                <w:color w:val="000000"/>
                <w:sz w:val="15"/>
              </w:rPr>
            </w:pPr>
            <w:r>
              <w:rPr>
                <w:rFonts w:ascii="Arial" w:hAnsi="Arial"/>
                <w:b/>
                <w:color w:val="000000"/>
                <w:sz w:val="15"/>
              </w:rPr>
              <w:t>Herewith</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Form</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Period</w:t>
            </w:r>
          </w:p>
          <w:p>
            <w:pPr>
              <w:pStyle w:val="TableContents"/>
              <w:bidi w:val="0"/>
              <w:spacing w:before="0" w:after="283"/>
              <w:jc w:val="right"/>
              <w:rPr>
                <w:rFonts w:ascii="Arial" w:hAnsi="Arial"/>
                <w:b/>
                <w:color w:val="000000"/>
                <w:sz w:val="15"/>
              </w:rPr>
            </w:pPr>
            <w:r>
              <w:rPr>
                <w:rFonts w:ascii="Arial" w:hAnsi="Arial"/>
                <w:b/>
                <w:color w:val="000000"/>
                <w:sz w:val="15"/>
              </w:rPr>
              <w:t>Ending</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Exhibit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Filing Date</w:t>
            </w:r>
          </w:p>
        </w:tc>
      </w:tr>
      <w:tr>
        <w:trPr/>
        <w:tc>
          <w:tcPr>
            <w:tcW w:w="7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44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15.1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left"/>
              <w:rPr/>
            </w:pPr>
            <w:hyperlink w:anchor="msft-ex15_1.htm">
              <w:r>
                <w:rPr>
                  <w:rStyle w:val="InternetLink"/>
                  <w:rFonts w:ascii="Arial" w:hAnsi="Arial"/>
                  <w:color w:val="000000"/>
                  <w:sz w:val="20"/>
                </w:rPr>
                <w:t>Letter regarding unaudited interim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left"/>
              <w:rPr/>
            </w:pPr>
            <w:hyperlink w:anchor="msft-ex31_1.htm">
              <w:r>
                <w:rPr>
                  <w:rStyle w:val="InternetLink"/>
                  <w:rFonts w:ascii="Arial" w:hAnsi="Arial"/>
                  <w:color w:val="000000"/>
                  <w:sz w:val="20"/>
                </w:rPr>
                <w:t>Certification of Chief Executive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left"/>
              <w:rPr/>
            </w:pPr>
            <w:hyperlink w:anchor="msft-ex31_2.htm">
              <w:r>
                <w:rPr>
                  <w:rStyle w:val="InternetLink"/>
                  <w:rFonts w:ascii="Arial" w:hAnsi="Arial"/>
                  <w:color w:val="000000"/>
                  <w:sz w:val="20"/>
                </w:rPr>
                <w:t>Certification of Chief Financial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left"/>
              <w:rPr/>
            </w:pPr>
            <w:hyperlink w:anchor="msft-ex32_1.htm">
              <w:r>
                <w:rPr>
                  <w:rStyle w:val="InternetLink"/>
                  <w:rFonts w:ascii="Arial" w:hAnsi="Arial"/>
                  <w:color w:val="000000"/>
                  <w:sz w:val="20"/>
                </w:rPr>
                <w:t>Certification of Chief Executive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left"/>
              <w:rPr/>
            </w:pPr>
            <w:hyperlink w:anchor="msft-ex32_2.htm">
              <w:r>
                <w:rPr>
                  <w:rStyle w:val="InternetLink"/>
                  <w:rFonts w:ascii="Arial" w:hAnsi="Arial"/>
                  <w:color w:val="000000"/>
                  <w:sz w:val="20"/>
                </w:rPr>
                <w:t>Certification of Chief Financial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jc w:val="both"/>
        <w:rPr>
          <w:rFonts w:ascii="Arial" w:hAnsi="Arial"/>
          <w:i/>
          <w:color w:val="000000"/>
          <w:sz w:val="20"/>
        </w:rPr>
      </w:pPr>
      <w:r>
        <w:rPr>
          <w:rFonts w:ascii="Arial" w:hAnsi="Arial"/>
          <w:i/>
          <w:color w:val="000000"/>
          <w:sz w:val="20"/>
        </w:rPr>
        <w:t>* Furnished, not filed.</w:t>
      </w:r>
    </w:p>
    <w:p>
      <w:pPr>
        <w:pStyle w:val="TextBody"/>
        <w:bidi w:val="0"/>
        <w:spacing w:before="270" w:after="283"/>
        <w:jc w:val="both"/>
        <w:rPr>
          <w:rFonts w:ascii="Arial" w:hAnsi="Arial"/>
          <w:b/>
          <w:color w:val="000000"/>
          <w:sz w:val="20"/>
        </w:rPr>
      </w:pPr>
      <w:r>
        <w:rPr>
          <w:rFonts w:ascii="Arial" w:hAnsi="Arial"/>
          <w:b/>
          <w:color w:val="000000"/>
          <w:sz w:val="20"/>
        </w:rPr>
        <w:t>Items 3 and 4 are not applicable and have been omitted.</w:t>
      </w:r>
    </w:p>
    <w:p>
      <w:pPr>
        <w:pStyle w:val="TextBody"/>
        <w:bidi w:val="0"/>
        <w:spacing w:before="240" w:after="283"/>
        <w:jc w:val="center"/>
        <w:rPr>
          <w:rFonts w:ascii="Arial" w:hAnsi="Arial"/>
          <w:color w:val="000000"/>
          <w:sz w:val="16"/>
        </w:rPr>
      </w:pPr>
      <w:r>
        <w:rPr>
          <w:rFonts w:ascii="Arial" w:hAnsi="Arial"/>
          <w:color w:val="000000"/>
          <w:sz w:val="16"/>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1" w:name="signatures"/>
      <w:bookmarkEnd w:id="21"/>
      <w:r>
        <w:rPr>
          <w:rFonts w:ascii="Arial" w:hAnsi="Arial"/>
          <w:b/>
          <w:color w:val="000000"/>
          <w:sz w:val="20"/>
        </w:rPr>
        <w:t>SIGNATURE</w:t>
      </w:r>
    </w:p>
    <w:p>
      <w:pPr>
        <w:pStyle w:val="TextBody"/>
        <w:bidi w:val="0"/>
        <w:spacing w:before="18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7111" w:type="dxa"/>
        <w:jc w:val="left"/>
        <w:tblInd w:w="0" w:type="dxa"/>
        <w:tblLayout w:type="fixed"/>
        <w:tblCellMar>
          <w:top w:w="28" w:type="dxa"/>
          <w:left w:w="28" w:type="dxa"/>
          <w:bottom w:w="28" w:type="dxa"/>
          <w:right w:w="28" w:type="dxa"/>
        </w:tblCellMar>
      </w:tblPr>
      <w:tblGrid>
        <w:gridCol w:w="7111"/>
      </w:tblGrid>
      <w:tr>
        <w:trPr/>
        <w:tc>
          <w:tcPr>
            <w:tcW w:w="7111" w:type="dxa"/>
            <w:tcBorders/>
            <w:vAlign w:val="center"/>
          </w:tcPr>
          <w:p>
            <w:pPr>
              <w:pStyle w:val="TableContents"/>
              <w:bidi w:val="0"/>
              <w:spacing w:before="0" w:after="283"/>
              <w:jc w:val="left"/>
              <w:rPr>
                <w:sz w:val="4"/>
                <w:szCs w:val="4"/>
              </w:rPr>
            </w:pPr>
            <w:r>
              <w:rPr>
                <w:sz w:val="4"/>
                <w:szCs w:val="4"/>
              </w:rPr>
            </w:r>
          </w:p>
        </w:tc>
      </w:tr>
      <w:tr>
        <w:trPr/>
        <w:tc>
          <w:tcPr>
            <w:tcW w:w="71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Arial" w:hAnsi="Arial"/>
                <w:color w:val="000000"/>
                <w:sz w:val="20"/>
              </w:rPr>
              <w:t>M</w:t>
            </w:r>
            <w:r>
              <w:rPr>
                <w:rFonts w:ascii="Arial" w:hAnsi="Arial"/>
                <w:color w:val="000000"/>
                <w:sz w:val="15"/>
              </w:rPr>
              <w:t>ICROSOFT</w:t>
            </w:r>
            <w:r>
              <w:rPr>
                <w:rFonts w:ascii="Times New Roman" w:hAnsi="Times New Roman"/>
                <w:color w:val="000000"/>
                <w:sz w:val="20"/>
              </w:rPr>
              <w:t> </w:t>
            </w:r>
            <w:r>
              <w:rPr>
                <w:rFonts w:ascii="Arial" w:hAnsi="Arial"/>
                <w:color w:val="000000"/>
                <w:sz w:val="20"/>
              </w:rPr>
              <w:t>C</w:t>
            </w:r>
            <w:r>
              <w:rPr>
                <w:rFonts w:ascii="Arial" w:hAnsi="Arial"/>
                <w:color w:val="000000"/>
                <w:sz w:val="15"/>
              </w:rPr>
              <w:t>ORPORATION</w:t>
            </w:r>
          </w:p>
        </w:tc>
      </w:tr>
      <w:tr>
        <w:trPr/>
        <w:tc>
          <w:tcPr>
            <w:tcW w:w="7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sz w:val="20"/>
              </w:rPr>
            </w:pPr>
            <w:r>
              <w:rPr>
                <w:rFonts w:ascii="Arial" w:hAnsi="Arial"/>
                <w:color w:val="000000"/>
                <w:sz w:val="20"/>
              </w:rPr>
              <w:t>/s/ A</w:t>
            </w:r>
            <w:r>
              <w:rPr>
                <w:rFonts w:ascii="Arial" w:hAnsi="Arial"/>
                <w:color w:val="000000"/>
                <w:sz w:val="15"/>
              </w:rPr>
              <w:t>LICE</w:t>
            </w:r>
            <w:r>
              <w:rPr>
                <w:rFonts w:ascii="Times New Roman" w:hAnsi="Times New Roman"/>
                <w:color w:val="000000"/>
                <w:sz w:val="20"/>
              </w:rPr>
              <w:t> </w:t>
            </w:r>
            <w:r>
              <w:rPr>
                <w:rFonts w:ascii="Arial" w:hAnsi="Arial"/>
                <w:color w:val="000000"/>
                <w:sz w:val="20"/>
              </w:rPr>
              <w:t>L. J</w:t>
            </w:r>
            <w:r>
              <w:rPr>
                <w:rFonts w:ascii="Arial" w:hAnsi="Arial"/>
                <w:color w:val="000000"/>
                <w:sz w:val="15"/>
              </w:rPr>
              <w:t>OLLA</w:t>
            </w:r>
          </w:p>
        </w:tc>
      </w:tr>
      <w:tr>
        <w:trPr/>
        <w:tc>
          <w:tcPr>
            <w:tcW w:w="711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Alice L. Jolla</w:t>
            </w:r>
          </w:p>
        </w:tc>
      </w:tr>
      <w:tr>
        <w:trPr/>
        <w:tc>
          <w:tcPr>
            <w:tcW w:w="7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 Vice President and Chief Accounting Officer (Duly Authorized Officer)</w:t>
            </w:r>
          </w:p>
        </w:tc>
      </w:tr>
      <w:tr>
        <w:trPr/>
        <w:tc>
          <w:tcPr>
            <w:tcW w:w="7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October 29, 2025</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61</w:t>
      </w:r>
    </w:p>
    <w:p>
      <w:pPr>
        <w:pStyle w:val="HorizontalLine"/>
        <w:pBdr>
          <w:bottom w:val="double" w:sz="2" w:space="0" w:color="808080"/>
        </w:pBdr>
        <w:bidi w:val="0"/>
        <w:spacing w:before="0" w:after="283"/>
        <w:jc w:val="left"/>
        <w:rPr/>
      </w:pPr>
      <w:r>
        <w:rPr/>
      </w:r>
    </w:p>
    <w:p>
      <w:pPr>
        <w:pStyle w:val="TextBody"/>
        <w:bidi w:val="0"/>
        <w:jc w:val="left"/>
        <w:rPr/>
      </w:pPr>
      <w:bookmarkStart w:id="22" w:name="msft-ex15_1.htm"/>
      <w:bookmarkStart w:id="23" w:name="ksmsftex15_1"/>
      <w:bookmarkEnd w:id="22"/>
      <w:bookmarkEnd w:id="23"/>
      <w:r>
        <w:rPr/>
        <w:t> </w:t>
      </w:r>
      <w:r>
        <w:br w:type="page"/>
      </w:r>
    </w:p>
    <w:p>
      <w:pPr>
        <w:pStyle w:val="TextBody"/>
        <w:bidi w:val="0"/>
        <w:jc w:val="right"/>
        <w:rPr>
          <w:rFonts w:ascii="Times New Roman" w:hAnsi="Times New Roman"/>
          <w:sz w:val="20"/>
        </w:rPr>
      </w:pPr>
      <w:r>
        <w:rPr>
          <w:rFonts w:ascii="Arial" w:hAnsi="Arial"/>
          <w:color w:val="000000"/>
          <w:sz w:val="20"/>
        </w:rPr>
        <w:t>Exhibit 15.1</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October 29, 2025</w:t>
      </w:r>
    </w:p>
    <w:p>
      <w:pPr>
        <w:pStyle w:val="TextBody"/>
        <w:bidi w:val="0"/>
        <w:spacing w:before="180" w:after="283"/>
        <w:jc w:val="both"/>
        <w:rPr>
          <w:rFonts w:ascii="Times New Roman" w:hAnsi="Times New Roman"/>
          <w:sz w:val="20"/>
        </w:rPr>
      </w:pPr>
      <w:r>
        <w:rPr>
          <w:rFonts w:ascii="Arial" w:hAnsi="Arial"/>
          <w:color w:val="000000"/>
          <w:sz w:val="20"/>
        </w:rPr>
        <w:t>The Board of Directors and Stockholders of Microsoft Corporation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One Microsoft Way</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Redmond, WA 98052-6399</w:t>
      </w:r>
    </w:p>
    <w:p>
      <w:pPr>
        <w:pStyle w:val="TextBody"/>
        <w:bidi w:val="0"/>
        <w:spacing w:before="180" w:after="283"/>
        <w:jc w:val="both"/>
        <w:rPr>
          <w:rFonts w:ascii="Times New Roman" w:hAnsi="Times New Roman"/>
          <w:sz w:val="20"/>
        </w:rPr>
      </w:pPr>
      <w:r>
        <w:rPr>
          <w:rFonts w:ascii="Arial" w:hAnsi="Arial"/>
          <w:color w:val="000000"/>
          <w:sz w:val="20"/>
        </w:rPr>
        <w:t>We are aware that our report dated October 29, 2025, on our review of the interim financial information of Microsoft Corporation and subsidiaries (“Microsoft”) appearing in Microsoft’s Quarterly Report on Form 10-Q for the quarter ended September 30, 2025, is incorporated by reference in Registration Statement Nos. 333-109185, 333-118764, 333-52852, 333-132100, 333-161516, 333-75243, 333-185757, and 333-221833 on Form S-8 and Registration Statement No. 333-283760 on Form S-3.</w:t>
      </w:r>
      <w:r>
        <w:rPr>
          <w:rFonts w:ascii="Times New Roman" w:hAnsi="Times New Roman"/>
          <w:color w:val="000000"/>
          <w:sz w:val="20"/>
        </w:rPr>
        <w:t xml:space="preserve"> </w:t>
      </w:r>
    </w:p>
    <w:p>
      <w:pPr>
        <w:pStyle w:val="TextBody"/>
        <w:bidi w:val="0"/>
        <w:spacing w:before="180" w:after="283"/>
        <w:jc w:val="both"/>
        <w:rPr/>
      </w:pPr>
      <w:r>
        <w:rPr/>
        <w:t> </w:t>
      </w:r>
    </w:p>
    <w:p>
      <w:pPr>
        <w:pStyle w:val="TextBody"/>
        <w:bidi w:val="0"/>
        <w:jc w:val="both"/>
        <w:rPr>
          <w:rFonts w:ascii="Times New Roman" w:hAnsi="Times New Roman"/>
          <w:sz w:val="20"/>
        </w:rPr>
      </w:pPr>
      <w:r>
        <w:rPr>
          <w:rFonts w:ascii="Arial" w:hAnsi="Arial"/>
          <w:color w:val="000000"/>
          <w:sz w:val="20"/>
        </w:rPr>
        <w:t>/s/ D</w:t>
      </w:r>
      <w:r>
        <w:rPr>
          <w:rFonts w:ascii="Arial" w:hAnsi="Arial"/>
          <w:color w:val="000000"/>
          <w:sz w:val="15"/>
        </w:rPr>
        <w:t>ELOITTE</w:t>
      </w:r>
      <w:r>
        <w:rPr>
          <w:rFonts w:ascii="Times New Roman" w:hAnsi="Times New Roman"/>
          <w:color w:val="000000"/>
          <w:sz w:val="20"/>
        </w:rPr>
        <w:t xml:space="preserve"> </w:t>
      </w:r>
      <w:r>
        <w:rPr>
          <w:rFonts w:ascii="Arial" w:hAnsi="Arial"/>
          <w:color w:val="000000"/>
          <w:sz w:val="20"/>
        </w:rPr>
        <w:t>&amp; T</w:t>
      </w:r>
      <w:r>
        <w:rPr>
          <w:rFonts w:ascii="Arial" w:hAnsi="Arial"/>
          <w:color w:val="000000"/>
          <w:sz w:val="15"/>
        </w:rPr>
        <w:t>OUCHE</w:t>
      </w:r>
      <w:r>
        <w:rPr>
          <w:rFonts w:ascii="Times New Roman" w:hAnsi="Times New Roman"/>
          <w:color w:val="000000"/>
          <w:sz w:val="20"/>
        </w:rPr>
        <w:t xml:space="preserve"> </w:t>
      </w:r>
      <w:r>
        <w:rPr>
          <w:rFonts w:ascii="Arial" w:hAnsi="Arial"/>
          <w:color w:val="000000"/>
          <w:sz w:val="20"/>
        </w:rPr>
        <w:t>LLP</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Seattle, Washington</w:t>
      </w:r>
      <w:r>
        <w:rPr>
          <w:rFonts w:ascii="Times New Roman" w:hAnsi="Times New Roman"/>
          <w:color w:val="000000"/>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bookmarkStart w:id="24" w:name="msft-ex31_1.htm"/>
      <w:bookmarkStart w:id="25" w:name="ksmsftex31_1"/>
      <w:bookmarkEnd w:id="24"/>
      <w:bookmarkEnd w:id="25"/>
      <w:r>
        <w:rPr>
          <w:rFonts w:ascii="Arial" w:hAnsi="Arial"/>
          <w:color w:val="000000"/>
          <w:sz w:val="20"/>
        </w:rPr>
        <w:t>Exhibit 31.1</w:t>
      </w:r>
      <w:r>
        <w:br w:type="page"/>
      </w:r>
    </w:p>
    <w:p>
      <w:pPr>
        <w:pStyle w:val="TextBody"/>
        <w:bidi w:val="0"/>
        <w:spacing w:before="180" w:after="283"/>
        <w:jc w:val="center"/>
        <w:rPr>
          <w:rFonts w:ascii="Times New Roman" w:hAnsi="Times New Roman"/>
          <w:sz w:val="20"/>
        </w:rPr>
      </w:pPr>
      <w:r>
        <w:rPr>
          <w:rFonts w:ascii="Arial" w:hAnsi="Arial"/>
          <w:b/>
          <w:color w:val="000000"/>
          <w:sz w:val="20"/>
        </w:rPr>
        <w:t>CERTIFICATION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 Satya Nadella, certify that: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1. I have reviewed this quarterly report on Form 10-Q of Microsoft Corporation;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jc w:val="both"/>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sz w:val="20"/>
              </w:rPr>
            </w:pPr>
            <w:r>
              <w:rPr>
                <w:rFonts w:ascii="Arial" w:hAnsi="Arial"/>
                <w:color w:val="000000"/>
                <w:sz w:val="20"/>
              </w:rPr>
              <w:t>/s/ S</w:t>
            </w:r>
            <w:r>
              <w:rPr>
                <w:rFonts w:ascii="Arial" w:hAnsi="Arial"/>
                <w:color w:val="000000"/>
                <w:sz w:val="15"/>
              </w:rPr>
              <w:t>ATYA</w:t>
            </w:r>
            <w:r>
              <w:rPr>
                <w:rFonts w:ascii="Times New Roman" w:hAnsi="Times New Roman"/>
                <w:color w:val="000000"/>
                <w:sz w:val="20"/>
              </w:rPr>
              <w:t> </w:t>
            </w:r>
            <w:r>
              <w:rPr>
                <w:rFonts w:ascii="Arial" w:hAnsi="Arial"/>
                <w:color w:val="000000"/>
                <w:sz w:val="20"/>
              </w:rPr>
              <w:t>N</w:t>
            </w:r>
            <w:r>
              <w:rPr>
                <w:rFonts w:ascii="Arial" w:hAnsi="Arial"/>
                <w:color w:val="000000"/>
                <w:sz w:val="15"/>
              </w:rPr>
              <w:t>ADELLA</w:t>
            </w:r>
          </w:p>
        </w:tc>
      </w:tr>
      <w:tr>
        <w:trPr/>
        <w:tc>
          <w:tcPr>
            <w:tcW w:w="219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Satya Nadella</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October 29, 2025</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bookmarkStart w:id="26" w:name="msft-ex31_2.htm"/>
      <w:bookmarkStart w:id="27" w:name="ksmsftex31_2"/>
      <w:bookmarkEnd w:id="26"/>
      <w:bookmarkEnd w:id="27"/>
      <w:r>
        <w:rPr>
          <w:rFonts w:ascii="Arial" w:hAnsi="Arial"/>
          <w:color w:val="000000"/>
          <w:sz w:val="20"/>
        </w:rPr>
        <w:t>Exhibit 31.2</w:t>
      </w:r>
      <w:r>
        <w:br w:type="page"/>
      </w:r>
    </w:p>
    <w:p>
      <w:pPr>
        <w:pStyle w:val="TextBody"/>
        <w:bidi w:val="0"/>
        <w:spacing w:before="180" w:after="283"/>
        <w:jc w:val="center"/>
        <w:rPr>
          <w:rFonts w:ascii="Times New Roman" w:hAnsi="Times New Roman"/>
          <w:sz w:val="20"/>
        </w:rPr>
      </w:pPr>
      <w:r>
        <w:rPr>
          <w:rFonts w:ascii="Arial" w:hAnsi="Arial"/>
          <w:b/>
          <w:color w:val="000000"/>
          <w:sz w:val="20"/>
        </w:rPr>
        <w:t>CERTIFICATION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 Amy E. Hood, certify that: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1. I have reviewed this quarterly report on Form 10-Q of Microsoft Corporation;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jc w:val="both"/>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283"/>
              <w:jc w:val="left"/>
              <w:rPr>
                <w:sz w:val="4"/>
                <w:szCs w:val="4"/>
              </w:rPr>
            </w:pPr>
            <w:r>
              <w:rPr>
                <w:sz w:val="4"/>
                <w:szCs w:val="4"/>
              </w:rPr>
            </w:r>
          </w:p>
        </w:tc>
      </w:tr>
      <w:tr>
        <w:trPr/>
        <w:tc>
          <w:tcPr>
            <w:tcW w:w="274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A</w:t>
            </w:r>
            <w:r>
              <w:rPr>
                <w:rFonts w:ascii="Arial" w:hAnsi="Arial"/>
                <w:color w:val="000000"/>
                <w:sz w:val="15"/>
              </w:rPr>
              <w:t>MY</w:t>
            </w:r>
            <w:r>
              <w:rPr>
                <w:rFonts w:ascii="Times New Roman" w:hAnsi="Times New Roman"/>
                <w:color w:val="000000"/>
                <w:sz w:val="20"/>
              </w:rPr>
              <w:t> </w:t>
            </w:r>
            <w:r>
              <w:rPr>
                <w:rFonts w:ascii="Arial" w:hAnsi="Arial"/>
                <w:color w:val="000000"/>
                <w:sz w:val="20"/>
              </w:rPr>
              <w:t>E. H</w:t>
            </w:r>
            <w:r>
              <w:rPr>
                <w:rFonts w:ascii="Arial" w:hAnsi="Arial"/>
                <w:color w:val="000000"/>
                <w:sz w:val="15"/>
              </w:rPr>
              <w:t>OOD</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Amy E. Hood</w:t>
            </w:r>
          </w:p>
        </w:tc>
      </w:tr>
      <w:tr>
        <w:trPr/>
        <w:tc>
          <w:tcPr>
            <w:tcW w:w="274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Executive Vice President and</w:t>
            </w:r>
          </w:p>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r>
        <w:trPr/>
        <w:tc>
          <w:tcPr>
            <w:tcW w:w="2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October 29, 2025</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msft-ex32_1.htm"/>
      <w:bookmarkStart w:id="29" w:name="ksmsftex32_1"/>
      <w:bookmarkEnd w:id="28"/>
      <w:bookmarkEnd w:id="29"/>
      <w:r>
        <w:rPr/>
        <w:t> </w:t>
      </w:r>
      <w:r>
        <w:br w:type="page"/>
      </w:r>
    </w:p>
    <w:p>
      <w:pPr>
        <w:pStyle w:val="TextBody"/>
        <w:bidi w:val="0"/>
        <w:jc w:val="right"/>
        <w:rPr>
          <w:rFonts w:ascii="Times New Roman" w:hAnsi="Times New Roman"/>
          <w:sz w:val="20"/>
        </w:rPr>
      </w:pPr>
      <w:r>
        <w:rPr>
          <w:rFonts w:ascii="Arial" w:hAnsi="Arial"/>
          <w:color w:val="000000"/>
          <w:sz w:val="20"/>
        </w:rPr>
        <w:t>Exhibit 32.1</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SECTION 906 OF THE SARBANES-OXLEY ACT OF 2002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(18 U.S.C. SECTION 1350)</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connection with the Quarterly Report of Microsoft Corporation, a Washington corporation (the “Company”), on Form 10-Q for the quarter ended September 30, 2025, as filed with the Securities and Exchange Commission (the “Report”), Satya Nadella, Chief Executive Officer of the Company, does hereby certify, pursuant to § 906 of the Sarbanes-Oxley Act of 2002 (18 U.S.C. § 1350), that to his knowledge: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both"/>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S</w:t>
            </w:r>
            <w:r>
              <w:rPr>
                <w:rFonts w:ascii="Arial" w:hAnsi="Arial"/>
                <w:color w:val="000000"/>
                <w:sz w:val="15"/>
              </w:rPr>
              <w:t>ATYA</w:t>
            </w:r>
            <w:r>
              <w:rPr>
                <w:rFonts w:ascii="Times New Roman" w:hAnsi="Times New Roman"/>
                <w:color w:val="000000"/>
                <w:sz w:val="20"/>
              </w:rPr>
              <w:t> </w:t>
            </w:r>
            <w:r>
              <w:rPr>
                <w:rFonts w:ascii="Arial" w:hAnsi="Arial"/>
                <w:color w:val="000000"/>
                <w:sz w:val="20"/>
              </w:rPr>
              <w:t>N</w:t>
            </w:r>
            <w:r>
              <w:rPr>
                <w:rFonts w:ascii="Arial" w:hAnsi="Arial"/>
                <w:color w:val="000000"/>
                <w:sz w:val="15"/>
              </w:rPr>
              <w:t>ADELLA</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Satya Nadella</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October 29, 2025</w:t>
      </w:r>
    </w:p>
    <w:p>
      <w:pPr>
        <w:pStyle w:val="TextBody"/>
        <w:bidi w:val="0"/>
        <w:spacing w:before="180" w:after="283"/>
        <w:jc w:val="both"/>
        <w:rPr>
          <w:rFonts w:ascii="Times New Roman" w:hAnsi="Times New Roman"/>
          <w:sz w:val="20"/>
        </w:rPr>
      </w:pPr>
      <w:r>
        <w:rPr>
          <w:rFonts w:ascii="Arial" w:hAnsi="Arial"/>
          <w:color w:val="000000"/>
          <w:sz w:val="20"/>
        </w:rPr>
        <w:t>[A signed original of this written statement required by Section 906 has been provided to Microsoft Corporation and will be retained by Microsoft Corporation and furnished to the Securities and Exchange Commission or its staff upon request.]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msft-ex32_2.htm"/>
      <w:bookmarkStart w:id="31" w:name="ksmsftex32_2"/>
      <w:bookmarkEnd w:id="30"/>
      <w:bookmarkEnd w:id="31"/>
      <w:r>
        <w:rPr/>
        <w:t> </w:t>
      </w:r>
      <w:r>
        <w:br w:type="page"/>
      </w:r>
    </w:p>
    <w:p>
      <w:pPr>
        <w:pStyle w:val="TextBody"/>
        <w:bidi w:val="0"/>
        <w:jc w:val="right"/>
        <w:rPr>
          <w:rFonts w:ascii="Times New Roman" w:hAnsi="Times New Roman"/>
          <w:sz w:val="20"/>
        </w:rPr>
      </w:pPr>
      <w:r>
        <w:rPr>
          <w:rFonts w:ascii="Arial" w:hAnsi="Arial"/>
          <w:color w:val="000000"/>
          <w:sz w:val="20"/>
        </w:rPr>
        <w:t>Exhibit 32.2</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SECTION 906 OF THE SARBANES-OXLEY ACT OF 2002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(18 U.S.C. SECTION 1350)</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connection with the Quarterly Report of Microsoft Corporation, a Washington corporation (the “Company”), on Form 10-Q for the quarter ended September 30, 2025, as filed with the Securities and Exchange Commission (the “Report”), Amy E. Hood, Chief Financial Officer of the Company, does hereby certify, pursuant to § 906 of the Sarbanes-Oxley Act of 2002 (18 U.S.C. § 1350), that to her knowledge: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both"/>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283"/>
              <w:jc w:val="left"/>
              <w:rPr>
                <w:sz w:val="4"/>
                <w:szCs w:val="4"/>
              </w:rPr>
            </w:pPr>
            <w:r>
              <w:rPr>
                <w:sz w:val="4"/>
                <w:szCs w:val="4"/>
              </w:rPr>
            </w:r>
          </w:p>
        </w:tc>
      </w:tr>
      <w:tr>
        <w:trPr/>
        <w:tc>
          <w:tcPr>
            <w:tcW w:w="274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A</w:t>
            </w:r>
            <w:r>
              <w:rPr>
                <w:rFonts w:ascii="Arial" w:hAnsi="Arial"/>
                <w:color w:val="000000"/>
                <w:sz w:val="15"/>
              </w:rPr>
              <w:t>MY</w:t>
            </w:r>
            <w:r>
              <w:rPr>
                <w:rFonts w:ascii="Times New Roman" w:hAnsi="Times New Roman"/>
                <w:color w:val="000000"/>
                <w:sz w:val="20"/>
              </w:rPr>
              <w:t> </w:t>
            </w:r>
            <w:r>
              <w:rPr>
                <w:rFonts w:ascii="Arial" w:hAnsi="Arial"/>
                <w:color w:val="000000"/>
                <w:sz w:val="20"/>
              </w:rPr>
              <w:t>E. H</w:t>
            </w:r>
            <w:r>
              <w:rPr>
                <w:rFonts w:ascii="Arial" w:hAnsi="Arial"/>
                <w:color w:val="000000"/>
                <w:sz w:val="15"/>
              </w:rPr>
              <w:t>OOD</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Amy E. Hood</w:t>
            </w:r>
          </w:p>
        </w:tc>
      </w:tr>
      <w:tr>
        <w:trPr/>
        <w:tc>
          <w:tcPr>
            <w:tcW w:w="274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Executive Vice President and</w:t>
            </w:r>
          </w:p>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October 29, 2025</w:t>
      </w:r>
    </w:p>
    <w:p>
      <w:pPr>
        <w:pStyle w:val="TextBody"/>
        <w:bidi w:val="0"/>
        <w:spacing w:before="180" w:after="283"/>
        <w:jc w:val="both"/>
        <w:rPr>
          <w:rFonts w:ascii="Arial" w:hAnsi="Arial"/>
          <w:color w:val="000000"/>
          <w:sz w:val="20"/>
        </w:rPr>
      </w:pPr>
      <w:r>
        <w:rPr>
          <w:rFonts w:ascii="Arial" w:hAnsi="Arial"/>
          <w:color w:val="000000"/>
          <w:sz w:val="20"/>
        </w:rPr>
        <w:t>[A signed original of this written statement required by Section 906 has been provided to Microsoft Corporation and will be retained by Microsoft Corporation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29359</Words>
  <Characters>164967</Characters>
  <CharactersWithSpaces>197868</CharactersWithSpaces>
  <Paragraphs>10376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