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53340</wp:posOffset>
            </wp:positionV>
            <wp:extent cx="1619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85090</wp:posOffset>
            </wp:positionV>
            <wp:extent cx="1619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6"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Fiscal Year Ended June 30, 2020</w:t>
      </w:r>
    </w:p>
    <w:p>
      <w:pPr>
        <w:spacing w:after="0" w:line="72" w:lineRule="exact"/>
        <w:rPr>
          <w:sz w:val="24"/>
          <w:szCs w:val="24"/>
          <w:color w:val="auto"/>
        </w:rPr>
      </w:pPr>
    </w:p>
    <w:p>
      <w:pPr>
        <w:jc w:val="center"/>
        <w:ind w:left="52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-109855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6" w:lineRule="exact"/>
        <w:rPr>
          <w:sz w:val="24"/>
          <w:szCs w:val="24"/>
          <w:color w:val="auto"/>
        </w:rPr>
      </w:pPr>
    </w:p>
    <w:p>
      <w:pPr>
        <w:ind w:left="540"/>
        <w:spacing w:after="0"/>
        <w:tabs>
          <w:tab w:leader="none" w:pos="33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66040</wp:posOffset>
            </wp:positionV>
            <wp:extent cx="1619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91440</wp:posOffset>
            </wp:positionV>
            <wp:extent cx="1619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360" w:type="dxa"/>
            <w:vAlign w:val="bottom"/>
          </w:tcPr>
          <w:p>
            <w:pPr>
              <w:ind w:left="2220"/>
              <w:spacing w:after="0"/>
              <w:rPr>
                <w:sz w:val="20"/>
                <w:szCs w:val="20"/>
                <w:color w:val="auto"/>
              </w:rPr>
            </w:pPr>
            <w:r>
              <w:rPr>
                <w:rFonts w:ascii="Arial" w:cs="Arial" w:eastAsia="Arial" w:hAnsi="Arial"/>
                <w:sz w:val="15"/>
                <w:szCs w:val="15"/>
                <w:b w:val="1"/>
                <w:bCs w:val="1"/>
                <w:color w:val="auto"/>
              </w:rPr>
              <w:t>WASHINGTON</w:t>
            </w:r>
          </w:p>
        </w:tc>
        <w:tc>
          <w:tcPr>
            <w:tcW w:w="3080" w:type="dxa"/>
            <w:vAlign w:val="bottom"/>
          </w:tcPr>
          <w:p>
            <w:pPr>
              <w:spacing w:after="0"/>
              <w:rPr>
                <w:sz w:val="14"/>
                <w:szCs w:val="14"/>
                <w:color w:val="auto"/>
              </w:rPr>
            </w:pPr>
          </w:p>
        </w:tc>
        <w:tc>
          <w:tcPr>
            <w:tcW w:w="3240" w:type="dxa"/>
            <w:vAlign w:val="bottom"/>
          </w:tcPr>
          <w:p>
            <w:pPr>
              <w:jc w:val="right"/>
              <w:ind w:right="1724"/>
              <w:spacing w:after="0"/>
              <w:rPr>
                <w:sz w:val="20"/>
                <w:szCs w:val="20"/>
                <w:color w:val="auto"/>
              </w:rPr>
            </w:pPr>
            <w:r>
              <w:rPr>
                <w:rFonts w:ascii="Arial" w:cs="Arial" w:eastAsia="Arial" w:hAnsi="Arial"/>
                <w:sz w:val="15"/>
                <w:szCs w:val="15"/>
                <w:b w:val="1"/>
                <w:bCs w:val="1"/>
                <w:color w:val="auto"/>
              </w:rPr>
              <w:t>91-1144442</w:t>
            </w:r>
          </w:p>
        </w:tc>
      </w:tr>
      <w:tr>
        <w:trPr>
          <w:trHeight w:val="178"/>
        </w:trPr>
        <w:tc>
          <w:tcPr>
            <w:tcW w:w="4360" w:type="dxa"/>
            <w:vAlign w:val="bottom"/>
          </w:tcPr>
          <w:p>
            <w:pPr>
              <w:ind w:left="1800"/>
              <w:spacing w:after="0"/>
              <w:rPr>
                <w:sz w:val="20"/>
                <w:szCs w:val="20"/>
                <w:color w:val="auto"/>
              </w:rPr>
            </w:pPr>
            <w:r>
              <w:rPr>
                <w:rFonts w:ascii="Arial" w:cs="Arial" w:eastAsia="Arial" w:hAnsi="Arial"/>
                <w:sz w:val="13"/>
                <w:szCs w:val="13"/>
                <w:b w:val="1"/>
                <w:bCs w:val="1"/>
                <w:color w:val="auto"/>
              </w:rPr>
              <w:t>(STATE OF INCORPORATION)</w:t>
            </w:r>
          </w:p>
        </w:tc>
        <w:tc>
          <w:tcPr>
            <w:tcW w:w="3080" w:type="dxa"/>
            <w:vAlign w:val="bottom"/>
          </w:tcPr>
          <w:p>
            <w:pPr>
              <w:spacing w:after="0"/>
              <w:rPr>
                <w:sz w:val="15"/>
                <w:szCs w:val="15"/>
                <w:color w:val="auto"/>
              </w:rPr>
            </w:pPr>
          </w:p>
        </w:tc>
        <w:tc>
          <w:tcPr>
            <w:tcW w:w="3240" w:type="dxa"/>
            <w:vAlign w:val="bottom"/>
          </w:tcPr>
          <w:p>
            <w:pPr>
              <w:jc w:val="center"/>
              <w:ind w:right="1124"/>
              <w:spacing w:after="0"/>
              <w:rPr>
                <w:sz w:val="20"/>
                <w:szCs w:val="20"/>
                <w:color w:val="auto"/>
              </w:rPr>
            </w:pPr>
            <w:r>
              <w:rPr>
                <w:rFonts w:ascii="Arial" w:cs="Arial" w:eastAsia="Arial" w:hAnsi="Arial"/>
                <w:sz w:val="13"/>
                <w:szCs w:val="13"/>
                <w:b w:val="1"/>
                <w:bCs w:val="1"/>
                <w:color w:val="auto"/>
              </w:rPr>
              <w:t>(I.R.S. ID)</w:t>
            </w:r>
          </w:p>
        </w:tc>
      </w:tr>
      <w:tr>
        <w:trPr>
          <w:trHeight w:val="235"/>
        </w:trPr>
        <w:tc>
          <w:tcPr>
            <w:tcW w:w="10680" w:type="dxa"/>
            <w:vAlign w:val="bottom"/>
            <w:gridSpan w:val="3"/>
          </w:tcPr>
          <w:p>
            <w:pPr>
              <w:ind w:left="3360"/>
              <w:spacing w:after="0"/>
              <w:rPr>
                <w:sz w:val="20"/>
                <w:szCs w:val="20"/>
                <w:color w:val="auto"/>
              </w:rPr>
            </w:pPr>
            <w:r>
              <w:rPr>
                <w:rFonts w:ascii="Arial" w:cs="Arial" w:eastAsia="Arial" w:hAnsi="Arial"/>
                <w:sz w:val="15"/>
                <w:szCs w:val="15"/>
                <w:b w:val="1"/>
                <w:bCs w:val="1"/>
                <w:color w:val="auto"/>
              </w:rPr>
              <w:t>ONE MICROSOFT WAY, REDMOND, WASHINGTON 98052-6399</w:t>
            </w:r>
          </w:p>
        </w:tc>
      </w:tr>
      <w:tr>
        <w:trPr>
          <w:trHeight w:val="216"/>
        </w:trPr>
        <w:tc>
          <w:tcPr>
            <w:tcW w:w="4360" w:type="dxa"/>
            <w:vAlign w:val="bottom"/>
          </w:tcPr>
          <w:p>
            <w:pPr>
              <w:spacing w:after="0"/>
              <w:rPr>
                <w:sz w:val="18"/>
                <w:szCs w:val="18"/>
                <w:color w:val="auto"/>
              </w:rPr>
            </w:pPr>
          </w:p>
        </w:tc>
        <w:tc>
          <w:tcPr>
            <w:tcW w:w="3080" w:type="dxa"/>
            <w:vAlign w:val="bottom"/>
          </w:tcPr>
          <w:p>
            <w:pPr>
              <w:jc w:val="right"/>
              <w:ind w:right="1223"/>
              <w:spacing w:after="0"/>
              <w:rPr>
                <w:sz w:val="20"/>
                <w:szCs w:val="20"/>
                <w:color w:val="auto"/>
              </w:rPr>
            </w:pPr>
            <w:r>
              <w:rPr>
                <w:rFonts w:ascii="Arial" w:cs="Arial" w:eastAsia="Arial" w:hAnsi="Arial"/>
                <w:sz w:val="15"/>
                <w:szCs w:val="15"/>
                <w:b w:val="1"/>
                <w:bCs w:val="1"/>
                <w:color w:val="auto"/>
              </w:rPr>
              <w:t>(425) 882-8080</w:t>
            </w:r>
          </w:p>
        </w:tc>
        <w:tc>
          <w:tcPr>
            <w:tcW w:w="32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3080" w:type="dxa"/>
            <w:vAlign w:val="bottom"/>
          </w:tcPr>
          <w:p>
            <w:pPr>
              <w:jc w:val="right"/>
              <w:ind w:right="703"/>
              <w:spacing w:after="0"/>
              <w:rPr>
                <w:sz w:val="20"/>
                <w:szCs w:val="20"/>
                <w:color w:val="auto"/>
              </w:rPr>
            </w:pPr>
            <w:r>
              <w:rPr>
                <w:rFonts w:ascii="Arial" w:cs="Arial" w:eastAsia="Arial" w:hAnsi="Arial"/>
                <w:sz w:val="15"/>
                <w:szCs w:val="15"/>
                <w:b w:val="1"/>
                <w:bCs w:val="1"/>
                <w:color w:val="auto"/>
              </w:rPr>
              <w:t>www.microsoft.com/investor</w:t>
            </w:r>
          </w:p>
        </w:tc>
        <w:tc>
          <w:tcPr>
            <w:tcW w:w="3240" w:type="dxa"/>
            <w:vAlign w:val="bottom"/>
          </w:tcPr>
          <w:p>
            <w:pPr>
              <w:spacing w:after="0"/>
              <w:rPr>
                <w:sz w:val="18"/>
                <w:szCs w:val="18"/>
                <w:color w:val="auto"/>
              </w:rPr>
            </w:pPr>
          </w:p>
        </w:tc>
      </w:tr>
      <w:tr>
        <w:trPr>
          <w:trHeight w:val="258"/>
        </w:trPr>
        <w:tc>
          <w:tcPr>
            <w:tcW w:w="43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08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270"/>
        </w:trPr>
        <w:tc>
          <w:tcPr>
            <w:tcW w:w="4360" w:type="dxa"/>
            <w:vAlign w:val="bottom"/>
          </w:tcPr>
          <w:p>
            <w:pPr>
              <w:ind w:left="2160"/>
              <w:spacing w:after="0"/>
              <w:rPr>
                <w:sz w:val="20"/>
                <w:szCs w:val="20"/>
                <w:color w:val="auto"/>
              </w:rPr>
            </w:pPr>
            <w:r>
              <w:rPr>
                <w:rFonts w:ascii="Arial" w:cs="Arial" w:eastAsia="Arial" w:hAnsi="Arial"/>
                <w:sz w:val="16"/>
                <w:szCs w:val="16"/>
                <w:color w:val="auto"/>
              </w:rPr>
              <w:t>Title of each class</w:t>
            </w:r>
          </w:p>
        </w:tc>
        <w:tc>
          <w:tcPr>
            <w:tcW w:w="3080" w:type="dxa"/>
            <w:vAlign w:val="bottom"/>
          </w:tcPr>
          <w:p>
            <w:pPr>
              <w:jc w:val="right"/>
              <w:ind w:right="343"/>
              <w:spacing w:after="0"/>
              <w:rPr>
                <w:sz w:val="20"/>
                <w:szCs w:val="20"/>
                <w:color w:val="auto"/>
              </w:rPr>
            </w:pPr>
            <w:r>
              <w:rPr>
                <w:rFonts w:ascii="Arial" w:cs="Arial" w:eastAsia="Arial" w:hAnsi="Arial"/>
                <w:sz w:val="16"/>
                <w:szCs w:val="16"/>
                <w:color w:val="auto"/>
              </w:rPr>
              <w:t>Trading Symbol</w:t>
            </w:r>
          </w:p>
        </w:tc>
        <w:tc>
          <w:tcPr>
            <w:tcW w:w="3240" w:type="dxa"/>
            <w:vAlign w:val="bottom"/>
          </w:tcPr>
          <w:p>
            <w:pPr>
              <w:jc w:val="center"/>
              <w:ind w:left="344"/>
              <w:spacing w:after="0"/>
              <w:rPr>
                <w:sz w:val="20"/>
                <w:szCs w:val="20"/>
                <w:color w:val="auto"/>
              </w:rPr>
            </w:pPr>
            <w:r>
              <w:rPr>
                <w:rFonts w:ascii="Arial" w:cs="Arial" w:eastAsia="Arial" w:hAnsi="Arial"/>
                <w:sz w:val="16"/>
                <w:szCs w:val="16"/>
                <w:color w:val="auto"/>
              </w:rPr>
              <w:t>Name of exchange on which registered</w:t>
            </w:r>
          </w:p>
        </w:tc>
      </w:tr>
      <w:tr>
        <w:trPr>
          <w:trHeight w:val="258"/>
        </w:trPr>
        <w:tc>
          <w:tcPr>
            <w:tcW w:w="4360" w:type="dxa"/>
            <w:vAlign w:val="bottom"/>
          </w:tcPr>
          <w:p>
            <w:pPr>
              <w:spacing w:after="0"/>
              <w:rPr>
                <w:sz w:val="20"/>
                <w:szCs w:val="20"/>
                <w:color w:val="auto"/>
              </w:rPr>
            </w:pPr>
            <w:r>
              <w:rPr>
                <w:rFonts w:ascii="Arial" w:cs="Arial" w:eastAsia="Arial" w:hAnsi="Arial"/>
                <w:sz w:val="16"/>
                <w:szCs w:val="16"/>
                <w:b w:val="1"/>
                <w:bCs w:val="1"/>
                <w:color w:val="auto"/>
              </w:rPr>
              <w:t>Common stock, $0.00000625 par value per share</w:t>
            </w:r>
          </w:p>
        </w:tc>
        <w:tc>
          <w:tcPr>
            <w:tcW w:w="3080" w:type="dxa"/>
            <w:vAlign w:val="bottom"/>
          </w:tcPr>
          <w:p>
            <w:pPr>
              <w:jc w:val="right"/>
              <w:ind w:right="703"/>
              <w:spacing w:after="0"/>
              <w:rPr>
                <w:sz w:val="20"/>
                <w:szCs w:val="20"/>
                <w:color w:val="auto"/>
              </w:rPr>
            </w:pPr>
            <w:r>
              <w:rPr>
                <w:rFonts w:ascii="Arial" w:cs="Arial" w:eastAsia="Arial" w:hAnsi="Arial"/>
                <w:sz w:val="15"/>
                <w:szCs w:val="15"/>
                <w:b w:val="1"/>
                <w:bCs w:val="1"/>
                <w:color w:val="auto"/>
              </w:rPr>
              <w:t>MSFT</w:t>
            </w:r>
          </w:p>
        </w:tc>
        <w:tc>
          <w:tcPr>
            <w:tcW w:w="3240" w:type="dxa"/>
            <w:vAlign w:val="bottom"/>
          </w:tcPr>
          <w:p>
            <w:pPr>
              <w:jc w:val="center"/>
              <w:ind w:left="344"/>
              <w:spacing w:after="0"/>
              <w:rPr>
                <w:sz w:val="20"/>
                <w:szCs w:val="20"/>
                <w:color w:val="auto"/>
              </w:rPr>
            </w:pPr>
            <w:r>
              <w:rPr>
                <w:rFonts w:ascii="Arial" w:cs="Arial" w:eastAsia="Arial" w:hAnsi="Arial"/>
                <w:sz w:val="15"/>
                <w:szCs w:val="15"/>
                <w:b w:val="1"/>
                <w:bCs w:val="1"/>
                <w:color w:val="auto"/>
              </w:rPr>
              <w:t>NASDAQ</w:t>
            </w:r>
          </w:p>
        </w:tc>
      </w:tr>
      <w:tr>
        <w:trPr>
          <w:trHeight w:val="203"/>
        </w:trPr>
        <w:tc>
          <w:tcPr>
            <w:tcW w:w="4360" w:type="dxa"/>
            <w:vAlign w:val="bottom"/>
          </w:tcPr>
          <w:p>
            <w:pPr>
              <w:spacing w:after="0"/>
              <w:rPr>
                <w:sz w:val="20"/>
                <w:szCs w:val="20"/>
                <w:color w:val="auto"/>
              </w:rPr>
            </w:pPr>
            <w:r>
              <w:rPr>
                <w:rFonts w:ascii="Arial" w:cs="Arial" w:eastAsia="Arial" w:hAnsi="Arial"/>
                <w:sz w:val="16"/>
                <w:szCs w:val="16"/>
                <w:b w:val="1"/>
                <w:bCs w:val="1"/>
                <w:color w:val="auto"/>
              </w:rPr>
              <w:t>2.125% Notes due 2021</w:t>
            </w:r>
          </w:p>
        </w:tc>
        <w:tc>
          <w:tcPr>
            <w:tcW w:w="3080" w:type="dxa"/>
            <w:vAlign w:val="bottom"/>
          </w:tcPr>
          <w:p>
            <w:pPr>
              <w:jc w:val="right"/>
              <w:ind w:right="703"/>
              <w:spacing w:after="0"/>
              <w:rPr>
                <w:sz w:val="20"/>
                <w:szCs w:val="20"/>
                <w:color w:val="auto"/>
              </w:rPr>
            </w:pPr>
            <w:r>
              <w:rPr>
                <w:rFonts w:ascii="Arial" w:cs="Arial" w:eastAsia="Arial" w:hAnsi="Arial"/>
                <w:sz w:val="15"/>
                <w:szCs w:val="15"/>
                <w:b w:val="1"/>
                <w:bCs w:val="1"/>
                <w:color w:val="auto"/>
              </w:rPr>
              <w:t>MSFT</w:t>
            </w:r>
          </w:p>
        </w:tc>
        <w:tc>
          <w:tcPr>
            <w:tcW w:w="3240" w:type="dxa"/>
            <w:vAlign w:val="bottom"/>
          </w:tcPr>
          <w:p>
            <w:pPr>
              <w:jc w:val="center"/>
              <w:ind w:left="344"/>
              <w:spacing w:after="0"/>
              <w:rPr>
                <w:sz w:val="20"/>
                <w:szCs w:val="20"/>
                <w:color w:val="auto"/>
              </w:rPr>
            </w:pPr>
            <w:r>
              <w:rPr>
                <w:rFonts w:ascii="Arial" w:cs="Arial" w:eastAsia="Arial" w:hAnsi="Arial"/>
                <w:sz w:val="15"/>
                <w:szCs w:val="15"/>
                <w:b w:val="1"/>
                <w:bCs w:val="1"/>
                <w:color w:val="auto"/>
              </w:rPr>
              <w:t>NASDAQ</w:t>
            </w:r>
          </w:p>
        </w:tc>
      </w:tr>
      <w:tr>
        <w:trPr>
          <w:trHeight w:val="203"/>
        </w:trPr>
        <w:tc>
          <w:tcPr>
            <w:tcW w:w="4360" w:type="dxa"/>
            <w:vAlign w:val="bottom"/>
          </w:tcPr>
          <w:p>
            <w:pPr>
              <w:spacing w:after="0"/>
              <w:rPr>
                <w:sz w:val="20"/>
                <w:szCs w:val="20"/>
                <w:color w:val="auto"/>
              </w:rPr>
            </w:pPr>
            <w:r>
              <w:rPr>
                <w:rFonts w:ascii="Arial" w:cs="Arial" w:eastAsia="Arial" w:hAnsi="Arial"/>
                <w:sz w:val="16"/>
                <w:szCs w:val="16"/>
                <w:b w:val="1"/>
                <w:bCs w:val="1"/>
                <w:color w:val="auto"/>
              </w:rPr>
              <w:t>3.125% Notes due 2028</w:t>
            </w:r>
          </w:p>
        </w:tc>
        <w:tc>
          <w:tcPr>
            <w:tcW w:w="3080" w:type="dxa"/>
            <w:vAlign w:val="bottom"/>
          </w:tcPr>
          <w:p>
            <w:pPr>
              <w:jc w:val="right"/>
              <w:ind w:right="703"/>
              <w:spacing w:after="0"/>
              <w:rPr>
                <w:sz w:val="20"/>
                <w:szCs w:val="20"/>
                <w:color w:val="auto"/>
              </w:rPr>
            </w:pPr>
            <w:r>
              <w:rPr>
                <w:rFonts w:ascii="Arial" w:cs="Arial" w:eastAsia="Arial" w:hAnsi="Arial"/>
                <w:sz w:val="15"/>
                <w:szCs w:val="15"/>
                <w:b w:val="1"/>
                <w:bCs w:val="1"/>
                <w:color w:val="auto"/>
              </w:rPr>
              <w:t>MSFT</w:t>
            </w:r>
          </w:p>
        </w:tc>
        <w:tc>
          <w:tcPr>
            <w:tcW w:w="3240" w:type="dxa"/>
            <w:vAlign w:val="bottom"/>
          </w:tcPr>
          <w:p>
            <w:pPr>
              <w:jc w:val="center"/>
              <w:ind w:left="344"/>
              <w:spacing w:after="0"/>
              <w:rPr>
                <w:sz w:val="20"/>
                <w:szCs w:val="20"/>
                <w:color w:val="auto"/>
              </w:rPr>
            </w:pPr>
            <w:r>
              <w:rPr>
                <w:rFonts w:ascii="Arial" w:cs="Arial" w:eastAsia="Arial" w:hAnsi="Arial"/>
                <w:sz w:val="15"/>
                <w:szCs w:val="15"/>
                <w:b w:val="1"/>
                <w:bCs w:val="1"/>
                <w:color w:val="auto"/>
              </w:rPr>
              <w:t>NASDAQ</w:t>
            </w:r>
          </w:p>
        </w:tc>
      </w:tr>
      <w:tr>
        <w:trPr>
          <w:trHeight w:val="226"/>
        </w:trPr>
        <w:tc>
          <w:tcPr>
            <w:tcW w:w="4360" w:type="dxa"/>
            <w:vAlign w:val="bottom"/>
          </w:tcPr>
          <w:p>
            <w:pPr>
              <w:spacing w:after="0"/>
              <w:rPr>
                <w:sz w:val="20"/>
                <w:szCs w:val="20"/>
                <w:color w:val="auto"/>
              </w:rPr>
            </w:pPr>
            <w:r>
              <w:rPr>
                <w:rFonts w:ascii="Arial" w:cs="Arial" w:eastAsia="Arial" w:hAnsi="Arial"/>
                <w:sz w:val="16"/>
                <w:szCs w:val="16"/>
                <w:b w:val="1"/>
                <w:bCs w:val="1"/>
                <w:color w:val="auto"/>
              </w:rPr>
              <w:t>2.625% Notes due 2033</w:t>
            </w:r>
          </w:p>
        </w:tc>
        <w:tc>
          <w:tcPr>
            <w:tcW w:w="3080" w:type="dxa"/>
            <w:vAlign w:val="bottom"/>
          </w:tcPr>
          <w:p>
            <w:pPr>
              <w:jc w:val="right"/>
              <w:ind w:right="703"/>
              <w:spacing w:after="0"/>
              <w:rPr>
                <w:sz w:val="20"/>
                <w:szCs w:val="20"/>
                <w:color w:val="auto"/>
              </w:rPr>
            </w:pPr>
            <w:r>
              <w:rPr>
                <w:rFonts w:ascii="Arial" w:cs="Arial" w:eastAsia="Arial" w:hAnsi="Arial"/>
                <w:sz w:val="15"/>
                <w:szCs w:val="15"/>
                <w:b w:val="1"/>
                <w:bCs w:val="1"/>
                <w:color w:val="auto"/>
              </w:rPr>
              <w:t>MSFT</w:t>
            </w:r>
          </w:p>
        </w:tc>
        <w:tc>
          <w:tcPr>
            <w:tcW w:w="3240" w:type="dxa"/>
            <w:vAlign w:val="bottom"/>
          </w:tcPr>
          <w:p>
            <w:pPr>
              <w:jc w:val="center"/>
              <w:ind w:left="344"/>
              <w:spacing w:after="0"/>
              <w:rPr>
                <w:sz w:val="20"/>
                <w:szCs w:val="20"/>
                <w:color w:val="auto"/>
              </w:rPr>
            </w:pPr>
            <w:r>
              <w:rPr>
                <w:rFonts w:ascii="Arial" w:cs="Arial" w:eastAsia="Arial" w:hAnsi="Arial"/>
                <w:sz w:val="15"/>
                <w:szCs w:val="15"/>
                <w:b w:val="1"/>
                <w:bCs w:val="1"/>
                <w:color w:val="auto"/>
              </w:rPr>
              <w:t>NASDAQ</w:t>
            </w:r>
          </w:p>
        </w:tc>
      </w:tr>
    </w:tbl>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NONE</w:t>
      </w:r>
    </w:p>
    <w:p>
      <w:pPr>
        <w:spacing w:after="0" w:line="49" w:lineRule="exact"/>
        <w:rPr>
          <w:sz w:val="24"/>
          <w:szCs w:val="24"/>
          <w:color w:val="auto"/>
        </w:rPr>
      </w:pPr>
    </w:p>
    <w:p>
      <w:pPr>
        <w:spacing w:after="0" w:line="173" w:lineRule="exact"/>
        <w:tabs>
          <w:tab w:leader="none" w:pos="8060" w:val="left"/>
          <w:tab w:leader="none" w:pos="870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1" w:lineRule="exact"/>
        <w:rPr>
          <w:sz w:val="24"/>
          <w:szCs w:val="24"/>
          <w:color w:val="auto"/>
        </w:rPr>
      </w:pPr>
    </w:p>
    <w:p>
      <w:pPr>
        <w:spacing w:after="0" w:line="173" w:lineRule="exact"/>
        <w:tabs>
          <w:tab w:leader="none" w:pos="8860" w:val="left"/>
          <w:tab w:leader="none" w:pos="950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97" w:lineRule="exact"/>
        <w:rPr>
          <w:sz w:val="24"/>
          <w:szCs w:val="24"/>
          <w:color w:val="auto"/>
        </w:rPr>
      </w:pPr>
    </w:p>
    <w:p>
      <w:pPr>
        <w:jc w:val="both"/>
        <w:spacing w:after="0" w:line="179"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3" w:right="339" w:bottom="1440" w:gutter="0" w:footer="0" w:header="0"/>
        </w:sectPr>
      </w:pPr>
    </w:p>
    <w:p>
      <w:pPr>
        <w:spacing w:after="0" w:line="2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6600" w:space="720"/>
            <w:col w:w="3920"/>
          </w:cols>
          <w:pgMar w:left="320" w:top="473"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1" w:lineRule="exact"/>
        <w:rPr>
          <w:sz w:val="24"/>
          <w:szCs w:val="24"/>
          <w:color w:val="auto"/>
        </w:rPr>
      </w:pPr>
    </w:p>
    <w:p>
      <w:pPr>
        <w:sectPr>
          <w:pgSz w:w="11900" w:h="16838" w:orient="portrait"/>
          <w:cols w:equalWidth="0" w:num="2">
            <w:col w:w="6600" w:space="720"/>
            <w:col w:w="3920"/>
          </w:cols>
          <w:pgMar w:left="320" w:top="473" w:right="339" w:bottom="1440" w:gutter="0" w:footer="0" w:header="0"/>
          <w:type w:val="continuous"/>
        </w:sect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7" w:lineRule="exact"/>
        <w:rPr>
          <w:sz w:val="24"/>
          <w:szCs w:val="24"/>
          <w:color w:val="auto"/>
        </w:rPr>
      </w:pPr>
    </w:p>
    <w:p>
      <w:pPr>
        <w:spacing w:after="0" w:line="18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 w:lineRule="exact"/>
        <w:rPr>
          <w:sz w:val="24"/>
          <w:szCs w:val="24"/>
          <w:color w:val="auto"/>
        </w:rPr>
      </w:pPr>
    </w:p>
    <w:p>
      <w:pPr>
        <w:spacing w:after="0" w:line="173" w:lineRule="exact"/>
        <w:tabs>
          <w:tab w:leader="none" w:pos="7580" w:val="left"/>
          <w:tab w:leader="none" w:pos="82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97" w:lineRule="exact"/>
        <w:rPr>
          <w:sz w:val="24"/>
          <w:szCs w:val="24"/>
          <w:color w:val="auto"/>
        </w:rPr>
      </w:pPr>
    </w:p>
    <w:p>
      <w:pPr>
        <w:spacing w:after="0" w:line="242" w:lineRule="auto"/>
        <w:rPr>
          <w:sz w:val="20"/>
          <w:szCs w:val="20"/>
          <w:color w:val="auto"/>
        </w:rPr>
      </w:pPr>
      <w:r>
        <w:rPr>
          <w:rFonts w:ascii="Arial" w:cs="Arial" w:eastAsia="Arial" w:hAnsi="Arial"/>
          <w:sz w:val="15"/>
          <w:szCs w:val="15"/>
          <w:color w:val="auto"/>
        </w:rPr>
        <w:t>As of December 31, 2019, the aggregate market value of the registrant’s common stock held by non-affiliates of the registrant was $1.2 trillion based on the closing sale price as reported on the NASDAQ National Market System. As of July 27, 2020, there were 7,567,652,935 shares of common stock outstanding.</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62" w:lineRule="exact"/>
        <w:rPr>
          <w:sz w:val="24"/>
          <w:szCs w:val="24"/>
          <w:color w:val="auto"/>
        </w:rPr>
      </w:pPr>
    </w:p>
    <w:p>
      <w:pPr>
        <w:ind w:right="20"/>
        <w:spacing w:after="0" w:line="242" w:lineRule="auto"/>
        <w:rPr>
          <w:sz w:val="20"/>
          <w:szCs w:val="20"/>
          <w:color w:val="auto"/>
        </w:rPr>
      </w:pPr>
      <w:r>
        <w:rPr>
          <w:rFonts w:ascii="Arial" w:cs="Arial" w:eastAsia="Arial" w:hAnsi="Arial"/>
          <w:sz w:val="15"/>
          <w:szCs w:val="15"/>
          <w:color w:val="auto"/>
        </w:rPr>
        <w:t>Portions of the definitive Proxy Statement to be delivered to shareholders in connection with the Annual Meeting of Shareholders to be held on December 2, 2020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8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3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Page</w:t>
            </w:r>
          </w:p>
        </w:tc>
      </w:tr>
      <w:tr>
        <w:trPr>
          <w:trHeight w:val="331"/>
        </w:trPr>
        <w:tc>
          <w:tcPr>
            <w:tcW w:w="18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860" w:type="dxa"/>
            <w:vAlign w:val="bottom"/>
          </w:tcPr>
          <w:p>
            <w:pPr>
              <w:ind w:left="900"/>
              <w:spacing w:after="0"/>
              <w:rPr>
                <w:sz w:val="20"/>
                <w:szCs w:val="20"/>
                <w:color w:val="auto"/>
              </w:rPr>
            </w:pPr>
            <w:r>
              <w:rPr>
                <w:rFonts w:ascii="Arial" w:cs="Arial" w:eastAsia="Arial" w:hAnsi="Arial"/>
                <w:sz w:val="18"/>
                <w:szCs w:val="18"/>
                <w:color w:val="auto"/>
              </w:rPr>
              <w:t>Item 1.</w:t>
            </w:r>
          </w:p>
        </w:tc>
        <w:tc>
          <w:tcPr>
            <w:tcW w:w="6000" w:type="dxa"/>
            <w:vAlign w:val="bottom"/>
          </w:tcPr>
          <w:p>
            <w:pPr>
              <w:ind w:left="2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1860" w:type="dxa"/>
            <w:vAlign w:val="bottom"/>
          </w:tcPr>
          <w:p>
            <w:pPr>
              <w:spacing w:after="0"/>
              <w:rPr>
                <w:sz w:val="24"/>
                <w:szCs w:val="24"/>
                <w:color w:val="auto"/>
              </w:rPr>
            </w:pPr>
          </w:p>
        </w:tc>
        <w:tc>
          <w:tcPr>
            <w:tcW w:w="6000" w:type="dxa"/>
            <w:vAlign w:val="bottom"/>
          </w:tcPr>
          <w:p>
            <w:pPr>
              <w:ind w:left="2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Executive Officers of the Registrant</w:t>
              </w:r>
            </w:hyperlink>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364"/>
        </w:trPr>
        <w:tc>
          <w:tcPr>
            <w:tcW w:w="1860" w:type="dxa"/>
            <w:vAlign w:val="bottom"/>
          </w:tcPr>
          <w:p>
            <w:pPr>
              <w:ind w:left="900"/>
              <w:spacing w:after="0"/>
              <w:rPr>
                <w:sz w:val="20"/>
                <w:szCs w:val="20"/>
                <w:color w:val="auto"/>
              </w:rPr>
            </w:pPr>
            <w:r>
              <w:rPr>
                <w:rFonts w:ascii="Arial" w:cs="Arial" w:eastAsia="Arial" w:hAnsi="Arial"/>
                <w:sz w:val="18"/>
                <w:szCs w:val="18"/>
                <w:color w:val="auto"/>
              </w:rPr>
              <w:t>Item 1A.</w:t>
            </w:r>
          </w:p>
        </w:tc>
        <w:tc>
          <w:tcPr>
            <w:tcW w:w="6000" w:type="dxa"/>
            <w:vAlign w:val="bottom"/>
          </w:tcPr>
          <w:p>
            <w:pPr>
              <w:ind w:left="2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364"/>
        </w:trPr>
        <w:tc>
          <w:tcPr>
            <w:tcW w:w="1860" w:type="dxa"/>
            <w:vAlign w:val="bottom"/>
          </w:tcPr>
          <w:p>
            <w:pPr>
              <w:ind w:left="900"/>
              <w:spacing w:after="0"/>
              <w:rPr>
                <w:sz w:val="20"/>
                <w:szCs w:val="20"/>
                <w:color w:val="auto"/>
              </w:rPr>
            </w:pPr>
            <w:r>
              <w:rPr>
                <w:rFonts w:ascii="Arial" w:cs="Arial" w:eastAsia="Arial" w:hAnsi="Arial"/>
                <w:sz w:val="18"/>
                <w:szCs w:val="18"/>
                <w:color w:val="auto"/>
              </w:rPr>
              <w:t>Item 1B.</w:t>
            </w:r>
          </w:p>
        </w:tc>
        <w:tc>
          <w:tcPr>
            <w:tcW w:w="6000" w:type="dxa"/>
            <w:vAlign w:val="bottom"/>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Unresolved Staff Comments</w:t>
              </w:r>
            </w:hyperlink>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1860" w:type="dxa"/>
            <w:vAlign w:val="bottom"/>
          </w:tcPr>
          <w:p>
            <w:pPr>
              <w:ind w:left="900"/>
              <w:spacing w:after="0"/>
              <w:rPr>
                <w:sz w:val="20"/>
                <w:szCs w:val="20"/>
                <w:color w:val="auto"/>
              </w:rPr>
            </w:pPr>
            <w:r>
              <w:rPr>
                <w:rFonts w:ascii="Arial" w:cs="Arial" w:eastAsia="Arial" w:hAnsi="Arial"/>
                <w:sz w:val="18"/>
                <w:szCs w:val="18"/>
                <w:color w:val="auto"/>
              </w:rPr>
              <w:t>Item 2.</w:t>
            </w:r>
          </w:p>
        </w:tc>
        <w:tc>
          <w:tcPr>
            <w:tcW w:w="6000" w:type="dxa"/>
            <w:vAlign w:val="bottom"/>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Properties</w:t>
              </w:r>
            </w:hyperlink>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364"/>
        </w:trPr>
        <w:tc>
          <w:tcPr>
            <w:tcW w:w="1860" w:type="dxa"/>
            <w:vAlign w:val="bottom"/>
          </w:tcPr>
          <w:p>
            <w:pPr>
              <w:ind w:left="900"/>
              <w:spacing w:after="0"/>
              <w:rPr>
                <w:sz w:val="20"/>
                <w:szCs w:val="20"/>
                <w:color w:val="auto"/>
              </w:rPr>
            </w:pPr>
            <w:r>
              <w:rPr>
                <w:rFonts w:ascii="Arial" w:cs="Arial" w:eastAsia="Arial" w:hAnsi="Arial"/>
                <w:sz w:val="18"/>
                <w:szCs w:val="18"/>
                <w:color w:val="auto"/>
              </w:rPr>
              <w:t>Item 3.</w:t>
            </w:r>
          </w:p>
        </w:tc>
        <w:tc>
          <w:tcPr>
            <w:tcW w:w="6000" w:type="dxa"/>
            <w:vAlign w:val="bottom"/>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1860" w:type="dxa"/>
            <w:vAlign w:val="bottom"/>
          </w:tcPr>
          <w:p>
            <w:pPr>
              <w:ind w:left="900"/>
              <w:spacing w:after="0"/>
              <w:rPr>
                <w:sz w:val="20"/>
                <w:szCs w:val="20"/>
                <w:color w:val="auto"/>
              </w:rPr>
            </w:pPr>
            <w:r>
              <w:rPr>
                <w:rFonts w:ascii="Arial" w:cs="Arial" w:eastAsia="Arial" w:hAnsi="Arial"/>
                <w:sz w:val="18"/>
                <w:szCs w:val="18"/>
                <w:color w:val="auto"/>
              </w:rPr>
              <w:t>Item 4.</w:t>
            </w:r>
          </w:p>
        </w:tc>
        <w:tc>
          <w:tcPr>
            <w:tcW w:w="6000" w:type="dxa"/>
            <w:vAlign w:val="bottom"/>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Mine Safety Disclosures</w:t>
              </w:r>
            </w:hyperlink>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48" w:lineRule="exact"/>
        <w:rPr>
          <w:sz w:val="20"/>
          <w:szCs w:val="20"/>
          <w:color w:val="auto"/>
        </w:rPr>
      </w:pPr>
    </w:p>
    <w:p>
      <w:pPr>
        <w:sectPr>
          <w:pgSz w:w="11900" w:h="16838" w:orient="portrait"/>
          <w:cols w:equalWidth="0" w:num="1">
            <w:col w:w="11240"/>
          </w:cols>
          <w:pgMar w:left="320" w:top="346" w:right="339" w:bottom="1440" w:gutter="0" w:footer="0" w:header="0"/>
        </w:sectPr>
      </w:pPr>
    </w:p>
    <w:p>
      <w:pPr>
        <w:ind w:left="2140" w:hanging="1241"/>
        <w:spacing w:after="0" w:line="246"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33">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Securities</w:t>
        </w:r>
      </w:hyperlink>
    </w:p>
    <w:p>
      <w:pPr>
        <w:spacing w:after="0" w:line="102" w:lineRule="exact"/>
        <w:rPr>
          <w:sz w:val="20"/>
          <w:szCs w:val="20"/>
          <w:color w:val="auto"/>
        </w:rPr>
      </w:pPr>
    </w:p>
    <w:p>
      <w:pPr>
        <w:ind w:left="900"/>
        <w:spacing w:after="0"/>
        <w:tabs>
          <w:tab w:leader="none" w:pos="212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34">
        <w:r>
          <w:rPr>
            <w:rFonts w:ascii="Arial" w:cs="Arial" w:eastAsia="Arial" w:hAnsi="Arial"/>
            <w:sz w:val="17"/>
            <w:szCs w:val="17"/>
            <w:u w:val="single" w:color="auto"/>
            <w:color w:val="0000EE"/>
          </w:rPr>
          <w:t>Selected Financial Data</w:t>
        </w:r>
      </w:hyperlink>
    </w:p>
    <w:p>
      <w:pPr>
        <w:spacing w:after="0" w:line="158" w:lineRule="exact"/>
        <w:rPr>
          <w:sz w:val="20"/>
          <w:szCs w:val="20"/>
          <w:color w:val="auto"/>
        </w:rPr>
      </w:pPr>
    </w:p>
    <w:p>
      <w:pPr>
        <w:ind w:left="900"/>
        <w:spacing w:after="0"/>
        <w:tabs>
          <w:tab w:leader="none" w:pos="2120" w:val="left"/>
        </w:tabs>
        <w:rPr>
          <w:rFonts w:ascii="Arial" w:cs="Arial" w:eastAsia="Arial" w:hAnsi="Arial"/>
          <w:sz w:val="17"/>
          <w:szCs w:val="17"/>
          <w:u w:val="single" w:color="auto"/>
          <w:color w:val="0000EE"/>
        </w:rPr>
      </w:pPr>
      <w:r>
        <w:rPr>
          <w:rFonts w:ascii="Arial" w:cs="Arial" w:eastAsia="Arial" w:hAnsi="Arial"/>
          <w:sz w:val="18"/>
          <w:szCs w:val="18"/>
          <w:color w:val="auto"/>
        </w:rPr>
        <w:t>Item 7.</w:t>
      </w:r>
      <w:r>
        <w:rPr>
          <w:sz w:val="20"/>
          <w:szCs w:val="20"/>
          <w:color w:val="auto"/>
        </w:rPr>
        <w:tab/>
      </w:r>
      <w:hyperlink w:anchor="page35">
        <w:r>
          <w:rPr>
            <w:rFonts w:ascii="Arial" w:cs="Arial" w:eastAsia="Arial" w:hAnsi="Arial"/>
            <w:sz w:val="17"/>
            <w:szCs w:val="17"/>
            <w:u w:val="single" w:color="auto"/>
            <w:color w:val="0000EE"/>
          </w:rPr>
          <w:t>Management’s Discussion and Analysis of Financial Condition and Results of Operations</w:t>
        </w:r>
      </w:hyperlink>
    </w:p>
    <w:p>
      <w:pPr>
        <w:spacing w:after="0" w:line="158" w:lineRule="exact"/>
        <w:rPr>
          <w:sz w:val="20"/>
          <w:szCs w:val="20"/>
          <w:color w:val="auto"/>
        </w:rPr>
      </w:pPr>
    </w:p>
    <w:p>
      <w:pPr>
        <w:ind w:left="900"/>
        <w:spacing w:after="0"/>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Item 7A.</w:t>
      </w:r>
      <w:r>
        <w:rPr>
          <w:sz w:val="20"/>
          <w:szCs w:val="20"/>
          <w:color w:val="auto"/>
        </w:rPr>
        <w:tab/>
      </w:r>
      <w:hyperlink w:anchor="page54">
        <w:r>
          <w:rPr>
            <w:rFonts w:ascii="Arial" w:cs="Arial" w:eastAsia="Arial" w:hAnsi="Arial"/>
            <w:sz w:val="18"/>
            <w:szCs w:val="18"/>
            <w:u w:val="single" w:color="auto"/>
            <w:color w:val="0000EE"/>
          </w:rPr>
          <w:t>Quantitative and Qualitative Disclosures about Market Risk</w:t>
        </w:r>
      </w:hyperlink>
    </w:p>
    <w:p>
      <w:pPr>
        <w:spacing w:after="0" w:line="158" w:lineRule="exact"/>
        <w:rPr>
          <w:sz w:val="20"/>
          <w:szCs w:val="20"/>
          <w:color w:val="auto"/>
        </w:rPr>
      </w:pPr>
    </w:p>
    <w:p>
      <w:pPr>
        <w:ind w:left="900"/>
        <w:spacing w:after="0"/>
        <w:tabs>
          <w:tab w:leader="none" w:pos="2120" w:val="left"/>
        </w:tabs>
        <w:rPr>
          <w:rFonts w:ascii="Arial" w:cs="Arial" w:eastAsia="Arial" w:hAnsi="Arial"/>
          <w:sz w:val="17"/>
          <w:szCs w:val="17"/>
          <w:u w:val="single" w:color="auto"/>
          <w:color w:val="0000EE"/>
        </w:rPr>
      </w:pPr>
      <w:r>
        <w:rPr>
          <w:rFonts w:ascii="Arial" w:cs="Arial" w:eastAsia="Arial" w:hAnsi="Arial"/>
          <w:sz w:val="18"/>
          <w:szCs w:val="18"/>
          <w:color w:val="auto"/>
        </w:rPr>
        <w:t>Item 8.</w:t>
      </w:r>
      <w:r>
        <w:rPr>
          <w:sz w:val="20"/>
          <w:szCs w:val="20"/>
          <w:color w:val="auto"/>
        </w:rPr>
        <w:tab/>
      </w:r>
      <w:hyperlink w:anchor="page55">
        <w:r>
          <w:rPr>
            <w:rFonts w:ascii="Arial" w:cs="Arial" w:eastAsia="Arial" w:hAnsi="Arial"/>
            <w:sz w:val="17"/>
            <w:szCs w:val="17"/>
            <w:u w:val="single" w:color="auto"/>
            <w:color w:val="0000EE"/>
          </w:rPr>
          <w:t>Financial Statements and Supplementary Data</w:t>
        </w:r>
      </w:hyperlink>
    </w:p>
    <w:p>
      <w:pPr>
        <w:spacing w:after="0" w:line="158" w:lineRule="exact"/>
        <w:rPr>
          <w:sz w:val="20"/>
          <w:szCs w:val="20"/>
          <w:color w:val="auto"/>
        </w:rPr>
      </w:pPr>
    </w:p>
    <w:p>
      <w:pPr>
        <w:ind w:left="900"/>
        <w:spacing w:after="0"/>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97">
        <w:r>
          <w:rPr>
            <w:rFonts w:ascii="Arial" w:cs="Arial" w:eastAsia="Arial" w:hAnsi="Arial"/>
            <w:sz w:val="18"/>
            <w:szCs w:val="18"/>
            <w:u w:val="single" w:color="auto"/>
            <w:color w:val="0000EE"/>
          </w:rPr>
          <w:t>Changes in and Disagreements with Accountants on Accounting and Financial Disclosure</w:t>
        </w:r>
      </w:hyperlink>
    </w:p>
    <w:p>
      <w:pPr>
        <w:spacing w:after="0" w:line="158" w:lineRule="exact"/>
        <w:rPr>
          <w:sz w:val="20"/>
          <w:szCs w:val="20"/>
          <w:color w:val="auto"/>
        </w:rPr>
      </w:pPr>
    </w:p>
    <w:p>
      <w:pPr>
        <w:ind w:left="900"/>
        <w:spacing w:after="0"/>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Item 9A.</w:t>
      </w:r>
      <w:r>
        <w:rPr>
          <w:sz w:val="20"/>
          <w:szCs w:val="20"/>
          <w:color w:val="auto"/>
        </w:rPr>
        <w:tab/>
      </w:r>
      <w:hyperlink w:anchor="page97">
        <w:r>
          <w:rPr>
            <w:rFonts w:ascii="Arial" w:cs="Arial" w:eastAsia="Arial" w:hAnsi="Arial"/>
            <w:sz w:val="18"/>
            <w:szCs w:val="18"/>
            <w:u w:val="single" w:color="auto"/>
            <w:color w:val="0000EE"/>
          </w:rPr>
          <w:t>Controls and Procedures</w:t>
        </w:r>
      </w:hyperlink>
    </w:p>
    <w:p>
      <w:pPr>
        <w:spacing w:after="0" w:line="158" w:lineRule="exact"/>
        <w:rPr>
          <w:sz w:val="20"/>
          <w:szCs w:val="20"/>
          <w:color w:val="auto"/>
        </w:rPr>
      </w:pPr>
    </w:p>
    <w:p>
      <w:pPr>
        <w:ind w:left="21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Report of Management on Internal Control over Financial Reporting</w:t>
        </w:r>
      </w:hyperlink>
    </w:p>
    <w:p>
      <w:pPr>
        <w:spacing w:after="0" w:line="158" w:lineRule="exact"/>
        <w:rPr>
          <w:sz w:val="20"/>
          <w:szCs w:val="20"/>
          <w:color w:val="auto"/>
        </w:rPr>
      </w:pPr>
    </w:p>
    <w:p>
      <w:pPr>
        <w:ind w:left="21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Report of Independent Registered Public Accounting Firm</w:t>
        </w:r>
      </w:hyperlink>
    </w:p>
    <w:p>
      <w:pPr>
        <w:spacing w:after="0" w:line="158" w:lineRule="exact"/>
        <w:rPr>
          <w:sz w:val="20"/>
          <w:szCs w:val="20"/>
          <w:color w:val="auto"/>
        </w:rPr>
      </w:pPr>
    </w:p>
    <w:p>
      <w:pPr>
        <w:ind w:left="900"/>
        <w:spacing w:after="0"/>
        <w:tabs>
          <w:tab w:leader="none" w:pos="2120" w:val="left"/>
        </w:tabs>
        <w:rPr>
          <w:rFonts w:ascii="Arial" w:cs="Arial" w:eastAsia="Arial" w:hAnsi="Arial"/>
          <w:sz w:val="17"/>
          <w:szCs w:val="17"/>
          <w:u w:val="single" w:color="auto"/>
          <w:color w:val="0000EE"/>
        </w:rPr>
      </w:pPr>
      <w:r>
        <w:rPr>
          <w:rFonts w:ascii="Arial" w:cs="Arial" w:eastAsia="Arial" w:hAnsi="Arial"/>
          <w:sz w:val="18"/>
          <w:szCs w:val="18"/>
          <w:color w:val="auto"/>
        </w:rPr>
        <w:t>Item 9B.</w:t>
      </w:r>
      <w:r>
        <w:rPr>
          <w:sz w:val="20"/>
          <w:szCs w:val="20"/>
          <w:color w:val="auto"/>
        </w:rPr>
        <w:tab/>
      </w:r>
      <w:hyperlink w:anchor="page99">
        <w:r>
          <w:rPr>
            <w:rFonts w:ascii="Arial" w:cs="Arial" w:eastAsia="Arial" w:hAnsi="Arial"/>
            <w:sz w:val="17"/>
            <w:szCs w:val="17"/>
            <w:u w:val="single" w:color="auto"/>
            <w:color w:val="0000EE"/>
          </w:rPr>
          <w:t>Other Information</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99</w:t>
      </w:r>
    </w:p>
    <w:p>
      <w:pPr>
        <w:spacing w:after="0" w:line="493" w:lineRule="exact"/>
        <w:rPr>
          <w:sz w:val="20"/>
          <w:szCs w:val="20"/>
          <w:color w:val="auto"/>
        </w:rPr>
      </w:pPr>
    </w:p>
    <w:p>
      <w:pPr>
        <w:sectPr>
          <w:pgSz w:w="11900" w:h="16838" w:orient="portrait"/>
          <w:cols w:equalWidth="0" w:num="2">
            <w:col w:w="10680" w:space="300"/>
            <w:col w:w="260"/>
          </w:cols>
          <w:pgMar w:left="320" w:top="346"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1840" w:type="dxa"/>
            <w:vAlign w:val="bottom"/>
          </w:tcPr>
          <w:p>
            <w:pPr>
              <w:ind w:left="900"/>
              <w:spacing w:after="0"/>
              <w:rPr>
                <w:sz w:val="20"/>
                <w:szCs w:val="20"/>
                <w:color w:val="auto"/>
              </w:rPr>
            </w:pPr>
            <w:r>
              <w:rPr>
                <w:rFonts w:ascii="Arial" w:cs="Arial" w:eastAsia="Arial" w:hAnsi="Arial"/>
                <w:sz w:val="18"/>
                <w:szCs w:val="18"/>
                <w:color w:val="auto"/>
              </w:rPr>
              <w:t>Item 10.</w:t>
            </w:r>
          </w:p>
        </w:tc>
        <w:tc>
          <w:tcPr>
            <w:tcW w:w="8680" w:type="dxa"/>
            <w:vAlign w:val="bottom"/>
          </w:tcPr>
          <w:p>
            <w:pPr>
              <w:ind w:left="3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Directors, Executive Officers and Corporate Governance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65"/>
        </w:trPr>
        <w:tc>
          <w:tcPr>
            <w:tcW w:w="1840" w:type="dxa"/>
            <w:vAlign w:val="bottom"/>
          </w:tcPr>
          <w:p>
            <w:pPr>
              <w:ind w:left="900"/>
              <w:spacing w:after="0"/>
              <w:rPr>
                <w:sz w:val="20"/>
                <w:szCs w:val="20"/>
                <w:color w:val="auto"/>
              </w:rPr>
            </w:pPr>
            <w:r>
              <w:rPr>
                <w:rFonts w:ascii="Arial" w:cs="Arial" w:eastAsia="Arial" w:hAnsi="Arial"/>
                <w:sz w:val="18"/>
                <w:szCs w:val="18"/>
                <w:color w:val="auto"/>
              </w:rPr>
              <w:t>Item 11.</w:t>
            </w:r>
          </w:p>
        </w:tc>
        <w:tc>
          <w:tcPr>
            <w:tcW w:w="8680" w:type="dxa"/>
            <w:vAlign w:val="bottom"/>
          </w:tcPr>
          <w:p>
            <w:pPr>
              <w:ind w:left="3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Executive Compensation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65"/>
        </w:trPr>
        <w:tc>
          <w:tcPr>
            <w:tcW w:w="1840" w:type="dxa"/>
            <w:vAlign w:val="bottom"/>
          </w:tcPr>
          <w:p>
            <w:pPr>
              <w:ind w:left="900"/>
              <w:spacing w:after="0"/>
              <w:rPr>
                <w:sz w:val="20"/>
                <w:szCs w:val="20"/>
                <w:color w:val="auto"/>
              </w:rPr>
            </w:pPr>
            <w:r>
              <w:rPr>
                <w:rFonts w:ascii="Arial" w:cs="Arial" w:eastAsia="Arial" w:hAnsi="Arial"/>
                <w:sz w:val="18"/>
                <w:szCs w:val="18"/>
                <w:color w:val="auto"/>
              </w:rPr>
              <w:t>Item 12.</w:t>
            </w:r>
          </w:p>
        </w:tc>
        <w:tc>
          <w:tcPr>
            <w:tcW w:w="8680" w:type="dxa"/>
            <w:vAlign w:val="bottom"/>
          </w:tcPr>
          <w:p>
            <w:pPr>
              <w:ind w:left="3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Security Ownership of Certain Beneficial Owners and Management and Related Stockholder Matters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65"/>
        </w:trPr>
        <w:tc>
          <w:tcPr>
            <w:tcW w:w="1840" w:type="dxa"/>
            <w:vAlign w:val="bottom"/>
          </w:tcPr>
          <w:p>
            <w:pPr>
              <w:ind w:left="900"/>
              <w:spacing w:after="0"/>
              <w:rPr>
                <w:sz w:val="20"/>
                <w:szCs w:val="20"/>
                <w:color w:val="auto"/>
              </w:rPr>
            </w:pPr>
            <w:r>
              <w:rPr>
                <w:rFonts w:ascii="Arial" w:cs="Arial" w:eastAsia="Arial" w:hAnsi="Arial"/>
                <w:sz w:val="18"/>
                <w:szCs w:val="18"/>
                <w:color w:val="auto"/>
              </w:rPr>
              <w:t>Item 13.</w:t>
            </w:r>
          </w:p>
        </w:tc>
        <w:tc>
          <w:tcPr>
            <w:tcW w:w="8680" w:type="dxa"/>
            <w:vAlign w:val="bottom"/>
          </w:tcPr>
          <w:p>
            <w:pPr>
              <w:ind w:left="3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Certain Relationships and Related Transactions, and Director Independence</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64"/>
        </w:trPr>
        <w:tc>
          <w:tcPr>
            <w:tcW w:w="1840" w:type="dxa"/>
            <w:vAlign w:val="bottom"/>
          </w:tcPr>
          <w:p>
            <w:pPr>
              <w:ind w:left="900"/>
              <w:spacing w:after="0"/>
              <w:rPr>
                <w:sz w:val="20"/>
                <w:szCs w:val="20"/>
                <w:color w:val="auto"/>
              </w:rPr>
            </w:pPr>
            <w:r>
              <w:rPr>
                <w:rFonts w:ascii="Arial" w:cs="Arial" w:eastAsia="Arial" w:hAnsi="Arial"/>
                <w:sz w:val="18"/>
                <w:szCs w:val="18"/>
                <w:color w:val="auto"/>
              </w:rPr>
              <w:t>Item 14.</w:t>
            </w:r>
          </w:p>
        </w:tc>
        <w:tc>
          <w:tcPr>
            <w:tcW w:w="8680" w:type="dxa"/>
            <w:vAlign w:val="bottom"/>
          </w:tcPr>
          <w:p>
            <w:pPr>
              <w:ind w:left="3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Principal Accounting Fees and Services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8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8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1840" w:type="dxa"/>
            <w:vAlign w:val="bottom"/>
          </w:tcPr>
          <w:p>
            <w:pPr>
              <w:ind w:left="900"/>
              <w:spacing w:after="0"/>
              <w:rPr>
                <w:sz w:val="20"/>
                <w:szCs w:val="20"/>
                <w:color w:val="auto"/>
              </w:rPr>
            </w:pPr>
            <w:r>
              <w:rPr>
                <w:rFonts w:ascii="Arial" w:cs="Arial" w:eastAsia="Arial" w:hAnsi="Arial"/>
                <w:sz w:val="18"/>
                <w:szCs w:val="18"/>
                <w:color w:val="auto"/>
              </w:rPr>
              <w:t>Item 15.</w:t>
            </w:r>
          </w:p>
        </w:tc>
        <w:tc>
          <w:tcPr>
            <w:tcW w:w="8680" w:type="dxa"/>
            <w:vAlign w:val="bottom"/>
          </w:tcPr>
          <w:p>
            <w:pPr>
              <w:ind w:left="3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Exhibits, Financial Statement Schedules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64"/>
        </w:trPr>
        <w:tc>
          <w:tcPr>
            <w:tcW w:w="1840" w:type="dxa"/>
            <w:vAlign w:val="bottom"/>
          </w:tcPr>
          <w:p>
            <w:pPr>
              <w:ind w:left="900"/>
              <w:spacing w:after="0"/>
              <w:rPr>
                <w:sz w:val="20"/>
                <w:szCs w:val="20"/>
                <w:color w:val="auto"/>
              </w:rPr>
            </w:pPr>
            <w:r>
              <w:rPr>
                <w:rFonts w:ascii="Arial" w:cs="Arial" w:eastAsia="Arial" w:hAnsi="Arial"/>
                <w:sz w:val="18"/>
                <w:szCs w:val="18"/>
                <w:color w:val="auto"/>
              </w:rPr>
              <w:t>Item 16.</w:t>
            </w:r>
          </w:p>
        </w:tc>
        <w:tc>
          <w:tcPr>
            <w:tcW w:w="8680" w:type="dxa"/>
            <w:vAlign w:val="bottom"/>
          </w:tcPr>
          <w:p>
            <w:pPr>
              <w:ind w:left="30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Form 10-K Summary</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65"/>
        </w:trPr>
        <w:tc>
          <w:tcPr>
            <w:tcW w:w="1840" w:type="dxa"/>
            <w:vAlign w:val="bottom"/>
          </w:tcPr>
          <w:p>
            <w:pPr>
              <w:spacing w:after="0"/>
              <w:rPr>
                <w:sz w:val="24"/>
                <w:szCs w:val="24"/>
                <w:color w:val="auto"/>
              </w:rPr>
            </w:pPr>
          </w:p>
        </w:tc>
        <w:tc>
          <w:tcPr>
            <w:tcW w:w="8680" w:type="dxa"/>
            <w:vAlign w:val="bottom"/>
          </w:tcPr>
          <w:p>
            <w:pPr>
              <w:ind w:left="30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Signatures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839"/>
        </w:trPr>
        <w:tc>
          <w:tcPr>
            <w:tcW w:w="1840" w:type="dxa"/>
            <w:vAlign w:val="bottom"/>
          </w:tcPr>
          <w:p>
            <w:pPr>
              <w:spacing w:after="0"/>
              <w:rPr>
                <w:sz w:val="24"/>
                <w:szCs w:val="24"/>
                <w:color w:val="auto"/>
              </w:rPr>
            </w:pPr>
          </w:p>
        </w:tc>
        <w:tc>
          <w:tcPr>
            <w:tcW w:w="8680" w:type="dxa"/>
            <w:vAlign w:val="bottom"/>
          </w:tcPr>
          <w:p>
            <w:pPr>
              <w:ind w:left="3740"/>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24"/>
                <w:szCs w:val="24"/>
                <w:color w:val="auto"/>
              </w:rPr>
            </w:pPr>
          </w:p>
        </w:tc>
      </w:tr>
      <w:tr>
        <w:trPr>
          <w:trHeight w:val="100"/>
        </w:trPr>
        <w:tc>
          <w:tcPr>
            <w:tcW w:w="1840" w:type="dxa"/>
            <w:vAlign w:val="bottom"/>
            <w:tcBorders>
              <w:bottom w:val="single" w:sz="8" w:color="9A9A9A"/>
            </w:tcBorders>
          </w:tcPr>
          <w:p>
            <w:pPr>
              <w:spacing w:after="0"/>
              <w:rPr>
                <w:sz w:val="8"/>
                <w:szCs w:val="8"/>
                <w:color w:val="auto"/>
              </w:rPr>
            </w:pPr>
          </w:p>
        </w:tc>
        <w:tc>
          <w:tcPr>
            <w:tcW w:w="86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(Part I, Item 1 of this Form 10-K), “Risk Factors” (Part I, Item 1A of this Form 10-K), and “Management’s Discussion and Analysis of Financial Condition and Results of Operations” (Part II, Item 7 of this Form 10-K).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Embracing Our Future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 As the world responds to the outbreak of a novel strain of the coronavirus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 to transform our business to lead in the new era of the intelligent cloud and intelligent edge. We bring technology and products together into experiences and solutions that unlock value for our customers. Our unique role as a platform and tools provider allows us to connect the dots, bring together an ecosystem of partners, and enable organizations of all sizes to build the digital capability required to address these challenges.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next phase of innovation, computing is more powerful and ubiquitous from the cloud to the edge. Artificial intelligence (“AI”) capabilities are rapidly advancing, fueled by data and knowledge of the world. Physical and virtual worlds are coming together with the Internet of Things (“IoT”) and mixed reality to create richer experiences that understand the context surrounding people, the things they use, the places they go, and their activities and relationships. A person’s experience with technology spans a multitude of devices and has become increasingly more natural and multi-sensory with voice, ink, and gaze interactions.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Offer</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Founded in 1975, we develop and support software, services, devices, and solutions that deliver new value for customers and help people and businesses realize their full potential.</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offer an array of services, including cloud-based solutions that provide customers with software, services, platforms, and content, and we provide solution support and consulting services. We also deliver relevant online advertising to a global audience.</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include operating systems; cross-device productivity applications; server applications; business solution applications; desktop and server management tools; software development tools; and video games. We also design, manufacture, and sell devices, including PCs, tablets, gaming and entertainment consoles, other intelligent devices, and related accessories.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Ambitions That Drive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vision, our research and development efforts focus on three interconnected ambitions:</w:t>
      </w:r>
    </w:p>
    <w:p>
      <w:pPr>
        <w:spacing w:after="0" w:line="77" w:lineRule="exact"/>
        <w:rPr>
          <w:sz w:val="20"/>
          <w:szCs w:val="20"/>
          <w:color w:val="auto"/>
        </w:rPr>
      </w:pPr>
    </w:p>
    <w:p>
      <w:pPr>
        <w:ind w:left="1060" w:hanging="39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Reinvent productivity and business processes.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 the intelligent cloud and intelligent edge platform.</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more personal computing.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Reinvent Productivity and Business Processes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Microsoft, we’re providing technology and resources to help our customers navigate a remote environment. We’re seeing our family of products play key roles in the ways the world is continuing to work, learn, and connect.</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growth depends on securely delivering continuous innovation and advancing our leading productivity and collaboration tools and services, including Office, Dynamics, and LinkedIn. Microsoft 365 brings together Office 365, Windows 10, and Enterprise Mobility + Security to help organizations empower their employees with AI-backed tools that unlock creativity, increase teamwork, and fuel innovation, all the while enabling compliance coverage and data protection. Microsoft Teams is enabling rapid digital transformation by giving people a single tool to chat, call, meet, and collaborate. Microsoft Relationship Sales solution brings together LinkedIn Sales Navigator and Dynamics to transform business to business sales through social selling. Dynamics 365 for Talent with LinkedIn Recruiter and Learning gives human resource professionals a complete solution to compete for talent. Microsoft Power Platform empowers employees to build custom applications, automate workflow, and analyze data no matter their technical expertise.</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scenarios represent a move to unlock creativity and discover new habits, while simplifying security and management. Organizations of all sizes have digitized business-critical functions, redefining what they can expect from their business applications. This creates an opportunity to reach new customers and increase usage and engagement with existing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the Intelligent Cloud and Intelligent Edge Platform</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new remote world, companies have accelerated their own digital transformation to empower their employees, optimize their operations, engage customers, and in some cases, change the very core of their products and services. Partnering with organizations on their digital transformation during this period is one of our largest opportunities and we are uniquely positioned to become the strategic digital transformation platform and partner of choice; their success is our success.</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strategy requires continued investment in datacenters and other hybrid and edge infrastructure to support our services. Azure is a trusted cloud with comprehensive compliance coverage and AI-based security built in.</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one of the two largest providers of cloud computing at scale, we believe we work from a position of strength. Being a global-scale cloud, Azure uniquely offers hybrid consistency, developer productivity, AI capabilities, and trusted security and compliance. We see more emerging use cases and needs for compute and security at the edge and are accelerating our innovation across the spectrum of intelligent edge devices, from IoT sensors to gateway devices and edge hardware to build, manage, and secure edge workloads. With Azure Stack, organizations can extend Azure into their own datacenters to create a consistent stack across the public cloud and the intelligent edge. Our hybrid infrastructure consistency spans identity, data, compute, management, and security, helping to support the real-world needs and evolving regulatory requirements of commercial customers and enterprises. We are accelerating our development of mixed reality solutions with new Azure services and devices. The opportunity to merge the physical and digital worlds, when combined with the power of Azure cloud services, unlocks the potential for entirely new workloads which we believe will shape the next era of computing.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ability to convert data into AI drives our competitive advantage. Azure SQL Database makes it possible for customers to take SQL Server from their on-premises datacenter to a fully managed instance in the cloud to utilize built-in AI. We are accelerating adoption of AI innovations from research to products. Our innovation helps every developer be an AI developer, with approachable new tools from Azure Machine Learning Studio for creating simple machine learning models, to the powerful Azure Machine Learning Workbench for the most advanced AI modeling and data science.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Create More Personal Computing</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strive to make computing more personal by putting users at the core of the experience, enabling them to interact with technology in more intuitive, engaging, and dynamic ways. In support of this, we are bringing Office, Windows, and devices together for an enhanced and more cohesive customer experience.</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Windows 10 serves the enterprise as the most secure and productive operating system. It empowers people with AI-first interfaces ranging from voice-activated commands through Cortana, inking, immersive 3D content storytelling, and mixed reality experiences. Our ambition for Windows 10 monetization opportunities includes gaming, services, subscriptions, and search advertising. Windows also plays a critical role in fueling our cloud business and Microsoft 365 strategy, and it powers the growing range of devices on the “intelligent edge.”</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committed to designing and marketing first-party devices to help drive innovation, create new device categories, and stimulate demand in the Windows ecosystem. We recently added several new products and accessories into the Surface family, including Surface Book 3 and Surface Go 2. These new Surface products join Surface Pro 7, Surface Laptop 3, and Surface Pro X.</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expand usage and deepen engagement, we continue to invest in content, community, and cloud services as we pursue the expansive opportunity in the gaming industry. We are broadening our approach to how we think about gaming end-to-end, from the way games are created and distributed to how they are played and viewed across PC, console, and mobile. We have a strong position with our large and growing highly engaged community of gamers. Xbox Game Pass, with over 10 million members from 41 countries, is a community with access to a curated library of over 100 first- and third-party console and PC titles. Project xCloud is Microsoft’s game streaming technology that is complementary to our console hardware and will give fans the ultimate choice to play the games they want, with the people they want, on the devices they want.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Opportunity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 time of great disruption and uncertainty, customers are looking to us to accelerate their own digital transformations as software and cloud computing play a huge role across every industry and around the world. We continue to develop complete, intelligent solutions for our customers that empower people to stay productive and collaborate, while safeguarding businesses and simplifying IT management. Our goal is to lead the industry in several distinct areas of technology over the long-term, which we expect will translate to sustained growth. We are investing significant resources in:</w:t>
      </w:r>
    </w:p>
    <w:p>
      <w:pPr>
        <w:spacing w:after="0" w:line="54" w:lineRule="exact"/>
        <w:rPr>
          <w:sz w:val="20"/>
          <w:szCs w:val="20"/>
          <w:color w:val="auto"/>
        </w:rPr>
      </w:pPr>
    </w:p>
    <w:p>
      <w:pPr>
        <w:ind w:left="1060" w:right="20" w:hanging="391"/>
        <w:spacing w:after="0" w:line="24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Transforming the workplace to deliver new modern, modular business applications to improve how people communicate, collaborate, learn, work, play, and interact with one another.</w:t>
      </w:r>
    </w:p>
    <w:p>
      <w:pPr>
        <w:spacing w:after="0" w:line="48"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and running cloud-based services in ways that unleash new experiences and opportunities for businesses and individuals.</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Applying AI to drive insights and act on our customer’s behalf by understanding and interpreting their needs using natural methods of communication.</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Using Windows to fuel our cloud business and Microsoft 365 strategy, and to develop new categories of devices – both our own and third-party – on the intelligent edge.</w:t>
      </w:r>
    </w:p>
    <w:p>
      <w:pPr>
        <w:spacing w:after="0" w:line="48"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Inventing new gaming experiences that bring people together around their shared love for games on any devices and pushing the boundaries of innovation with console and PC gaming by creating the next wave of entertainment.</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future growth depends on our ability to transcend current product category definitions, business models, and sales motions. We have the opportunity to redefine what customers and partners can expect and are working to deliver new solutions that reflect the best of Microsoft.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2020, the World Health Organization declared the outbreak of COVID-19 to be a pandemic. The COVID-19 pandemic is having widespread,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 from home, supply chain logistical changes, and closure of non-essential businesses. To protect the health and well-being of our employees, suppliers, and customers, we have made substantial modifications to employee travel policies, implemented office closures as employees are advised to work from home, and cancelled or shifted our conferences and other marketing events to virtual-only through fiscal year 2021. The COVID-19 pandemic has impacted and may continue to impact our business operations, including our employees, customers, partners, and communities, and there is substantial uncertainty in the nature and degree of its continued effects over time. Refer to Management’s Discussion and Analysis of Financial Condition and Results of Operations (Part II, Item 7 of this Form 10-K) for further discussion regarding the impact of COVID-19 on our fiscal year 2020 financial results.</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 Refer to Risk Factors (Part I, Item 1A of this Form 10-K) for a discussion of these factors and other risks.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to Sustainability</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work to ensure that technology is inclusive, trusted, and increases sustainability. We’re empowering our customers and partners with new technology to help them drive efficiencies, transform their businesses, and create their own solutions for sustainability. In January 2020, we announced a bold new environmental sustainability strategy focused on carbon, water, waste, and ecosystems. As part of our commitment, we are investing $1 billion over the next four years in new technologies and innovative climate solutions. We set an ambitious goal to reduce and ultimately remove Microsoft’s carbon footprint. By 2030 Microsoft will be carbon negative, and by 2050 Microsoft will remove from the environment all the carbon the company has emitted directly or by electrical consumption since it was founded in 1975. We also launched a new initiative to use Microsoft technology to help our suppliers and customers around the world reduce their own carbon footprint.</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investments we make in sustainability carry through to our products, services, and devices. We design our devices, from Surface to Xbox, to minimize their impact on the environment. Our cloud and AI services help businesses cut energy consumption, reduce physical footprints, and design sustainable products. We also pledged a $50 million investment in AI for Earth to accelerate innovation by putting AI in the hands of those working to directly address sustainability challenges. Lastly, this work is supported by using our voice to support policies we think can advance sustainability efforts.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Racial Injustice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future opportunity depends on reaching and empowering all communities, and we are committed to taking action to help address racial injustice and inequity. With significant input from employees and leaders who are members of the Black and African American community, our senior leadership team and board of directors has developed a set of actions to help improve the lived experience at Microsoft and drive change in the communities in which we live and work. These efforts include increasing our representation and culture of inclusion by doubling the number of Black and African American people managers, senior individual contributors, and senior leaders in the United States by 2025; engaging our ecosystem by using our balance sheet and engagement with suppliers and partners to extend the vision for societal change; and strengthening our communities by using the power of data, technology, and partnership to help improve the lives of Black and African American citizens across the United States.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Digital Skills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With a continued focus on digital transformation, Microsoft is making efforts to help ensure that no one is left behind, particularly as economies start to recover from the COVID-19 pandemic. We are expanding access to the digital skills that have become increasingly vital to many of the world’s jobs, and especially to individuals hardest hit by recent job losses, including those with lower incomes, women, and underrepresented minorities. Our skills initiative brings together learning resources, certification opportunities, and job-seeker tools from LinkedIn, GitHub, and Microsoft Learn, and is built on data insights drawn from LinkedIn’s Economic Graph. This is combined with $20 million we are investing in key non-profit partnerships through Microsoft Philanthropies.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SEGMENTS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operating segments and geographic and product information is contained in Note 19 – Segment Information and Geographic Data of the Notes to Financial Statements (Part II, Item 8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8" w:lineRule="exact"/>
        <w:rPr>
          <w:sz w:val="20"/>
          <w:szCs w:val="20"/>
          <w:color w:val="auto"/>
        </w:rPr>
      </w:pPr>
    </w:p>
    <w:p>
      <w:pPr>
        <w:jc w:val="both"/>
        <w:ind w:left="1060" w:hanging="39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the Office portion of Microsoft 365 Commercial subscriptions, and Office licensed on-premises, comprising Office, Exchange, SharePoint, Microsoft Teams, Office 365 Security and Compliance, and Skype for Business, and related Client Access Licenses (“CALs”).</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Office Consumer, including Microsoft 365 Consumer (formerly Office 365 Consumer) subscriptions and Office licensed on-premises, and Office Consumer Services, including Skype, Outlook.com, and OneDrive.</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LinkedIn, including Talent Solutions, Learning Solutions, Marketing Solutions, Sales Solutions, and Premium Subscriptions.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a set of cloud-based applications across ERP and CRM, Dynamics ERP on-premises, and Dynamics CRM on-premises.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Commercial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Office Commercial is designed to increase personal, team, and organizational productivity through a range of products and services. Growth depends on our ability to reach new users in new markets such as first-line workers, small and medium businesses, and growth markets, as well as add value to our core product and service offerings to span productivity categories such as communication, collaboration, analytics, security, and compliance. Office Commercial revenue is mainly affected by a combination of continued installed base growth and average revenue per user expansion, as well as the continued shift from Office licensed on-premises to Office 365. CALs provide certain Office Commercial products and services with access rights to our server products and CAL revenue is reported with the associated Office products and services.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Consumer</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Office Consumer is designed to increase personal productivity through a range of products and services. Growth depends on our ability to reach new users, add value to our core product set, and continue to expand our product and service offerings into new markets. Office Consumer revenue is mainly affected by the percentage of customers that buy Office with their new devices and the continued shift from Office licensed on-premises to Microsoft 365 Consumer subscriptions. Office Consumer Services revenue is mainly affected by the demand for communication and storage through Skype, Outlook.com, and OneDrive, which is largely driven by subscriptions, advertising, and the sale of minutes.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LinkedIn</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LinkedIn connects the world’s professionals to make them more productive and successful and transforms the way companies hire, market, sell, and learn. Our vision is to create economic opportunity for every member of the global workforce through the ongoing development of the world’s first Economic Graph, a digital representation of the global economy. In addition to LinkedIn’s free services, LinkedIn offers monetized solutions: Talent Solutions, Learning Solutions, Marketing Solutions, Sales Solutions, and Premium Subscriptions. Talent Solutions provide insights for workforce planning and tools to hire, nurture, and develop talent. Learning Solutions, including Glint, help businesses close critical skills gaps in times where companies are having to do more with existing talent. Marketing Solutions help companies grow relationships between businesses. Sales Solutions help companies strengthen customer relationships, empower teams with digital selling tools, and acquire new opportunities. Finally, Premium Subscriptions enables professionals to manage their professional identity, grow their network, and connect with talent through additional services like premium search. LinkedIn has over 700 million members and has offices around the globe. Growth will depend on our ability to increase the number of LinkedIn members and our ability to continue offering services that provide value for our members and increase their engagement. LinkedIn revenue is mainly affected by demand from enterprises and professional organizations for subscriptions to Talent Solutions, Learning Solutions, Sales Solutions, and Premium Subscriptions offerings, as well as member engagement and the quality of the sponsored content delivered to those members to drive Marketing Solutions.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Dynamics provides cloud-based and on-premises business solutions for financial management, enterprise resource planning (“ERP”), customer relationship management (“CRM”), supply chain management, and other application development platforms for small and medium businesses, large organizations, and divisions of global enterprises. Dynamics revenue is driven by the number of users licensed, expansion of average revenue per user, and the continued shift to Dynamics 365, a unified set of cloud-based intelligent business applications.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Competitors to Office include software and global application vendors, such as Apple, Cisco Systems, Facebook, Google, IBM, Okta, Proofpoint, Slack, Symantec, Zoom, and numerous web-based and mobile application competitors as well as local application developers. Apple distributes versions of its pre-installed application software, such as email and calendar products, through its PCs, tablets, and phones. Cisco Systems is using its position in enterprise communications equipment to grow its unified communications business. Google provides a hosted messaging and productivity suite. Slack provides teamwork and collaboration software. Zoom offers videoconferencing and cloud phone solutions. Skype for Business and Skype also compete with a variety of instant messaging, voice, and video communication providers, ranging from start-ups to established enterprises. Okta, Proofpoint, and Symantec provide security solutions across email security, information protection, identity, and governance. Web-based offerings competing with individual applications have also positioned themselves as alternatives to our products and services. We compete by providing powerful, flexible, secure, integrated industry-specific, and easy-to-use productivity and collaboration tools and services that create comprehensive solutions and work well with technologies our customers already have both on-premises or in the cloud.</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LinkedIn faces competition from online professional networks, recruiting companies, talent management companies, and larger companies that are focusing on talent management and human resource services; job boards; traditional recruiting firms; and companies that provide learning and development products and services. Marketing Solutions competes with online and offline outlets that generate revenue from advertisers and marketers, and Sales Solutions competes with online and offline outlets for companies with lead generation and customer intelligence and insights.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Dynamics competes with vendors such as Oracle, Salesforce.com, and SAP to provide cloud-based and on-premises business solutions for small, medium, and large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62" w:lineRule="exact"/>
        <w:rPr>
          <w:sz w:val="20"/>
          <w:szCs w:val="20"/>
          <w:color w:val="auto"/>
        </w:rPr>
      </w:pPr>
    </w:p>
    <w:p>
      <w:pPr>
        <w:ind w:left="1060" w:hanging="391"/>
        <w:spacing w:after="0" w:line="24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SQL Server, Windows Server, Visual Studio, System Center, and related CALs; and GitHub.</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Server Products and Cloud Services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Azure is a comprehensive set of cloud services that offer developers, IT professionals, and enterprises freedom to build, deploy, and manage applications on any platform or device. Customers can use Azure through our global network of datacenters for computing, networking, storage, mobile and web application services, AI, IoT, cognitive services, and machine learning.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 and per user-based services such as Enterprise Mobility + Security.</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GitHub provides a collaboration platform and code hosting service for developers. Server products revenue is mainly affected by purchases through volume licensing programs, licenses sold to original equipment manufacturers (“OEM”), and retail packaged products. CALs provide access rights to certain server products, including SQL Server and Windows Server, and revenue is reported along with the associated server product.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Services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Enterprise Services, including Premier Support Services and Microsoft Consulting Services, assist customers in developing, deploying, and managing Microsoft server and desktop solutions and provide training and certification to developers and IT professionals on various Microsoft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Azure faces diverse competition from companies such as Amazon, Google, IBM, Oracle, VMware, and open source offerings. Our Enterprise Mobility + Security offerings also compete with products from a range of competitors including identity vendors, security solution vendors, and numerous other security point solution vendors. Azure’s competitive advantage includes enabling a hybrid cloud, allowing deployment of existing datacenters with our public cloud into a single, cohesive infrastructure, and the ability to run at a scale that meets the needs of businesses of all sizes and complexities. We believe our cloud’s global scale, coupled with our broad portfolio of identity and security solutions, allows us to effectively solve complex cybersecurity challenges for our customers and differentiates us from the competition.</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server products face competition from a wide variety of server operating systems and applications offered by companies with a range of market approaches. Vertically integrated computer manufacturers such as Hewlett-Packard, IBM, and Oracle offer their own versions of the Unix operating system preinstalled on server hardware. Nearly all computer manufacturers offer server hardware for the Linux operating system and many contribute to Linux operating system development. The competitive position of Linux has also benefited from the large number of compatible applications now produced by many commercial and non-commercial software developers. A number of companies, such as Red Hat, supply versions of Linux.</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compete to provide enterprise-wide computing solutions and point solutions with numerous commercial software vendors that offer solutions and middleware technology platforms, software applications for connectivity (both Internet and intranet), security, hosting, database, and e-business servers. IBM and Oracle lead a group of companies focused on the Java Platform Enterprise Edition that competes with our enterprise-wide computing solutions. Commercial competitors for our server applications for PC-based distributed client-server environments include CA Technologies, IBM, and Oracle. Our web application platform software competes with open source software such as Apache, Linux, MySQL, and PHP. In middleware, we compete against Java vendors.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database, business intelligence, and data warehousing solutions offerings compete with products from IBM, Oracle, SAP, and other companies. Our system management solutions compete with server management and server virtualization platform providers, such as BMC, CA Technologies, Hewlett-Packard, IBM, and VMware. Our products for software developers compete against offerings from Adobe, IBM, Oracle, and other companies, and also against open-source projects, including Eclipse (sponsored by CA Technologies, IBM, Oracle, and SAP), PHP, and Ruby on Rails.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Enterprise Services business competes with a wide range of companies that provide strategy and business planning, application development, and infrastructure services, including multinational consulting firms and small niche businesses focused on specific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62" w:lineRule="exact"/>
        <w:rPr>
          <w:sz w:val="20"/>
          <w:szCs w:val="20"/>
          <w:color w:val="auto"/>
        </w:rPr>
      </w:pPr>
    </w:p>
    <w:p>
      <w:pPr>
        <w:jc w:val="both"/>
        <w:ind w:left="1060" w:hanging="39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Windows, including Windows OEM licensing (“Windows OEM”) and other non-volume licensing of the Windows operating system; Windows Commercial, comprising volume licensing of the Windows operating system, Windows cloud services, and other Windows commercial offerings; patent licensing; Windows IoT; and MSN advertising.</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Xbox Live (transactions, subscriptions, cloud services, and advertising), video games, and third-party video game royalties.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Search.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Windows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p>
    <w:p>
      <w:pPr>
        <w:spacing w:after="0" w:line="56" w:lineRule="exact"/>
        <w:rPr>
          <w:sz w:val="20"/>
          <w:szCs w:val="20"/>
          <w:color w:val="auto"/>
        </w:rPr>
      </w:pPr>
    </w:p>
    <w:p>
      <w:pPr>
        <w:ind w:left="1060" w:hanging="39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computing devices based on form factor and screen size.</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device market demand between developed markets and growth markets.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Attachment of Windows to devices shipped.</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mix between consumer, small and medium businesses, and large enterprises.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inventory levels in the OEM channel.</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changes and promotions, pricing variation that occurs when the mix of devices manufactured shifts from local and regional system builders to large multinational OEMs, and different pricing of Windows versions licensed.</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Constraints in the supply chain of device components.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Piracy.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Windows Commercial revenue, which includes volume licensing of the Windows operating system and Windows cloud services such as Microsoft Defender Advanced Threat Protection, is affected mainly by the demand from commercial customers for volume licensing and Software Assurance (“SA”), as well as advanced security offerings. Windows Commercial revenue often reflects the number of information workers in a licensed enterprise and is relatively independent of the number of PCs sold in a given year.</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Patent licensing includes our programs to license patents we own for use across a broad array of technology areas, including mobile devices and cloud offerings.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Windows IoT extends the power of Windows and the cloud to intelligent systems by delivering specialized operating systems, tools, and services for use in embedded devices.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MSN advertising includes both native and display ads.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design, manufacture, and sell devices, including Surface and PC accessories. Our devices are designed to enable people and organizations to connect to the people and content that matter most using Windows and integrated Microsoft products and services. Surface is designed to help organizations, students, and consumers be more productive. Growth in Devices is dependent on total PC shipments, the ability to attract new customers, our product roadmap, and expanding into new categories.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gaming platform is designed to provide a variety of entertainment through a unique combination of content, community, and cloud. Our exclusive game content is created through Xbox Game Studios, a collection of first-party studios creating iconic and differentiated gaming experiences. We continue to invest in new gaming studios and content to expand our IP roadmap and leverage new content creators. These unique gaming experiences are the cornerstone of Xbox Game Pass, a subscription service and gaming community with access to a curated library of over 100 first- and third-party console and PC titles.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gamer remains at the heart of the Xbox ecosystem. We continue to open new opportunities for gamers to engage both on- and off-console with both the launch of Project xCloud, our game streaming service, and continued investment in gaming hardware. Project xCloud utilizes Microsoft’s Azure cloud technology to allow direct and on-demand streaming of games to PCs, consoles, and mobile devices, enabling gamers to take their favorites games with them and play on the device most convenient to them. Project xCloud will provide players with more choice over how and where they play.</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Xbox Live enables people to connect and share online gaming experiences and is accessible on Xbox consoles, Windows-enabled devices, and other devices. Xbox Live is designed to benefit users by providing access to a network of certified applications and services and to benefit our developer and partner ecosystems by providing access to a large customer base. Xbox revenue is mainly affected by subscriptions and sales of first- and third-party content, as well as advertising. Growth of our Gaming business is determined by the overall active user base through Xbox enabled content, availability of games, providing exclusive game content that gamers seek, the computational power and reliability of the devices used to access our content and services, and the ability to create new experiences through first-party content creators.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Search business, including Bing and Microsoft Advertising, is designed to deliver relevant online advertising to a global audience. We have several partnerships with other companies, including Verizon Media Group, through which we provide and monetize search queries. Growth depends on our ability to attract new users, understand intent, and match intent with relevant content and advertiser offerings.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Windows faces competition from various software products and from alternative platforms and devices, mainly from Apple and Google. We believe Windows competes effectively by giving customers choice, value, flexibility, security, an easy-to-use interface, and compatibility with a broad range of hardware and software applications, including those that enable productivity.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Devices face competition from various computer, tablet, and hardware manufacturers who offer a unique combination of high-quality industrial design and innovative technologies across various price points. These manufacturers, many of which are also current or potential partners and customers, include Apple and our Windows OEMs.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Xbox Live and our cloud gaming services face competition from various online gaming ecosystems and game streaming services, including those operated by Amazon, Apple, Facebook, Google, and Tencent. We also compete with other providers of entertainment services such as</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Netflix and Hulu. Our gaming platform competes with console platforms from Nintendo and Sony, both of which have a large, established base of customers. We believe our gaming platform is effectively positioned against, and uniquely differentiated from, competitive products and services based on significant innovation in hardware architecture, user interface, developer tools, online gaming and entertainment services, and continued strong exclusive content from our own first-party game franchises as well as other digital content offerings.</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search business competes with Google and a wide array of websites, social platforms like Facebook, and portals that provide content and online offerings to end users.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operations centers that support operations in their regions, including customer contract and order processing, credit and collections, information processing, and vendor management and logistics. The regional center in Ireland supports the European, Middle Eastern, and African region; the center in Singapore supports the Japan, India, Greater China, and Asia-Pacific region; and the centers in Fargo, North Dakota, Fort Lauderdale, Florida, Puerto Rico, Redmond, Washington, and Reno, Nevada support Latin America and North America. In addition to the operations centers, we also operate datacenters throughout the Americas, Europe, Australia, and Asia, as well as in the Middle East and Africa.</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serve the needs of customers around the world and to improve the quality and usability of products in international markets, we localize many of our products to reflect local languages and conventions. Localizing a product may require modifying the user interface, altering dialog boxes, and translating text.</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devices are primarily manufactured by third-party contract manufacturers. We generally have the ability to use other manufacturers if a current vendor becomes unavailable or unable to meet our requirements. The majority of our hardware products contain components for which there is only one qualified supplier. Extended disruptions at these suppliers could lead to a similar disruption in our ability to manufacture devices.</w:t>
      </w:r>
    </w:p>
    <w:p>
      <w:pPr>
        <w:spacing w:after="0" w:line="232"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RESEARCH AND DEVELOPMENT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Development, and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develop most of our products and services internally through the following engineering groups.</w:t>
      </w:r>
    </w:p>
    <w:p>
      <w:pPr>
        <w:spacing w:after="0" w:line="72" w:lineRule="exact"/>
        <w:rPr>
          <w:sz w:val="20"/>
          <w:szCs w:val="20"/>
          <w:color w:val="auto"/>
        </w:rPr>
      </w:pPr>
    </w:p>
    <w:p>
      <w:pPr>
        <w:jc w:val="both"/>
        <w:ind w:left="1060" w:hanging="391"/>
        <w:spacing w:after="0" w:line="25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Cloud and AI</w:t>
      </w:r>
      <w:r>
        <w:rPr>
          <w:rFonts w:ascii="Arial" w:cs="Arial" w:eastAsia="Arial" w:hAnsi="Arial"/>
          <w:sz w:val="18"/>
          <w:szCs w:val="18"/>
          <w:color w:val="auto"/>
        </w:rPr>
        <w:t>, focuses on making IT professionals, developers, and their systems more productive and efficient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cloud infrastructure, server, database, CRM, ERP, management and development tools, AI cognitive services, and other business process applications and services for enterprises.</w:t>
      </w:r>
    </w:p>
    <w:p>
      <w:pPr>
        <w:spacing w:after="0" w:line="20" w:lineRule="exact"/>
        <w:rPr>
          <w:rFonts w:ascii="Arial" w:cs="Arial" w:eastAsia="Arial" w:hAnsi="Arial"/>
          <w:sz w:val="18"/>
          <w:szCs w:val="18"/>
          <w:color w:val="auto"/>
        </w:rPr>
      </w:pPr>
    </w:p>
    <w:p>
      <w:pPr>
        <w:ind w:left="1060" w:right="20" w:hanging="391"/>
        <w:spacing w:after="0" w:line="26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Experiences and Devices</w:t>
      </w:r>
      <w:r>
        <w:rPr>
          <w:rFonts w:ascii="Arial" w:cs="Arial" w:eastAsia="Arial" w:hAnsi="Arial"/>
          <w:sz w:val="18"/>
          <w:szCs w:val="18"/>
          <w:color w:val="auto"/>
        </w:rPr>
        <w:t>, focuses on instilling a unifying product ethos across our end-user experiences and devices,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 Windows, Enterprise Mobility + Security, and Surface.</w:t>
      </w:r>
    </w:p>
    <w:p>
      <w:pPr>
        <w:spacing w:after="0" w:line="11" w:lineRule="exact"/>
        <w:rPr>
          <w:rFonts w:ascii="Arial" w:cs="Arial" w:eastAsia="Arial" w:hAnsi="Arial"/>
          <w:sz w:val="18"/>
          <w:szCs w:val="18"/>
          <w:color w:val="auto"/>
        </w:rPr>
      </w:pPr>
    </w:p>
    <w:p>
      <w:pPr>
        <w:ind w:left="1060" w:right="20" w:hanging="391"/>
        <w:spacing w:after="0" w:line="26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AI and Research</w:t>
      </w:r>
      <w:r>
        <w:rPr>
          <w:rFonts w:ascii="Arial" w:cs="Arial" w:eastAsia="Arial" w:hAnsi="Arial"/>
          <w:sz w:val="18"/>
          <w:szCs w:val="18"/>
          <w:color w:val="auto"/>
        </w:rPr>
        <w:t>, focuses on our AI innovations and other forward-looking research and development efforts spanning</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services, applications, and search.</w:t>
      </w:r>
    </w:p>
    <w:p>
      <w:pPr>
        <w:spacing w:after="0" w:line="11" w:lineRule="exact"/>
        <w:rPr>
          <w:rFonts w:ascii="Arial" w:cs="Arial" w:eastAsia="Arial" w:hAnsi="Arial"/>
          <w:sz w:val="18"/>
          <w:szCs w:val="18"/>
          <w:color w:val="auto"/>
        </w:rPr>
      </w:pPr>
    </w:p>
    <w:p>
      <w:pPr>
        <w:ind w:left="1060" w:hanging="39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LinkedIn</w:t>
      </w:r>
      <w:r>
        <w:rPr>
          <w:rFonts w:ascii="Arial" w:cs="Arial" w:eastAsia="Arial" w:hAnsi="Arial"/>
          <w:sz w:val="18"/>
          <w:szCs w:val="18"/>
          <w:color w:val="auto"/>
        </w:rPr>
        <w:t>, focuses on our services that transform the way customers hire, market, sell, and learn.</w:t>
      </w:r>
    </w:p>
    <w:p>
      <w:pPr>
        <w:spacing w:after="0" w:line="63" w:lineRule="exact"/>
        <w:rPr>
          <w:rFonts w:ascii="Arial" w:cs="Arial" w:eastAsia="Arial" w:hAnsi="Arial"/>
          <w:sz w:val="18"/>
          <w:szCs w:val="18"/>
          <w:color w:val="auto"/>
        </w:rPr>
      </w:pPr>
    </w:p>
    <w:p>
      <w:pPr>
        <w:ind w:left="1060" w:hanging="391"/>
        <w:spacing w:after="0" w:line="26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Gaming</w:t>
      </w:r>
      <w:r>
        <w:rPr>
          <w:rFonts w:ascii="Arial" w:cs="Arial" w:eastAsia="Arial" w:hAnsi="Arial"/>
          <w:sz w:val="18"/>
          <w:szCs w:val="18"/>
          <w:color w:val="auto"/>
        </w:rPr>
        <w:t>, focuses on developing hardware, content, and services across a large range of platforms to help grow our user base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game experiences and social interaction.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Internal development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 Generally, we also create product documentation internally.</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protect our intellectual property investments in a variety of ways. We work actively in the U.S. and internationally to ensure the enforcement of copyright, trademark, trade secret, and other protections that apply to our software and hardware products, services, business plans, and branding. We are a leader among technology companies in pursuing patents and currently have a portfolio of over 63,000 U.S. and international patents issued and over 24,500 pending worldwide. While we employ much of our internally-developed intellectual property exclusively in our products and services, we also engage in outbound licensing of specific patented technologies that are incorporated into licensees’ products. From time to time, we enter into broader cross-license agreements with other technology companies covering entire groups of patents. We also purchase or license technology that we incorporate into our products and services. At times, we make select intellectual property broadly available at no or low cost to achieve a strategic objective, such as promoting industry standards, advancing interoperability, or attracting and enabling our external development community. Our increasing engagement with open source software will also cause us to license our intellectual property rights broadly in certain situations.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it may be necessary in the future to seek or renew licenses relating to various aspects of our products, services, and business methods, we believe, based upon past experience and industry practice, such licenses generally can be obtained on commercially reasonable terms. We believe our continuing research and product development are not materially dependent on any single license or other agreement with a third party relating to the development of our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Future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success is based on our ability to create new and compelling products, services, and experiences for our users, to initiate and embrace disruptive technology trends, to enter new geographic and product markets, and to drive broad adoption of our products and services. We invest in a range of emerging technology trends and breakthroughs that we believe offer significant opportunities to deliver value to our customers and growth for the Company. Based on our assessment of key technology trends, we maintain our long-term commitment to research and development across a wide spectrum of technologies, tools, and platforms spanning digital work and life experiences, cloud computing, AI, devices, and operating systems.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our main product research and development facilities are located in Redmond, Washington, we also operate research and development facilities in other parts of the U.S. and around the world, including Canada, China, Czech Republic, India, Ireland, Israel, and the United Kingdom. This global approach helps us remain competitive in local markets and enables us to continue to attract top talent from across the world.</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our main research and development operations, we also operate Microsoft Research. Microsoft Research is one of the world’s largest corporate research organizations and works in close collaboration with top universities around the world to advance the state-of-the-art in computer science and a broad range of other disciplines, providing us a unique perspective on future trends and contributing to our innovation.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generally fund research at the corporate level to ensure that we are looking beyond immediate product considerations to opportunities further in the future. We also fund research and development activities at the operating segment level. Much of our segment level research and development is coordinated with other segments and leveraged across the Company. We plan to continue to make significant investments in a broad range of research and development efforts.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DISTRIBUTION, SALES, AND MARKETING</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market and distribute our products and services through the following channels: OEMs, direct, and distributors and resellers. Our sales force performs a variety of functions, including working directly with commercial enterprises and public-sector organizations worldwide to identify and meet their technology and digital transformation requirements; managing OEM relationships; and supporting system integrators, independent software vendors, and other partners who engage directly with our customers to perform sales, consulting, and fulfillment functions for our products and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distribute our products and services through OEMs that pre-install our software on new devices and servers they sell. The largest component of the OEM business is the Windows operating system pre-installed on devices. OEMs also sell devices pre-installed with other Microsoft products and services, including applications such as Office and the capability to subscribe to Office 365.</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are two broad categories of OEMs. The largest category of OEMs are direct OEMs as our relationship with them is managed through a direct agreement between Microsoft and the OEM. We have distribution agreements covering one or more of our products with virtually all the multinational OEMs, including Acer, ASUS, Dell, Fujitsu, Hewlett-Packard, Lenovo, Samsung, Sharp, Toshiba, and with many regional and local OEMs. The second broad category of OEMs are system builders consisting of lower-volume PC manufacturers, which source Microsoft software for pre-installation and local redistribution primarily through the Microsoft distributor channel rather than through a direct agreement or relationship with Microsoft.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Many organizations that license our products and services transact directly with us through Enterprise Agreements and Enterprise Services contracts, with sales support from system integrators, independent software vendors, web agencies, and partners that advise organizations on licensing our products and services (“Enterprise Agreement Software Advisors” or “ESA”). Microsoft offers direct sales programs targeted to reach small, medium, and corporate customers, in addition to those offered through the reseller channel. A large network of partner advisors support many of these sales.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sell commercial and consumer products and services directly to customers, such as cloud services, search, and gaming, through our digital marketplaces and online stores. In June 2020, we announced a strategic change in our retail operations, including closing our Microsoft Store physical locations.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Distributors and Resellers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Organizations also license our products and services indirectly, primarily through licensing solution partners (“LSP”), distributors, value-added resellers (“VAR”), and retailers. Although each type of reselling partner may reach organizations of all sizes, LSPs are primarily engaged with large organizations, distributors resell primarily to VARs, and VARs typically reach small and medium organizations. ESAs are also typically authorized as LSPs and operate as resellers for our other volume licensing programs. Microsoft Cloud Solution Provider is our main partner program for reselling cloud services.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distribute our retail packaged products primarily through independent non-exclusive distributors, authorized replicators, resellers, and retail outlets. Individual consumers obtain these products primarily through retail outlets. We distribute our devices through third-party retailers. We have a network of field sales representatives and field support personnel that solicit orders from distributors and resellers, and provide product training and sales support.</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Dynamics business solutions are also licensed to enterprises through a global network of channel partners providing vertical solutions and specialized services.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LICENSING OPTIONS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options for organizations that want to purchase our cloud services, on-premises software, and Software Assurance. We license software to organizations under volume licensing agreements to allow the customer to acquire multiple licenses of products and services instead of having to acquire separate licenses through retail channels. We use different programs designed to provide flexibility for organizations of various sizes. While these programs may differ in various parts of the world, generally they include those discussed below.</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 conveys rights to new software and upgrades for perpetual licenses released over the contract period. It also provides support, tools, training, and other licensing benefits to help customers deploy and use software efficiently. SA is included with certain volume licensing agreements and is an optional purchase with others.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 Licensing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Agreement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Enterprise Agreements offer large organizations a manageable volume licensing program that gives them the flexibility to buy cloud services and software licenses under one agreement. Enterprise Agreements are designed for medium or large organizations that want to license cloud services and on-premises software organization-wide over a three-year period. Organizations can elect to purchase perpetual licenses or subscribe to licenses. SA is included.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Product and Services Agreement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Microsoft Product and Services Agreements are designed for medium and large organizations that want to license cloud services and on-premises software as needed, with no organization-wide commitment, under a single, non-expiring agreement. Organizations purchase perpetual licenses or subscribe to licenses. SA is optional for customers that purchase perpetual licenses.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Open agreements are a simple, cost-effective way to acquire the latest Microsoft technology. Open agreements are designed for small and medium organizations that want to license cloud services and on-premises software over a one- to three-year period. Under the Open agreements, organizations purchase perpetual licenses and SA is optional. Under Open Value agreements, organizations can elect to purchase perpetual licenses or subscribe to licenses and SA is included.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 Plus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Select Plus agreements are designed for government and academic organizations to acquire on-premises licenses at any affiliate or department level, while realizing advantages as one organization. Organizations purchase perpetual licenses and SA is optional.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Online Subscription Agreement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Microsoft Online Subscription Agreements are designed for small and medium organizations that want to subscribe to, activate, provision, and maintain cloud services seamlessly and directly via the web. The agreement allows customers to acquire monthly or annual subscriptions for cloud-based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Microsoft Cloud Solution Provider program offers customers an easy way to license the cloud services they need in combination with the value-added services offered by their systems integrator, managed services provider, or cloud reseller partner. Partners in this program can easily package their own products and services to directly provision, manage, and support their customer subscriptions.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Microsoft Services Provider License Agreement allows hosting service providers and independent software vendors who want to license eligible Microsoft software products to provide software services and hosted applications to their end customers. Partners license software over a three-year period and are billed monthly based on consumption.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Independent Software Vendor Royalty program enables partners to integrate Microsoft products into other applications and then license the unified business solution to their end users.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CUSTOMERS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customers include individual consumers, small and medium organizations, large global enterprises, public-sector institutions, Internet service providers, application developers, and OEMs. Our practice is to ship our products promptly upon receipt of purchase orders from customers; consequently, backlog is not significant.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1" w:lineRule="exact"/>
        <w:rPr>
          <w:sz w:val="20"/>
          <w:szCs w:val="20"/>
          <w:color w:val="auto"/>
        </w:rPr>
      </w:pPr>
    </w:p>
    <w:p>
      <w:pPr>
        <w:ind w:right="3660" w:firstLine="3667"/>
        <w:spacing w:after="0" w:line="434" w:lineRule="auto"/>
        <w:rPr>
          <w:sz w:val="20"/>
          <w:szCs w:val="20"/>
          <w:color w:val="auto"/>
        </w:rPr>
      </w:pPr>
      <w:r>
        <w:rPr>
          <w:rFonts w:ascii="Arial" w:cs="Arial" w:eastAsia="Arial" w:hAnsi="Arial"/>
          <w:sz w:val="18"/>
          <w:szCs w:val="18"/>
          <w:u w:val="single" w:color="auto"/>
          <w:color w:val="auto"/>
        </w:rPr>
        <w:t xml:space="preserve">EXECUTIVE OFFICERS OF THE REGISTRANT </w:t>
      </w:r>
      <w:r>
        <w:rPr>
          <w:rFonts w:ascii="Arial" w:cs="Arial" w:eastAsia="Arial" w:hAnsi="Arial"/>
          <w:sz w:val="18"/>
          <w:szCs w:val="18"/>
          <w:color w:val="auto"/>
        </w:rPr>
        <w:t>Our executive officers as of July 30, 2020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Age</w:t>
            </w:r>
          </w:p>
        </w:tc>
        <w:tc>
          <w:tcPr>
            <w:tcW w:w="7740" w:type="dxa"/>
            <w:vAlign w:val="bottom"/>
          </w:tcPr>
          <w:p>
            <w:pPr>
              <w:ind w:left="120"/>
              <w:spacing w:after="0"/>
              <w:rPr>
                <w:sz w:val="20"/>
                <w:szCs w:val="20"/>
                <w:color w:val="auto"/>
              </w:rPr>
            </w:pPr>
            <w:r>
              <w:rPr>
                <w:rFonts w:ascii="Arial" w:cs="Arial" w:eastAsia="Arial" w:hAnsi="Arial"/>
                <w:sz w:val="13"/>
                <w:szCs w:val="13"/>
                <w:b w:val="1"/>
                <w:bCs w:val="1"/>
                <w:color w:val="auto"/>
              </w:rPr>
              <w:t>Position with the Company</w:t>
            </w:r>
          </w:p>
        </w:tc>
      </w:tr>
      <w:tr>
        <w:trPr>
          <w:trHeight w:val="68"/>
        </w:trPr>
        <w:tc>
          <w:tcPr>
            <w:tcW w:w="2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r>
      <w:tr>
        <w:trPr>
          <w:trHeight w:val="317"/>
        </w:trPr>
        <w:tc>
          <w:tcPr>
            <w:tcW w:w="2600" w:type="dxa"/>
            <w:vAlign w:val="bottom"/>
          </w:tcPr>
          <w:p>
            <w:pPr>
              <w:spacing w:after="0"/>
              <w:rPr>
                <w:sz w:val="20"/>
                <w:szCs w:val="20"/>
                <w:color w:val="auto"/>
              </w:rPr>
            </w:pPr>
            <w:r>
              <w:rPr>
                <w:rFonts w:ascii="Arial" w:cs="Arial" w:eastAsia="Arial" w:hAnsi="Arial"/>
                <w:sz w:val="18"/>
                <w:szCs w:val="18"/>
                <w:color w:val="auto"/>
              </w:rPr>
              <w:t>Satya Nadella</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77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Christopher C. Capossela</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w:t>
            </w:r>
          </w:p>
        </w:tc>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Marketing and Consumer Business, and Chief Marketing Officer</w:t>
            </w: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Jean-Philippe Courtois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7740" w:type="dxa"/>
            <w:vAlign w:val="bottom"/>
          </w:tcPr>
          <w:p>
            <w:pPr>
              <w:ind w:left="120"/>
              <w:spacing w:after="0"/>
              <w:rPr>
                <w:sz w:val="20"/>
                <w:szCs w:val="20"/>
                <w:color w:val="auto"/>
              </w:rPr>
            </w:pPr>
            <w:r>
              <w:rPr>
                <w:rFonts w:ascii="Arial" w:cs="Arial" w:eastAsia="Arial" w:hAnsi="Arial"/>
                <w:sz w:val="18"/>
                <w:szCs w:val="18"/>
                <w:color w:val="auto"/>
              </w:rPr>
              <w:t>Executive Vice President and President, Microsoft Global Sales, Marketing and Operations</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Kathleen T. Hogan</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Human Resources</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Amy E. Hood</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w:t>
            </w:r>
          </w:p>
        </w:tc>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Chief Financial Officer</w:t>
            </w:r>
          </w:p>
        </w:tc>
      </w:tr>
      <w:tr>
        <w:trPr>
          <w:trHeight w:val="217"/>
        </w:trPr>
        <w:tc>
          <w:tcPr>
            <w:tcW w:w="2600" w:type="dxa"/>
            <w:vAlign w:val="bottom"/>
          </w:tcPr>
          <w:p>
            <w:pPr>
              <w:spacing w:after="0"/>
              <w:rPr>
                <w:sz w:val="20"/>
                <w:szCs w:val="20"/>
                <w:color w:val="auto"/>
              </w:rPr>
            </w:pPr>
            <w:r>
              <w:rPr>
                <w:rFonts w:ascii="Arial" w:cs="Arial" w:eastAsia="Arial" w:hAnsi="Arial"/>
                <w:sz w:val="18"/>
                <w:szCs w:val="18"/>
                <w:color w:val="auto"/>
              </w:rPr>
              <w:t>Bradford L. Smith</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7740" w:type="dxa"/>
            <w:vAlign w:val="bottom"/>
          </w:tcPr>
          <w:p>
            <w:pPr>
              <w:ind w:left="120"/>
              <w:spacing w:after="0"/>
              <w:rPr>
                <w:sz w:val="20"/>
                <w:szCs w:val="20"/>
                <w:color w:val="auto"/>
              </w:rPr>
            </w:pPr>
            <w:r>
              <w:rPr>
                <w:rFonts w:ascii="Arial" w:cs="Arial" w:eastAsia="Arial" w:hAnsi="Arial"/>
                <w:sz w:val="18"/>
                <w:szCs w:val="18"/>
                <w:color w:val="auto"/>
              </w:rPr>
              <w:t>President and Chief Legal Officer</w:t>
            </w:r>
          </w:p>
        </w:tc>
      </w:tr>
      <w:tr>
        <w:trPr>
          <w:trHeight w:val="68"/>
        </w:trPr>
        <w:tc>
          <w:tcPr>
            <w:tcW w:w="2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r>
    </w:tbl>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Nadella was appointed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 Mr. Nadella also serves on the Board of Directors of Starbucks Corporation.</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Capossela was appointed Executive Vice President, Marketing and Consumer Business, and Chief Marketing Officer in July 2016. He had served as Executive Vice President, Chief Marketing Officer since March 2014. Previously, he served as the worldwide leader of the Consumer Channels Group, responsible for sales and marketing activities with OEMs, operators, and retail partners. In his more than 26 years at Microsoft, Mr. Capossela has held a variety of marketing leadership roles in the Microsoft Office Division. He was responsible for marketing productivity solutions including Microsoft Office, Office 365, SharePoint, Exchange, Skype for Business, Project, and Visio.</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Courtois was appointed Executive Vice President and President, Microsoft Global Sales, Marketing and Operations in July 2016. Before that he was President of Microsoft International since 2005. He was Chief Executive Officer, Microsoft Europe, Middle East, and Africa from 2003 to 2005. He was Senior Vice President and President, Microsoft Europe, Middle East, and Africa from 2000 to 2003. He was Corporate Vice President, Worldwide Customer Marketing from 1998 to 2000. Mr. Courtois joined Microsoft in 1984.</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Ms. Hogan was appointed Executive Vice President, Human Resources in November 2014. Prior to that Ms. Hogan was Corporate Vice President of Microsoft Services. She also served as Corporate Vice President of Customer Service and Support. Ms. Hogan joined Microsoft in 2003. Ms. Hogan also serves on the Board of Directors of Alaska Air Group, Inc.</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Ms. Hood was appointed Executive Vice President and Chief Financial Officer in July 2013, subsequent to her appointment as Chief Financial Officer in May 2013. From 2010 to 2013, Ms. Hood was Chief Financial Officer of the Microsoft Business Division. From 2006 through 2009, Ms. Hood was General Manager, Microsoft Business Division Strategy. Since joining Microsoft in 2002, Ms. Hood has also</w:t>
      </w:r>
    </w:p>
    <w:p>
      <w:pPr>
        <w:spacing w:after="0" w:line="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held finance-related positions in the Server and Tools Business and the corporate finance organization. Ms. Hood also serves on the Board of Directors of 3M Corporation.</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Smith was appointed President and Chief Legal Officer in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EMPLOYEES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2020, we employed approximately 163,000 people on a full-time basis, 96,000 in the U.S. and 67,000 internationally. Of the total employed people, 56,000 were in operations, including manufacturing, distribution, product support, and consulting services; 55,000 were in product research and development; 40,000 were in sales and marketing; and 12,000 were in general and administration. Certain of our employees are subject to collective bargaining agreements.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AVAILABLE INFORMATION</w:t>
      </w:r>
    </w:p>
    <w:p>
      <w:pPr>
        <w:spacing w:after="0" w:line="15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spacing w:after="0" w:line="54" w:lineRule="exact"/>
        <w:rPr>
          <w:sz w:val="20"/>
          <w:szCs w:val="20"/>
          <w:color w:val="auto"/>
        </w:rPr>
      </w:pPr>
    </w:p>
    <w:p>
      <w:pPr>
        <w:jc w:val="both"/>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as soon as reasonably practicable after we electronically file that material with or furnish it to the Securities and Exchange Commission (“SEC”) at www.sec.gov.</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on our business strategies, financial results, and metrics for investors.</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investor conferences, speeches, and events at which our executives talk about our product, service, and competitive strategies. Archives of these events are also available.</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Press releases on quarterly earnings, product and service announcements, legal developments, and international news.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governance information including our articles of incorporation, bylaws, governance guidelines, committee charters, codes of conduct and ethics, global corporate social responsibility initiatives, and other governance-related policies.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Opportunities to sign up for email alerts to have information pushed in real time.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information found on our website is not part of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6" w:lineRule="exact"/>
        <w:rPr>
          <w:sz w:val="20"/>
          <w:szCs w:val="20"/>
          <w:color w:val="auto"/>
        </w:rPr>
      </w:pPr>
    </w:p>
    <w:p>
      <w:pPr>
        <w:jc w:val="both"/>
        <w:ind w:left="1060" w:hanging="391"/>
        <w:spacing w:after="0" w:line="23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54" w:lineRule="exact"/>
        <w:rPr>
          <w:rFonts w:ascii="Arial" w:cs="Arial" w:eastAsia="Arial" w:hAnsi="Arial"/>
          <w:sz w:val="18"/>
          <w:szCs w:val="18"/>
          <w:color w:val="auto"/>
        </w:rPr>
      </w:pPr>
    </w:p>
    <w:p>
      <w:pPr>
        <w:jc w:val="both"/>
        <w:ind w:left="1060" w:hanging="391"/>
        <w:spacing w:after="0" w:line="236"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58" w:lineRule="exact"/>
        <w:rPr>
          <w:rFonts w:ascii="Arial" w:cs="Arial" w:eastAsia="Arial" w:hAnsi="Arial"/>
          <w:sz w:val="18"/>
          <w:szCs w:val="18"/>
          <w:color w:val="auto"/>
        </w:rPr>
      </w:pPr>
    </w:p>
    <w:p>
      <w:pPr>
        <w:jc w:val="both"/>
        <w:ind w:left="1060" w:hanging="391"/>
        <w:spacing w:after="0" w:line="23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3" w:lineRule="exact"/>
        <w:rPr>
          <w:rFonts w:ascii="Arial" w:cs="Arial" w:eastAsia="Arial" w:hAnsi="Arial"/>
          <w:sz w:val="18"/>
          <w:szCs w:val="18"/>
          <w:color w:val="auto"/>
        </w:rPr>
      </w:pPr>
    </w:p>
    <w:p>
      <w:pPr>
        <w:jc w:val="both"/>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are undertaking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Azure, Azure Stack, Azure IoT Edge, and Azure Sphere. We may not establish market share sufficient to achieve scale necessary to achieve our business objectives.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68" w:lineRule="exact"/>
        <w:rPr>
          <w:sz w:val="20"/>
          <w:szCs w:val="20"/>
          <w:color w:val="auto"/>
        </w:rPr>
      </w:pPr>
    </w:p>
    <w:p>
      <w:pPr>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endpoints.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SQL Server, Windows Server, Azure, Office 365, Xbox Live,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For example, in October 2018, we completed our acquisition of GitHub, Inc. (“GitHub”) for $7.5 billion. These acquisitions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or that they distract management from our other businesses.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Cyberthreats are constantly evolving,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 technologies, or otherwise adversely affect our business.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Adversaries that acquire user account information at other companies can use that information to compromise our users’ accounts where accounts share the same attributes as passwords. Inadequate account security practices may also result in unauthorized access. User activity may also result in ransomware or other malicious software impacting a customer’s use of our products or services. We are also increasingly incorporating open source software into our products. There may be vulnerabilities in open source software that may make our products susceptible to cyberattacks.</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and anti-virus software and information about the need to deploy security measures and the impact of doing so. Customers in certain industries such as financial services, health care, and government may have enhanced or specialized requirements to which we must engineer our product and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of these steps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and social platform abuses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MSN, and Xbox Live, our reputation or user engagement may be negatively affected by activity that is hostile or inappropriate. This activity may come from users impersonating other people or organizations, use of our products or services to spread terrorist or violent extremist content or to disseminate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safety and service misuse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hosted consumer services as well as our enterprise services may be used by third parties to disseminate harmful or illegal content in violation of our terms or applicable law. We may not proactively discover such content due to scale and the limitations of existing technologies, and when discovered by users, such content may negatively affect our reputation, our brands, and user engagement. Regulations and other initiatives to make platforms responsible for preventing or eliminating harmful content online are gaining momentum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Issues in the use of AI in our offerings may result in reputational harm or liability</w:t>
      </w:r>
      <w:r>
        <w:rPr>
          <w:rFonts w:ascii="Arial" w:cs="Arial" w:eastAsia="Arial" w:hAnsi="Arial"/>
          <w:sz w:val="18"/>
          <w:szCs w:val="18"/>
          <w:color w:val="auto"/>
        </w:rPr>
        <w:t>. We are building AI into many of our offerings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this element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Inappropriate or controversial data practices by Microsoft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brand or reputational harm.</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Azure, Microsoft Account services, Office 365, Microsoft Teams, Dynamics 365, OneDrive, SharePoint Online, Skype, Xbox Live,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manufacture,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functions, potentially magnifying the impact of quality or reliability issues. Any defects we do not detect and fix in pre -release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1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our patents to others in return for a royalty.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selling price changes in products using licensed patents, or the difficulty of discovering infringements. Finally, our increasing engagement with open source software will also cause us to license our intellectual property rights broadly in certain situations and may negatively impact revenue.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10,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10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56" w:lineRule="exact"/>
        <w:rPr>
          <w:sz w:val="20"/>
          <w:szCs w:val="20"/>
          <w:color w:val="auto"/>
        </w:rPr>
      </w:pPr>
    </w:p>
    <w:p>
      <w:pPr>
        <w:jc w:val="both"/>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ind w:left="1060" w:hanging="391"/>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48" w:lineRule="exact"/>
        <w:rPr>
          <w:rFonts w:ascii="Arial" w:cs="Arial" w:eastAsia="Arial" w:hAnsi="Arial"/>
          <w:sz w:val="18"/>
          <w:szCs w:val="18"/>
          <w:color w:val="auto"/>
        </w:rPr>
      </w:pPr>
    </w:p>
    <w:p>
      <w:pPr>
        <w:jc w:val="both"/>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realize anticipated Windows 10 post-sale monetization opportunities may be limited.</w:t>
      </w:r>
    </w:p>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operations subject us to potential liability under anti-corruption, trade protection,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On July 22, 2019, our Hungarian subsidiary entered into a non-prosecution agreement (“NPA”) with the U.S. Department of Justice (“DOJ”) and we agreed to the terms of a cease and desist order with the Securities and Exchange Commission. These agreements required us to pay $25.3 million in monetary penalties, disgorgement, and interest pertaining to activities at Microsoft’s subsidiary in Hungary. The NPA, which has a three-year term, also contains certain ongoing compliance requirements, including the obligations to disclose to the DOJ issues that may implicate the FCPA and to cooperate in any inquiries.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Operations outside the U.S. may be affected by changes in trade protection laws, policies, sanctions, and other regulatory requirements affecting trade and investment. We may be subject to legal liability and reputational damage if we sell goods or services in violation of U.S. trade sanctions on restricted entities or countries such as Crimea, Cuba, Iran, North Korea, Sudan, and Syria.</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regulatory areas that may apply to our products and online services offerings include user privacy, telecommunications, data storage and protection,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Data protection authorities may assert that our collection, use, and management of customer data is inconsistent with their laws and regulations. Legislative or regulatory action relating to cybersecurity requirements may increase the costs to develop, implement, or secure our products and services. Legislative or regulatory action could also emerge in the area of AI and content moderation, increasing costs or restricting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emerging global accessibility requirements, we could lose sales opportunities or face regulatory 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has led to uncertainty about the legal requirements for data transfers from the EU under other legal mechanisms. Potential new rules and restrictions on the flow of data across borders could increase the cost and complexity of delivering our products and services in some markets. In May 2018, the EU General Data Protection Regulation (“GDPR”), became effective. The law, which applies to all of our activities conducted from an establishment in the EU or related to products and services offered in the EU, imposes a range of compliance obligations regarding the handling of personal data. Engineering efforts to build and maintain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our implementation to comply with the GDPR makes our offerings less attractive. The GDPR imposes significant new obligations and compliance with these obligations depends in part on how particular regulators interpret and apply them. If we fail to comply with the GDPR, or if regulators assert we have failed to comply with the GDPR, it may lead to regulatory enforcement actions, which can result in monetary penalties of up to 4% of worldwide revenue, private lawsuits, reputational damage, and loss of customers. Countries around the world, and states in the U.S. such as California, have adopted, or are considering adopting or expanding, laws and regulations imposing obligations regarding the handling of personal data.</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and as we gather more information and perform more analysis, our results may differ from previous estimates and may materially affect our consolidated financial statements.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52" w:lineRule="exact"/>
        <w:rPr>
          <w:sz w:val="20"/>
          <w:szCs w:val="20"/>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5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and economic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trends in specific countries may significantly alter the trade environment. Changes to trade policy or agreements as a result of populism, protectionism, or economic nationalism may result in higher tariffs, local sourcing initiatives,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or delays which could adversely impact public-sector demand for our products and services. These events could negatively impact our results of operations, financial condition, and reputation</w:t>
      </w:r>
      <w:r>
        <w:rPr>
          <w:rFonts w:ascii="Arial" w:cs="Arial" w:eastAsia="Arial" w:hAnsi="Arial"/>
          <w:sz w:val="18"/>
          <w:szCs w:val="18"/>
          <w:b w:val="1"/>
          <w:bCs w:val="1"/>
          <w:color w:val="auto"/>
        </w:rPr>
        <w:t>.</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9" w:name="page30"/>
    <w:bookmarkEnd w:id="29"/>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an other-than-temporary decline in fair value, requiring impairment charges that could adversely affect our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requirements that could impact our operating strategies, access to global markets, hiring, and profitability. Geopolitical instability may lead to sanctions and impact our ability to do business in some markets or with some public-sector customers. Any of these changes may negatively impact our revenues.</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occurrence of regional epidemics or a global pandemic may adversely affect our operations, financial condition, and results of operations. The COVID-19 pandemic is having widespread,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 from home, supply chain logistical changes, and closure of non-essential businesses. To protect the health and well-being of our employees, suppliers, and customers, we have made substantial modifications to employee travel policies, implemented office closures as employees are advised to work from home, and cancelled or shifted our conferences and other marketing events to virtual-only through fiscal year 2021. The COVID-19 pandemic has impacted and may continue to impact our business operations, including our employees, customers, partners, and communities, and there is substantial uncertainty in the nature and degree of its continued effects over time.</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third and fourth quarters of fiscal year 2020, we have experienced adverse impacts to our supply chain, a slowdown in transactional licensing, and lower demand for our advertising services. 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Measures to contain the virus that impact us, our partners, distributors, and suppliers may further intensify these impacts and other risks described in these Risk Factors. Any of these may adversely impact our ability to:</w:t>
      </w:r>
    </w:p>
    <w:p>
      <w:pPr>
        <w:spacing w:after="0" w:line="48" w:lineRule="exact"/>
        <w:rPr>
          <w:sz w:val="20"/>
          <w:szCs w:val="20"/>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3"/>
          <w:szCs w:val="13"/>
          <w:u w:val="single" w:color="auto"/>
          <w:color w:val="auto"/>
        </w:rPr>
        <w:t>PART I</w:t>
      </w:r>
    </w:p>
    <w:p>
      <w:pPr>
        <w:jc w:val="center"/>
        <w:spacing w:after="0"/>
        <w:rPr>
          <w:sz w:val="20"/>
          <w:szCs w:val="20"/>
          <w:color w:val="auto"/>
        </w:rPr>
      </w:pPr>
      <w:r>
        <w:rPr>
          <w:rFonts w:ascii="Arial" w:cs="Arial" w:eastAsia="Arial" w:hAnsi="Arial"/>
          <w:sz w:val="13"/>
          <w:szCs w:val="13"/>
          <w:color w:val="auto"/>
        </w:rPr>
        <w:t>Item 1B, 2, 3, 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1B. UNRESOLVED STAFF COMMENTS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Securities and Exchange Commission that were issued 180 days or more preceding the end of our fiscal year 2020 that remain unresolved.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PROPERTIES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corporate headquarters are located in Redmond, Washington. We have approximately 15 million square feet of space located in King County, Washington that is used for engineering, sales, marketing, and operations, among other general and administrative purposes. These facilities include approximately 10 million square feet of owned space situated on approximately 520 acres of land we own at our corporate headquarters, and approximately five million square feet of space we lease. In addition, we own and lease space domestically that includes office, datacenter, and retail space.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own and lease facilities internationally. The largest owned properties include: our research and development centers in China and India; our datacenters in Ireland, the Netherlands, and Singapore; and our operations and facilities in Ireland and the United Kingdom. The largest leased properties include space in the following locations: Australia, Canada, China, France, Germany, India, Israel, Japan, Netherlands, and the United Kingdom.</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the above locations, we have various product development facilities, both domestically and internationally, as described under Research and Development (Part I, Item 1 of this Form 10-K).</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table below shows a summary of the square footage of our office, datacenter, retail, and other facilities owned and leased domestically and internationally as of June 30, 2020:</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(Square feet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20"/>
                <w:szCs w:val="20"/>
                <w:color w:val="auto"/>
              </w:rPr>
            </w:pPr>
            <w:r>
              <w:rPr>
                <w:rFonts w:ascii="Arial" w:cs="Arial" w:eastAsia="Arial" w:hAnsi="Arial"/>
                <w:sz w:val="13"/>
                <w:szCs w:val="13"/>
                <w:b w:val="1"/>
                <w:bCs w:val="1"/>
                <w:color w:val="auto"/>
              </w:rPr>
              <w:t>Location</w:t>
            </w:r>
          </w:p>
        </w:tc>
        <w:tc>
          <w:tcPr>
            <w:tcW w:w="14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Owned</w:t>
            </w:r>
          </w:p>
        </w:tc>
        <w:tc>
          <w:tcPr>
            <w:tcW w:w="14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Leased</w:t>
            </w:r>
          </w:p>
        </w:tc>
        <w:tc>
          <w:tcPr>
            <w:tcW w:w="1340" w:type="dxa"/>
            <w:vAlign w:val="bottom"/>
            <w:gridSpan w:val="2"/>
          </w:tcPr>
          <w:p>
            <w:pPr>
              <w:ind w:left="900"/>
              <w:spacing w:after="0"/>
              <w:rPr>
                <w:sz w:val="20"/>
                <w:szCs w:val="20"/>
                <w:color w:val="auto"/>
              </w:rPr>
            </w:pPr>
            <w:r>
              <w:rPr>
                <w:rFonts w:ascii="Arial" w:cs="Arial" w:eastAsia="Arial" w:hAnsi="Arial"/>
                <w:sz w:val="13"/>
                <w:szCs w:val="13"/>
                <w:b w:val="1"/>
                <w:bCs w:val="1"/>
                <w:color w:val="auto"/>
              </w:rPr>
              <w:t>Total</w:t>
            </w:r>
          </w:p>
        </w:tc>
      </w:tr>
      <w:tr>
        <w:trPr>
          <w:trHeight w:val="54"/>
        </w:trPr>
        <w:tc>
          <w:tcPr>
            <w:tcW w:w="6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6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14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14</w:t>
            </w:r>
          </w:p>
        </w:tc>
        <w:tc>
          <w:tcPr>
            <w:tcW w:w="13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34</w:t>
            </w:r>
          </w:p>
        </w:tc>
      </w:tr>
      <w:tr>
        <w:trPr>
          <w:trHeight w:val="250"/>
        </w:trPr>
        <w:tc>
          <w:tcPr>
            <w:tcW w:w="6980" w:type="dxa"/>
            <w:vAlign w:val="bottom"/>
          </w:tcPr>
          <w:p>
            <w:pPr>
              <w:spacing w:after="0"/>
              <w:rPr>
                <w:sz w:val="20"/>
                <w:szCs w:val="20"/>
                <w:color w:val="auto"/>
              </w:rPr>
            </w:pPr>
            <w:r>
              <w:rPr>
                <w:rFonts w:ascii="Arial" w:cs="Arial" w:eastAsia="Arial" w:hAnsi="Arial"/>
                <w:sz w:val="18"/>
                <w:szCs w:val="18"/>
                <w:color w:val="auto"/>
              </w:rPr>
              <w:t>International</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r>
      <w:tr>
        <w:trPr>
          <w:trHeight w:val="68"/>
        </w:trPr>
        <w:tc>
          <w:tcPr>
            <w:tcW w:w="698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6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27</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w:t>
            </w:r>
          </w:p>
        </w:tc>
        <w:tc>
          <w:tcPr>
            <w:tcW w:w="13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57</w:t>
            </w:r>
          </w:p>
        </w:tc>
      </w:tr>
      <w:tr>
        <w:trPr>
          <w:trHeight w:val="75"/>
        </w:trPr>
        <w:tc>
          <w:tcPr>
            <w:tcW w:w="698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LEGAL PROCEEDINGS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While not material to the Company, the Company makes the following annual report of the general activities of the Company’s Antitrust Compliance Office as required by the Final Order and Judgment in </w:t>
      </w:r>
      <w:r>
        <w:rPr>
          <w:rFonts w:ascii="Arial" w:cs="Arial" w:eastAsia="Arial" w:hAnsi="Arial"/>
          <w:sz w:val="17"/>
          <w:szCs w:val="17"/>
          <w:i w:val="1"/>
          <w:iCs w:val="1"/>
          <w:color w:val="auto"/>
        </w:rPr>
        <w:t>Barovic v. Ballmer et al,</w:t>
      </w:r>
      <w:r>
        <w:rPr>
          <w:rFonts w:ascii="Arial" w:cs="Arial" w:eastAsia="Arial" w:hAnsi="Arial"/>
          <w:sz w:val="17"/>
          <w:szCs w:val="17"/>
          <w:color w:val="auto"/>
        </w:rPr>
        <w:t xml:space="preserve"> United States District Court for the Western District of Washington (“Final Order”). For more information see http://aka.ms/MSLegalNotice2015. This will be the last annual report under the Final Order. During fiscal year 2020, the Antitrust Compliance Office (a) monitored the Company’s compliance with the European Commission Decision of March 24, 2004, (“2004 Decision”) and with the Company’s Public Undertaking to the European Commission dated December 16, 2009 (“2009 Undertaking”); (b) monitored, in the manner required by the Final Order, employee, customer, competitor, regulator, or other third-party complaints regarding compliance with the 2004 Decision, the 2009 Undertaking, or other EU or U.S. laws or regulations governing tying, bundling, and exclusive dealing contracts; and, (c) monitored, in the manner required by the Final Order, the training of the Company’s employees regarding the Company’s antitrust compliance polices. In addition, the Antitrust Compliance Officer reports to the Regulatory and Public Policy Committee of the Board at each of its regularly scheduled meetings and to the full Board annually.</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15 – Contingencies of the Notes to Financial Statements (Part II, Item 8 of this Form 10-K) for information regarding legal proceedings in which we are involved.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MINE SAFETY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2" w:name="page33"/>
    <w:bookmarkEnd w:id="3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8" w:lineRule="exact"/>
        <w:rPr>
          <w:sz w:val="20"/>
          <w:szCs w:val="20"/>
          <w:color w:val="auto"/>
        </w:rPr>
      </w:pPr>
    </w:p>
    <w:p>
      <w:pPr>
        <w:jc w:val="center"/>
        <w:ind w:left="340"/>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MARKET AND STOCKHOLDERS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common stock is traded on the NASDAQ Stock Market under the symbol MSFT. On July 27, 2020, there were 91,674 registered holders of record of our common stock.</w:t>
      </w:r>
    </w:p>
    <w:p>
      <w:pPr>
        <w:spacing w:after="0" w:line="251"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fourth quarter of fiscal year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Total Number of</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4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Shares Purchased as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Approximate Dollar Value of</w:t>
            </w:r>
          </w:p>
        </w:tc>
      </w:tr>
      <w:tr>
        <w:trPr>
          <w:trHeight w:val="148"/>
        </w:trPr>
        <w:tc>
          <w:tcPr>
            <w:tcW w:w="4280" w:type="dxa"/>
            <w:vAlign w:val="bottom"/>
          </w:tcPr>
          <w:p>
            <w:pPr>
              <w:spacing w:after="0"/>
              <w:rPr>
                <w:sz w:val="12"/>
                <w:szCs w:val="12"/>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Total Number</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w:t>
            </w:r>
          </w:p>
        </w:tc>
        <w:tc>
          <w:tcPr>
            <w:tcW w:w="1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Part of Publicly</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Shares That May Yet be</w:t>
            </w:r>
          </w:p>
        </w:tc>
      </w:tr>
      <w:tr>
        <w:trPr>
          <w:trHeight w:val="149"/>
        </w:trPr>
        <w:tc>
          <w:tcPr>
            <w:tcW w:w="4280" w:type="dxa"/>
            <w:vAlign w:val="bottom"/>
          </w:tcPr>
          <w:p>
            <w:pPr>
              <w:spacing w:after="0"/>
              <w:rPr>
                <w:sz w:val="12"/>
                <w:szCs w:val="12"/>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of Shares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 Paid</w:t>
            </w:r>
          </w:p>
        </w:tc>
        <w:tc>
          <w:tcPr>
            <w:tcW w:w="1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Announced Plans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Purchased Under the Plans</w:t>
            </w:r>
          </w:p>
        </w:tc>
      </w:tr>
      <w:tr>
        <w:trPr>
          <w:trHeight w:val="178"/>
        </w:trPr>
        <w:tc>
          <w:tcPr>
            <w:tcW w:w="428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15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Purchased</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 Share</w:t>
            </w:r>
          </w:p>
        </w:tc>
        <w:tc>
          <w:tcPr>
            <w:tcW w:w="1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or Programs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or Programs</w:t>
            </w:r>
          </w:p>
        </w:tc>
      </w:tr>
      <w:tr>
        <w:trPr>
          <w:trHeight w:val="55"/>
        </w:trPr>
        <w:tc>
          <w:tcPr>
            <w:tcW w:w="4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4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4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April 1, 2020 – April 30, 2020</w:t>
            </w:r>
          </w:p>
        </w:tc>
        <w:tc>
          <w:tcPr>
            <w:tcW w:w="15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8,906,563</w:t>
            </w: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165.90</w:t>
            </w:r>
          </w:p>
        </w:tc>
        <w:tc>
          <w:tcPr>
            <w:tcW w:w="17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8,906,563</w:t>
            </w:r>
          </w:p>
        </w:tc>
        <w:tc>
          <w:tcPr>
            <w:tcW w:w="3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35,323</w:t>
            </w:r>
          </w:p>
        </w:tc>
        <w:tc>
          <w:tcPr>
            <w:tcW w:w="60" w:type="dxa"/>
            <w:vAlign w:val="bottom"/>
            <w:shd w:val="clear" w:color="auto" w:fill="E5E5E5"/>
          </w:tcPr>
          <w:p>
            <w:pPr>
              <w:spacing w:after="0"/>
              <w:rPr>
                <w:sz w:val="16"/>
                <w:szCs w:val="16"/>
                <w:color w:val="auto"/>
              </w:rPr>
            </w:pPr>
          </w:p>
        </w:tc>
      </w:tr>
      <w:tr>
        <w:trPr>
          <w:trHeight w:val="189"/>
        </w:trPr>
        <w:tc>
          <w:tcPr>
            <w:tcW w:w="4280" w:type="dxa"/>
            <w:vAlign w:val="bottom"/>
          </w:tcPr>
          <w:p>
            <w:pPr>
              <w:spacing w:after="0" w:line="189" w:lineRule="exact"/>
              <w:rPr>
                <w:sz w:val="20"/>
                <w:szCs w:val="20"/>
                <w:color w:val="auto"/>
              </w:rPr>
            </w:pPr>
            <w:r>
              <w:rPr>
                <w:rFonts w:ascii="Arial" w:cs="Arial" w:eastAsia="Arial" w:hAnsi="Arial"/>
                <w:sz w:val="18"/>
                <w:szCs w:val="18"/>
                <w:color w:val="auto"/>
              </w:rPr>
              <w:t>May 1, 2020 – May 31, 2020</w:t>
            </w:r>
          </w:p>
        </w:tc>
        <w:tc>
          <w:tcPr>
            <w:tcW w:w="15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9,655,700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182.31</w:t>
            </w:r>
          </w:p>
        </w:tc>
        <w:tc>
          <w:tcPr>
            <w:tcW w:w="17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9,655,700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33,563</w:t>
            </w:r>
          </w:p>
        </w:tc>
        <w:tc>
          <w:tcPr>
            <w:tcW w:w="60" w:type="dxa"/>
            <w:vAlign w:val="bottom"/>
          </w:tcPr>
          <w:p>
            <w:pPr>
              <w:spacing w:after="0"/>
              <w:rPr>
                <w:sz w:val="16"/>
                <w:szCs w:val="16"/>
                <w:color w:val="auto"/>
              </w:rPr>
            </w:pPr>
          </w:p>
        </w:tc>
      </w:tr>
      <w:tr>
        <w:trPr>
          <w:trHeight w:val="189"/>
        </w:trPr>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2020 – June 30, 2020</w:t>
            </w:r>
          </w:p>
        </w:tc>
        <w:tc>
          <w:tcPr>
            <w:tcW w:w="15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9,648,400</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191.80</w:t>
            </w:r>
          </w:p>
        </w:tc>
        <w:tc>
          <w:tcPr>
            <w:tcW w:w="17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9,648,400</w:t>
            </w:r>
          </w:p>
        </w:tc>
        <w:tc>
          <w:tcPr>
            <w:tcW w:w="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31,712</w:t>
            </w:r>
          </w:p>
        </w:tc>
        <w:tc>
          <w:tcPr>
            <w:tcW w:w="60" w:type="dxa"/>
            <w:vAlign w:val="bottom"/>
            <w:shd w:val="clear" w:color="auto" w:fill="E5E5E5"/>
          </w:tcPr>
          <w:p>
            <w:pPr>
              <w:spacing w:after="0"/>
              <w:rPr>
                <w:sz w:val="16"/>
                <w:szCs w:val="16"/>
                <w:color w:val="auto"/>
              </w:rPr>
            </w:pPr>
          </w:p>
        </w:tc>
      </w:tr>
      <w:tr>
        <w:trPr>
          <w:trHeight w:val="68"/>
        </w:trPr>
        <w:tc>
          <w:tcPr>
            <w:tcW w:w="4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64"/>
        </w:trPr>
        <w:tc>
          <w:tcPr>
            <w:tcW w:w="4280" w:type="dxa"/>
            <w:vAlign w:val="bottom"/>
          </w:tcPr>
          <w:p>
            <w:pPr>
              <w:spacing w:after="0"/>
              <w:rPr>
                <w:sz w:val="22"/>
                <w:szCs w:val="22"/>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28,210,663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28,210,663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61"/>
        </w:trPr>
        <w:tc>
          <w:tcPr>
            <w:tcW w:w="428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fourth quarter of fiscal year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Dividend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214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3040" w:type="dxa"/>
            <w:vAlign w:val="bottom"/>
          </w:tcPr>
          <w:p>
            <w:pPr>
              <w:ind w:left="960"/>
              <w:spacing w:after="0"/>
              <w:rPr>
                <w:sz w:val="20"/>
                <w:szCs w:val="20"/>
                <w:color w:val="auto"/>
              </w:rPr>
            </w:pPr>
            <w:r>
              <w:rPr>
                <w:rFonts w:ascii="Arial" w:cs="Arial" w:eastAsia="Arial" w:hAnsi="Arial"/>
                <w:sz w:val="13"/>
                <w:szCs w:val="13"/>
                <w:b w:val="1"/>
                <w:bCs w:val="1"/>
                <w:color w:val="auto"/>
              </w:rPr>
              <w:t>Record Date</w:t>
            </w:r>
          </w:p>
        </w:tc>
        <w:tc>
          <w:tcPr>
            <w:tcW w:w="2920" w:type="dxa"/>
            <w:vAlign w:val="bottom"/>
          </w:tcPr>
          <w:p>
            <w:pPr>
              <w:ind w:left="720"/>
              <w:spacing w:after="0"/>
              <w:rPr>
                <w:sz w:val="20"/>
                <w:szCs w:val="20"/>
                <w:color w:val="auto"/>
              </w:rPr>
            </w:pPr>
            <w:r>
              <w:rPr>
                <w:rFonts w:ascii="Arial" w:cs="Arial" w:eastAsia="Arial" w:hAnsi="Arial"/>
                <w:sz w:val="13"/>
                <w:szCs w:val="13"/>
                <w:b w:val="1"/>
                <w:bCs w:val="1"/>
                <w:color w:val="auto"/>
              </w:rPr>
              <w:t>Payment Date</w:t>
            </w:r>
          </w:p>
        </w:tc>
        <w:tc>
          <w:tcPr>
            <w:tcW w:w="8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r>
      <w:tr>
        <w:trPr>
          <w:trHeight w:val="55"/>
        </w:trPr>
        <w:tc>
          <w:tcPr>
            <w:tcW w:w="21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2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 millions)</w:t>
            </w:r>
          </w:p>
        </w:tc>
      </w:tr>
      <w:tr>
        <w:trPr>
          <w:trHeight w:val="55"/>
        </w:trPr>
        <w:tc>
          <w:tcPr>
            <w:tcW w:w="2140" w:type="dxa"/>
            <w:vAlign w:val="bottom"/>
          </w:tcPr>
          <w:p>
            <w:pPr>
              <w:spacing w:after="0"/>
              <w:rPr>
                <w:sz w:val="4"/>
                <w:szCs w:val="4"/>
                <w:color w:val="auto"/>
              </w:rPr>
            </w:pPr>
          </w:p>
        </w:tc>
        <w:tc>
          <w:tcPr>
            <w:tcW w:w="30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21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June 17, 2020</w:t>
            </w:r>
          </w:p>
        </w:tc>
        <w:tc>
          <w:tcPr>
            <w:tcW w:w="3040" w:type="dxa"/>
            <w:vAlign w:val="bottom"/>
            <w:shd w:val="clear" w:color="auto" w:fill="E5E5E5"/>
          </w:tcPr>
          <w:p>
            <w:pPr>
              <w:ind w:left="960"/>
              <w:spacing w:after="0" w:line="189" w:lineRule="exact"/>
              <w:rPr>
                <w:sz w:val="20"/>
                <w:szCs w:val="20"/>
                <w:color w:val="auto"/>
              </w:rPr>
            </w:pPr>
            <w:r>
              <w:rPr>
                <w:rFonts w:ascii="Arial" w:cs="Arial" w:eastAsia="Arial" w:hAnsi="Arial"/>
                <w:sz w:val="18"/>
                <w:szCs w:val="18"/>
                <w:b w:val="1"/>
                <w:bCs w:val="1"/>
                <w:color w:val="auto"/>
              </w:rPr>
              <w:t>August 20, 2020</w:t>
            </w:r>
          </w:p>
        </w:tc>
        <w:tc>
          <w:tcPr>
            <w:tcW w:w="2920" w:type="dxa"/>
            <w:vAlign w:val="bottom"/>
            <w:shd w:val="clear" w:color="auto" w:fill="E5E5E5"/>
          </w:tcPr>
          <w:p>
            <w:pPr>
              <w:ind w:left="720"/>
              <w:spacing w:after="0" w:line="189" w:lineRule="exact"/>
              <w:rPr>
                <w:sz w:val="20"/>
                <w:szCs w:val="20"/>
                <w:color w:val="auto"/>
              </w:rPr>
            </w:pPr>
            <w:r>
              <w:rPr>
                <w:rFonts w:ascii="Arial" w:cs="Arial" w:eastAsia="Arial" w:hAnsi="Arial"/>
                <w:sz w:val="18"/>
                <w:szCs w:val="18"/>
                <w:b w:val="1"/>
                <w:bCs w:val="1"/>
                <w:color w:val="auto"/>
              </w:rPr>
              <w:t>September 10, 2020</w:t>
            </w:r>
          </w:p>
        </w:tc>
        <w:tc>
          <w:tcPr>
            <w:tcW w:w="8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0.51</w:t>
            </w:r>
          </w:p>
        </w:tc>
        <w:tc>
          <w:tcPr>
            <w:tcW w:w="3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3,861</w:t>
            </w:r>
          </w:p>
        </w:tc>
      </w:tr>
      <w:tr>
        <w:trPr>
          <w:trHeight w:val="68"/>
        </w:trPr>
        <w:tc>
          <w:tcPr>
            <w:tcW w:w="214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returned $8.9 billion to shareholders in the form of share repurchases and dividends in the fourth quarter of fiscal year 2020. Refer to Note 16 – Stockholders’ Equity of the Notes to Financial Statements (Part II, Item 8 of this Form 10-K) for further discussion regarding share repurchases and dividends.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3" w:name="page34"/>
    <w:bookmarkEnd w:id="3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6. SELECTED FINANCIAL DATA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HIGHLIGHTS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37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640" w:type="dxa"/>
            <w:vAlign w:val="bottom"/>
          </w:tcPr>
          <w:p>
            <w:pPr>
              <w:spacing w:after="0"/>
              <w:rPr>
                <w:sz w:val="15"/>
                <w:szCs w:val="15"/>
                <w:color w:val="auto"/>
              </w:rPr>
            </w:pPr>
          </w:p>
        </w:tc>
        <w:tc>
          <w:tcPr>
            <w:tcW w:w="1020" w:type="dxa"/>
            <w:vAlign w:val="bottom"/>
          </w:tcPr>
          <w:p>
            <w:pPr>
              <w:jc w:val="right"/>
              <w:ind w:right="12"/>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2019</w:t>
            </w:r>
            <w:r>
              <w:rPr>
                <w:rFonts w:ascii="Arial" w:cs="Arial" w:eastAsia="Arial" w:hAnsi="Arial"/>
                <w:sz w:val="11"/>
                <w:szCs w:val="11"/>
                <w:b w:val="1"/>
                <w:bCs w:val="1"/>
                <w:color w:val="auto"/>
              </w:rPr>
              <w:t>(a)</w:t>
            </w:r>
          </w:p>
        </w:tc>
        <w:tc>
          <w:tcPr>
            <w:tcW w:w="380" w:type="dxa"/>
            <w:vAlign w:val="bottom"/>
          </w:tcPr>
          <w:p>
            <w:pPr>
              <w:spacing w:after="0"/>
              <w:rPr>
                <w:sz w:val="15"/>
                <w:szCs w:val="15"/>
                <w:color w:val="auto"/>
              </w:rPr>
            </w:pPr>
          </w:p>
        </w:tc>
        <w:tc>
          <w:tcPr>
            <w:tcW w:w="1060" w:type="dxa"/>
            <w:vAlign w:val="bottom"/>
          </w:tcPr>
          <w:p>
            <w:pPr>
              <w:jc w:val="right"/>
              <w:ind w:right="132"/>
              <w:spacing w:after="0"/>
              <w:rPr>
                <w:sz w:val="20"/>
                <w:szCs w:val="20"/>
                <w:color w:val="auto"/>
              </w:rPr>
            </w:pPr>
            <w:r>
              <w:rPr>
                <w:rFonts w:ascii="Arial" w:cs="Arial" w:eastAsia="Arial" w:hAnsi="Arial"/>
                <w:sz w:val="13"/>
                <w:szCs w:val="13"/>
                <w:b w:val="1"/>
                <w:bCs w:val="1"/>
                <w:color w:val="auto"/>
              </w:rPr>
              <w:t>2018</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2017</w:t>
            </w:r>
            <w:r>
              <w:rPr>
                <w:rFonts w:ascii="Arial" w:cs="Arial" w:eastAsia="Arial" w:hAnsi="Arial"/>
                <w:sz w:val="11"/>
                <w:szCs w:val="11"/>
                <w:b w:val="1"/>
                <w:bCs w:val="1"/>
                <w:color w:val="auto"/>
              </w:rPr>
              <w:t>(d)(e)</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2016</w:t>
            </w:r>
            <w:r>
              <w:rPr>
                <w:rFonts w:ascii="Arial" w:cs="Arial" w:eastAsia="Arial" w:hAnsi="Arial"/>
                <w:sz w:val="11"/>
                <w:szCs w:val="11"/>
                <w:b w:val="1"/>
                <w:bCs w:val="1"/>
                <w:color w:val="auto"/>
              </w:rPr>
              <w:t>(d)</w:t>
            </w:r>
          </w:p>
        </w:tc>
        <w:tc>
          <w:tcPr>
            <w:tcW w:w="0" w:type="dxa"/>
            <w:vAlign w:val="bottom"/>
          </w:tcPr>
          <w:p>
            <w:pPr>
              <w:spacing w:after="0"/>
              <w:rPr>
                <w:sz w:val="1"/>
                <w:szCs w:val="1"/>
                <w:color w:val="auto"/>
              </w:rPr>
            </w:pPr>
          </w:p>
        </w:tc>
      </w:tr>
      <w:tr>
        <w:trPr>
          <w:trHeight w:val="55"/>
        </w:trPr>
        <w:tc>
          <w:tcPr>
            <w:tcW w:w="3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64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143,015</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32"/>
              <w:spacing w:after="0" w:line="189" w:lineRule="exact"/>
              <w:rPr>
                <w:sz w:val="20"/>
                <w:szCs w:val="20"/>
                <w:color w:val="auto"/>
              </w:rPr>
            </w:pPr>
            <w:r>
              <w:rPr>
                <w:rFonts w:ascii="Arial" w:cs="Arial" w:eastAsia="Arial" w:hAnsi="Arial"/>
                <w:sz w:val="18"/>
                <w:szCs w:val="18"/>
                <w:color w:val="auto"/>
              </w:rPr>
              <w:t>125,843</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32"/>
              <w:spacing w:after="0" w:line="189" w:lineRule="exact"/>
              <w:rPr>
                <w:sz w:val="20"/>
                <w:szCs w:val="20"/>
                <w:color w:val="auto"/>
              </w:rPr>
            </w:pPr>
            <w:r>
              <w:rPr>
                <w:rFonts w:ascii="Arial" w:cs="Arial" w:eastAsia="Arial" w:hAnsi="Arial"/>
                <w:sz w:val="18"/>
                <w:szCs w:val="18"/>
                <w:color w:val="auto"/>
              </w:rPr>
              <w:t>110,360</w:t>
            </w:r>
          </w:p>
        </w:tc>
        <w:tc>
          <w:tcPr>
            <w:tcW w:w="3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272"/>
              <w:spacing w:after="0" w:line="189" w:lineRule="exact"/>
              <w:rPr>
                <w:sz w:val="20"/>
                <w:szCs w:val="20"/>
                <w:color w:val="auto"/>
              </w:rPr>
            </w:pPr>
            <w:r>
              <w:rPr>
                <w:rFonts w:ascii="Arial" w:cs="Arial" w:eastAsia="Arial" w:hAnsi="Arial"/>
                <w:sz w:val="18"/>
                <w:szCs w:val="18"/>
                <w:color w:val="auto"/>
              </w:rPr>
              <w:t>96,571</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color w:val="auto"/>
              </w:rPr>
              <w:t>91,154</w:t>
            </w:r>
          </w:p>
        </w:tc>
        <w:tc>
          <w:tcPr>
            <w:tcW w:w="0" w:type="dxa"/>
            <w:vAlign w:val="bottom"/>
          </w:tcPr>
          <w:p>
            <w:pPr>
              <w:spacing w:after="0"/>
              <w:rPr>
                <w:sz w:val="1"/>
                <w:szCs w:val="1"/>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640" w:type="dxa"/>
            <w:vAlign w:val="bottom"/>
          </w:tcPr>
          <w:p>
            <w:pPr>
              <w:spacing w:after="0"/>
              <w:rPr>
                <w:sz w:val="16"/>
                <w:szCs w:val="16"/>
                <w:color w:val="auto"/>
              </w:rPr>
            </w:pPr>
          </w:p>
        </w:tc>
        <w:tc>
          <w:tcPr>
            <w:tcW w:w="10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96,937</w:t>
            </w:r>
          </w:p>
        </w:tc>
        <w:tc>
          <w:tcPr>
            <w:tcW w:w="380" w:type="dxa"/>
            <w:vAlign w:val="bottom"/>
          </w:tcPr>
          <w:p>
            <w:pPr>
              <w:spacing w:after="0"/>
              <w:rPr>
                <w:sz w:val="16"/>
                <w:szCs w:val="16"/>
                <w:color w:val="auto"/>
              </w:rPr>
            </w:pPr>
          </w:p>
        </w:tc>
        <w:tc>
          <w:tcPr>
            <w:tcW w:w="108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82,933</w:t>
            </w:r>
          </w:p>
        </w:tc>
        <w:tc>
          <w:tcPr>
            <w:tcW w:w="380" w:type="dxa"/>
            <w:vAlign w:val="bottom"/>
          </w:tcPr>
          <w:p>
            <w:pPr>
              <w:spacing w:after="0"/>
              <w:rPr>
                <w:sz w:val="16"/>
                <w:szCs w:val="16"/>
                <w:color w:val="auto"/>
              </w:rPr>
            </w:pPr>
          </w:p>
        </w:tc>
        <w:tc>
          <w:tcPr>
            <w:tcW w:w="106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72,007</w:t>
            </w:r>
          </w:p>
        </w:tc>
        <w:tc>
          <w:tcPr>
            <w:tcW w:w="360" w:type="dxa"/>
            <w:vAlign w:val="bottom"/>
          </w:tcPr>
          <w:p>
            <w:pPr>
              <w:spacing w:after="0"/>
              <w:rPr>
                <w:sz w:val="16"/>
                <w:szCs w:val="16"/>
                <w:color w:val="auto"/>
              </w:rPr>
            </w:pPr>
          </w:p>
        </w:tc>
        <w:tc>
          <w:tcPr>
            <w:tcW w:w="1160" w:type="dxa"/>
            <w:vAlign w:val="bottom"/>
          </w:tcPr>
          <w:p>
            <w:pPr>
              <w:jc w:val="right"/>
              <w:ind w:right="272"/>
              <w:spacing w:after="0" w:line="189" w:lineRule="exact"/>
              <w:rPr>
                <w:sz w:val="20"/>
                <w:szCs w:val="20"/>
                <w:color w:val="auto"/>
              </w:rPr>
            </w:pPr>
            <w:r>
              <w:rPr>
                <w:rFonts w:ascii="Arial" w:cs="Arial" w:eastAsia="Arial" w:hAnsi="Arial"/>
                <w:sz w:val="18"/>
                <w:szCs w:val="18"/>
                <w:color w:val="auto"/>
              </w:rPr>
              <w:t>62,310</w:t>
            </w:r>
          </w:p>
        </w:tc>
        <w:tc>
          <w:tcPr>
            <w:tcW w:w="380" w:type="dxa"/>
            <w:vAlign w:val="bottom"/>
          </w:tcPr>
          <w:p>
            <w:pPr>
              <w:spacing w:after="0"/>
              <w:rPr>
                <w:sz w:val="16"/>
                <w:szCs w:val="16"/>
                <w:color w:val="auto"/>
              </w:rPr>
            </w:pPr>
          </w:p>
        </w:tc>
        <w:tc>
          <w:tcPr>
            <w:tcW w:w="9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58,374</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64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52,959</w:t>
            </w:r>
          </w:p>
        </w:tc>
        <w:tc>
          <w:tcPr>
            <w:tcW w:w="38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132"/>
              <w:spacing w:after="0" w:line="189" w:lineRule="exact"/>
              <w:rPr>
                <w:sz w:val="20"/>
                <w:szCs w:val="20"/>
                <w:color w:val="auto"/>
              </w:rPr>
            </w:pPr>
            <w:r>
              <w:rPr>
                <w:rFonts w:ascii="Arial" w:cs="Arial" w:eastAsia="Arial" w:hAnsi="Arial"/>
                <w:sz w:val="18"/>
                <w:szCs w:val="18"/>
                <w:color w:val="auto"/>
              </w:rPr>
              <w:t>42,959</w:t>
            </w:r>
          </w:p>
        </w:tc>
        <w:tc>
          <w:tcPr>
            <w:tcW w:w="3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32"/>
              <w:spacing w:after="0" w:line="189" w:lineRule="exact"/>
              <w:rPr>
                <w:sz w:val="20"/>
                <w:szCs w:val="20"/>
                <w:color w:val="auto"/>
              </w:rPr>
            </w:pPr>
            <w:r>
              <w:rPr>
                <w:rFonts w:ascii="Arial" w:cs="Arial" w:eastAsia="Arial" w:hAnsi="Arial"/>
                <w:sz w:val="18"/>
                <w:szCs w:val="18"/>
                <w:color w:val="auto"/>
              </w:rPr>
              <w:t>35,058</w:t>
            </w:r>
          </w:p>
        </w:tc>
        <w:tc>
          <w:tcPr>
            <w:tcW w:w="360" w:type="dxa"/>
            <w:vAlign w:val="bottom"/>
            <w:shd w:val="clear" w:color="auto" w:fill="E5E5E5"/>
          </w:tcPr>
          <w:p>
            <w:pPr>
              <w:spacing w:after="0"/>
              <w:rPr>
                <w:sz w:val="16"/>
                <w:szCs w:val="16"/>
                <w:color w:val="auto"/>
              </w:rPr>
            </w:pPr>
          </w:p>
        </w:tc>
        <w:tc>
          <w:tcPr>
            <w:tcW w:w="11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color w:val="auto"/>
              </w:rPr>
              <w:t>29,025</w:t>
            </w:r>
            <w:r>
              <w:rPr>
                <w:rFonts w:ascii="Arial" w:cs="Arial" w:eastAsia="Arial" w:hAnsi="Arial"/>
                <w:sz w:val="11"/>
                <w:szCs w:val="11"/>
                <w:color w:val="auto"/>
              </w:rPr>
              <w:t>(f)</w:t>
            </w:r>
          </w:p>
        </w:tc>
        <w:tc>
          <w:tcPr>
            <w:tcW w:w="3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26,078</w:t>
            </w:r>
            <w:r>
              <w:rPr>
                <w:rFonts w:ascii="Arial" w:cs="Arial" w:eastAsia="Arial" w:hAnsi="Arial"/>
                <w:sz w:val="11"/>
                <w:szCs w:val="11"/>
                <w:color w:val="auto"/>
              </w:rPr>
              <w:t>(g)</w:t>
            </w:r>
          </w:p>
        </w:tc>
        <w:tc>
          <w:tcPr>
            <w:tcW w:w="0" w:type="dxa"/>
            <w:vAlign w:val="bottom"/>
          </w:tcPr>
          <w:p>
            <w:pPr>
              <w:spacing w:after="0"/>
              <w:rPr>
                <w:sz w:val="1"/>
                <w:szCs w:val="1"/>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6"/>
                <w:szCs w:val="16"/>
                <w:color w:val="auto"/>
              </w:rPr>
            </w:pPr>
          </w:p>
        </w:tc>
        <w:tc>
          <w:tcPr>
            <w:tcW w:w="10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44,281</w:t>
            </w:r>
          </w:p>
        </w:tc>
        <w:tc>
          <w:tcPr>
            <w:tcW w:w="3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39,240</w:t>
            </w:r>
            <w:r>
              <w:rPr>
                <w:rFonts w:ascii="Arial" w:cs="Arial" w:eastAsia="Arial" w:hAnsi="Arial"/>
                <w:sz w:val="11"/>
                <w:szCs w:val="11"/>
                <w:color w:val="auto"/>
              </w:rPr>
              <w:t>(b)</w:t>
            </w:r>
          </w:p>
        </w:tc>
        <w:tc>
          <w:tcPr>
            <w:tcW w:w="380" w:type="dxa"/>
            <w:vAlign w:val="bottom"/>
          </w:tcPr>
          <w:p>
            <w:pPr>
              <w:spacing w:after="0"/>
              <w:rPr>
                <w:sz w:val="16"/>
                <w:szCs w:val="16"/>
                <w:color w:val="auto"/>
              </w:rPr>
            </w:pPr>
          </w:p>
        </w:tc>
        <w:tc>
          <w:tcPr>
            <w:tcW w:w="106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16,571</w:t>
            </w:r>
            <w:r>
              <w:rPr>
                <w:rFonts w:ascii="Arial" w:cs="Arial" w:eastAsia="Arial" w:hAnsi="Arial"/>
                <w:sz w:val="11"/>
                <w:szCs w:val="11"/>
                <w:color w:val="auto"/>
              </w:rPr>
              <w:t>(c)</w:t>
            </w:r>
          </w:p>
        </w:tc>
        <w:tc>
          <w:tcPr>
            <w:tcW w:w="360" w:type="dxa"/>
            <w:vAlign w:val="bottom"/>
          </w:tcPr>
          <w:p>
            <w:pPr>
              <w:spacing w:after="0"/>
              <w:rPr>
                <w:sz w:val="16"/>
                <w:szCs w:val="16"/>
                <w:color w:val="auto"/>
              </w:rPr>
            </w:pPr>
          </w:p>
        </w:tc>
        <w:tc>
          <w:tcPr>
            <w:tcW w:w="1160" w:type="dxa"/>
            <w:vAlign w:val="bottom"/>
          </w:tcPr>
          <w:p>
            <w:pPr>
              <w:jc w:val="right"/>
              <w:ind w:right="172"/>
              <w:spacing w:after="0" w:line="189" w:lineRule="exact"/>
              <w:rPr>
                <w:sz w:val="20"/>
                <w:szCs w:val="20"/>
                <w:color w:val="auto"/>
              </w:rPr>
            </w:pPr>
            <w:r>
              <w:rPr>
                <w:rFonts w:ascii="Arial" w:cs="Arial" w:eastAsia="Arial" w:hAnsi="Arial"/>
                <w:sz w:val="18"/>
                <w:szCs w:val="18"/>
                <w:color w:val="auto"/>
              </w:rPr>
              <w:t>25,489</w:t>
            </w:r>
            <w:r>
              <w:rPr>
                <w:rFonts w:ascii="Arial" w:cs="Arial" w:eastAsia="Arial" w:hAnsi="Arial"/>
                <w:sz w:val="11"/>
                <w:szCs w:val="11"/>
                <w:color w:val="auto"/>
              </w:rPr>
              <w:t>(f)</w:t>
            </w: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20,539</w:t>
            </w:r>
            <w:r>
              <w:rPr>
                <w:rFonts w:ascii="Arial" w:cs="Arial" w:eastAsia="Arial" w:hAnsi="Arial"/>
                <w:sz w:val="11"/>
                <w:szCs w:val="11"/>
                <w:color w:val="auto"/>
              </w:rPr>
              <w:t>(g)</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64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5.76</w:t>
            </w:r>
          </w:p>
        </w:tc>
        <w:tc>
          <w:tcPr>
            <w:tcW w:w="380" w:type="dxa"/>
            <w:vAlign w:val="bottom"/>
            <w:shd w:val="clear" w:color="auto" w:fill="E5E5E5"/>
          </w:tcPr>
          <w:p>
            <w:pPr>
              <w:spacing w:after="0"/>
              <w:rPr>
                <w:sz w:val="16"/>
                <w:szCs w:val="16"/>
                <w:color w:val="auto"/>
              </w:rPr>
            </w:pPr>
          </w:p>
        </w:tc>
        <w:tc>
          <w:tcPr>
            <w:tcW w:w="10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5.06</w:t>
            </w:r>
            <w:r>
              <w:rPr>
                <w:rFonts w:ascii="Arial" w:cs="Arial" w:eastAsia="Arial" w:hAnsi="Arial"/>
                <w:sz w:val="11"/>
                <w:szCs w:val="11"/>
                <w:color w:val="auto"/>
              </w:rPr>
              <w:t>(b)</w:t>
            </w:r>
          </w:p>
        </w:tc>
        <w:tc>
          <w:tcPr>
            <w:tcW w:w="3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2.13</w:t>
            </w:r>
            <w:r>
              <w:rPr>
                <w:rFonts w:ascii="Arial" w:cs="Arial" w:eastAsia="Arial" w:hAnsi="Arial"/>
                <w:sz w:val="11"/>
                <w:szCs w:val="11"/>
                <w:color w:val="auto"/>
              </w:rPr>
              <w:t>(c)</w:t>
            </w:r>
          </w:p>
        </w:tc>
        <w:tc>
          <w:tcPr>
            <w:tcW w:w="360" w:type="dxa"/>
            <w:vAlign w:val="bottom"/>
            <w:shd w:val="clear" w:color="auto" w:fill="E5E5E5"/>
          </w:tcPr>
          <w:p>
            <w:pPr>
              <w:spacing w:after="0"/>
              <w:rPr>
                <w:sz w:val="16"/>
                <w:szCs w:val="16"/>
                <w:color w:val="auto"/>
              </w:rPr>
            </w:pPr>
          </w:p>
        </w:tc>
        <w:tc>
          <w:tcPr>
            <w:tcW w:w="11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color w:val="auto"/>
              </w:rPr>
              <w:t>3.25</w:t>
            </w:r>
            <w:r>
              <w:rPr>
                <w:rFonts w:ascii="Arial" w:cs="Arial" w:eastAsia="Arial" w:hAnsi="Arial"/>
                <w:sz w:val="11"/>
                <w:szCs w:val="11"/>
                <w:color w:val="auto"/>
              </w:rPr>
              <w:t>(f)</w:t>
            </w:r>
          </w:p>
        </w:tc>
        <w:tc>
          <w:tcPr>
            <w:tcW w:w="3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2.56</w:t>
            </w:r>
            <w:r>
              <w:rPr>
                <w:rFonts w:ascii="Arial" w:cs="Arial" w:eastAsia="Arial" w:hAnsi="Arial"/>
                <w:sz w:val="11"/>
                <w:szCs w:val="11"/>
                <w:color w:val="auto"/>
              </w:rPr>
              <w:t>(g)</w:t>
            </w:r>
          </w:p>
        </w:tc>
        <w:tc>
          <w:tcPr>
            <w:tcW w:w="0" w:type="dxa"/>
            <w:vAlign w:val="bottom"/>
          </w:tcPr>
          <w:p>
            <w:pPr>
              <w:spacing w:after="0"/>
              <w:rPr>
                <w:sz w:val="1"/>
                <w:szCs w:val="1"/>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640" w:type="dxa"/>
            <w:vAlign w:val="bottom"/>
          </w:tcPr>
          <w:p>
            <w:pPr>
              <w:spacing w:after="0"/>
              <w:rPr>
                <w:sz w:val="16"/>
                <w:szCs w:val="16"/>
                <w:color w:val="auto"/>
              </w:rPr>
            </w:pPr>
          </w:p>
        </w:tc>
        <w:tc>
          <w:tcPr>
            <w:tcW w:w="10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2.04</w:t>
            </w:r>
          </w:p>
        </w:tc>
        <w:tc>
          <w:tcPr>
            <w:tcW w:w="380" w:type="dxa"/>
            <w:vAlign w:val="bottom"/>
          </w:tcPr>
          <w:p>
            <w:pPr>
              <w:spacing w:after="0"/>
              <w:rPr>
                <w:sz w:val="16"/>
                <w:szCs w:val="16"/>
                <w:color w:val="auto"/>
              </w:rPr>
            </w:pPr>
          </w:p>
        </w:tc>
        <w:tc>
          <w:tcPr>
            <w:tcW w:w="108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1.84</w:t>
            </w:r>
          </w:p>
        </w:tc>
        <w:tc>
          <w:tcPr>
            <w:tcW w:w="380" w:type="dxa"/>
            <w:vAlign w:val="bottom"/>
          </w:tcPr>
          <w:p>
            <w:pPr>
              <w:spacing w:after="0"/>
              <w:rPr>
                <w:sz w:val="16"/>
                <w:szCs w:val="16"/>
                <w:color w:val="auto"/>
              </w:rPr>
            </w:pPr>
          </w:p>
        </w:tc>
        <w:tc>
          <w:tcPr>
            <w:tcW w:w="106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1.68</w:t>
            </w:r>
          </w:p>
        </w:tc>
        <w:tc>
          <w:tcPr>
            <w:tcW w:w="360" w:type="dxa"/>
            <w:vAlign w:val="bottom"/>
          </w:tcPr>
          <w:p>
            <w:pPr>
              <w:spacing w:after="0"/>
              <w:rPr>
                <w:sz w:val="16"/>
                <w:szCs w:val="16"/>
                <w:color w:val="auto"/>
              </w:rPr>
            </w:pPr>
          </w:p>
        </w:tc>
        <w:tc>
          <w:tcPr>
            <w:tcW w:w="1160" w:type="dxa"/>
            <w:vAlign w:val="bottom"/>
          </w:tcPr>
          <w:p>
            <w:pPr>
              <w:jc w:val="right"/>
              <w:ind w:right="272"/>
              <w:spacing w:after="0" w:line="189" w:lineRule="exact"/>
              <w:rPr>
                <w:sz w:val="20"/>
                <w:szCs w:val="20"/>
                <w:color w:val="auto"/>
              </w:rPr>
            </w:pPr>
            <w:r>
              <w:rPr>
                <w:rFonts w:ascii="Arial" w:cs="Arial" w:eastAsia="Arial" w:hAnsi="Arial"/>
                <w:sz w:val="18"/>
                <w:szCs w:val="18"/>
                <w:color w:val="auto"/>
              </w:rPr>
              <w:t>1.56</w:t>
            </w:r>
          </w:p>
        </w:tc>
        <w:tc>
          <w:tcPr>
            <w:tcW w:w="380" w:type="dxa"/>
            <w:vAlign w:val="bottom"/>
          </w:tcPr>
          <w:p>
            <w:pPr>
              <w:spacing w:after="0"/>
              <w:rPr>
                <w:sz w:val="16"/>
                <w:szCs w:val="16"/>
                <w:color w:val="auto"/>
              </w:rPr>
            </w:pPr>
          </w:p>
        </w:tc>
        <w:tc>
          <w:tcPr>
            <w:tcW w:w="9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75"/>
        </w:trPr>
        <w:tc>
          <w:tcPr>
            <w:tcW w:w="38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Cash, cash equivalents, and short-term</w:t>
            </w:r>
          </w:p>
        </w:tc>
        <w:tc>
          <w:tcPr>
            <w:tcW w:w="640" w:type="dxa"/>
            <w:vAlign w:val="bottom"/>
            <w:shd w:val="clear" w:color="auto" w:fill="E5E5E5"/>
          </w:tcPr>
          <w:p>
            <w:pPr>
              <w:spacing w:after="0"/>
              <w:rPr>
                <w:sz w:val="15"/>
                <w:szCs w:val="15"/>
                <w:color w:val="auto"/>
              </w:rPr>
            </w:pPr>
          </w:p>
        </w:tc>
        <w:tc>
          <w:tcPr>
            <w:tcW w:w="102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136,527</w:t>
            </w:r>
          </w:p>
        </w:tc>
        <w:tc>
          <w:tcPr>
            <w:tcW w:w="38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investments</w:t>
            </w:r>
          </w:p>
        </w:tc>
        <w:tc>
          <w:tcPr>
            <w:tcW w:w="640" w:type="dxa"/>
            <w:vAlign w:val="bottom"/>
            <w:shd w:val="clear" w:color="auto" w:fill="E5E5E5"/>
          </w:tcPr>
          <w:p>
            <w:pPr>
              <w:spacing w:after="0"/>
              <w:rPr>
                <w:sz w:val="17"/>
                <w:szCs w:val="17"/>
                <w:color w:val="auto"/>
              </w:rPr>
            </w:pPr>
          </w:p>
        </w:tc>
        <w:tc>
          <w:tcPr>
            <w:tcW w:w="1020" w:type="dxa"/>
            <w:vAlign w:val="bottom"/>
            <w:vMerge w:val="continue"/>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32"/>
              <w:spacing w:after="0" w:line="203" w:lineRule="exact"/>
              <w:rPr>
                <w:sz w:val="20"/>
                <w:szCs w:val="20"/>
                <w:color w:val="auto"/>
              </w:rPr>
            </w:pPr>
            <w:r>
              <w:rPr>
                <w:rFonts w:ascii="Arial" w:cs="Arial" w:eastAsia="Arial" w:hAnsi="Arial"/>
                <w:sz w:val="18"/>
                <w:szCs w:val="18"/>
                <w:color w:val="auto"/>
              </w:rPr>
              <w:t>133,819</w:t>
            </w:r>
          </w:p>
        </w:tc>
        <w:tc>
          <w:tcPr>
            <w:tcW w:w="38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132"/>
              <w:spacing w:after="0" w:line="203" w:lineRule="exact"/>
              <w:rPr>
                <w:sz w:val="20"/>
                <w:szCs w:val="20"/>
                <w:color w:val="auto"/>
              </w:rPr>
            </w:pPr>
            <w:r>
              <w:rPr>
                <w:rFonts w:ascii="Arial" w:cs="Arial" w:eastAsia="Arial" w:hAnsi="Arial"/>
                <w:sz w:val="18"/>
                <w:szCs w:val="18"/>
                <w:color w:val="auto"/>
              </w:rPr>
              <w:t>133,768</w:t>
            </w:r>
          </w:p>
        </w:tc>
        <w:tc>
          <w:tcPr>
            <w:tcW w:w="36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272"/>
              <w:spacing w:after="0" w:line="203" w:lineRule="exact"/>
              <w:rPr>
                <w:sz w:val="20"/>
                <w:szCs w:val="20"/>
                <w:color w:val="auto"/>
              </w:rPr>
            </w:pPr>
            <w:r>
              <w:rPr>
                <w:rFonts w:ascii="Arial" w:cs="Arial" w:eastAsia="Arial" w:hAnsi="Arial"/>
                <w:sz w:val="18"/>
                <w:szCs w:val="18"/>
                <w:color w:val="auto"/>
              </w:rPr>
              <w:t>132,981</w:t>
            </w:r>
          </w:p>
        </w:tc>
        <w:tc>
          <w:tcPr>
            <w:tcW w:w="38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52"/>
              <w:spacing w:after="0" w:line="203" w:lineRule="exact"/>
              <w:rPr>
                <w:sz w:val="20"/>
                <w:szCs w:val="20"/>
                <w:color w:val="auto"/>
              </w:rPr>
            </w:pPr>
            <w:r>
              <w:rPr>
                <w:rFonts w:ascii="Arial" w:cs="Arial" w:eastAsia="Arial" w:hAnsi="Arial"/>
                <w:sz w:val="18"/>
                <w:szCs w:val="18"/>
                <w:color w:val="auto"/>
              </w:rPr>
              <w:t>113,240</w:t>
            </w:r>
          </w:p>
        </w:tc>
        <w:tc>
          <w:tcPr>
            <w:tcW w:w="0" w:type="dxa"/>
            <w:vAlign w:val="bottom"/>
          </w:tcPr>
          <w:p>
            <w:pPr>
              <w:spacing w:after="0"/>
              <w:rPr>
                <w:sz w:val="1"/>
                <w:szCs w:val="1"/>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8"/>
                <w:szCs w:val="18"/>
                <w:color w:val="auto"/>
              </w:rPr>
              <w:t>Total assets</w:t>
            </w:r>
          </w:p>
        </w:tc>
        <w:tc>
          <w:tcPr>
            <w:tcW w:w="640" w:type="dxa"/>
            <w:vAlign w:val="bottom"/>
          </w:tcPr>
          <w:p>
            <w:pPr>
              <w:spacing w:after="0"/>
              <w:rPr>
                <w:sz w:val="16"/>
                <w:szCs w:val="16"/>
                <w:color w:val="auto"/>
              </w:rPr>
            </w:pPr>
          </w:p>
        </w:tc>
        <w:tc>
          <w:tcPr>
            <w:tcW w:w="10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301,311</w:t>
            </w:r>
          </w:p>
        </w:tc>
        <w:tc>
          <w:tcPr>
            <w:tcW w:w="380" w:type="dxa"/>
            <w:vAlign w:val="bottom"/>
          </w:tcPr>
          <w:p>
            <w:pPr>
              <w:spacing w:after="0"/>
              <w:rPr>
                <w:sz w:val="16"/>
                <w:szCs w:val="16"/>
                <w:color w:val="auto"/>
              </w:rPr>
            </w:pPr>
          </w:p>
        </w:tc>
        <w:tc>
          <w:tcPr>
            <w:tcW w:w="108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286,556</w:t>
            </w:r>
          </w:p>
        </w:tc>
        <w:tc>
          <w:tcPr>
            <w:tcW w:w="380" w:type="dxa"/>
            <w:vAlign w:val="bottom"/>
          </w:tcPr>
          <w:p>
            <w:pPr>
              <w:spacing w:after="0"/>
              <w:rPr>
                <w:sz w:val="16"/>
                <w:szCs w:val="16"/>
                <w:color w:val="auto"/>
              </w:rPr>
            </w:pPr>
          </w:p>
        </w:tc>
        <w:tc>
          <w:tcPr>
            <w:tcW w:w="106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258,848</w:t>
            </w:r>
          </w:p>
        </w:tc>
        <w:tc>
          <w:tcPr>
            <w:tcW w:w="360" w:type="dxa"/>
            <w:vAlign w:val="bottom"/>
          </w:tcPr>
          <w:p>
            <w:pPr>
              <w:spacing w:after="0"/>
              <w:rPr>
                <w:sz w:val="16"/>
                <w:szCs w:val="16"/>
                <w:color w:val="auto"/>
              </w:rPr>
            </w:pPr>
          </w:p>
        </w:tc>
        <w:tc>
          <w:tcPr>
            <w:tcW w:w="1160" w:type="dxa"/>
            <w:vAlign w:val="bottom"/>
          </w:tcPr>
          <w:p>
            <w:pPr>
              <w:jc w:val="right"/>
              <w:ind w:right="272"/>
              <w:spacing w:after="0" w:line="189" w:lineRule="exact"/>
              <w:rPr>
                <w:sz w:val="20"/>
                <w:szCs w:val="20"/>
                <w:color w:val="auto"/>
              </w:rPr>
            </w:pPr>
            <w:r>
              <w:rPr>
                <w:rFonts w:ascii="Arial" w:cs="Arial" w:eastAsia="Arial" w:hAnsi="Arial"/>
                <w:sz w:val="18"/>
                <w:szCs w:val="18"/>
                <w:color w:val="auto"/>
              </w:rPr>
              <w:t>250,312</w:t>
            </w:r>
          </w:p>
        </w:tc>
        <w:tc>
          <w:tcPr>
            <w:tcW w:w="380" w:type="dxa"/>
            <w:vAlign w:val="bottom"/>
          </w:tcPr>
          <w:p>
            <w:pPr>
              <w:spacing w:after="0"/>
              <w:rPr>
                <w:sz w:val="16"/>
                <w:szCs w:val="16"/>
                <w:color w:val="auto"/>
              </w:rPr>
            </w:pPr>
          </w:p>
        </w:tc>
        <w:tc>
          <w:tcPr>
            <w:tcW w:w="9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202,897</w:t>
            </w:r>
          </w:p>
        </w:tc>
        <w:tc>
          <w:tcPr>
            <w:tcW w:w="0" w:type="dxa"/>
            <w:vAlign w:val="bottom"/>
          </w:tcPr>
          <w:p>
            <w:pPr>
              <w:spacing w:after="0"/>
              <w:rPr>
                <w:sz w:val="1"/>
                <w:szCs w:val="1"/>
                <w:color w:val="auto"/>
              </w:rPr>
            </w:pPr>
          </w:p>
        </w:tc>
      </w:tr>
      <w:tr>
        <w:trPr>
          <w:trHeight w:val="189"/>
        </w:trPr>
        <w:tc>
          <w:tcPr>
            <w:tcW w:w="3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obligations</w:t>
            </w:r>
          </w:p>
        </w:tc>
        <w:tc>
          <w:tcPr>
            <w:tcW w:w="64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110,697</w:t>
            </w:r>
          </w:p>
        </w:tc>
        <w:tc>
          <w:tcPr>
            <w:tcW w:w="38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132"/>
              <w:spacing w:after="0" w:line="189" w:lineRule="exact"/>
              <w:rPr>
                <w:sz w:val="20"/>
                <w:szCs w:val="20"/>
                <w:color w:val="auto"/>
              </w:rPr>
            </w:pPr>
            <w:r>
              <w:rPr>
                <w:rFonts w:ascii="Arial" w:cs="Arial" w:eastAsia="Arial" w:hAnsi="Arial"/>
                <w:sz w:val="18"/>
                <w:szCs w:val="18"/>
                <w:color w:val="auto"/>
              </w:rPr>
              <w:t>114,806</w:t>
            </w:r>
          </w:p>
        </w:tc>
        <w:tc>
          <w:tcPr>
            <w:tcW w:w="3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32"/>
              <w:spacing w:after="0" w:line="189" w:lineRule="exact"/>
              <w:rPr>
                <w:sz w:val="20"/>
                <w:szCs w:val="20"/>
                <w:color w:val="auto"/>
              </w:rPr>
            </w:pPr>
            <w:r>
              <w:rPr>
                <w:rFonts w:ascii="Arial" w:cs="Arial" w:eastAsia="Arial" w:hAnsi="Arial"/>
                <w:sz w:val="18"/>
                <w:szCs w:val="18"/>
                <w:color w:val="auto"/>
              </w:rPr>
              <w:t>117,642</w:t>
            </w:r>
          </w:p>
        </w:tc>
        <w:tc>
          <w:tcPr>
            <w:tcW w:w="360" w:type="dxa"/>
            <w:vAlign w:val="bottom"/>
            <w:shd w:val="clear" w:color="auto" w:fill="E5E5E5"/>
          </w:tcPr>
          <w:p>
            <w:pPr>
              <w:spacing w:after="0"/>
              <w:rPr>
                <w:sz w:val="16"/>
                <w:szCs w:val="16"/>
                <w:color w:val="auto"/>
              </w:rPr>
            </w:pPr>
          </w:p>
        </w:tc>
        <w:tc>
          <w:tcPr>
            <w:tcW w:w="1160" w:type="dxa"/>
            <w:vAlign w:val="bottom"/>
            <w:shd w:val="clear" w:color="auto" w:fill="E5E5E5"/>
          </w:tcPr>
          <w:p>
            <w:pPr>
              <w:jc w:val="right"/>
              <w:ind w:right="272"/>
              <w:spacing w:after="0" w:line="189" w:lineRule="exact"/>
              <w:rPr>
                <w:sz w:val="20"/>
                <w:szCs w:val="20"/>
                <w:color w:val="auto"/>
              </w:rPr>
            </w:pPr>
            <w:r>
              <w:rPr>
                <w:rFonts w:ascii="Arial" w:cs="Arial" w:eastAsia="Arial" w:hAnsi="Arial"/>
                <w:sz w:val="18"/>
                <w:szCs w:val="18"/>
                <w:color w:val="auto"/>
              </w:rPr>
              <w:t>106,856</w:t>
            </w:r>
          </w:p>
        </w:tc>
        <w:tc>
          <w:tcPr>
            <w:tcW w:w="3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color w:val="auto"/>
              </w:rPr>
              <w:t>66,705</w:t>
            </w: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118,304</w:t>
            </w:r>
          </w:p>
        </w:tc>
        <w:tc>
          <w:tcPr>
            <w:tcW w:w="380" w:type="dxa"/>
            <w:vAlign w:val="bottom"/>
          </w:tcPr>
          <w:p>
            <w:pPr>
              <w:spacing w:after="0"/>
              <w:rPr>
                <w:sz w:val="20"/>
                <w:szCs w:val="20"/>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102,330</w:t>
            </w:r>
          </w:p>
        </w:tc>
        <w:tc>
          <w:tcPr>
            <w:tcW w:w="3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82,718</w:t>
            </w:r>
          </w:p>
        </w:tc>
        <w:tc>
          <w:tcPr>
            <w:tcW w:w="360" w:type="dxa"/>
            <w:vAlign w:val="bottom"/>
          </w:tcPr>
          <w:p>
            <w:pPr>
              <w:spacing w:after="0"/>
              <w:rPr>
                <w:sz w:val="20"/>
                <w:szCs w:val="20"/>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87,711</w:t>
            </w:r>
          </w:p>
        </w:tc>
        <w:tc>
          <w:tcPr>
            <w:tcW w:w="3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83,090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037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pacing w:after="0" w:line="60"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GitHub has been included in our consolidated results of operations starting on the October 25, 2018 acquisition date</w:t>
      </w: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jc w:val="both"/>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a $2.6 billion net income tax benefit related to intangible property transfers and a $157 million net charge related to the enactment of the Tax Cuts and Jobs Act (“TCJA”), which together increased net income and diluted earnings per share (“EPS”) by $2.4 billion and $0.31, respectively. Refer to Note 12 – Income Taxes of the Notes to Financial Statements (Part II, Item 8 of this Form 10-K) for further discussion.</w:t>
      </w:r>
    </w:p>
    <w:p>
      <w:pPr>
        <w:spacing w:after="0" w:line="2" w:lineRule="exact"/>
        <w:rPr>
          <w:rFonts w:ascii="Arial" w:cs="Arial" w:eastAsia="Arial" w:hAnsi="Arial"/>
          <w:sz w:val="18"/>
          <w:szCs w:val="18"/>
          <w:color w:val="auto"/>
        </w:rPr>
      </w:pPr>
    </w:p>
    <w:p>
      <w:pPr>
        <w:jc w:val="both"/>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a $13.7 billion net charge related to the enactment of the TCJA, which decreased net income and diluted EPS by $13.7 billion and $1.75, respectively. Refer to Note 12 – Income Taxes of the Notes to Financial Statements (Part II, Item 8 of this Form 10-K) for further discussion.</w:t>
      </w:r>
    </w:p>
    <w:p>
      <w:pPr>
        <w:spacing w:after="0" w:line="2"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Reflects the impact of the adoption of new accounting standards in fiscal year 2018 related to revenue recognition and leases.</w:t>
      </w:r>
    </w:p>
    <w:p>
      <w:pPr>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LinkedIn has been included in our consolidated results of operations starting on the December 8, 2016 acquisition date.</w:t>
      </w:r>
    </w:p>
    <w:p>
      <w:pPr>
        <w:ind w:left="540" w:right="2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$306 million of employee severance expenses primarily related to our sales and marketing restructuring plan, which decreased operating income, net income, and diluted EPS by $306 million, $243 million, and $0.04, respectively.</w:t>
      </w:r>
    </w:p>
    <w:p>
      <w:pPr>
        <w:spacing w:after="0" w:line="1" w:lineRule="exact"/>
        <w:rPr>
          <w:rFonts w:ascii="Arial" w:cs="Arial" w:eastAsia="Arial" w:hAnsi="Arial"/>
          <w:sz w:val="18"/>
          <w:szCs w:val="18"/>
          <w:color w:val="auto"/>
        </w:rPr>
      </w:pPr>
    </w:p>
    <w:p>
      <w:pPr>
        <w:jc w:val="both"/>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$630 million of asset impairment charges related to our Phone business and $480 million of restructuring charges associated with our Phone business restructuring plans, which together decreased operating income, net income, and diluted EPS by $1.1 billion, $895 million, and $0.11,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4" w:name="page35"/>
    <w:bookmarkEnd w:id="3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170" w:lineRule="exact"/>
        <w:rPr>
          <w:sz w:val="20"/>
          <w:szCs w:val="20"/>
          <w:color w:val="auto"/>
        </w:rPr>
      </w:pPr>
    </w:p>
    <w:p>
      <w:pPr>
        <w:jc w:val="center"/>
        <w:ind w:left="340" w:right="380"/>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consolidated financial statements and the accompanying Notes to Financial Statements (Part II, Item 8 of this Form 10-K).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the world responds to the outbreak of a novel strain of the coronavirus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fiscal year 2020 compared with fiscal year 2019 included:</w:t>
      </w:r>
    </w:p>
    <w:p>
      <w:pPr>
        <w:spacing w:after="0" w:line="77" w:lineRule="exact"/>
        <w:rPr>
          <w:sz w:val="20"/>
          <w:szCs w:val="20"/>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cloud revenue increased 36% to $51.7 billion.</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12%, driven by Office 365 Commercial growth of 24%.</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11%, with continued growth in Office 365 Consumer subscribers to 42.7 million.</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LinkedIn revenue increased 20%.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14%, driven by Dynamics 365 growth of 42%.</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27%, driven by Azure growth of 56%.</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Enterprise Services revenue increased 5%.</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18%.</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9%.</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Surface revenue increased 8%.</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Xbox content and services revenue increased 11%.</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was relatively unchanged.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5" w:name="page36"/>
    <w:bookmarkEnd w:id="3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Strengthening of the U.S. dollar relative to certain foreign currencies did not significantly impact reported revenue or expenses from our international operations in the first and second quarters of fiscal year 2019, and reduced reported revenue and expenses from our international operations in the third and fourth quarters of fiscal year 2019. Strengthening of the U.S. dollar relative to certain foreign currencies reduced reported revenue and expenses from our international operations in fiscal year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 Item 1A of this Form 10-K) for a discussion of these factors and other risks.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fiscal year 2020, the COVID-19 pandemic impacted our business operations, including our employees, customers, partners, and communities, and we saw the following trends in our financial operating results. In the Productivity and Business Processes and Intelligent Cloud segments, cloud usage and demand increased as customers shifted to work and learn from home. We also experienced a slowdown in transactional licensing, particularly in small and medium businesses, and LinkedIn was negatively impacted by the weak job market and reductions in advertising spend. In the More Personal Computing segment, Windows OEM, Surface, and Gaming benefited from increased demand to support remote work-, play-, and learn-from-home scenarios, while Search was negatively impacted by reductions in advertising spend. The COVID-19 pandemic may continue to impact our business operations and financial operating results, and there is substantial uncertainty in the nature and degree of its continued effects over time.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 Refer to Risk Factors (Part I, Item 1A of this Form 10-K) for a discussion of these factors and other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6" w:name="page37"/>
    <w:bookmarkEnd w:id="3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reportable segments is contained in Note 19 – Segment Information and Geographic Data of the Notes to Financial Statements (Part II, Item 8 of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II, Item 8 of this Form 10-K). Financial metrics are calculated based on GAAP results and growth comparisons relate to the corresponding period of last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20"/>
                <w:szCs w:val="20"/>
                <w:color w:val="auto"/>
              </w:rPr>
            </w:pPr>
            <w:r>
              <w:rPr>
                <w:rFonts w:ascii="Arial" w:cs="Arial" w:eastAsia="Arial" w:hAnsi="Arial"/>
                <w:sz w:val="18"/>
                <w:szCs w:val="18"/>
                <w:color w:val="auto"/>
              </w:rPr>
              <w:t>Commercial remaining performance obligation</w:t>
            </w:r>
          </w:p>
        </w:tc>
        <w:tc>
          <w:tcPr>
            <w:tcW w:w="7140" w:type="dxa"/>
            <w:vAlign w:val="bottom"/>
          </w:tcPr>
          <w:p>
            <w:pPr>
              <w:ind w:left="40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00" w:type="dxa"/>
            <w:vAlign w:val="bottom"/>
          </w:tcPr>
          <w:p>
            <w:pPr>
              <w:spacing w:after="0"/>
              <w:rPr>
                <w:sz w:val="17"/>
                <w:szCs w:val="17"/>
                <w:color w:val="auto"/>
              </w:rPr>
            </w:pPr>
          </w:p>
        </w:tc>
        <w:tc>
          <w:tcPr>
            <w:tcW w:w="7140" w:type="dxa"/>
            <w:vAlign w:val="bottom"/>
          </w:tcPr>
          <w:p>
            <w:pPr>
              <w:ind w:left="40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17"/>
        </w:trPr>
        <w:tc>
          <w:tcPr>
            <w:tcW w:w="410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as revenue in future periods</w:t>
            </w:r>
          </w:p>
        </w:tc>
      </w:tr>
      <w:tr>
        <w:trPr>
          <w:trHeight w:val="269"/>
        </w:trPr>
        <w:tc>
          <w:tcPr>
            <w:tcW w:w="4100" w:type="dxa"/>
            <w:vAlign w:val="bottom"/>
          </w:tcPr>
          <w:p>
            <w:pPr>
              <w:spacing w:after="0"/>
              <w:rPr>
                <w:sz w:val="20"/>
                <w:szCs w:val="20"/>
                <w:color w:val="auto"/>
              </w:rPr>
            </w:pPr>
            <w:r>
              <w:rPr>
                <w:rFonts w:ascii="Arial" w:cs="Arial" w:eastAsia="Arial" w:hAnsi="Arial"/>
                <w:sz w:val="18"/>
                <w:szCs w:val="18"/>
                <w:color w:val="auto"/>
              </w:rPr>
              <w:t>Commercial cloud revenue</w:t>
            </w:r>
          </w:p>
        </w:tc>
        <w:tc>
          <w:tcPr>
            <w:tcW w:w="7140" w:type="dxa"/>
            <w:vAlign w:val="bottom"/>
          </w:tcPr>
          <w:p>
            <w:pPr>
              <w:ind w:left="400"/>
              <w:spacing w:after="0"/>
              <w:rPr>
                <w:sz w:val="20"/>
                <w:szCs w:val="20"/>
                <w:color w:val="auto"/>
              </w:rPr>
            </w:pPr>
            <w:r>
              <w:rPr>
                <w:rFonts w:ascii="Arial" w:cs="Arial" w:eastAsia="Arial" w:hAnsi="Arial"/>
                <w:sz w:val="18"/>
                <w:szCs w:val="18"/>
                <w:color w:val="auto"/>
              </w:rPr>
              <w:t>Revenue  from  our  commercial  cloud  business,  which  includes  Office  365</w:t>
            </w:r>
          </w:p>
        </w:tc>
      </w:tr>
      <w:tr>
        <w:trPr>
          <w:trHeight w:val="203"/>
        </w:trPr>
        <w:tc>
          <w:tcPr>
            <w:tcW w:w="4100" w:type="dxa"/>
            <w:vAlign w:val="bottom"/>
          </w:tcPr>
          <w:p>
            <w:pPr>
              <w:spacing w:after="0"/>
              <w:rPr>
                <w:sz w:val="17"/>
                <w:szCs w:val="17"/>
                <w:color w:val="auto"/>
              </w:rPr>
            </w:pPr>
          </w:p>
        </w:tc>
        <w:tc>
          <w:tcPr>
            <w:tcW w:w="7140" w:type="dxa"/>
            <w:vAlign w:val="bottom"/>
          </w:tcPr>
          <w:p>
            <w:pPr>
              <w:ind w:left="400"/>
              <w:spacing w:after="0" w:line="202" w:lineRule="exact"/>
              <w:rPr>
                <w:sz w:val="20"/>
                <w:szCs w:val="20"/>
                <w:color w:val="auto"/>
              </w:rPr>
            </w:pPr>
            <w:r>
              <w:rPr>
                <w:rFonts w:ascii="Arial" w:cs="Arial" w:eastAsia="Arial" w:hAnsi="Arial"/>
                <w:sz w:val="18"/>
                <w:szCs w:val="18"/>
                <w:color w:val="auto"/>
              </w:rPr>
              <w:t>Commercial, Azure, the commercial portion of LinkedIn, Dynamics 365, and other</w:t>
            </w:r>
          </w:p>
        </w:tc>
      </w:tr>
      <w:tr>
        <w:trPr>
          <w:trHeight w:val="217"/>
        </w:trPr>
        <w:tc>
          <w:tcPr>
            <w:tcW w:w="410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commercial cloud properties</w:t>
            </w:r>
          </w:p>
        </w:tc>
      </w:tr>
      <w:tr>
        <w:trPr>
          <w:trHeight w:val="284"/>
        </w:trPr>
        <w:tc>
          <w:tcPr>
            <w:tcW w:w="4100" w:type="dxa"/>
            <w:vAlign w:val="bottom"/>
          </w:tcPr>
          <w:p>
            <w:pPr>
              <w:spacing w:after="0"/>
              <w:rPr>
                <w:sz w:val="20"/>
                <w:szCs w:val="20"/>
                <w:color w:val="auto"/>
              </w:rPr>
            </w:pPr>
            <w:r>
              <w:rPr>
                <w:rFonts w:ascii="Arial" w:cs="Arial" w:eastAsia="Arial" w:hAnsi="Arial"/>
                <w:sz w:val="18"/>
                <w:szCs w:val="18"/>
                <w:color w:val="auto"/>
              </w:rPr>
              <w:t>Commercial cloud gross margin percentage</w:t>
            </w:r>
          </w:p>
        </w:tc>
        <w:tc>
          <w:tcPr>
            <w:tcW w:w="7140" w:type="dxa"/>
            <w:vAlign w:val="bottom"/>
          </w:tcPr>
          <w:p>
            <w:pPr>
              <w:ind w:left="400"/>
              <w:spacing w:after="0"/>
              <w:rPr>
                <w:sz w:val="20"/>
                <w:szCs w:val="20"/>
                <w:color w:val="auto"/>
              </w:rPr>
            </w:pPr>
            <w:r>
              <w:rPr>
                <w:rFonts w:ascii="Arial" w:cs="Arial" w:eastAsia="Arial" w:hAnsi="Arial"/>
                <w:sz w:val="18"/>
                <w:szCs w:val="18"/>
                <w:color w:val="auto"/>
              </w:rPr>
              <w:t>Gross margin percentage for our commercial cloud business</w:t>
            </w:r>
          </w:p>
        </w:tc>
      </w:tr>
      <w:tr>
        <w:trPr>
          <w:trHeight w:val="595"/>
        </w:trPr>
        <w:tc>
          <w:tcPr>
            <w:tcW w:w="4100" w:type="dxa"/>
            <w:vAlign w:val="bottom"/>
          </w:tcPr>
          <w:p>
            <w:pPr>
              <w:spacing w:after="0"/>
              <w:rPr>
                <w:sz w:val="24"/>
                <w:szCs w:val="24"/>
                <w:color w:val="auto"/>
              </w:rPr>
            </w:pPr>
          </w:p>
        </w:tc>
        <w:tc>
          <w:tcPr>
            <w:tcW w:w="7140" w:type="dxa"/>
            <w:vAlign w:val="bottom"/>
          </w:tcPr>
          <w:p>
            <w:pPr>
              <w:ind w:left="1440"/>
              <w:spacing w:after="0"/>
              <w:rPr>
                <w:sz w:val="20"/>
                <w:szCs w:val="20"/>
                <w:color w:val="auto"/>
              </w:rPr>
            </w:pPr>
            <w:r>
              <w:rPr>
                <w:rFonts w:ascii="Arial" w:cs="Arial" w:eastAsia="Arial" w:hAnsi="Arial"/>
                <w:sz w:val="14"/>
                <w:szCs w:val="14"/>
                <w:color w:val="auto"/>
              </w:rPr>
              <w:t>37</w:t>
            </w:r>
          </w:p>
        </w:tc>
      </w:tr>
      <w:tr>
        <w:trPr>
          <w:trHeight w:val="100"/>
        </w:trPr>
        <w:tc>
          <w:tcPr>
            <w:tcW w:w="4100" w:type="dxa"/>
            <w:vAlign w:val="bottom"/>
            <w:tcBorders>
              <w:bottom w:val="single" w:sz="8" w:color="9A9A9A"/>
            </w:tcBorders>
          </w:tcPr>
          <w:p>
            <w:pPr>
              <w:spacing w:after="0"/>
              <w:rPr>
                <w:sz w:val="8"/>
                <w:szCs w:val="8"/>
                <w:color w:val="auto"/>
              </w:rPr>
            </w:pPr>
          </w:p>
        </w:tc>
        <w:tc>
          <w:tcPr>
            <w:tcW w:w="7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7" w:name="page38"/>
    <w:bookmarkEnd w:id="3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83" w:lineRule="exact"/>
        <w:rPr>
          <w:sz w:val="20"/>
          <w:szCs w:val="20"/>
          <w:color w:val="auto"/>
        </w:rPr>
      </w:pPr>
    </w:p>
    <w:p>
      <w:pPr>
        <w:jc w:val="both"/>
        <w:ind w:left="5160" w:hanging="5142"/>
        <w:spacing w:after="0" w:line="237"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including Office 365 subscriptions, the Office 365 portion of Microsoft 365 Commercial subscriptions, and Office licensed on-premises, comprising Office, Exchange, SharePoint, Microsoft Teams, Office 365 Security and Compliance, and Skype for Business, and related Client Access Licenses (“CALs”)</w:t>
      </w:r>
    </w:p>
    <w:p>
      <w:pPr>
        <w:sectPr>
          <w:pgSz w:w="11900" w:h="16838" w:orient="portrait"/>
          <w:cols w:equalWidth="0" w:num="1">
            <w:col w:w="11240"/>
          </w:cols>
          <w:pgMar w:left="320" w:top="138" w:right="33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Office Consumer products and cloud services, including Microsoft 365 Consumer (formerly Office 365 Consumer) subscriptions and Office licensed on-premises</w:t>
      </w:r>
    </w:p>
    <w:p>
      <w:pPr>
        <w:spacing w:after="0" w:line="68" w:lineRule="exact"/>
        <w:rPr>
          <w:sz w:val="20"/>
          <w:szCs w:val="20"/>
          <w:color w:val="auto"/>
        </w:rPr>
      </w:pPr>
    </w:p>
    <w:p>
      <w:pPr>
        <w:sectPr>
          <w:pgSz w:w="11900" w:h="16838" w:orient="portrait"/>
          <w:cols w:equalWidth="0" w:num="2">
            <w:col w:w="4920" w:space="240"/>
            <w:col w:w="6080"/>
          </w:cols>
          <w:pgMar w:left="320" w:top="138" w:right="339" w:bottom="1440" w:gutter="0" w:footer="0" w:header="0"/>
          <w:type w:val="continuous"/>
        </w:sectPr>
      </w:pPr>
    </w:p>
    <w:p>
      <w:pPr>
        <w:spacing w:after="0"/>
        <w:rPr>
          <w:sz w:val="20"/>
          <w:szCs w:val="20"/>
          <w:color w:val="auto"/>
        </w:rPr>
      </w:pPr>
      <w:r>
        <w:rPr>
          <w:rFonts w:ascii="Arial" w:cs="Arial" w:eastAsia="Arial" w:hAnsi="Arial"/>
          <w:sz w:val="18"/>
          <w:szCs w:val="18"/>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62" w:lineRule="exact"/>
        <w:rPr>
          <w:sz w:val="20"/>
          <w:szCs w:val="20"/>
          <w:color w:val="auto"/>
        </w:rPr>
      </w:pPr>
    </w:p>
    <w:p>
      <w:pPr>
        <w:sectPr>
          <w:pgSz w:w="11900" w:h="16838" w:orient="portrait"/>
          <w:cols w:equalWidth="0" w:num="2">
            <w:col w:w="4440" w:space="720"/>
            <w:col w:w="6080"/>
          </w:cols>
          <w:pgMar w:left="320" w:top="138" w:right="339" w:bottom="1440" w:gutter="0" w:footer="0" w:header="0"/>
          <w:type w:val="continuous"/>
        </w:sectPr>
      </w:pPr>
    </w:p>
    <w:p>
      <w:pPr>
        <w:spacing w:after="0"/>
        <w:rPr>
          <w:sz w:val="20"/>
          <w:szCs w:val="20"/>
          <w:color w:val="auto"/>
        </w:rPr>
      </w:pPr>
      <w:r>
        <w:rPr>
          <w:rFonts w:ascii="Arial" w:cs="Arial" w:eastAsia="Arial" w:hAnsi="Arial"/>
          <w:sz w:val="18"/>
          <w:szCs w:val="18"/>
          <w:color w:val="auto"/>
        </w:rPr>
        <w:t>Office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number of Office 365 Consumer subscribers at end of period</w:t>
      </w:r>
    </w:p>
    <w:p>
      <w:pPr>
        <w:spacing w:after="0" w:line="88" w:lineRule="exact"/>
        <w:rPr>
          <w:sz w:val="20"/>
          <w:szCs w:val="20"/>
          <w:color w:val="auto"/>
        </w:rPr>
      </w:pPr>
    </w:p>
    <w:p>
      <w:pPr>
        <w:sectPr>
          <w:pgSz w:w="11900" w:h="16838" w:orient="portrait"/>
          <w:cols w:equalWidth="0" w:num="2">
            <w:col w:w="4440" w:space="720"/>
            <w:col w:w="6080"/>
          </w:cols>
          <w:pgMar w:left="320" w:top="138" w:right="339" w:bottom="1440" w:gutter="0" w:footer="0" w:header="0"/>
          <w:type w:val="continuous"/>
        </w:sectPr>
      </w:pPr>
    </w:p>
    <w:p>
      <w:pPr>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Revenue from Dynamics products and cloud services, including Dynamics 365, a set of cloud-based applications across ERP and CRM, Dynamics ERP on-premises, and Dynamics CRM on-premises</w:t>
      </w:r>
    </w:p>
    <w:p>
      <w:pPr>
        <w:spacing w:after="0" w:line="68" w:lineRule="exact"/>
        <w:rPr>
          <w:sz w:val="20"/>
          <w:szCs w:val="20"/>
          <w:color w:val="auto"/>
        </w:rPr>
      </w:pPr>
    </w:p>
    <w:p>
      <w:pPr>
        <w:sectPr>
          <w:pgSz w:w="11900" w:h="16838" w:orient="portrait"/>
          <w:cols w:equalWidth="0" w:num="2">
            <w:col w:w="4440" w:space="720"/>
            <w:col w:w="6080"/>
          </w:cols>
          <w:pgMar w:left="320" w:top="138" w:right="339" w:bottom="1440" w:gutter="0" w:footer="0" w:header="0"/>
          <w:type w:val="continuous"/>
        </w:sectPr>
      </w:pPr>
    </w:p>
    <w:p>
      <w:pPr>
        <w:spacing w:after="0"/>
        <w:rPr>
          <w:sz w:val="20"/>
          <w:szCs w:val="20"/>
          <w:color w:val="auto"/>
        </w:rPr>
      </w:pPr>
      <w:r>
        <w:rPr>
          <w:rFonts w:ascii="Arial" w:cs="Arial" w:eastAsia="Arial" w:hAnsi="Arial"/>
          <w:sz w:val="18"/>
          <w:szCs w:val="18"/>
          <w:color w:val="auto"/>
        </w:rPr>
        <w:t>LinkedIn revenue growth</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8"/>
          <w:szCs w:val="18"/>
          <w:color w:val="auto"/>
        </w:rPr>
        <w:t>Revenue from LinkedIn, including Talent Solutions, Learning Solutions, Marketing Solutions, Sales Solutions, and Premium Subscriptions</w:t>
      </w:r>
    </w:p>
    <w:p>
      <w:pPr>
        <w:spacing w:after="0" w:line="62" w:lineRule="exact"/>
        <w:rPr>
          <w:sz w:val="20"/>
          <w:szCs w:val="20"/>
          <w:color w:val="auto"/>
        </w:rPr>
      </w:pPr>
    </w:p>
    <w:p>
      <w:pPr>
        <w:sectPr>
          <w:pgSz w:w="11900" w:h="16838" w:orient="portrait"/>
          <w:cols w:equalWidth="0" w:num="2">
            <w:col w:w="4440" w:space="720"/>
            <w:col w:w="6080"/>
          </w:cols>
          <w:pgMar w:left="320" w:top="138" w:right="339" w:bottom="1440" w:gutter="0" w:footer="0" w:header="0"/>
          <w:type w:val="continuous"/>
        </w:sectPr>
      </w:pPr>
    </w:p>
    <w:p>
      <w:pPr>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ind w:right="20"/>
        <w:spacing w:after="0"/>
        <w:rPr>
          <w:sz w:val="20"/>
          <w:szCs w:val="20"/>
          <w:color w:val="auto"/>
        </w:rPr>
      </w:pPr>
      <w:r>
        <w:rPr>
          <w:rFonts w:ascii="Arial" w:cs="Arial" w:eastAsia="Arial" w:hAnsi="Arial"/>
          <w:sz w:val="18"/>
          <w:szCs w:val="18"/>
          <w:color w:val="auto"/>
        </w:rPr>
        <w:t>Revenue from Server products and cloud services, including Azure; SQL Server, Windows Server, Visual Studio, System Center, and related CALs; and GitHub</w:t>
      </w:r>
    </w:p>
    <w:p>
      <w:pPr>
        <w:spacing w:after="0" w:line="68" w:lineRule="exact"/>
        <w:rPr>
          <w:sz w:val="20"/>
          <w:szCs w:val="20"/>
          <w:color w:val="auto"/>
        </w:rPr>
      </w:pPr>
    </w:p>
    <w:p>
      <w:pPr>
        <w:sectPr>
          <w:pgSz w:w="11900" w:h="16838" w:orient="portrait"/>
          <w:cols w:equalWidth="0" w:num="2">
            <w:col w:w="4440" w:space="720"/>
            <w:col w:w="6080"/>
          </w:cols>
          <w:pgMar w:left="320" w:top="138" w:right="339" w:bottom="1440" w:gutter="0" w:footer="0" w:header="0"/>
          <w:type w:val="continuous"/>
        </w:sectPr>
      </w:pPr>
    </w:p>
    <w:p>
      <w:pPr>
        <w:spacing w:after="0"/>
        <w:rPr>
          <w:sz w:val="20"/>
          <w:szCs w:val="20"/>
          <w:color w:val="auto"/>
        </w:rPr>
      </w:pPr>
      <w:r>
        <w:rPr>
          <w:rFonts w:ascii="Arial" w:cs="Arial" w:eastAsia="Arial" w:hAnsi="Arial"/>
          <w:sz w:val="18"/>
          <w:szCs w:val="18"/>
          <w:color w:val="auto"/>
        </w:rPr>
        <w:t>Enterprise Services revenue growth</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Revenue from Enterprise Services, including Premier Support Services and Microsoft Consulting Services</w:t>
      </w:r>
    </w:p>
    <w:p>
      <w:pPr>
        <w:spacing w:after="0" w:line="188" w:lineRule="exact"/>
        <w:rPr>
          <w:sz w:val="20"/>
          <w:szCs w:val="20"/>
          <w:color w:val="auto"/>
        </w:rPr>
      </w:pPr>
    </w:p>
    <w:p>
      <w:pPr>
        <w:sectPr>
          <w:pgSz w:w="11900" w:h="16838" w:orient="portrait"/>
          <w:cols w:equalWidth="0" w:num="2">
            <w:col w:w="4440" w:space="720"/>
            <w:col w:w="6080"/>
          </w:cols>
          <w:pgMar w:left="320" w:top="138"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ectPr>
          <w:pgSz w:w="11900" w:h="16838" w:orient="portrait"/>
          <w:cols w:equalWidth="0" w:num="1">
            <w:col w:w="11240"/>
          </w:cols>
          <w:pgMar w:left="320" w:top="138" w:right="33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Windows OEM Pro revenue growth</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from sales of Windows Pro licenses sold through the OEM channel, which primarily addresses demand in the commercial market</w:t>
      </w:r>
    </w:p>
    <w:p>
      <w:pPr>
        <w:spacing w:after="0" w:line="62" w:lineRule="exact"/>
        <w:rPr>
          <w:sz w:val="20"/>
          <w:szCs w:val="20"/>
          <w:color w:val="auto"/>
        </w:rPr>
      </w:pPr>
    </w:p>
    <w:p>
      <w:pPr>
        <w:sectPr>
          <w:pgSz w:w="11900" w:h="16838" w:orient="portrait"/>
          <w:cols w:equalWidth="0" w:num="2">
            <w:col w:w="4700" w:space="720"/>
            <w:col w:w="5820"/>
          </w:cols>
          <w:pgMar w:left="320" w:top="138" w:right="339" w:bottom="1440" w:gutter="0" w:footer="0" w:header="0"/>
          <w:type w:val="continuous"/>
        </w:sectPr>
      </w:pPr>
    </w:p>
    <w:p>
      <w:pPr>
        <w:spacing w:after="0"/>
        <w:rPr>
          <w:sz w:val="20"/>
          <w:szCs w:val="20"/>
          <w:color w:val="auto"/>
        </w:rPr>
      </w:pPr>
      <w:r>
        <w:rPr>
          <w:rFonts w:ascii="Arial" w:cs="Arial" w:eastAsia="Arial" w:hAnsi="Arial"/>
          <w:sz w:val="18"/>
          <w:szCs w:val="18"/>
          <w:color w:val="auto"/>
        </w:rPr>
        <w:t>Windows OEM non-Pro revenue growth</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Revenue from sales of Windows non-Pro licenses sold through the OEM channel, which primarily addresses demand in the consumer market</w:t>
      </w:r>
    </w:p>
    <w:p>
      <w:pPr>
        <w:spacing w:after="0" w:line="62" w:lineRule="exact"/>
        <w:rPr>
          <w:sz w:val="20"/>
          <w:szCs w:val="20"/>
          <w:color w:val="auto"/>
        </w:rPr>
      </w:pPr>
    </w:p>
    <w:p>
      <w:pPr>
        <w:sectPr>
          <w:pgSz w:w="11900" w:h="16838" w:orient="portrait"/>
          <w:cols w:equalWidth="0" w:num="2">
            <w:col w:w="4700" w:space="720"/>
            <w:col w:w="5820"/>
          </w:cols>
          <w:pgMar w:left="320" w:top="138" w:right="339" w:bottom="1440" w:gutter="0" w:footer="0" w:header="0"/>
          <w:type w:val="continuous"/>
        </w:sectPr>
      </w:pPr>
    </w:p>
    <w:p>
      <w:pPr>
        <w:jc w:val="both"/>
        <w:ind w:left="5420" w:hanging="5412"/>
        <w:spacing w:after="0"/>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20"/>
                <w:szCs w:val="20"/>
                <w:color w:val="auto"/>
              </w:rPr>
            </w:pPr>
            <w:r>
              <w:rPr>
                <w:rFonts w:ascii="Arial" w:cs="Arial" w:eastAsia="Arial" w:hAnsi="Arial"/>
                <w:sz w:val="18"/>
                <w:szCs w:val="18"/>
                <w:color w:val="auto"/>
              </w:rPr>
              <w:t>Surface revenue</w:t>
            </w:r>
          </w:p>
        </w:tc>
        <w:tc>
          <w:tcPr>
            <w:tcW w:w="6480" w:type="dxa"/>
            <w:vAlign w:val="bottom"/>
          </w:tcPr>
          <w:p>
            <w:pPr>
              <w:ind w:left="660"/>
              <w:spacing w:after="0"/>
              <w:rPr>
                <w:sz w:val="20"/>
                <w:szCs w:val="20"/>
                <w:color w:val="auto"/>
              </w:rPr>
            </w:pPr>
            <w:r>
              <w:rPr>
                <w:rFonts w:ascii="Arial" w:cs="Arial" w:eastAsia="Arial" w:hAnsi="Arial"/>
                <w:sz w:val="18"/>
                <w:szCs w:val="18"/>
                <w:color w:val="auto"/>
              </w:rPr>
              <w:t>Revenue from Surface devices and accessories</w:t>
            </w:r>
          </w:p>
        </w:tc>
      </w:tr>
      <w:tr>
        <w:trPr>
          <w:trHeight w:val="269"/>
        </w:trPr>
        <w:tc>
          <w:tcPr>
            <w:tcW w:w="4760" w:type="dxa"/>
            <w:vAlign w:val="bottom"/>
          </w:tcPr>
          <w:p>
            <w:pPr>
              <w:spacing w:after="0"/>
              <w:rPr>
                <w:sz w:val="20"/>
                <w:szCs w:val="20"/>
                <w:color w:val="auto"/>
              </w:rPr>
            </w:pPr>
            <w:r>
              <w:rPr>
                <w:rFonts w:ascii="Arial" w:cs="Arial" w:eastAsia="Arial" w:hAnsi="Arial"/>
                <w:sz w:val="18"/>
                <w:szCs w:val="18"/>
                <w:color w:val="auto"/>
              </w:rPr>
              <w:t>Xbox content and services revenue growth</w:t>
            </w:r>
          </w:p>
        </w:tc>
        <w:tc>
          <w:tcPr>
            <w:tcW w:w="6480" w:type="dxa"/>
            <w:vAlign w:val="bottom"/>
          </w:tcPr>
          <w:p>
            <w:pPr>
              <w:ind w:left="660"/>
              <w:spacing w:after="0"/>
              <w:rPr>
                <w:sz w:val="20"/>
                <w:szCs w:val="20"/>
                <w:color w:val="auto"/>
              </w:rPr>
            </w:pPr>
            <w:r>
              <w:rPr>
                <w:rFonts w:ascii="Arial" w:cs="Arial" w:eastAsia="Arial" w:hAnsi="Arial"/>
                <w:sz w:val="18"/>
                <w:szCs w:val="18"/>
                <w:color w:val="auto"/>
              </w:rPr>
              <w:t>Revenue  from  Xbox  content  and  services,  comprising  Xbox  Live</w:t>
            </w:r>
          </w:p>
        </w:tc>
      </w:tr>
      <w:tr>
        <w:trPr>
          <w:trHeight w:val="203"/>
        </w:trPr>
        <w:tc>
          <w:tcPr>
            <w:tcW w:w="4760" w:type="dxa"/>
            <w:vAlign w:val="bottom"/>
          </w:tcPr>
          <w:p>
            <w:pPr>
              <w:spacing w:after="0"/>
              <w:rPr>
                <w:sz w:val="17"/>
                <w:szCs w:val="17"/>
                <w:color w:val="auto"/>
              </w:rPr>
            </w:pP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(transactions,  subscriptions,  cloud  services,  and  advertising),  video</w:t>
            </w:r>
          </w:p>
        </w:tc>
      </w:tr>
      <w:tr>
        <w:trPr>
          <w:trHeight w:val="217"/>
        </w:trPr>
        <w:tc>
          <w:tcPr>
            <w:tcW w:w="476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games, and third-party video game royalties</w:t>
            </w:r>
          </w:p>
        </w:tc>
      </w:tr>
      <w:tr>
        <w:trPr>
          <w:trHeight w:val="269"/>
        </w:trPr>
        <w:tc>
          <w:tcPr>
            <w:tcW w:w="4760" w:type="dxa"/>
            <w:vAlign w:val="bottom"/>
          </w:tcPr>
          <w:p>
            <w:pPr>
              <w:spacing w:after="0"/>
              <w:rPr>
                <w:sz w:val="20"/>
                <w:szCs w:val="20"/>
                <w:color w:val="auto"/>
              </w:rPr>
            </w:pPr>
            <w:r>
              <w:rPr>
                <w:rFonts w:ascii="Arial" w:cs="Arial" w:eastAsia="Arial" w:hAnsi="Arial"/>
                <w:sz w:val="18"/>
                <w:szCs w:val="18"/>
                <w:color w:val="auto"/>
              </w:rPr>
              <w:t>Search advertising revenue, excluding TAC, growth</w:t>
            </w:r>
          </w:p>
        </w:tc>
        <w:tc>
          <w:tcPr>
            <w:tcW w:w="6480" w:type="dxa"/>
            <w:vAlign w:val="bottom"/>
          </w:tcPr>
          <w:p>
            <w:pPr>
              <w:ind w:left="660"/>
              <w:spacing w:after="0"/>
              <w:rPr>
                <w:sz w:val="20"/>
                <w:szCs w:val="20"/>
                <w:color w:val="auto"/>
              </w:rPr>
            </w:pPr>
            <w:r>
              <w:rPr>
                <w:rFonts w:ascii="Arial" w:cs="Arial" w:eastAsia="Arial" w:hAnsi="Arial"/>
                <w:sz w:val="18"/>
                <w:szCs w:val="18"/>
                <w:color w:val="auto"/>
              </w:rPr>
              <w:t>Revenue from search advertising excluding traffic acquisition costs</w:t>
            </w:r>
          </w:p>
        </w:tc>
      </w:tr>
      <w:tr>
        <w:trPr>
          <w:trHeight w:val="217"/>
        </w:trPr>
        <w:tc>
          <w:tcPr>
            <w:tcW w:w="476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(“TAC”) paid to Bing Ads network publishers</w:t>
            </w:r>
          </w:p>
        </w:tc>
      </w:tr>
      <w:tr>
        <w:trPr>
          <w:trHeight w:val="595"/>
        </w:trPr>
        <w:tc>
          <w:tcPr>
            <w:tcW w:w="4760" w:type="dxa"/>
            <w:vAlign w:val="bottom"/>
          </w:tcPr>
          <w:p>
            <w:pPr>
              <w:spacing w:after="0"/>
              <w:rPr>
                <w:sz w:val="24"/>
                <w:szCs w:val="24"/>
                <w:color w:val="auto"/>
              </w:rPr>
            </w:pPr>
          </w:p>
        </w:tc>
        <w:tc>
          <w:tcPr>
            <w:tcW w:w="6480" w:type="dxa"/>
            <w:vAlign w:val="bottom"/>
          </w:tcPr>
          <w:p>
            <w:pPr>
              <w:ind w:left="780"/>
              <w:spacing w:after="0"/>
              <w:rPr>
                <w:sz w:val="20"/>
                <w:szCs w:val="20"/>
                <w:color w:val="auto"/>
              </w:rPr>
            </w:pPr>
            <w:r>
              <w:rPr>
                <w:rFonts w:ascii="Arial" w:cs="Arial" w:eastAsia="Arial" w:hAnsi="Arial"/>
                <w:sz w:val="14"/>
                <w:szCs w:val="14"/>
                <w:color w:val="auto"/>
              </w:rPr>
              <w:t>38</w:t>
            </w:r>
          </w:p>
        </w:tc>
      </w:tr>
      <w:tr>
        <w:trPr>
          <w:trHeight w:val="100"/>
        </w:trPr>
        <w:tc>
          <w:tcPr>
            <w:tcW w:w="4760" w:type="dxa"/>
            <w:vAlign w:val="bottom"/>
            <w:tcBorders>
              <w:bottom w:val="single" w:sz="8" w:color="9A9A9A"/>
            </w:tcBorders>
          </w:tcPr>
          <w:p>
            <w:pPr>
              <w:spacing w:after="0"/>
              <w:rPr>
                <w:sz w:val="8"/>
                <w:szCs w:val="8"/>
                <w:color w:val="auto"/>
              </w:rPr>
            </w:pPr>
          </w:p>
        </w:tc>
        <w:tc>
          <w:tcPr>
            <w:tcW w:w="6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38" w:name="page39"/>
    <w:bookmarkEnd w:id="3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40" w:type="dxa"/>
            <w:vAlign w:val="bottom"/>
          </w:tcPr>
          <w:p>
            <w:pPr>
              <w:jc w:val="right"/>
              <w:ind w:right="177"/>
              <w:spacing w:after="0"/>
              <w:rPr>
                <w:sz w:val="20"/>
                <w:szCs w:val="20"/>
                <w:color w:val="auto"/>
              </w:rPr>
            </w:pPr>
            <w:r>
              <w:rPr>
                <w:rFonts w:ascii="Arial" w:cs="Arial" w:eastAsia="Arial" w:hAnsi="Arial"/>
                <w:sz w:val="13"/>
                <w:szCs w:val="13"/>
                <w:b w:val="1"/>
                <w:bCs w:val="1"/>
                <w:color w:val="auto"/>
              </w:rPr>
              <w:t>Percentage</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48"/>
        </w:trPr>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jc w:val="right"/>
              <w:ind w:right="177"/>
              <w:spacing w:after="0"/>
              <w:rPr>
                <w:sz w:val="20"/>
                <w:szCs w:val="20"/>
                <w:color w:val="auto"/>
              </w:rPr>
            </w:pPr>
            <w:r>
              <w:rPr>
                <w:rFonts w:ascii="Arial" w:cs="Arial" w:eastAsia="Arial" w:hAnsi="Arial"/>
                <w:sz w:val="13"/>
                <w:szCs w:val="13"/>
                <w:b w:val="1"/>
                <w:bCs w:val="1"/>
                <w:color w:val="auto"/>
              </w:rPr>
              <w:t>Change 2020</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 2019</w:t>
            </w:r>
          </w:p>
        </w:tc>
      </w:tr>
      <w:tr>
        <w:trPr>
          <w:trHeight w:val="178"/>
        </w:trPr>
        <w:tc>
          <w:tcPr>
            <w:tcW w:w="4120" w:type="dxa"/>
            <w:vAlign w:val="bottom"/>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8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5"/>
                <w:szCs w:val="15"/>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5"/>
                <w:szCs w:val="15"/>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b w:val="1"/>
                <w:bCs w:val="1"/>
                <w:color w:val="auto"/>
              </w:rPr>
              <w:t>2018</w:t>
            </w:r>
          </w:p>
        </w:tc>
        <w:tc>
          <w:tcPr>
            <w:tcW w:w="1340" w:type="dxa"/>
            <w:vAlign w:val="bottom"/>
          </w:tcPr>
          <w:p>
            <w:pPr>
              <w:jc w:val="right"/>
              <w:ind w:right="177"/>
              <w:spacing w:after="0"/>
              <w:rPr>
                <w:sz w:val="20"/>
                <w:szCs w:val="20"/>
                <w:color w:val="auto"/>
              </w:rPr>
            </w:pPr>
            <w:r>
              <w:rPr>
                <w:rFonts w:ascii="Arial" w:cs="Arial" w:eastAsia="Arial" w:hAnsi="Arial"/>
                <w:sz w:val="13"/>
                <w:szCs w:val="13"/>
                <w:b w:val="1"/>
                <w:bCs w:val="1"/>
                <w:color w:val="auto"/>
              </w:rPr>
              <w:t>Versus 2019</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Versus 2018</w:t>
            </w:r>
          </w:p>
        </w:tc>
      </w:tr>
      <w:tr>
        <w:trPr>
          <w:trHeight w:val="54"/>
        </w:trPr>
        <w:tc>
          <w:tcPr>
            <w:tcW w:w="4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8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b w:val="1"/>
                <w:bCs w:val="1"/>
                <w:color w:val="auto"/>
              </w:rPr>
              <w:t>143,015</w:t>
            </w:r>
          </w:p>
        </w:tc>
        <w:tc>
          <w:tcPr>
            <w:tcW w:w="4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125,843</w:t>
            </w:r>
          </w:p>
        </w:tc>
        <w:tc>
          <w:tcPr>
            <w:tcW w:w="38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110,360</w:t>
            </w:r>
          </w:p>
        </w:tc>
        <w:tc>
          <w:tcPr>
            <w:tcW w:w="1340" w:type="dxa"/>
            <w:vAlign w:val="bottom"/>
            <w:shd w:val="clear" w:color="auto" w:fill="E5E5E5"/>
          </w:tcPr>
          <w:p>
            <w:pPr>
              <w:jc w:val="right"/>
              <w:ind w:right="177"/>
              <w:spacing w:after="0" w:line="189" w:lineRule="exact"/>
              <w:rPr>
                <w:sz w:val="20"/>
                <w:szCs w:val="20"/>
                <w:color w:val="auto"/>
              </w:rPr>
            </w:pPr>
            <w:r>
              <w:rPr>
                <w:rFonts w:ascii="Arial" w:cs="Arial" w:eastAsia="Arial" w:hAnsi="Arial"/>
                <w:sz w:val="18"/>
                <w:szCs w:val="18"/>
                <w:color w:val="auto"/>
              </w:rPr>
              <w:t>14%</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w:t>
            </w: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800" w:type="dxa"/>
            <w:vAlign w:val="bottom"/>
          </w:tcPr>
          <w:p>
            <w:pPr>
              <w:spacing w:after="0"/>
              <w:rPr>
                <w:sz w:val="16"/>
                <w:szCs w:val="16"/>
                <w:color w:val="auto"/>
              </w:rPr>
            </w:pPr>
          </w:p>
        </w:tc>
        <w:tc>
          <w:tcPr>
            <w:tcW w:w="960" w:type="dxa"/>
            <w:vAlign w:val="bottom"/>
          </w:tcPr>
          <w:p>
            <w:pPr>
              <w:jc w:val="right"/>
              <w:ind w:right="33"/>
              <w:spacing w:after="0" w:line="189" w:lineRule="exact"/>
              <w:rPr>
                <w:sz w:val="20"/>
                <w:szCs w:val="20"/>
                <w:color w:val="auto"/>
              </w:rPr>
            </w:pPr>
            <w:r>
              <w:rPr>
                <w:rFonts w:ascii="Arial" w:cs="Arial" w:eastAsia="Arial" w:hAnsi="Arial"/>
                <w:sz w:val="18"/>
                <w:szCs w:val="18"/>
                <w:b w:val="1"/>
                <w:bCs w:val="1"/>
                <w:color w:val="auto"/>
              </w:rPr>
              <w:t>96,937</w:t>
            </w:r>
          </w:p>
        </w:tc>
        <w:tc>
          <w:tcPr>
            <w:tcW w:w="420" w:type="dxa"/>
            <w:vAlign w:val="bottom"/>
          </w:tcPr>
          <w:p>
            <w:pPr>
              <w:spacing w:after="0"/>
              <w:rPr>
                <w:sz w:val="16"/>
                <w:szCs w:val="16"/>
                <w:color w:val="auto"/>
              </w:rPr>
            </w:pPr>
          </w:p>
        </w:tc>
        <w:tc>
          <w:tcPr>
            <w:tcW w:w="940" w:type="dxa"/>
            <w:vAlign w:val="bottom"/>
          </w:tcPr>
          <w:p>
            <w:pPr>
              <w:jc w:val="right"/>
              <w:ind w:right="13"/>
              <w:spacing w:after="0" w:line="189" w:lineRule="exact"/>
              <w:rPr>
                <w:sz w:val="20"/>
                <w:szCs w:val="20"/>
                <w:color w:val="auto"/>
              </w:rPr>
            </w:pPr>
            <w:r>
              <w:rPr>
                <w:rFonts w:ascii="Arial" w:cs="Arial" w:eastAsia="Arial" w:hAnsi="Arial"/>
                <w:sz w:val="18"/>
                <w:szCs w:val="18"/>
                <w:color w:val="auto"/>
              </w:rPr>
              <w:t>82,933</w:t>
            </w:r>
          </w:p>
        </w:tc>
        <w:tc>
          <w:tcPr>
            <w:tcW w:w="380" w:type="dxa"/>
            <w:vAlign w:val="bottom"/>
          </w:tcPr>
          <w:p>
            <w:pPr>
              <w:spacing w:after="0"/>
              <w:rPr>
                <w:sz w:val="16"/>
                <w:szCs w:val="16"/>
                <w:color w:val="auto"/>
              </w:rPr>
            </w:pPr>
          </w:p>
        </w:tc>
        <w:tc>
          <w:tcPr>
            <w:tcW w:w="108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72,007</w:t>
            </w:r>
          </w:p>
        </w:tc>
        <w:tc>
          <w:tcPr>
            <w:tcW w:w="1340" w:type="dxa"/>
            <w:vAlign w:val="bottom"/>
          </w:tcPr>
          <w:p>
            <w:pPr>
              <w:jc w:val="right"/>
              <w:ind w:right="177"/>
              <w:spacing w:after="0" w:line="189" w:lineRule="exact"/>
              <w:rPr>
                <w:sz w:val="20"/>
                <w:szCs w:val="20"/>
                <w:color w:val="auto"/>
              </w:rPr>
            </w:pPr>
            <w:r>
              <w:rPr>
                <w:rFonts w:ascii="Arial" w:cs="Arial" w:eastAsia="Arial" w:hAnsi="Arial"/>
                <w:sz w:val="18"/>
                <w:szCs w:val="18"/>
                <w:color w:val="auto"/>
              </w:rPr>
              <w:t>17%</w:t>
            </w:r>
          </w:p>
        </w:tc>
        <w:tc>
          <w:tcPr>
            <w:tcW w:w="12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w:t>
            </w: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80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b w:val="1"/>
                <w:bCs w:val="1"/>
                <w:color w:val="auto"/>
              </w:rPr>
              <w:t>52,959</w:t>
            </w:r>
          </w:p>
        </w:tc>
        <w:tc>
          <w:tcPr>
            <w:tcW w:w="42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42,959</w:t>
            </w:r>
          </w:p>
        </w:tc>
        <w:tc>
          <w:tcPr>
            <w:tcW w:w="38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35,058</w:t>
            </w:r>
          </w:p>
        </w:tc>
        <w:tc>
          <w:tcPr>
            <w:tcW w:w="1340" w:type="dxa"/>
            <w:vAlign w:val="bottom"/>
            <w:shd w:val="clear" w:color="auto" w:fill="E5E5E5"/>
          </w:tcPr>
          <w:p>
            <w:pPr>
              <w:jc w:val="right"/>
              <w:ind w:right="177"/>
              <w:spacing w:after="0" w:line="189" w:lineRule="exact"/>
              <w:rPr>
                <w:sz w:val="20"/>
                <w:szCs w:val="20"/>
                <w:color w:val="auto"/>
              </w:rPr>
            </w:pPr>
            <w:r>
              <w:rPr>
                <w:rFonts w:ascii="Arial" w:cs="Arial" w:eastAsia="Arial" w:hAnsi="Arial"/>
                <w:sz w:val="18"/>
                <w:szCs w:val="18"/>
                <w:color w:val="auto"/>
              </w:rPr>
              <w:t>23%</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23%</w:t>
            </w: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6"/>
                <w:szCs w:val="16"/>
                <w:color w:val="auto"/>
              </w:rPr>
            </w:pPr>
          </w:p>
        </w:tc>
        <w:tc>
          <w:tcPr>
            <w:tcW w:w="960" w:type="dxa"/>
            <w:vAlign w:val="bottom"/>
          </w:tcPr>
          <w:p>
            <w:pPr>
              <w:jc w:val="right"/>
              <w:ind w:right="33"/>
              <w:spacing w:after="0" w:line="189" w:lineRule="exact"/>
              <w:rPr>
                <w:sz w:val="20"/>
                <w:szCs w:val="20"/>
                <w:color w:val="auto"/>
              </w:rPr>
            </w:pPr>
            <w:r>
              <w:rPr>
                <w:rFonts w:ascii="Arial" w:cs="Arial" w:eastAsia="Arial" w:hAnsi="Arial"/>
                <w:sz w:val="18"/>
                <w:szCs w:val="18"/>
                <w:b w:val="1"/>
                <w:bCs w:val="1"/>
                <w:color w:val="auto"/>
              </w:rPr>
              <w:t>44,281</w:t>
            </w:r>
          </w:p>
        </w:tc>
        <w:tc>
          <w:tcPr>
            <w:tcW w:w="420" w:type="dxa"/>
            <w:vAlign w:val="bottom"/>
          </w:tcPr>
          <w:p>
            <w:pPr>
              <w:spacing w:after="0"/>
              <w:rPr>
                <w:sz w:val="16"/>
                <w:szCs w:val="16"/>
                <w:color w:val="auto"/>
              </w:rPr>
            </w:pPr>
          </w:p>
        </w:tc>
        <w:tc>
          <w:tcPr>
            <w:tcW w:w="940" w:type="dxa"/>
            <w:vAlign w:val="bottom"/>
          </w:tcPr>
          <w:p>
            <w:pPr>
              <w:jc w:val="right"/>
              <w:ind w:right="13"/>
              <w:spacing w:after="0" w:line="189" w:lineRule="exact"/>
              <w:rPr>
                <w:sz w:val="20"/>
                <w:szCs w:val="20"/>
                <w:color w:val="auto"/>
              </w:rPr>
            </w:pPr>
            <w:r>
              <w:rPr>
                <w:rFonts w:ascii="Arial" w:cs="Arial" w:eastAsia="Arial" w:hAnsi="Arial"/>
                <w:sz w:val="18"/>
                <w:szCs w:val="18"/>
                <w:color w:val="auto"/>
              </w:rPr>
              <w:t>39,240</w:t>
            </w:r>
          </w:p>
        </w:tc>
        <w:tc>
          <w:tcPr>
            <w:tcW w:w="380" w:type="dxa"/>
            <w:vAlign w:val="bottom"/>
          </w:tcPr>
          <w:p>
            <w:pPr>
              <w:spacing w:after="0"/>
              <w:rPr>
                <w:sz w:val="16"/>
                <w:szCs w:val="16"/>
                <w:color w:val="auto"/>
              </w:rPr>
            </w:pPr>
          </w:p>
        </w:tc>
        <w:tc>
          <w:tcPr>
            <w:tcW w:w="1080" w:type="dxa"/>
            <w:vAlign w:val="bottom"/>
          </w:tcPr>
          <w:p>
            <w:pPr>
              <w:jc w:val="right"/>
              <w:ind w:right="153"/>
              <w:spacing w:after="0" w:line="189" w:lineRule="exact"/>
              <w:rPr>
                <w:sz w:val="20"/>
                <w:szCs w:val="20"/>
                <w:color w:val="auto"/>
              </w:rPr>
            </w:pPr>
            <w:r>
              <w:rPr>
                <w:rFonts w:ascii="Arial" w:cs="Arial" w:eastAsia="Arial" w:hAnsi="Arial"/>
                <w:sz w:val="18"/>
                <w:szCs w:val="18"/>
                <w:color w:val="auto"/>
              </w:rPr>
              <w:t>16,571</w:t>
            </w:r>
          </w:p>
        </w:tc>
        <w:tc>
          <w:tcPr>
            <w:tcW w:w="1340" w:type="dxa"/>
            <w:vAlign w:val="bottom"/>
          </w:tcPr>
          <w:p>
            <w:pPr>
              <w:jc w:val="right"/>
              <w:ind w:right="177"/>
              <w:spacing w:after="0" w:line="189" w:lineRule="exact"/>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137%</w:t>
            </w: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80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b w:val="1"/>
                <w:bCs w:val="1"/>
                <w:color w:val="auto"/>
              </w:rPr>
              <w:t>5.76</w:t>
            </w:r>
          </w:p>
        </w:tc>
        <w:tc>
          <w:tcPr>
            <w:tcW w:w="42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5.06</w:t>
            </w:r>
          </w:p>
        </w:tc>
        <w:tc>
          <w:tcPr>
            <w:tcW w:w="38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2.13</w:t>
            </w:r>
          </w:p>
        </w:tc>
        <w:tc>
          <w:tcPr>
            <w:tcW w:w="1340" w:type="dxa"/>
            <w:vAlign w:val="bottom"/>
            <w:shd w:val="clear" w:color="auto" w:fill="E5E5E5"/>
          </w:tcPr>
          <w:p>
            <w:pPr>
              <w:jc w:val="right"/>
              <w:ind w:right="177"/>
              <w:spacing w:after="0" w:line="189" w:lineRule="exact"/>
              <w:rPr>
                <w:sz w:val="20"/>
                <w:szCs w:val="20"/>
                <w:color w:val="auto"/>
              </w:rPr>
            </w:pPr>
            <w:r>
              <w:rPr>
                <w:rFonts w:ascii="Arial" w:cs="Arial" w:eastAsia="Arial" w:hAnsi="Arial"/>
                <w:sz w:val="18"/>
                <w:szCs w:val="18"/>
                <w:color w:val="auto"/>
              </w:rPr>
              <w:t>14%</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138%</w:t>
            </w: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Non-GAAP net income</w:t>
            </w:r>
          </w:p>
        </w:tc>
        <w:tc>
          <w:tcPr>
            <w:tcW w:w="800" w:type="dxa"/>
            <w:vAlign w:val="bottom"/>
          </w:tcPr>
          <w:p>
            <w:pPr>
              <w:spacing w:after="0"/>
              <w:rPr>
                <w:sz w:val="22"/>
                <w:szCs w:val="22"/>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44,281</w:t>
            </w:r>
          </w:p>
        </w:tc>
        <w:tc>
          <w:tcPr>
            <w:tcW w:w="42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36,830</w:t>
            </w:r>
          </w:p>
        </w:tc>
        <w:tc>
          <w:tcPr>
            <w:tcW w:w="380" w:type="dxa"/>
            <w:vAlign w:val="bottom"/>
          </w:tcPr>
          <w:p>
            <w:pPr>
              <w:spacing w:after="0"/>
              <w:rPr>
                <w:sz w:val="22"/>
                <w:szCs w:val="22"/>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30,267</w:t>
            </w:r>
          </w:p>
        </w:tc>
        <w:tc>
          <w:tcPr>
            <w:tcW w:w="1340" w:type="dxa"/>
            <w:vAlign w:val="bottom"/>
          </w:tcPr>
          <w:p>
            <w:pPr>
              <w:jc w:val="right"/>
              <w:ind w:right="177"/>
              <w:spacing w:after="0"/>
              <w:rPr>
                <w:sz w:val="20"/>
                <w:szCs w:val="20"/>
                <w:color w:val="auto"/>
              </w:rPr>
            </w:pPr>
            <w:r>
              <w:rPr>
                <w:rFonts w:ascii="Arial" w:cs="Arial" w:eastAsia="Arial" w:hAnsi="Arial"/>
                <w:sz w:val="18"/>
                <w:szCs w:val="18"/>
                <w:color w:val="auto"/>
              </w:rPr>
              <w:t>20%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189"/>
        </w:trPr>
        <w:tc>
          <w:tcPr>
            <w:tcW w:w="41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Non-GAAP diluted earnings per share</w:t>
            </w:r>
          </w:p>
        </w:tc>
        <w:tc>
          <w:tcPr>
            <w:tcW w:w="80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3"/>
              <w:spacing w:after="0" w:line="189" w:lineRule="exact"/>
              <w:rPr>
                <w:sz w:val="20"/>
                <w:szCs w:val="20"/>
                <w:color w:val="auto"/>
              </w:rPr>
            </w:pPr>
            <w:r>
              <w:rPr>
                <w:rFonts w:ascii="Arial" w:cs="Arial" w:eastAsia="Arial" w:hAnsi="Arial"/>
                <w:sz w:val="18"/>
                <w:szCs w:val="18"/>
                <w:b w:val="1"/>
                <w:bCs w:val="1"/>
                <w:color w:val="auto"/>
              </w:rPr>
              <w:t>5.76</w:t>
            </w:r>
          </w:p>
        </w:tc>
        <w:tc>
          <w:tcPr>
            <w:tcW w:w="42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color w:val="auto"/>
              </w:rPr>
              <w:t>4.75</w:t>
            </w:r>
          </w:p>
        </w:tc>
        <w:tc>
          <w:tcPr>
            <w:tcW w:w="38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3.88</w:t>
            </w:r>
          </w:p>
        </w:tc>
        <w:tc>
          <w:tcPr>
            <w:tcW w:w="1340" w:type="dxa"/>
            <w:vAlign w:val="bottom"/>
            <w:shd w:val="clear" w:color="auto" w:fill="E5E5E5"/>
          </w:tcPr>
          <w:p>
            <w:pPr>
              <w:jc w:val="right"/>
              <w:ind w:right="177"/>
              <w:spacing w:after="0" w:line="189" w:lineRule="exact"/>
              <w:rPr>
                <w:sz w:val="20"/>
                <w:szCs w:val="20"/>
                <w:color w:val="auto"/>
              </w:rPr>
            </w:pPr>
            <w:r>
              <w:rPr>
                <w:rFonts w:ascii="Arial" w:cs="Arial" w:eastAsia="Arial" w:hAnsi="Arial"/>
                <w:sz w:val="18"/>
                <w:szCs w:val="18"/>
                <w:color w:val="auto"/>
              </w:rPr>
              <w:t>21%</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w:t>
            </w:r>
          </w:p>
        </w:tc>
      </w:tr>
      <w:tr>
        <w:trPr>
          <w:trHeight w:val="68"/>
        </w:trPr>
        <w:tc>
          <w:tcPr>
            <w:tcW w:w="4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Non-GAAP net income and diluted earnings per share (“EPS”) exclude the net tax impact of transfer of intangible properties in fiscal year 2019 and the net tax impact of the Tax Cuts and Jobs Act (“TCJA”) in fiscal years 2019 and 2018. Refer to the Non-GAAP Financial Measures section below for a reconciliation of our financial results reported in accordance with GAAP to non-GAAP financial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with Fiscal Year 2019</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$17.2 billion or 14%, driven by growth across each of our segments. Intelligent Cloud revenue increased, driven by server products and cloud services. Productivity and Business Processes revenue increased, driven by Office Commercial and LinkedIn. More Personal Computing revenue increased, driven by Windows and Surface.</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margin increased $14.0 billion or 17%, driven by growth across each of our segments. Gross margin percentage increased, driven by sales mix shift to higher margin businesses. Commercial cloud gross margin percentage increased 4 points to 67%, primarily driven by improvement in Azure.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$10.0 billion or 23%, driven by growth across each of our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77" w:lineRule="exact"/>
        <w:rPr>
          <w:sz w:val="20"/>
          <w:szCs w:val="20"/>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revenue increased $3.2 billion or 7%, driven by growth in commercial cloud.</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expenses increased $2.4 billion or 14%, driven by investments in cloud engineering, LinkedIn, Devices, and Gaming.</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expenses increased $1.4 billion or 8%, driven by investments in LinkedIn and commercial sales, and an increase in bad debt expense.</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administrative expenses increased $226 million or 5%, driven by charges associated with the closing of our Microsoft Store physical locations, offset in part by a reduction in business taxes and legal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included an unfavorable foreign currency impact of 2% and 4%, respectively.</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year net income included a $2.6 billion net income tax benefit related to intangible property transfers and a $157 million net charge related to the enactment of the TCJA, which together resulted in an increase to net income and diluted EPS of $2.4 billion and $0.31,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$15.5 billion or 14%, driven by growth across each of our segments. Intelligent Cloud revenue increased, driven by server products and cloud services. Productivity and Business Processes revenue increased, driven by Office and LinkedIn. More Personal Computing revenue increased, driven by Surface, Gaming, and Windows.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margin increased $10.9 billion or 15%, driven by growth across each of our segments. Gross margin percentage increased slightly, due to gross margin percentage improvement across each of our segments and favorable segment sales mix. Gross margin included a 5 percentage point improvement in commercial cloud, primarily from Azure.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9" w:name="page40"/>
    <w:bookmarkEnd w:id="3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$7.9 billion or 23%, driven by growth across each of our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63" w:lineRule="exact"/>
        <w:rPr>
          <w:sz w:val="20"/>
          <w:szCs w:val="20"/>
          <w:color w:val="auto"/>
        </w:rPr>
      </w:pPr>
    </w:p>
    <w:p>
      <w:pPr>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revenue increased $4.6 billion or 12%, driven by growth in commercial cloud, Surface, and Gaming.</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expenses increased $2.2 billion or 15%, driven by investments in cloud and artificial intelligence (“AI”) engineering, Gaming, LinkedIn, and GitHub.</w:t>
      </w:r>
    </w:p>
    <w:p>
      <w:pPr>
        <w:spacing w:after="0" w:line="48" w:lineRule="exact"/>
        <w:rPr>
          <w:rFonts w:ascii="Arial" w:cs="Arial" w:eastAsia="Arial" w:hAnsi="Arial"/>
          <w:sz w:val="18"/>
          <w:szCs w:val="18"/>
          <w:color w:val="auto"/>
        </w:rPr>
      </w:pPr>
    </w:p>
    <w:p>
      <w:pPr>
        <w:jc w:val="both"/>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expenses increased $744 million or 4%, driven by investments in commercial sales capacity, LinkedIn, and GitHub, offset in part by a decrease in marketing. Sales and marketing expenses included a favorable foreign currency impact of 2%.</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Fiscal year 2019 net income included a $2.6 billion net income tax benefit related to intangible property transfers and a $157 million net charge related to the enactment of the TCJA, which together resulted in an increase to net income and diluted EPS of $2.4 billion and $0.31, respectively. Fiscal year 2018 net income and diluted EPS were negatively impacted by the net charge related to the enactment of the TCJA, which resulted in a decrease to net income and diluted EPS of $13.7 billion and $1.75, respectively.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60" w:type="dxa"/>
            <w:vAlign w:val="bottom"/>
          </w:tcPr>
          <w:p>
            <w:pPr>
              <w:jc w:val="right"/>
              <w:ind w:right="296"/>
              <w:spacing w:after="0"/>
              <w:rPr>
                <w:sz w:val="20"/>
                <w:szCs w:val="20"/>
                <w:color w:val="auto"/>
              </w:rPr>
            </w:pPr>
            <w:r>
              <w:rPr>
                <w:rFonts w:ascii="Arial" w:cs="Arial" w:eastAsia="Arial" w:hAnsi="Arial"/>
                <w:sz w:val="13"/>
                <w:szCs w:val="13"/>
                <w:b w:val="1"/>
                <w:bCs w:val="1"/>
                <w:color w:val="auto"/>
              </w:rPr>
              <w:t>Percentage</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tcPr>
          <w:p>
            <w:pPr>
              <w:jc w:val="right"/>
              <w:ind w:right="296"/>
              <w:spacing w:after="0"/>
              <w:rPr>
                <w:sz w:val="20"/>
                <w:szCs w:val="20"/>
                <w:color w:val="auto"/>
              </w:rPr>
            </w:pPr>
            <w:r>
              <w:rPr>
                <w:rFonts w:ascii="Arial" w:cs="Arial" w:eastAsia="Arial" w:hAnsi="Arial"/>
                <w:sz w:val="13"/>
                <w:szCs w:val="13"/>
                <w:b w:val="1"/>
                <w:bCs w:val="1"/>
                <w:color w:val="auto"/>
              </w:rPr>
              <w:t>Change 2020</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Change 2019</w:t>
            </w:r>
          </w:p>
        </w:tc>
        <w:tc>
          <w:tcPr>
            <w:tcW w:w="0" w:type="dxa"/>
            <w:vAlign w:val="bottom"/>
          </w:tcPr>
          <w:p>
            <w:pPr>
              <w:spacing w:after="0"/>
              <w:rPr>
                <w:sz w:val="1"/>
                <w:szCs w:val="1"/>
                <w:color w:val="auto"/>
              </w:rPr>
            </w:pPr>
          </w:p>
        </w:tc>
      </w:tr>
      <w:tr>
        <w:trPr>
          <w:trHeight w:val="178"/>
        </w:trPr>
        <w:tc>
          <w:tcPr>
            <w:tcW w:w="330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960" w:type="dxa"/>
            <w:vAlign w:val="bottom"/>
          </w:tcPr>
          <w:p>
            <w:pPr>
              <w:jc w:val="right"/>
              <w:ind w:right="296"/>
              <w:spacing w:after="0"/>
              <w:rPr>
                <w:sz w:val="20"/>
                <w:szCs w:val="20"/>
                <w:color w:val="auto"/>
              </w:rPr>
            </w:pPr>
            <w:r>
              <w:rPr>
                <w:rFonts w:ascii="Arial" w:cs="Arial" w:eastAsia="Arial" w:hAnsi="Arial"/>
                <w:sz w:val="13"/>
                <w:szCs w:val="13"/>
                <w:b w:val="1"/>
                <w:bCs w:val="1"/>
                <w:color w:val="auto"/>
              </w:rPr>
              <w:t>Versus 2019</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Versus 2018</w:t>
            </w:r>
          </w:p>
        </w:tc>
        <w:tc>
          <w:tcPr>
            <w:tcW w:w="0" w:type="dxa"/>
            <w:vAlign w:val="bottom"/>
          </w:tcPr>
          <w:p>
            <w:pPr>
              <w:spacing w:after="0"/>
              <w:rPr>
                <w:sz w:val="1"/>
                <w:szCs w:val="1"/>
                <w:color w:val="auto"/>
              </w:rPr>
            </w:pPr>
          </w:p>
        </w:tc>
      </w:tr>
      <w:tr>
        <w:trPr>
          <w:trHeight w:val="54"/>
        </w:trPr>
        <w:tc>
          <w:tcPr>
            <w:tcW w:w="3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6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46,398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41,160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35,865</w:t>
            </w:r>
          </w:p>
        </w:tc>
        <w:tc>
          <w:tcPr>
            <w:tcW w:w="196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13%</w:t>
            </w:r>
          </w:p>
        </w:tc>
        <w:tc>
          <w:tcPr>
            <w:tcW w:w="1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9"/>
        </w:trPr>
        <w:tc>
          <w:tcPr>
            <w:tcW w:w="33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48,366</w:t>
            </w:r>
          </w:p>
        </w:tc>
        <w:tc>
          <w:tcPr>
            <w:tcW w:w="280" w:type="dxa"/>
            <w:vAlign w:val="bottom"/>
          </w:tcPr>
          <w:p>
            <w:pPr>
              <w:spacing w:after="0"/>
              <w:rPr>
                <w:sz w:val="16"/>
                <w:szCs w:val="16"/>
                <w:color w:val="auto"/>
              </w:rPr>
            </w:pPr>
          </w:p>
        </w:tc>
        <w:tc>
          <w:tcPr>
            <w:tcW w:w="126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38,985</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32,219</w:t>
            </w:r>
          </w:p>
        </w:tc>
        <w:tc>
          <w:tcPr>
            <w:tcW w:w="1960" w:type="dxa"/>
            <w:vAlign w:val="bottom"/>
          </w:tcPr>
          <w:p>
            <w:pPr>
              <w:jc w:val="right"/>
              <w:ind w:right="296"/>
              <w:spacing w:after="0" w:line="189" w:lineRule="exact"/>
              <w:rPr>
                <w:sz w:val="20"/>
                <w:szCs w:val="20"/>
                <w:color w:val="auto"/>
              </w:rPr>
            </w:pPr>
            <w:r>
              <w:rPr>
                <w:rFonts w:ascii="Arial" w:cs="Arial" w:eastAsia="Arial" w:hAnsi="Arial"/>
                <w:sz w:val="18"/>
                <w:szCs w:val="18"/>
                <w:color w:val="auto"/>
              </w:rPr>
              <w:t>24%</w:t>
            </w:r>
          </w:p>
        </w:tc>
        <w:tc>
          <w:tcPr>
            <w:tcW w:w="14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3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48,251</w:t>
            </w:r>
          </w:p>
        </w:tc>
        <w:tc>
          <w:tcPr>
            <w:tcW w:w="28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45,698</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42,276</w:t>
            </w:r>
          </w:p>
        </w:tc>
        <w:tc>
          <w:tcPr>
            <w:tcW w:w="196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6%</w:t>
            </w:r>
          </w:p>
        </w:tc>
        <w:tc>
          <w:tcPr>
            <w:tcW w:w="1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8"/>
        </w:trPr>
        <w:tc>
          <w:tcPr>
            <w:tcW w:w="33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300" w:type="dxa"/>
            <w:vAlign w:val="bottom"/>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143,015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125,843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110,360</w:t>
            </w:r>
          </w:p>
        </w:tc>
        <w:tc>
          <w:tcPr>
            <w:tcW w:w="1960" w:type="dxa"/>
            <w:vAlign w:val="bottom"/>
          </w:tcPr>
          <w:p>
            <w:pPr>
              <w:jc w:val="right"/>
              <w:ind w:right="296"/>
              <w:spacing w:after="0"/>
              <w:rPr>
                <w:sz w:val="20"/>
                <w:szCs w:val="20"/>
                <w:color w:val="auto"/>
              </w:rPr>
            </w:pPr>
            <w:r>
              <w:rPr>
                <w:rFonts w:ascii="Arial" w:cs="Arial" w:eastAsia="Arial" w:hAnsi="Arial"/>
                <w:sz w:val="18"/>
                <w:szCs w:val="18"/>
                <w:color w:val="auto"/>
              </w:rPr>
              <w:t>14%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61"/>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3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6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18,724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16,219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12,924</w:t>
            </w:r>
          </w:p>
        </w:tc>
        <w:tc>
          <w:tcPr>
            <w:tcW w:w="196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15%</w:t>
            </w:r>
          </w:p>
        </w:tc>
        <w:tc>
          <w:tcPr>
            <w:tcW w:w="1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9"/>
        </w:trPr>
        <w:tc>
          <w:tcPr>
            <w:tcW w:w="33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18,324</w:t>
            </w:r>
          </w:p>
        </w:tc>
        <w:tc>
          <w:tcPr>
            <w:tcW w:w="280" w:type="dxa"/>
            <w:vAlign w:val="bottom"/>
          </w:tcPr>
          <w:p>
            <w:pPr>
              <w:spacing w:after="0"/>
              <w:rPr>
                <w:sz w:val="16"/>
                <w:szCs w:val="16"/>
                <w:color w:val="auto"/>
              </w:rPr>
            </w:pPr>
          </w:p>
        </w:tc>
        <w:tc>
          <w:tcPr>
            <w:tcW w:w="126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13,920</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11,524</w:t>
            </w:r>
          </w:p>
        </w:tc>
        <w:tc>
          <w:tcPr>
            <w:tcW w:w="1960" w:type="dxa"/>
            <w:vAlign w:val="bottom"/>
          </w:tcPr>
          <w:p>
            <w:pPr>
              <w:jc w:val="right"/>
              <w:ind w:right="296"/>
              <w:spacing w:after="0" w:line="189" w:lineRule="exact"/>
              <w:rPr>
                <w:sz w:val="20"/>
                <w:szCs w:val="20"/>
                <w:color w:val="auto"/>
              </w:rPr>
            </w:pPr>
            <w:r>
              <w:rPr>
                <w:rFonts w:ascii="Arial" w:cs="Arial" w:eastAsia="Arial" w:hAnsi="Arial"/>
                <w:sz w:val="18"/>
                <w:szCs w:val="18"/>
                <w:color w:val="auto"/>
              </w:rPr>
              <w:t>32%</w:t>
            </w:r>
          </w:p>
        </w:tc>
        <w:tc>
          <w:tcPr>
            <w:tcW w:w="14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3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15,911</w:t>
            </w:r>
          </w:p>
        </w:tc>
        <w:tc>
          <w:tcPr>
            <w:tcW w:w="28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12,820</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10,610</w:t>
            </w:r>
          </w:p>
        </w:tc>
        <w:tc>
          <w:tcPr>
            <w:tcW w:w="196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24%</w:t>
            </w:r>
          </w:p>
        </w:tc>
        <w:tc>
          <w:tcPr>
            <w:tcW w:w="14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8"/>
        </w:trPr>
        <w:tc>
          <w:tcPr>
            <w:tcW w:w="33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300" w:type="dxa"/>
            <w:vAlign w:val="bottom"/>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52,959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42,959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35,058</w:t>
            </w:r>
          </w:p>
        </w:tc>
        <w:tc>
          <w:tcPr>
            <w:tcW w:w="1960" w:type="dxa"/>
            <w:vAlign w:val="bottom"/>
          </w:tcPr>
          <w:p>
            <w:pPr>
              <w:jc w:val="right"/>
              <w:ind w:right="296"/>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1"/>
        </w:trPr>
        <w:tc>
          <w:tcPr>
            <w:tcW w:w="3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with Fiscal Year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$5.2 billion or 13%.</w:t>
      </w:r>
    </w:p>
    <w:p>
      <w:pPr>
        <w:spacing w:after="0" w:line="63" w:lineRule="exact"/>
        <w:rPr>
          <w:sz w:val="20"/>
          <w:szCs w:val="20"/>
          <w:color w:val="auto"/>
        </w:rPr>
      </w:pPr>
    </w:p>
    <w:p>
      <w:pPr>
        <w:jc w:val="both"/>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$3.1 billion or 12%, driven by Office 365 Commercial, offset in part by lower revenue from products licensed on-premises, reflecting a continued shift to cloud offerings. Office 365 Commercial revenue grew 24%, due to seat growth and higher revenue per user.</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$458 million or 11%, driven by Microsoft 365 Consumer subscription revenue and transactional strength in Japan. Office 365 Consumer subscribers increased 23% to 42.7 million with increased demand from remote work and learn scenarios.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LinkedIn revenue increased $1.3 billion or 20%, driven by growth across all businesses.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14%, driven by Dynamics 365 growth of 42%.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0" w:name="page41"/>
    <w:bookmarkEnd w:id="4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$2.5 billion or 15%.</w:t>
      </w:r>
    </w:p>
    <w:p>
      <w:pPr>
        <w:spacing w:after="0" w:line="63" w:lineRule="exact"/>
        <w:rPr>
          <w:sz w:val="20"/>
          <w:szCs w:val="20"/>
          <w:color w:val="auto"/>
        </w:rPr>
      </w:pPr>
    </w:p>
    <w:p>
      <w:pPr>
        <w:jc w:val="both"/>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increased $4.1 billion or 13%, driven by growth in Office Commercial and LinkedIn. Gross margin percentage was relatively unchanged, due to gross margin percentage improvement in LinkedIn, offset in part by an increased mix of cloud offerings.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increased $1.6 billion or 11%, driven by investments in LinkedIn and cloud engineering.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an unfavorable foreign currency impact of 2%, 2%, and 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$9.4 billion or 24%.</w:t>
      </w:r>
    </w:p>
    <w:p>
      <w:pPr>
        <w:spacing w:after="0" w:line="77" w:lineRule="exact"/>
        <w:rPr>
          <w:sz w:val="20"/>
          <w:szCs w:val="20"/>
          <w:color w:val="auto"/>
        </w:rPr>
      </w:pPr>
    </w:p>
    <w:p>
      <w:pPr>
        <w:jc w:val="both"/>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$8.8 billion or 27%, driven by Azure. Azure revenue grew 56%, due to growth in our consumption-based services. Server products revenue increased 8%</w:t>
      </w:r>
      <w:r>
        <w:rPr>
          <w:rFonts w:ascii="Arial" w:cs="Arial" w:eastAsia="Arial" w:hAnsi="Arial"/>
          <w:sz w:val="18"/>
          <w:szCs w:val="18"/>
          <w:color w:val="666666"/>
        </w:rPr>
        <w:t>,</w:t>
      </w:r>
      <w:r>
        <w:rPr>
          <w:rFonts w:ascii="Arial" w:cs="Arial" w:eastAsia="Arial" w:hAnsi="Arial"/>
          <w:sz w:val="18"/>
          <w:szCs w:val="18"/>
          <w:color w:val="auto"/>
        </w:rPr>
        <w:t xml:space="preserve"> due to hybrid and premium solutions, as well as demand related to SQL Server 2008 and Windows Server 2008 end of support.</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Enterprise Services revenue increased $285 million or 5%, driven by growth in Premier Support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$4.4 billion or 32%.</w:t>
      </w:r>
    </w:p>
    <w:p>
      <w:pPr>
        <w:spacing w:after="0" w:line="77" w:lineRule="exact"/>
        <w:rPr>
          <w:sz w:val="20"/>
          <w:szCs w:val="20"/>
          <w:color w:val="auto"/>
        </w:rPr>
      </w:pPr>
    </w:p>
    <w:p>
      <w:pPr>
        <w:jc w:val="both"/>
        <w:ind w:left="1060" w:hanging="39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margin increased $6.9 billion or 26%, driven by growth in server products and cloud services revenue and cloud services scale and efficiencies. Gross margin percentage increased slightly, due to gross margin percentage improvement in Azure, offset in part by an increased mix of cloud offerings.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increased $2.5 billion or 19%, driven by investments in Azure.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an unfavorable foreign currency impact of 2%, 2%, and 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$2.6 billion or 6%.</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Windows revenue increased $1.9 billion or 9%, driven by growth in Windows Commercial and Windows OEM. Windows Commercial products and cloud services revenue increased 18%, driven by increased demand for Microsoft 365. Windows OEM revenue increased 9%, ahead of PC market growth. Windows OEM Pro revenue grew 11%, driven by Windows 7 end of support and healthy Windows 10 demand, offset in part by weakness in small and medium businesses. Windows OEM non-Pro revenue grew 5%, driven by consumer demand from remote work and learn scenarios.</w:t>
      </w:r>
    </w:p>
    <w:p>
      <w:pPr>
        <w:spacing w:after="0" w:line="53" w:lineRule="exact"/>
        <w:rPr>
          <w:rFonts w:ascii="Arial" w:cs="Arial" w:eastAsia="Arial" w:hAnsi="Arial"/>
          <w:sz w:val="18"/>
          <w:szCs w:val="18"/>
          <w:color w:val="auto"/>
        </w:rPr>
      </w:pPr>
    </w:p>
    <w:p>
      <w:pPr>
        <w:ind w:left="1060" w:hanging="391"/>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Surface revenue increased $457 million or 8%, driven by increased demand from remote work and learn scenarios.</w:t>
      </w:r>
    </w:p>
    <w:p>
      <w:pPr>
        <w:spacing w:after="0" w:line="63" w:lineRule="exact"/>
        <w:rPr>
          <w:rFonts w:ascii="Arial" w:cs="Arial" w:eastAsia="Arial" w:hAnsi="Arial"/>
          <w:sz w:val="18"/>
          <w:szCs w:val="18"/>
          <w:color w:val="auto"/>
        </w:rPr>
      </w:pPr>
    </w:p>
    <w:p>
      <w:pPr>
        <w:jc w:val="both"/>
        <w:ind w:left="1060" w:hanging="391"/>
        <w:spacing w:after="0" w:line="23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Gaming revenue increased $189 million or 2%, driven by an increase in Xbox content and services, offset in part by a decrease in Xbox hardware. Xbox content and services revenue increased $943 million or 11% on a strong prior year comparable, driven by growth in Minecraft, third-party titles, and subscriptions, accelerated by higher engagement during stay-at-home guidelines. Xbox hardware revenue declined 31%, primarily due to a decrease in volume and price of consoles sold.</w:t>
      </w:r>
    </w:p>
    <w:p>
      <w:pPr>
        <w:spacing w:after="0" w:line="56"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Search advertising revenue increased $112 million or 1%. Search advertising revenue, excluding traffic acquisition costs, was relatively unchanged.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$3.1 billion or 24%.</w:t>
      </w:r>
    </w:p>
    <w:p>
      <w:pPr>
        <w:spacing w:after="0" w:line="63" w:lineRule="exact"/>
        <w:rPr>
          <w:sz w:val="20"/>
          <w:szCs w:val="20"/>
          <w:color w:val="auto"/>
        </w:rPr>
      </w:pPr>
    </w:p>
    <w:p>
      <w:pPr>
        <w:ind w:left="1060" w:right="20" w:hanging="391"/>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$3.0 billion or 12%, driven by growth in Windows, Gaming, and Surface. Gross margin percentage increased, due to sales mix shift to higher margin businesses and gross margin percentage improvement in Gaming.</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decreased $119 million or 1%, driven by the redeployment of engineering resources, offset in part by charges associated with the closing of our Microsoft Store physical locations and investments in Gaming.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1" w:name="page42"/>
    <w:bookmarkEnd w:id="4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included an unfavorable foreign currency impact of 2% and 3%,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$5.3 billion or 15%.</w:t>
      </w:r>
    </w:p>
    <w:p>
      <w:pPr>
        <w:spacing w:after="0" w:line="77" w:lineRule="exact"/>
        <w:rPr>
          <w:sz w:val="20"/>
          <w:szCs w:val="20"/>
          <w:color w:val="auto"/>
        </w:rPr>
      </w:pPr>
    </w:p>
    <w:p>
      <w:pPr>
        <w:jc w:val="both"/>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$3.2 billion or 13%, driven by Office 365 Commercial, offset in part by lower revenue from products licensed on-premises, reflecting a continued shift to cloud offerings. Office 365 Commercial grew 33%, due to growth in seats and higher average revenue per user.</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$286 million or 7%, driven by Microsoft 365 Consumer, due to recurring subscription revenue and transactional strength in Japan.</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LinkedIn revenue increased $1.5 billion or 28%, driven by growth across each line of business.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15%, driven by Dynamics 365 growth.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$3.3 billion or 25%, including an unfavorable foreign currency impact of 2%.</w:t>
      </w:r>
    </w:p>
    <w:p>
      <w:pPr>
        <w:spacing w:after="0" w:line="77" w:lineRule="exact"/>
        <w:rPr>
          <w:sz w:val="20"/>
          <w:szCs w:val="20"/>
          <w:color w:val="auto"/>
        </w:rPr>
      </w:pPr>
    </w:p>
    <w:p>
      <w:pPr>
        <w:jc w:val="both"/>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$4.1 billion or 15%, driven by growth in Office Commercial and LinkedIn. Gross margin percentage increased slightly, due to gross margin percentage improvement in LinkedIn and Office 365 Commercial, offset in part by an increased mix of cloud offerings.</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increased $806 million or 6%, driven by investments in LinkedIn and cloud engineering, offset in part by a decrease in marketing.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$6.8 billion or 21%.</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Server products and cloud services revenue, including GitHub, increased $6.5 billion or 25%, driven by Azure. Azure revenue growth was 72%, due to higher infrastructure-as-a-service and platform-as-a-service consumption-based and per user-based services. Server products revenue increased 6%</w:t>
      </w:r>
      <w:r>
        <w:rPr>
          <w:rFonts w:ascii="Arial" w:cs="Arial" w:eastAsia="Arial" w:hAnsi="Arial"/>
          <w:sz w:val="18"/>
          <w:szCs w:val="18"/>
          <w:color w:val="666666"/>
        </w:rPr>
        <w:t>,</w:t>
      </w:r>
      <w:r>
        <w:rPr>
          <w:rFonts w:ascii="Arial" w:cs="Arial" w:eastAsia="Arial" w:hAnsi="Arial"/>
          <w:sz w:val="18"/>
          <w:szCs w:val="18"/>
          <w:color w:val="auto"/>
        </w:rPr>
        <w:t xml:space="preserve"> due to continued demand for premium versions and hybrid solutions, GitHub, and demand ahead of end-of-support for SQL Server 2008 and Windows Server 2008.</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Enterprise Services revenue increased $278 million or 5%, driven by growth in Premier Support Services and Microsoft Consulting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$2.4 billion or 21%.</w:t>
      </w:r>
    </w:p>
    <w:p>
      <w:pPr>
        <w:spacing w:after="0" w:line="63" w:lineRule="exact"/>
        <w:rPr>
          <w:sz w:val="20"/>
          <w:szCs w:val="20"/>
          <w:color w:val="auto"/>
        </w:rPr>
      </w:pPr>
    </w:p>
    <w:p>
      <w:pPr>
        <w:jc w:val="both"/>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increased $4.8 billion or 22%, driven by growth in server products and cloud services revenue and cloud services scale and efficiencies. Gross margin percentage increased slightly, due to gross margin percentage improvement in Azure, offset in part by an increased mix of cloud offerings.</w:t>
      </w:r>
    </w:p>
    <w:p>
      <w:pPr>
        <w:spacing w:after="0" w:line="54"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expenses increased $2.4 billion or 22%, driven by investments in cloud and AI engineering, GitHub, and commercial sales capacity.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$3.4 billion or 8%.</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Windows revenue increased $877 million or 4%, driven by growth in Windows Commercial and Windows OEM, offset in part by a decline in patent licensing. Windows Commercial products and cloud services revenue increased 14%, driven by an increased mix of multi-year agreements that carry higher in-quarter revenue recognition. Windows OEM revenue increased 4%. Windows OEM Pro revenue grew 10%, ahead of the commercial PC market, driven by healthy Windows 10 demand. Windows OEM non-Pro revenue declined 7%, below the consumer PC market, driven by continued pressure in the entry level category.</w:t>
      </w:r>
    </w:p>
    <w:p>
      <w:pPr>
        <w:spacing w:after="0" w:line="53" w:lineRule="exact"/>
        <w:rPr>
          <w:rFonts w:ascii="Arial" w:cs="Arial" w:eastAsia="Arial" w:hAnsi="Arial"/>
          <w:sz w:val="18"/>
          <w:szCs w:val="18"/>
          <w:color w:val="auto"/>
        </w:rPr>
      </w:pPr>
    </w:p>
    <w:p>
      <w:pPr>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Surface revenue increased $1.1 billion or 23%, with strong growth across commercial and consumer.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2" w:name="page43"/>
    <w:bookmarkEnd w:id="4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69" w:lineRule="exact"/>
        <w:rPr>
          <w:sz w:val="20"/>
          <w:szCs w:val="20"/>
          <w:color w:val="auto"/>
        </w:rPr>
      </w:pPr>
    </w:p>
    <w:p>
      <w:pPr>
        <w:jc w:val="both"/>
        <w:ind w:left="1060" w:hanging="391"/>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Gaming revenue increased $1.0 billion or 10%, driven by Xbox software and services growth of 19%, primarily due to third-party title strength and subscriptions growth, offset in part by a decline in Xbox hardware of 13% primarily due to a decrease in volume of consoles sold.</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Search advertising revenue increased $616 million or 9%. Search advertising revenue, excluding traffic acquisition costs, increased 13%, driven by higher revenue per search.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$2.2 billion or 21%, including an unfavorable foreign currency impact of 2%.</w:t>
      </w:r>
    </w:p>
    <w:p>
      <w:pPr>
        <w:spacing w:after="0" w:line="63" w:lineRule="exact"/>
        <w:rPr>
          <w:sz w:val="20"/>
          <w:szCs w:val="20"/>
          <w:color w:val="auto"/>
        </w:rPr>
      </w:pPr>
    </w:p>
    <w:p>
      <w:pPr>
        <w:ind w:left="1060" w:hanging="391"/>
        <w:spacing w:after="0" w:line="24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Gross margin increased $2.0 billion or 9%, driven by growth in Windows, Gaming, and Search. Gross margin percentage increased slightly, due to sales mix shift to higher gross margin businesses in Windows and Gaming.</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expenses decreased $172 million or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jc w:val="right"/>
              <w:ind w:right="164"/>
              <w:spacing w:after="0"/>
              <w:rPr>
                <w:sz w:val="20"/>
                <w:szCs w:val="20"/>
                <w:color w:val="auto"/>
              </w:rPr>
            </w:pPr>
            <w:r>
              <w:rPr>
                <w:rFonts w:ascii="Arial" w:cs="Arial" w:eastAsia="Arial" w:hAnsi="Arial"/>
                <w:sz w:val="13"/>
                <w:szCs w:val="13"/>
                <w:b w:val="1"/>
                <w:bCs w:val="1"/>
                <w:color w:val="auto"/>
              </w:rPr>
              <w:t>Percentage</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48"/>
        </w:trPr>
        <w:tc>
          <w:tcPr>
            <w:tcW w:w="3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jc w:val="right"/>
              <w:ind w:right="164"/>
              <w:spacing w:after="0"/>
              <w:rPr>
                <w:sz w:val="20"/>
                <w:szCs w:val="20"/>
                <w:color w:val="auto"/>
              </w:rPr>
            </w:pPr>
            <w:r>
              <w:rPr>
                <w:rFonts w:ascii="Arial" w:cs="Arial" w:eastAsia="Arial" w:hAnsi="Arial"/>
                <w:sz w:val="13"/>
                <w:szCs w:val="13"/>
                <w:b w:val="1"/>
                <w:bCs w:val="1"/>
                <w:color w:val="auto"/>
              </w:rPr>
              <w:t>Change 2020</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 2019</w:t>
            </w:r>
          </w:p>
        </w:tc>
      </w:tr>
      <w:tr>
        <w:trPr>
          <w:trHeight w:val="178"/>
        </w:trPr>
        <w:tc>
          <w:tcPr>
            <w:tcW w:w="340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560" w:type="dxa"/>
            <w:vAlign w:val="bottom"/>
          </w:tcPr>
          <w:p>
            <w:pPr>
              <w:spacing w:after="0"/>
              <w:rPr>
                <w:sz w:val="15"/>
                <w:szCs w:val="15"/>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5"/>
                <w:szCs w:val="15"/>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5"/>
                <w:szCs w:val="15"/>
                <w:color w:val="auto"/>
              </w:rPr>
            </w:pPr>
          </w:p>
        </w:tc>
        <w:tc>
          <w:tcPr>
            <w:tcW w:w="1020" w:type="dxa"/>
            <w:vAlign w:val="bottom"/>
          </w:tcPr>
          <w:p>
            <w:pPr>
              <w:jc w:val="right"/>
              <w:ind w:right="158"/>
              <w:spacing w:after="0"/>
              <w:rPr>
                <w:sz w:val="20"/>
                <w:szCs w:val="20"/>
                <w:color w:val="auto"/>
              </w:rPr>
            </w:pPr>
            <w:r>
              <w:rPr>
                <w:rFonts w:ascii="Arial" w:cs="Arial" w:eastAsia="Arial" w:hAnsi="Arial"/>
                <w:sz w:val="13"/>
                <w:szCs w:val="13"/>
                <w:b w:val="1"/>
                <w:bCs w:val="1"/>
                <w:color w:val="auto"/>
              </w:rPr>
              <w:t>2018</w:t>
            </w:r>
          </w:p>
        </w:tc>
        <w:tc>
          <w:tcPr>
            <w:tcW w:w="1320" w:type="dxa"/>
            <w:vAlign w:val="bottom"/>
          </w:tcPr>
          <w:p>
            <w:pPr>
              <w:jc w:val="right"/>
              <w:ind w:right="164"/>
              <w:spacing w:after="0"/>
              <w:rPr>
                <w:sz w:val="20"/>
                <w:szCs w:val="20"/>
                <w:color w:val="auto"/>
              </w:rPr>
            </w:pPr>
            <w:r>
              <w:rPr>
                <w:rFonts w:ascii="Arial" w:cs="Arial" w:eastAsia="Arial" w:hAnsi="Arial"/>
                <w:sz w:val="13"/>
                <w:szCs w:val="13"/>
                <w:b w:val="1"/>
                <w:bCs w:val="1"/>
                <w:color w:val="auto"/>
              </w:rPr>
              <w:t>Versus 2019</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Versus 2018</w:t>
            </w:r>
          </w:p>
        </w:tc>
      </w:tr>
      <w:tr>
        <w:trPr>
          <w:trHeight w:val="54"/>
        </w:trPr>
        <w:tc>
          <w:tcPr>
            <w:tcW w:w="34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34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3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b w:val="1"/>
                <w:bCs w:val="1"/>
                <w:color w:val="auto"/>
              </w:rPr>
              <w:t>19,269</w:t>
            </w:r>
          </w:p>
        </w:tc>
        <w:tc>
          <w:tcPr>
            <w:tcW w:w="4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color w:val="auto"/>
              </w:rPr>
              <w:t>16,876</w:t>
            </w:r>
          </w:p>
        </w:tc>
        <w:tc>
          <w:tcPr>
            <w:tcW w:w="4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58"/>
              <w:spacing w:after="0" w:line="189" w:lineRule="exact"/>
              <w:rPr>
                <w:sz w:val="20"/>
                <w:szCs w:val="20"/>
                <w:color w:val="auto"/>
              </w:rPr>
            </w:pPr>
            <w:r>
              <w:rPr>
                <w:rFonts w:ascii="Arial" w:cs="Arial" w:eastAsia="Arial" w:hAnsi="Arial"/>
                <w:sz w:val="18"/>
                <w:szCs w:val="18"/>
                <w:color w:val="auto"/>
              </w:rPr>
              <w:t>14,726</w:t>
            </w:r>
          </w:p>
        </w:tc>
        <w:tc>
          <w:tcPr>
            <w:tcW w:w="1320" w:type="dxa"/>
            <w:vAlign w:val="bottom"/>
            <w:shd w:val="clear" w:color="auto" w:fill="E5E5E5"/>
          </w:tcPr>
          <w:p>
            <w:pPr>
              <w:jc w:val="right"/>
              <w:ind w:right="164"/>
              <w:spacing w:after="0" w:line="189" w:lineRule="exact"/>
              <w:rPr>
                <w:sz w:val="20"/>
                <w:szCs w:val="20"/>
                <w:color w:val="auto"/>
              </w:rPr>
            </w:pPr>
            <w:r>
              <w:rPr>
                <w:rFonts w:ascii="Arial" w:cs="Arial" w:eastAsia="Arial" w:hAnsi="Arial"/>
                <w:sz w:val="18"/>
                <w:szCs w:val="18"/>
                <w:color w:val="auto"/>
              </w:rPr>
              <w:t>14%</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w:t>
            </w:r>
          </w:p>
        </w:tc>
        <w:tc>
          <w:tcPr>
            <w:tcW w:w="100" w:type="dxa"/>
            <w:vAlign w:val="bottom"/>
            <w:shd w:val="clear" w:color="auto" w:fill="E5E5E5"/>
          </w:tcPr>
          <w:p>
            <w:pPr>
              <w:spacing w:after="0"/>
              <w:rPr>
                <w:sz w:val="16"/>
                <w:szCs w:val="16"/>
                <w:color w:val="auto"/>
              </w:rPr>
            </w:pPr>
          </w:p>
        </w:tc>
      </w:tr>
      <w:tr>
        <w:trPr>
          <w:trHeight w:val="250"/>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13%</w:t>
            </w: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13%</w:t>
            </w:r>
          </w:p>
        </w:tc>
        <w:tc>
          <w:tcPr>
            <w:tcW w:w="132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rPr>
              <w:t>0ppt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with Fiscal Year 2019</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Research and development expenses increased $2.4 billion or 14%, driven by investments in cloud engineering, LinkedIn, Devices, and Gaming.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Research and development expenses increased $2.2 billion or 15%, driven by investments in cloud and AI engineering, Gaming, LinkedIn, and GitHub.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jc w:val="right"/>
              <w:ind w:right="204"/>
              <w:spacing w:after="0"/>
              <w:rPr>
                <w:sz w:val="20"/>
                <w:szCs w:val="20"/>
                <w:color w:val="auto"/>
              </w:rPr>
            </w:pPr>
            <w:r>
              <w:rPr>
                <w:rFonts w:ascii="Arial" w:cs="Arial" w:eastAsia="Arial" w:hAnsi="Arial"/>
                <w:sz w:val="13"/>
                <w:szCs w:val="13"/>
                <w:b w:val="1"/>
                <w:bCs w:val="1"/>
                <w:color w:val="auto"/>
              </w:rPr>
              <w:t>Percentage</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48"/>
        </w:trPr>
        <w:tc>
          <w:tcPr>
            <w:tcW w:w="3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jc w:val="right"/>
              <w:ind w:right="204"/>
              <w:spacing w:after="0"/>
              <w:rPr>
                <w:sz w:val="20"/>
                <w:szCs w:val="20"/>
                <w:color w:val="auto"/>
              </w:rPr>
            </w:pPr>
            <w:r>
              <w:rPr>
                <w:rFonts w:ascii="Arial" w:cs="Arial" w:eastAsia="Arial" w:hAnsi="Arial"/>
                <w:sz w:val="13"/>
                <w:szCs w:val="13"/>
                <w:b w:val="1"/>
                <w:bCs w:val="1"/>
                <w:color w:val="auto"/>
              </w:rPr>
              <w:t>Change 2020</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 2019</w:t>
            </w:r>
          </w:p>
        </w:tc>
      </w:tr>
      <w:tr>
        <w:trPr>
          <w:trHeight w:val="178"/>
        </w:trPr>
        <w:tc>
          <w:tcPr>
            <w:tcW w:w="336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00" w:type="dxa"/>
            <w:vAlign w:val="bottom"/>
          </w:tcPr>
          <w:p>
            <w:pPr>
              <w:spacing w:after="0"/>
              <w:rPr>
                <w:sz w:val="15"/>
                <w:szCs w:val="15"/>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5"/>
                <w:szCs w:val="15"/>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5"/>
                <w:szCs w:val="15"/>
                <w:color w:val="auto"/>
              </w:rPr>
            </w:pPr>
          </w:p>
        </w:tc>
        <w:tc>
          <w:tcPr>
            <w:tcW w:w="1040" w:type="dxa"/>
            <w:vAlign w:val="bottom"/>
          </w:tcPr>
          <w:p>
            <w:pPr>
              <w:jc w:val="right"/>
              <w:ind w:right="158"/>
              <w:spacing w:after="0"/>
              <w:rPr>
                <w:sz w:val="20"/>
                <w:szCs w:val="20"/>
                <w:color w:val="auto"/>
              </w:rPr>
            </w:pPr>
            <w:r>
              <w:rPr>
                <w:rFonts w:ascii="Arial" w:cs="Arial" w:eastAsia="Arial" w:hAnsi="Arial"/>
                <w:sz w:val="13"/>
                <w:szCs w:val="13"/>
                <w:b w:val="1"/>
                <w:bCs w:val="1"/>
                <w:color w:val="auto"/>
              </w:rPr>
              <w:t>2018</w:t>
            </w:r>
          </w:p>
        </w:tc>
        <w:tc>
          <w:tcPr>
            <w:tcW w:w="1360" w:type="dxa"/>
            <w:vAlign w:val="bottom"/>
          </w:tcPr>
          <w:p>
            <w:pPr>
              <w:jc w:val="right"/>
              <w:ind w:right="204"/>
              <w:spacing w:after="0"/>
              <w:rPr>
                <w:sz w:val="20"/>
                <w:szCs w:val="20"/>
                <w:color w:val="auto"/>
              </w:rPr>
            </w:pPr>
            <w:r>
              <w:rPr>
                <w:rFonts w:ascii="Arial" w:cs="Arial" w:eastAsia="Arial" w:hAnsi="Arial"/>
                <w:sz w:val="13"/>
                <w:szCs w:val="13"/>
                <w:b w:val="1"/>
                <w:bCs w:val="1"/>
                <w:color w:val="auto"/>
              </w:rPr>
              <w:t>Versus 2019</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Versus 2018</w:t>
            </w:r>
          </w:p>
        </w:tc>
      </w:tr>
      <w:tr>
        <w:trPr>
          <w:trHeight w:val="55"/>
        </w:trPr>
        <w:tc>
          <w:tcPr>
            <w:tcW w:w="33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33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3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60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19,598</w:t>
            </w:r>
          </w:p>
        </w:tc>
        <w:tc>
          <w:tcPr>
            <w:tcW w:w="4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color w:val="auto"/>
              </w:rPr>
              <w:t>18,213</w:t>
            </w:r>
          </w:p>
        </w:tc>
        <w:tc>
          <w:tcPr>
            <w:tcW w:w="44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8"/>
              <w:spacing w:after="0" w:line="189" w:lineRule="exact"/>
              <w:rPr>
                <w:sz w:val="20"/>
                <w:szCs w:val="20"/>
                <w:color w:val="auto"/>
              </w:rPr>
            </w:pPr>
            <w:r>
              <w:rPr>
                <w:rFonts w:ascii="Arial" w:cs="Arial" w:eastAsia="Arial" w:hAnsi="Arial"/>
                <w:sz w:val="18"/>
                <w:szCs w:val="18"/>
                <w:color w:val="auto"/>
              </w:rPr>
              <w:t>17,469</w:t>
            </w:r>
          </w:p>
        </w:tc>
        <w:tc>
          <w:tcPr>
            <w:tcW w:w="1360" w:type="dxa"/>
            <w:vAlign w:val="bottom"/>
            <w:shd w:val="clear" w:color="auto" w:fill="E5E5E5"/>
          </w:tcPr>
          <w:p>
            <w:pPr>
              <w:jc w:val="right"/>
              <w:ind w:right="204"/>
              <w:spacing w:after="0" w:line="189" w:lineRule="exact"/>
              <w:rPr>
                <w:sz w:val="20"/>
                <w:szCs w:val="20"/>
                <w:color w:val="auto"/>
              </w:rPr>
            </w:pPr>
            <w:r>
              <w:rPr>
                <w:rFonts w:ascii="Arial" w:cs="Arial" w:eastAsia="Arial" w:hAnsi="Arial"/>
                <w:sz w:val="18"/>
                <w:szCs w:val="18"/>
                <w:color w:val="auto"/>
              </w:rPr>
              <w:t>8%</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w:t>
            </w:r>
          </w:p>
        </w:tc>
      </w:tr>
      <w:tr>
        <w:trPr>
          <w:trHeight w:val="250"/>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6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14%</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color w:val="auto"/>
              </w:rPr>
              <w:t>0ppt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(2)ppt</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with Fiscal Year 2019</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and marketing expenses increased $1.4 billion or 8%, driven by investments in LinkedIn and commercial sales, and an increase in bad debt expense.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3" w:name="page44"/>
    <w:bookmarkEnd w:id="4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Sales and marketing expenses increased $744 million or 4%, driven by investments in commercial sales capacity, LinkedIn, and GitHub, offset in part by a decrease in marketing. Expenses included a favorable foreign currency impact of 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jc w:val="right"/>
              <w:ind w:right="184"/>
              <w:spacing w:after="0"/>
              <w:rPr>
                <w:sz w:val="20"/>
                <w:szCs w:val="20"/>
                <w:color w:val="auto"/>
              </w:rPr>
            </w:pPr>
            <w:r>
              <w:rPr>
                <w:rFonts w:ascii="Arial" w:cs="Arial" w:eastAsia="Arial" w:hAnsi="Arial"/>
                <w:sz w:val="13"/>
                <w:szCs w:val="13"/>
                <w:b w:val="1"/>
                <w:bCs w:val="1"/>
                <w:color w:val="auto"/>
              </w:rPr>
              <w:t>Percentage</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r>
      <w:tr>
        <w:trPr>
          <w:trHeight w:val="148"/>
        </w:trPr>
        <w:tc>
          <w:tcPr>
            <w:tcW w:w="3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tcPr>
          <w:p>
            <w:pPr>
              <w:jc w:val="right"/>
              <w:ind w:right="184"/>
              <w:spacing w:after="0"/>
              <w:rPr>
                <w:sz w:val="20"/>
                <w:szCs w:val="20"/>
                <w:color w:val="auto"/>
              </w:rPr>
            </w:pPr>
            <w:r>
              <w:rPr>
                <w:rFonts w:ascii="Arial" w:cs="Arial" w:eastAsia="Arial" w:hAnsi="Arial"/>
                <w:sz w:val="13"/>
                <w:szCs w:val="13"/>
                <w:b w:val="1"/>
                <w:bCs w:val="1"/>
                <w:color w:val="auto"/>
              </w:rPr>
              <w:t>Change 2020</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 2019</w:t>
            </w:r>
          </w:p>
        </w:tc>
      </w:tr>
      <w:tr>
        <w:trPr>
          <w:trHeight w:val="178"/>
        </w:trPr>
        <w:tc>
          <w:tcPr>
            <w:tcW w:w="338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4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b w:val="1"/>
                <w:bCs w:val="1"/>
                <w:color w:val="auto"/>
              </w:rPr>
              <w:t>2019</w:t>
            </w:r>
          </w:p>
        </w:tc>
        <w:tc>
          <w:tcPr>
            <w:tcW w:w="480" w:type="dxa"/>
            <w:vAlign w:val="bottom"/>
          </w:tcPr>
          <w:p>
            <w:pPr>
              <w:spacing w:after="0"/>
              <w:rPr>
                <w:sz w:val="15"/>
                <w:szCs w:val="15"/>
                <w:color w:val="auto"/>
              </w:rPr>
            </w:pPr>
          </w:p>
        </w:tc>
        <w:tc>
          <w:tcPr>
            <w:tcW w:w="1000" w:type="dxa"/>
            <w:vAlign w:val="bottom"/>
          </w:tcPr>
          <w:p>
            <w:pPr>
              <w:jc w:val="right"/>
              <w:ind w:right="178"/>
              <w:spacing w:after="0"/>
              <w:rPr>
                <w:sz w:val="20"/>
                <w:szCs w:val="20"/>
                <w:color w:val="auto"/>
              </w:rPr>
            </w:pPr>
            <w:r>
              <w:rPr>
                <w:rFonts w:ascii="Arial" w:cs="Arial" w:eastAsia="Arial" w:hAnsi="Arial"/>
                <w:sz w:val="13"/>
                <w:szCs w:val="13"/>
                <w:b w:val="1"/>
                <w:bCs w:val="1"/>
                <w:color w:val="auto"/>
              </w:rPr>
              <w:t>2018</w:t>
            </w:r>
          </w:p>
        </w:tc>
        <w:tc>
          <w:tcPr>
            <w:tcW w:w="1340" w:type="dxa"/>
            <w:vAlign w:val="bottom"/>
          </w:tcPr>
          <w:p>
            <w:pPr>
              <w:jc w:val="right"/>
              <w:ind w:right="184"/>
              <w:spacing w:after="0"/>
              <w:rPr>
                <w:sz w:val="20"/>
                <w:szCs w:val="20"/>
                <w:color w:val="auto"/>
              </w:rPr>
            </w:pPr>
            <w:r>
              <w:rPr>
                <w:rFonts w:ascii="Arial" w:cs="Arial" w:eastAsia="Arial" w:hAnsi="Arial"/>
                <w:sz w:val="13"/>
                <w:szCs w:val="13"/>
                <w:b w:val="1"/>
                <w:bCs w:val="1"/>
                <w:color w:val="auto"/>
              </w:rPr>
              <w:t>Versus 2019</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Versus 2018</w:t>
            </w:r>
          </w:p>
        </w:tc>
      </w:tr>
      <w:tr>
        <w:trPr>
          <w:trHeight w:val="55"/>
        </w:trPr>
        <w:tc>
          <w:tcPr>
            <w:tcW w:w="33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3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3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5,111</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color w:val="auto"/>
              </w:rPr>
              <w:t>4,885</w:t>
            </w:r>
          </w:p>
        </w:tc>
        <w:tc>
          <w:tcPr>
            <w:tcW w:w="48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78"/>
              <w:spacing w:after="0" w:line="189" w:lineRule="exact"/>
              <w:rPr>
                <w:sz w:val="20"/>
                <w:szCs w:val="20"/>
                <w:color w:val="auto"/>
              </w:rPr>
            </w:pPr>
            <w:r>
              <w:rPr>
                <w:rFonts w:ascii="Arial" w:cs="Arial" w:eastAsia="Arial" w:hAnsi="Arial"/>
                <w:sz w:val="18"/>
                <w:szCs w:val="18"/>
                <w:color w:val="auto"/>
              </w:rPr>
              <w:t>4,754</w:t>
            </w:r>
          </w:p>
        </w:tc>
        <w:tc>
          <w:tcPr>
            <w:tcW w:w="1340" w:type="dxa"/>
            <w:vAlign w:val="bottom"/>
            <w:shd w:val="clear" w:color="auto" w:fill="E5E5E5"/>
          </w:tcPr>
          <w:p>
            <w:pPr>
              <w:jc w:val="right"/>
              <w:ind w:right="184"/>
              <w:spacing w:after="0" w:line="189" w:lineRule="exact"/>
              <w:rPr>
                <w:sz w:val="20"/>
                <w:szCs w:val="20"/>
                <w:color w:val="auto"/>
              </w:rPr>
            </w:pPr>
            <w:r>
              <w:rPr>
                <w:rFonts w:ascii="Arial" w:cs="Arial" w:eastAsia="Arial" w:hAnsi="Arial"/>
                <w:sz w:val="18"/>
                <w:szCs w:val="18"/>
                <w:color w:val="auto"/>
              </w:rPr>
              <w:t>5%</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w:t>
            </w:r>
          </w:p>
        </w:tc>
        <w:tc>
          <w:tcPr>
            <w:tcW w:w="120" w:type="dxa"/>
            <w:vAlign w:val="bottom"/>
            <w:shd w:val="clear" w:color="auto" w:fill="E5E5E5"/>
          </w:tcPr>
          <w:p>
            <w:pPr>
              <w:spacing w:after="0"/>
              <w:rPr>
                <w:sz w:val="16"/>
                <w:szCs w:val="16"/>
                <w:color w:val="auto"/>
              </w:rPr>
            </w:pPr>
          </w:p>
        </w:tc>
      </w:tr>
      <w:tr>
        <w:trPr>
          <w:trHeight w:val="250"/>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6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4%</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4%</w:t>
            </w:r>
          </w:p>
        </w:tc>
        <w:tc>
          <w:tcPr>
            <w:tcW w:w="134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color w:val="auto"/>
              </w:rPr>
              <w:t>0ppt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20" w:type="dxa"/>
            <w:vAlign w:val="bottom"/>
          </w:tcPr>
          <w:p>
            <w:pPr>
              <w:spacing w:after="0"/>
              <w:rPr>
                <w:sz w:val="21"/>
                <w:szCs w:val="2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with Fiscal Year 2019</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 and administrative expenses increased $226 million or 5%, driven by charges associated with the closing of our Microsoft Store physical locations, offset in part by a reduction in business taxes and legal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$131 million or 3%.</w:t>
      </w:r>
    </w:p>
    <w:p>
      <w:pPr>
        <w:spacing w:after="0" w:line="239"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r>
      <w:tr>
        <w:trPr>
          <w:trHeight w:val="55"/>
        </w:trPr>
        <w:tc>
          <w:tcPr>
            <w:tcW w:w="8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2,680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2,762</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2,214</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(2,591)</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(2,686)</w:t>
            </w:r>
          </w:p>
        </w:tc>
        <w:tc>
          <w:tcPr>
            <w:tcW w:w="24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(2,733)</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648</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2,399</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187</w:t>
            </w:r>
          </w:p>
        </w:tc>
        <w:tc>
          <w:tcPr>
            <w:tcW w:w="2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144</w:t>
            </w:r>
          </w:p>
        </w:tc>
        <w:tc>
          <w:tcPr>
            <w:tcW w:w="24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(187)</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losses on foreign currency remeasurements</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(191)</w:t>
            </w: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(82)</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(218)</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68"/>
        </w:trPr>
        <w:tc>
          <w:tcPr>
            <w:tcW w:w="80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77</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729</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1,416</w:t>
            </w:r>
          </w:p>
        </w:tc>
      </w:tr>
      <w:tr>
        <w:trPr>
          <w:trHeight w:val="75"/>
        </w:trPr>
        <w:tc>
          <w:tcPr>
            <w:tcW w:w="80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with Fiscal Year 2019</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Interest and dividends income decreased due to lower yields, offset in part by higher average portfolio balances on fixed-income securities. Interest expense decreased due to capitalization of interest expense and a decrease in outstanding long-term debt due to debt maturities, offset in part by debt exchange transaction fees and higher finance lease expense. Net recognized gains on investments decreased due to lower gains and higher other-than-temporary impairments on equity investments, offset in part by gains on fixed income securities in the current period compared to losses in the prior period. Net gains on derivatives increased due to higher gains on foreign exchange and equity derivatives.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4" w:name="page45"/>
    <w:bookmarkEnd w:id="4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Interest and dividends income increased primarily due to higher yields on fixed-income securities. Interest expense decreased primarily driven by a decrease in outstanding long-term debt due to debt maturities, offset in part by higher finance lease expense. Net recognized gains on investments decreased primarily due to lower gains on sales of equity investments. Net gains on derivatives includes gains on foreign exchange and interest rate derivatives in the current period as compared to losses in the prior period.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with Fiscal Year 2019</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for fiscal years 2020 and 2019 was 17% and 10%, respectively. The increase in our effective tax rate for fiscal year 2020 compared to fiscal year 2019 was primarily due to a $2.6 billion net income tax benefit in the fourth quarter of fiscal year 2019 related to intangible property transfers. Our effective tax rate was lower than the U.S. federal statutory rate, primarily due to earnings taxed at lower rates in foreign jurisdictions resulting from producing and distributing our products and services through our foreign regional operations centers in Ireland and Puerto Rico, and tax benefits relating to stock-based compensation.</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2020, our U.S. income before income taxes was $24.1 billion and our foreign income before income taxes was $28.9 billion. In fiscal year 2019, our U.S. income before income taxes was $15.8 billion and our foreign income before income taxes was $27.9 billion.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effective tax rate for fiscal years 2019 and 2018 was 10% and 55%, respectively. The decrease in our effective tax rate for fiscal year 2019 compared to fiscal year 2018 was primarily due to the net charge related to the enactment of the TCJA in the second quarter of fiscal year 2018 and a $2.6 billion net income tax benefit in the fourth quarter of fiscal year 2019 related to intangible property transfers. Our effective tax rate was lower than the U.S. federal statutory rate, primarily due to the tax benefit related to intangible property transfers, and earnings taxed at lower rates in foreign jurisdictions resulting from producing and distributing our products and services through our foreign regional operations centers in Ireland, Singapore, and Puerto Rico.</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2019, our U.S. income before income taxes was $15.8 billion and our foreign income before income taxes was $27.9 billion. In fiscal year 2018, our U.S. income before income taxes was $11.5 billion and our foreign income before income taxes was $24.9 billion.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Cuts and Jobs Act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22, 2017, the TCJA was enacted into law, which significantly changed existing U.S. tax law and included numerous provisions that affect our business. We recorded a provisional net charge of $13.7 billion related to the enactment of the TCJA in fiscal year 2018, and adjusted the provisional net charge by recording additional tax expense of $157 million in fiscal year 2019 pursuant to Securities and Exchange Commission Staff Accounting Bulletin No. 118.</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fiscal year 2019, in response to the TCJA and recently issued regulations, we transferred certain intangible properties held by our foreign subsidiaries to the U.S. and Ireland. The transfers of intangible properties resulted in a $2.6 billion net income tax benefit recorded in the fourth quarter of fiscal year 2019, as the value of future tax deductions exceeded the current tax liability from foreign jurisdictions and U.S. global intangible low-taxed income tax.</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 Income Taxes of the Notes to Financial Statements (Part II, Item 8 of this Form 10-K) for further discussion.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5" w:name="page46"/>
    <w:bookmarkEnd w:id="4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We remain under audit for tax years 2004 to 2013. In April 2020, the IRS commenced the audit for tax years 2014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2020,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2019, some of which are currently under audit by local tax authorities. The resolution of each of these audits is not expected to be material to our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Non-GAAP net income and diluted EPS are non-GAAP financial measures which exclude the net tax impact of transfer of intangible properties in fiscal year 2019 and the net tax impact of the TCJA in fiscal years 2019 and 2018.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156"/>
              <w:spacing w:after="0"/>
              <w:rPr>
                <w:sz w:val="20"/>
                <w:szCs w:val="20"/>
                <w:color w:val="auto"/>
              </w:rPr>
            </w:pPr>
            <w:r>
              <w:rPr>
                <w:rFonts w:ascii="Arial" w:cs="Arial" w:eastAsia="Arial" w:hAnsi="Arial"/>
                <w:sz w:val="13"/>
                <w:szCs w:val="13"/>
                <w:b w:val="1"/>
                <w:bCs w:val="1"/>
                <w:color w:val="auto"/>
              </w:rPr>
              <w:t>Percentage</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156"/>
              <w:spacing w:after="0"/>
              <w:rPr>
                <w:sz w:val="20"/>
                <w:szCs w:val="20"/>
                <w:color w:val="auto"/>
              </w:rPr>
            </w:pPr>
            <w:r>
              <w:rPr>
                <w:rFonts w:ascii="Arial" w:cs="Arial" w:eastAsia="Arial" w:hAnsi="Arial"/>
                <w:sz w:val="13"/>
                <w:szCs w:val="13"/>
                <w:b w:val="1"/>
                <w:bCs w:val="1"/>
                <w:color w:val="auto"/>
              </w:rPr>
              <w:t>Change 2020</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Change 2019</w:t>
            </w:r>
          </w:p>
        </w:tc>
        <w:tc>
          <w:tcPr>
            <w:tcW w:w="0" w:type="dxa"/>
            <w:vAlign w:val="bottom"/>
          </w:tcPr>
          <w:p>
            <w:pPr>
              <w:spacing w:after="0"/>
              <w:rPr>
                <w:sz w:val="1"/>
                <w:szCs w:val="1"/>
                <w:color w:val="auto"/>
              </w:rPr>
            </w:pPr>
          </w:p>
        </w:tc>
      </w:tr>
      <w:tr>
        <w:trPr>
          <w:trHeight w:val="178"/>
        </w:trPr>
        <w:tc>
          <w:tcPr>
            <w:tcW w:w="434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2018</w:t>
            </w:r>
          </w:p>
        </w:tc>
        <w:tc>
          <w:tcPr>
            <w:tcW w:w="1300" w:type="dxa"/>
            <w:vAlign w:val="bottom"/>
          </w:tcPr>
          <w:p>
            <w:pPr>
              <w:jc w:val="right"/>
              <w:ind w:right="156"/>
              <w:spacing w:after="0"/>
              <w:rPr>
                <w:sz w:val="20"/>
                <w:szCs w:val="20"/>
                <w:color w:val="auto"/>
              </w:rPr>
            </w:pPr>
            <w:r>
              <w:rPr>
                <w:rFonts w:ascii="Arial" w:cs="Arial" w:eastAsia="Arial" w:hAnsi="Arial"/>
                <w:sz w:val="13"/>
                <w:szCs w:val="13"/>
                <w:b w:val="1"/>
                <w:bCs w:val="1"/>
                <w:color w:val="auto"/>
              </w:rPr>
              <w:t>Versus 2019</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Versus 2018</w:t>
            </w:r>
          </w:p>
        </w:tc>
        <w:tc>
          <w:tcPr>
            <w:tcW w:w="0" w:type="dxa"/>
            <w:vAlign w:val="bottom"/>
          </w:tcPr>
          <w:p>
            <w:pPr>
              <w:spacing w:after="0"/>
              <w:rPr>
                <w:sz w:val="1"/>
                <w:szCs w:val="1"/>
                <w:color w:val="auto"/>
              </w:rPr>
            </w:pPr>
          </w:p>
        </w:tc>
      </w:tr>
      <w:tr>
        <w:trPr>
          <w:trHeight w:val="55"/>
        </w:trPr>
        <w:tc>
          <w:tcPr>
            <w:tcW w:w="434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4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44,281</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39,240</w:t>
            </w:r>
          </w:p>
        </w:tc>
        <w:tc>
          <w:tcPr>
            <w:tcW w:w="4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16,571</w:t>
            </w:r>
          </w:p>
        </w:tc>
        <w:tc>
          <w:tcPr>
            <w:tcW w:w="1300" w:type="dxa"/>
            <w:vAlign w:val="bottom"/>
            <w:shd w:val="clear" w:color="auto" w:fill="E5E5E5"/>
          </w:tcPr>
          <w:p>
            <w:pPr>
              <w:jc w:val="right"/>
              <w:ind w:right="156"/>
              <w:spacing w:after="0" w:line="189" w:lineRule="exact"/>
              <w:rPr>
                <w:sz w:val="20"/>
                <w:szCs w:val="20"/>
                <w:color w:val="auto"/>
              </w:rPr>
            </w:pPr>
            <w:r>
              <w:rPr>
                <w:rFonts w:ascii="Arial" w:cs="Arial" w:eastAsia="Arial" w:hAnsi="Arial"/>
                <w:sz w:val="18"/>
                <w:szCs w:val="18"/>
                <w:color w:val="auto"/>
              </w:rPr>
              <w:t>13%</w:t>
            </w:r>
          </w:p>
        </w:tc>
        <w:tc>
          <w:tcPr>
            <w:tcW w:w="11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89"/>
        </w:trPr>
        <w:tc>
          <w:tcPr>
            <w:tcW w:w="4340" w:type="dxa"/>
            <w:vAlign w:val="bottom"/>
            <w:gridSpan w:val="2"/>
          </w:tcPr>
          <w:p>
            <w:pPr>
              <w:spacing w:after="0" w:line="189" w:lineRule="exact"/>
              <w:rPr>
                <w:sz w:val="20"/>
                <w:szCs w:val="20"/>
                <w:color w:val="auto"/>
              </w:rPr>
            </w:pPr>
            <w:r>
              <w:rPr>
                <w:rFonts w:ascii="Arial" w:cs="Arial" w:eastAsia="Arial" w:hAnsi="Arial"/>
                <w:sz w:val="18"/>
                <w:szCs w:val="18"/>
                <w:color w:val="auto"/>
              </w:rPr>
              <w:t>Net tax impact of transfer of intangible properties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(2,567)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156"/>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tax impact of the TCJA</w:t>
            </w:r>
          </w:p>
        </w:tc>
        <w:tc>
          <w:tcPr>
            <w:tcW w:w="4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157</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13,696</w:t>
            </w:r>
          </w:p>
        </w:tc>
        <w:tc>
          <w:tcPr>
            <w:tcW w:w="1300" w:type="dxa"/>
            <w:vAlign w:val="bottom"/>
            <w:shd w:val="clear" w:color="auto" w:fill="E5E5E5"/>
          </w:tcPr>
          <w:p>
            <w:pPr>
              <w:jc w:val="right"/>
              <w:ind w:right="156"/>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4180" w:type="dxa"/>
            <w:vAlign w:val="bottom"/>
          </w:tcPr>
          <w:p>
            <w:pPr>
              <w:ind w:left="60"/>
              <w:spacing w:after="0"/>
              <w:rPr>
                <w:sz w:val="20"/>
                <w:szCs w:val="20"/>
                <w:color w:val="auto"/>
              </w:rPr>
            </w:pPr>
            <w:r>
              <w:rPr>
                <w:rFonts w:ascii="Arial" w:cs="Arial" w:eastAsia="Arial" w:hAnsi="Arial"/>
                <w:sz w:val="18"/>
                <w:szCs w:val="18"/>
                <w:color w:val="auto"/>
              </w:rPr>
              <w:t>Non-GAAP net income</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44,281</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36,830</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30,267</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1"/>
        </w:trPr>
        <w:tc>
          <w:tcPr>
            <w:tcW w:w="434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4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7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5.76</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5.06</w:t>
            </w:r>
          </w:p>
        </w:tc>
        <w:tc>
          <w:tcPr>
            <w:tcW w:w="4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2.13</w:t>
            </w:r>
          </w:p>
        </w:tc>
        <w:tc>
          <w:tcPr>
            <w:tcW w:w="1300" w:type="dxa"/>
            <w:vAlign w:val="bottom"/>
            <w:shd w:val="clear" w:color="auto" w:fill="E5E5E5"/>
          </w:tcPr>
          <w:p>
            <w:pPr>
              <w:jc w:val="right"/>
              <w:ind w:right="156"/>
              <w:spacing w:after="0" w:line="189" w:lineRule="exact"/>
              <w:rPr>
                <w:sz w:val="20"/>
                <w:szCs w:val="20"/>
                <w:color w:val="auto"/>
              </w:rPr>
            </w:pPr>
            <w:r>
              <w:rPr>
                <w:rFonts w:ascii="Arial" w:cs="Arial" w:eastAsia="Arial" w:hAnsi="Arial"/>
                <w:sz w:val="18"/>
                <w:szCs w:val="18"/>
                <w:color w:val="auto"/>
              </w:rPr>
              <w:t>14%</w:t>
            </w:r>
          </w:p>
        </w:tc>
        <w:tc>
          <w:tcPr>
            <w:tcW w:w="11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9"/>
        </w:trPr>
        <w:tc>
          <w:tcPr>
            <w:tcW w:w="4340" w:type="dxa"/>
            <w:vAlign w:val="bottom"/>
            <w:gridSpan w:val="2"/>
          </w:tcPr>
          <w:p>
            <w:pPr>
              <w:spacing w:after="0" w:line="189" w:lineRule="exact"/>
              <w:rPr>
                <w:sz w:val="20"/>
                <w:szCs w:val="20"/>
                <w:color w:val="auto"/>
              </w:rPr>
            </w:pPr>
            <w:r>
              <w:rPr>
                <w:rFonts w:ascii="Arial" w:cs="Arial" w:eastAsia="Arial" w:hAnsi="Arial"/>
                <w:sz w:val="18"/>
                <w:szCs w:val="18"/>
                <w:color w:val="auto"/>
              </w:rPr>
              <w:t>Net tax impact of transfer of intangible properties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(0.33)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156"/>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tax impact of the TCJA</w:t>
            </w:r>
          </w:p>
        </w:tc>
        <w:tc>
          <w:tcPr>
            <w:tcW w:w="4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0.02</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1.75</w:t>
            </w:r>
          </w:p>
        </w:tc>
        <w:tc>
          <w:tcPr>
            <w:tcW w:w="1300" w:type="dxa"/>
            <w:vAlign w:val="bottom"/>
            <w:shd w:val="clear" w:color="auto" w:fill="E5E5E5"/>
          </w:tcPr>
          <w:p>
            <w:pPr>
              <w:jc w:val="right"/>
              <w:ind w:right="156"/>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4180" w:type="dxa"/>
            <w:vAlign w:val="bottom"/>
          </w:tcPr>
          <w:p>
            <w:pPr>
              <w:ind w:left="60"/>
              <w:spacing w:after="0"/>
              <w:rPr>
                <w:sz w:val="20"/>
                <w:szCs w:val="20"/>
                <w:color w:val="auto"/>
              </w:rPr>
            </w:pPr>
            <w:r>
              <w:rPr>
                <w:rFonts w:ascii="Arial" w:cs="Arial" w:eastAsia="Arial" w:hAnsi="Arial"/>
                <w:sz w:val="18"/>
                <w:szCs w:val="18"/>
                <w:color w:val="auto"/>
              </w:rPr>
              <w:t>Non-GAAP diluted earnings per share</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21%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1"/>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418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4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60" w:type="dxa"/>
            <w:vAlign w:val="bottom"/>
            <w:vMerge w:val="continue"/>
          </w:tcPr>
          <w:p>
            <w:pPr>
              <w:spacing w:after="0"/>
              <w:rPr>
                <w:sz w:val="24"/>
                <w:szCs w:val="24"/>
                <w:color w:val="auto"/>
              </w:rPr>
            </w:pPr>
          </w:p>
        </w:tc>
        <w:tc>
          <w:tcPr>
            <w:tcW w:w="41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6" w:name="page47"/>
    <w:bookmarkEnd w:id="4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cash equivalents, and short-term investments totaled $136.5 billion and $133.8 billion as of June 30, 2020 and 2019. Equity investments were $ 3.0 billion and $2.6 billion as of June 30, 2020 and 2019,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Compared with Fiscal Year 2019</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from operations increased $ 8.5 billion to $60.7 billion for fiscal year 2020, mainly due to an increase in cash from customers, offset in part by an increase in cash used to pay income taxes, suppliers, and employees. Cash used in financing increased $9.1 billion to $46.0 billion for fiscal year 2020, mainly due to a $3.4 billion cash premium on our debt exchange, a $3.4 billion increase in common stock repurchases, a $1.5 billion increase in repayments of debt, and a $1.3 billion increase in dividends paid. Cash used in investing decreased $3.6 billion to $12.2 billion for fiscal year 2020, mainly due to a $6.4 billion increase in cash from net investment purchases, sales, and maturities, offset in part by a $1.5 billion increase in additions to property and equipment and $1.2 billion in other investing to facilitate the purchase of components.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7" w:name="page48"/>
    <w:bookmarkEnd w:id="4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from operations increased $8.3 billion to $52.2 billion for fiscal year 2019, mainly due to an increase in cash received from customers, offset in part by an increase in cash paid to suppliers and employees and an increase in cash paid for income taxes. Cash used in financing increased $3.3 billion to $36.9 billion for fiscal year 2019, mainly due to an $8.8 billion increase in common stock repurchases and a $1.1 billion increase in dividends paid, offset in part by a $6.2 billion decrease in repayments of debt, net of proceeds from issuance of debt. Cash used in investing increased $9.7 billion to $15.8 billion for fiscal year 2019, mainly due to a $6.0 billion decrease in cash from net investment purchases, sales, and maturities, a $2.3 billion increase in additions to property and equipment, and a $1.5 billion increase in cash used for acquisitions of companies, net of cash acquired, and purchases of intangible and other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In June 2020, we exchanged a portion of our existing debt at premium for cash and new debt with longer maturities to take advantage of favorable financing rates in the debt markets, reflecting our credit rating and the low interest rate environment. Refer to Note 11 – Debt of the Notes to Financial Statements (Part II, Item 8 of this Form 10-K) for further discussion.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 for further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June 30, 2020:</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30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5"/>
        </w:trPr>
        <w:tc>
          <w:tcPr>
            <w:tcW w:w="10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10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30, 2020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13,884</w:t>
            </w:r>
          </w:p>
        </w:tc>
        <w:tc>
          <w:tcPr>
            <w:tcW w:w="100" w:type="dxa"/>
            <w:vAlign w:val="bottom"/>
            <w:shd w:val="clear" w:color="auto" w:fill="E5E5E5"/>
          </w:tcPr>
          <w:p>
            <w:pPr>
              <w:spacing w:after="0"/>
              <w:rPr>
                <w:sz w:val="16"/>
                <w:szCs w:val="16"/>
                <w:color w:val="auto"/>
              </w:rPr>
            </w:pPr>
          </w:p>
        </w:tc>
      </w:tr>
      <w:tr>
        <w:trPr>
          <w:trHeight w:val="189"/>
        </w:trPr>
        <w:tc>
          <w:tcPr>
            <w:tcW w:w="10300" w:type="dxa"/>
            <w:vAlign w:val="bottom"/>
          </w:tcPr>
          <w:p>
            <w:pPr>
              <w:spacing w:after="0" w:line="189" w:lineRule="exact"/>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10,950</w:t>
            </w:r>
          </w:p>
        </w:tc>
        <w:tc>
          <w:tcPr>
            <w:tcW w:w="100" w:type="dxa"/>
            <w:vAlign w:val="bottom"/>
          </w:tcPr>
          <w:p>
            <w:pPr>
              <w:spacing w:after="0"/>
              <w:rPr>
                <w:sz w:val="16"/>
                <w:szCs w:val="16"/>
                <w:color w:val="auto"/>
              </w:rPr>
            </w:pPr>
          </w:p>
        </w:tc>
      </w:tr>
      <w:tr>
        <w:trPr>
          <w:trHeight w:val="189"/>
        </w:trPr>
        <w:tc>
          <w:tcPr>
            <w:tcW w:w="10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31, 2021</w:t>
            </w:r>
          </w:p>
        </w:tc>
        <w:tc>
          <w:tcPr>
            <w:tcW w:w="18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7,476</w:t>
            </w:r>
          </w:p>
        </w:tc>
        <w:tc>
          <w:tcPr>
            <w:tcW w:w="100" w:type="dxa"/>
            <w:vAlign w:val="bottom"/>
            <w:shd w:val="clear" w:color="auto" w:fill="E5E5E5"/>
          </w:tcPr>
          <w:p>
            <w:pPr>
              <w:spacing w:after="0"/>
              <w:rPr>
                <w:sz w:val="16"/>
                <w:szCs w:val="16"/>
                <w:color w:val="auto"/>
              </w:rPr>
            </w:pPr>
          </w:p>
        </w:tc>
      </w:tr>
      <w:tr>
        <w:trPr>
          <w:trHeight w:val="189"/>
        </w:trPr>
        <w:tc>
          <w:tcPr>
            <w:tcW w:w="10300" w:type="dxa"/>
            <w:vAlign w:val="bottom"/>
          </w:tcPr>
          <w:p>
            <w:pPr>
              <w:spacing w:after="0" w:line="189" w:lineRule="exact"/>
              <w:rPr>
                <w:sz w:val="20"/>
                <w:szCs w:val="20"/>
                <w:color w:val="auto"/>
              </w:rPr>
            </w:pPr>
            <w:r>
              <w:rPr>
                <w:rFonts w:ascii="Arial" w:cs="Arial" w:eastAsia="Arial" w:hAnsi="Arial"/>
                <w:sz w:val="18"/>
                <w:szCs w:val="18"/>
                <w:color w:val="auto"/>
              </w:rPr>
              <w:t>June 30, 2021</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3,690</w:t>
            </w:r>
          </w:p>
        </w:tc>
        <w:tc>
          <w:tcPr>
            <w:tcW w:w="100" w:type="dxa"/>
            <w:vAlign w:val="bottom"/>
          </w:tcPr>
          <w:p>
            <w:pPr>
              <w:spacing w:after="0"/>
              <w:rPr>
                <w:sz w:val="16"/>
                <w:szCs w:val="16"/>
                <w:color w:val="auto"/>
              </w:rPr>
            </w:pPr>
          </w:p>
        </w:tc>
      </w:tr>
      <w:tr>
        <w:trPr>
          <w:trHeight w:val="189"/>
        </w:trPr>
        <w:tc>
          <w:tcPr>
            <w:tcW w:w="10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18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3,180</w:t>
            </w:r>
          </w:p>
        </w:tc>
        <w:tc>
          <w:tcPr>
            <w:tcW w:w="100" w:type="dxa"/>
            <w:vAlign w:val="bottom"/>
            <w:shd w:val="clear" w:color="auto" w:fill="E5E5E5"/>
          </w:tcPr>
          <w:p>
            <w:pPr>
              <w:spacing w:after="0"/>
              <w:rPr>
                <w:sz w:val="16"/>
                <w:szCs w:val="16"/>
                <w:color w:val="auto"/>
              </w:rPr>
            </w:pPr>
          </w:p>
        </w:tc>
      </w:tr>
      <w:tr>
        <w:trPr>
          <w:trHeight w:val="68"/>
        </w:trPr>
        <w:tc>
          <w:tcPr>
            <w:tcW w:w="103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1030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39,180</w:t>
            </w:r>
          </w:p>
        </w:tc>
        <w:tc>
          <w:tcPr>
            <w:tcW w:w="100" w:type="dxa"/>
            <w:vAlign w:val="bottom"/>
          </w:tcPr>
          <w:p>
            <w:pPr>
              <w:spacing w:after="0"/>
              <w:rPr>
                <w:sz w:val="22"/>
                <w:szCs w:val="22"/>
                <w:color w:val="auto"/>
              </w:rPr>
            </w:pPr>
          </w:p>
        </w:tc>
      </w:tr>
      <w:tr>
        <w:trPr>
          <w:trHeight w:val="61"/>
        </w:trPr>
        <w:tc>
          <w:tcPr>
            <w:tcW w:w="103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fiscal years 2020, 2019, and 2018, we repurchased 126 million shares, 150 million shares, and 99 million shares of our common stock for $19.7 billion, $16.8 billion, and $8.6 billion, respectively, through our share repurchase programs. All repurchases were made using cash resources. Refer to Note 16 – Stockholders’ Equity of the Notes to Financial Statements (Part II, Item 8 of this Form 10-K) for further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 Stockholders’ Equity of the Notes to Financial Statements (Part II, Item 8 of this Form 10-K) for further discussion.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8" w:name="page49"/>
    <w:bookmarkEnd w:id="4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June 30,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2022-2023</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2024-2025</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Thereafter</w:t>
            </w:r>
          </w:p>
        </w:tc>
        <w:tc>
          <w:tcPr>
            <w:tcW w:w="220" w:type="dxa"/>
            <w:vAlign w:val="bottom"/>
          </w:tcPr>
          <w:p>
            <w:pPr>
              <w:spacing w:after="0"/>
              <w:rPr>
                <w:sz w:val="15"/>
                <w:szCs w:val="15"/>
                <w:color w:val="auto"/>
              </w:rPr>
            </w:pPr>
          </w:p>
        </w:tc>
        <w:tc>
          <w:tcPr>
            <w:tcW w:w="880" w:type="dxa"/>
            <w:vAlign w:val="bottom"/>
            <w:gridSpan w:val="2"/>
          </w:tcPr>
          <w:p>
            <w:pPr>
              <w:ind w:left="460"/>
              <w:spacing w:after="0"/>
              <w:rPr>
                <w:sz w:val="20"/>
                <w:szCs w:val="20"/>
                <w:color w:val="auto"/>
              </w:rPr>
            </w:pPr>
            <w:r>
              <w:rPr>
                <w:rFonts w:ascii="Arial" w:cs="Arial" w:eastAsia="Arial" w:hAnsi="Arial"/>
                <w:sz w:val="13"/>
                <w:szCs w:val="13"/>
                <w:b w:val="1"/>
                <w:bCs w:val="1"/>
                <w:color w:val="auto"/>
              </w:rPr>
              <w:t>Total</w:t>
            </w:r>
          </w:p>
        </w:tc>
      </w:tr>
      <w:tr>
        <w:trPr>
          <w:trHeight w:val="55"/>
        </w:trPr>
        <w:tc>
          <w:tcPr>
            <w:tcW w:w="4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(a)</w:t>
            </w:r>
          </w:p>
        </w:tc>
        <w:tc>
          <w:tcPr>
            <w:tcW w:w="10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460" w:type="dxa"/>
            <w:vAlign w:val="bottom"/>
          </w:tcPr>
          <w:p>
            <w:pPr>
              <w:ind w:left="220"/>
              <w:spacing w:after="0" w:line="189" w:lineRule="exact"/>
              <w:rPr>
                <w:sz w:val="20"/>
                <w:szCs w:val="20"/>
                <w:color w:val="auto"/>
              </w:rPr>
            </w:pPr>
            <w:r>
              <w:rPr>
                <w:rFonts w:ascii="Arial" w:cs="Arial" w:eastAsia="Arial" w:hAnsi="Arial"/>
                <w:sz w:val="18"/>
                <w:szCs w:val="18"/>
                <w:color w:val="auto"/>
              </w:rPr>
              <w:t>Principal payments</w:t>
            </w:r>
          </w:p>
        </w:tc>
        <w:tc>
          <w:tcPr>
            <w:tcW w:w="102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3,750</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10,716</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7,500</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45,441</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67,407</w:t>
            </w:r>
          </w:p>
        </w:tc>
      </w:tr>
      <w:tr>
        <w:trPr>
          <w:trHeight w:val="189"/>
        </w:trPr>
        <w:tc>
          <w:tcPr>
            <w:tcW w:w="4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Interest payments</w:t>
            </w:r>
          </w:p>
        </w:tc>
        <w:tc>
          <w:tcPr>
            <w:tcW w:w="10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2,028</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3,736</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3,293</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25,265</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34,322</w:t>
            </w:r>
          </w:p>
        </w:tc>
      </w:tr>
      <w:tr>
        <w:trPr>
          <w:trHeight w:val="189"/>
        </w:trPr>
        <w:tc>
          <w:tcPr>
            <w:tcW w:w="4460" w:type="dxa"/>
            <w:vAlign w:val="bottom"/>
          </w:tcPr>
          <w:p>
            <w:pPr>
              <w:spacing w:after="0" w:line="189" w:lineRule="exact"/>
              <w:rPr>
                <w:sz w:val="20"/>
                <w:szCs w:val="20"/>
                <w:color w:val="auto"/>
              </w:rPr>
            </w:pPr>
            <w:r>
              <w:rPr>
                <w:rFonts w:ascii="Arial" w:cs="Arial" w:eastAsia="Arial" w:hAnsi="Arial"/>
                <w:sz w:val="18"/>
                <w:szCs w:val="18"/>
                <w:color w:val="auto"/>
              </w:rPr>
              <w:t xml:space="preserve">Construction commitments </w:t>
            </w:r>
            <w:r>
              <w:rPr>
                <w:rFonts w:ascii="Arial" w:cs="Arial" w:eastAsia="Arial" w:hAnsi="Arial"/>
                <w:sz w:val="15"/>
                <w:szCs w:val="15"/>
                <w:color w:val="auto"/>
              </w:rPr>
              <w:t>(b)</w:t>
            </w:r>
          </w:p>
        </w:tc>
        <w:tc>
          <w:tcPr>
            <w:tcW w:w="102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4,761</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280</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5,041</w:t>
            </w:r>
          </w:p>
        </w:tc>
      </w:tr>
      <w:tr>
        <w:trPr>
          <w:trHeight w:val="189"/>
        </w:trPr>
        <w:tc>
          <w:tcPr>
            <w:tcW w:w="4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Operating leases, including imputed interest </w:t>
            </w:r>
            <w:r>
              <w:rPr>
                <w:rFonts w:ascii="Arial" w:cs="Arial" w:eastAsia="Arial" w:hAnsi="Arial"/>
                <w:sz w:val="15"/>
                <w:szCs w:val="15"/>
                <w:color w:val="auto"/>
              </w:rPr>
              <w:t>(c)</w:t>
            </w:r>
          </w:p>
        </w:tc>
        <w:tc>
          <w:tcPr>
            <w:tcW w:w="10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2,420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3,986</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2,929</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4,409</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13,744</w:t>
            </w:r>
          </w:p>
        </w:tc>
      </w:tr>
      <w:tr>
        <w:trPr>
          <w:trHeight w:val="189"/>
        </w:trPr>
        <w:tc>
          <w:tcPr>
            <w:tcW w:w="4460" w:type="dxa"/>
            <w:vAlign w:val="bottom"/>
          </w:tcPr>
          <w:p>
            <w:pPr>
              <w:spacing w:after="0" w:line="189" w:lineRule="exact"/>
              <w:rPr>
                <w:sz w:val="20"/>
                <w:szCs w:val="20"/>
                <w:color w:val="auto"/>
              </w:rPr>
            </w:pPr>
            <w:r>
              <w:rPr>
                <w:rFonts w:ascii="Arial" w:cs="Arial" w:eastAsia="Arial" w:hAnsi="Arial"/>
                <w:sz w:val="18"/>
                <w:szCs w:val="18"/>
                <w:color w:val="auto"/>
              </w:rPr>
              <w:t xml:space="preserve">Finance leases, including imputed interest </w:t>
            </w:r>
            <w:r>
              <w:rPr>
                <w:rFonts w:ascii="Arial" w:cs="Arial" w:eastAsia="Arial" w:hAnsi="Arial"/>
                <w:sz w:val="15"/>
                <w:szCs w:val="15"/>
                <w:color w:val="auto"/>
              </w:rPr>
              <w:t>(c)</w:t>
            </w:r>
          </w:p>
        </w:tc>
        <w:tc>
          <w:tcPr>
            <w:tcW w:w="102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992</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2,243</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2,676</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9,611</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15,522</w:t>
            </w:r>
          </w:p>
        </w:tc>
      </w:tr>
      <w:tr>
        <w:trPr>
          <w:trHeight w:val="189"/>
        </w:trPr>
        <w:tc>
          <w:tcPr>
            <w:tcW w:w="4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Transition tax </w:t>
            </w:r>
            <w:r>
              <w:rPr>
                <w:rFonts w:ascii="Arial" w:cs="Arial" w:eastAsia="Arial" w:hAnsi="Arial"/>
                <w:sz w:val="15"/>
                <w:szCs w:val="15"/>
                <w:color w:val="auto"/>
              </w:rPr>
              <w:t>(d)</w:t>
            </w:r>
          </w:p>
        </w:tc>
        <w:tc>
          <w:tcPr>
            <w:tcW w:w="10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1,450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2,899</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6,343</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4,531</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15,223</w:t>
            </w:r>
          </w:p>
        </w:tc>
      </w:tr>
      <w:tr>
        <w:trPr>
          <w:trHeight w:val="189"/>
        </w:trPr>
        <w:tc>
          <w:tcPr>
            <w:tcW w:w="4460" w:type="dxa"/>
            <w:vAlign w:val="bottom"/>
          </w:tcPr>
          <w:p>
            <w:pPr>
              <w:spacing w:after="0" w:line="189"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5"/>
                <w:szCs w:val="15"/>
                <w:color w:val="auto"/>
              </w:rPr>
              <w:t>(e)</w:t>
            </w:r>
          </w:p>
        </w:tc>
        <w:tc>
          <w:tcPr>
            <w:tcW w:w="102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25,059</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1,324</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369</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272</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27,024</w:t>
            </w:r>
          </w:p>
        </w:tc>
      </w:tr>
      <w:tr>
        <w:trPr>
          <w:trHeight w:val="189"/>
        </w:trPr>
        <w:tc>
          <w:tcPr>
            <w:tcW w:w="4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(f)</w:t>
            </w:r>
          </w:p>
        </w:tc>
        <w:tc>
          <w:tcPr>
            <w:tcW w:w="10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294</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32</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356</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682</w:t>
            </w:r>
          </w:p>
        </w:tc>
      </w:tr>
      <w:tr>
        <w:trPr>
          <w:trHeight w:val="68"/>
        </w:trPr>
        <w:tc>
          <w:tcPr>
            <w:tcW w:w="4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40,460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25,478</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23,142</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89,885</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34290</wp:posOffset>
            </wp:positionV>
            <wp:extent cx="377190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123"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Refer to Note 11 – Debt of the Notes to Financial Statements (Part II, Item 8 of this Form 10-K).</w:t>
      </w:r>
    </w:p>
    <w:p>
      <w:pPr>
        <w:spacing w:after="0" w:line="13"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Refer to Note 7 – Property and Equipment of the Notes to Financial Statements (Part II, Item 8 of this Form 10-K).</w:t>
      </w:r>
    </w:p>
    <w:p>
      <w:pPr>
        <w:ind w:left="540" w:hanging="532"/>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Refer to Note 14 – Leases of the Notes to Financial Statements (Part II, Item 8 of this Form 10-K).</w:t>
      </w:r>
    </w:p>
    <w:p>
      <w:pPr>
        <w:ind w:left="540" w:hanging="532"/>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Refer to Note 12 – Income Taxes of the Notes to Financial Statements (Part II, Item 8 of this Form 10-K).</w:t>
      </w:r>
    </w:p>
    <w:p>
      <w:pPr>
        <w:ind w:left="540" w:hanging="532"/>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Amounts represent purchase commitments, including open purchase orders and take-or-pay contracts that are not presented as construction commitments above.</w:t>
      </w:r>
    </w:p>
    <w:p>
      <w:pPr>
        <w:spacing w:after="0" w:line="1"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We have excluded long-term tax contingencies, other tax liabilities, and deferred income taxes of $15.2 billion from the amounts presented as the timing of these obligations is uncertain. We have also excluded unearned revenue and non-cash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retail stores, and certain equipment. We have not engaged in any related party transactions or arrangements with unconsolidated entities or other persons that are reasonably likely to materially affect liquidity or the availability of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$3.2 billion, which included $ 1.2 billion for fiscal year 2020. The remaining transition tax of $15.2 billion is payable over the next six years with a final payment in fiscal year 2026. During fiscal year 2020, we also paid $3.7 billion related to the transfer of intangible properties that occurred in the fourth quarter of fiscal year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18"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II, Item 8 of this Form 10-K) for further discussion.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as well as uncertainty in the current economic environment due to the recent outbreak of COVID-19. Critical accounting policies for us include revenue recognition, impairment of investment securities, goodwill, research and development costs, contingencies, income taxes, and inventories.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debt investments quarterly for indicators of other-than-temporary impairment. This determination requires significant judgment. In making this judgment, we employ a systematic methodology quarterly that considers available quantitative and qualitative evidence in evaluating potential impairment of our investments. If the cost of an investment exceeds its fair value, we evaluate, among other factors, general market conditions, credit quality of debt instrument issuers, and the duration and extent to which the fair value is less than cost. We also evaluate whether we have plans to sell the security or it is more likely than not that we will be required to sell the security before recovery. In addition, we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 -temporary, an impairment charge is recorded in other income (expense), net and a new cost basis in the investment is established. If market, industry, and/or investee conditions deteriorate, we may incur future impairments.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quarterly basis. We are required to estimate the fair value of the investment to determine the amount of the impairment loss. Once an investment is determined to be impaired, an impairment charge is recorded in other income (expense), net.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TCJA significantly changes existing U.S. tax law and includes numerous provisions that affect our business. Refer to Note 12 – Income Taxes of the Notes to Financial Statements (Part II, Item 8 of this Form 10-K)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 IN ACCOUNTING ESTIMATE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July 2020, we completed an assessment of the useful lives of our server and network equipment and determined we should increase the estimated useful life of server equipment from three years to four years and increase the estimated useful life of network equipment from two years to four years. This change in accounting estimate will be effective beginning fiscal year 2021. Based on the carrying amount of server and network equipment included in “Property and equipment, net” as of June 30, 2020, it is estimated this change will increase our fiscal year 2021 operating income by $2.7 billion.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MANAGEMENT’S RESPONSIBILITY FOR FINANCIAL STATEMENTS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Frank H. Brod</w:t>
      </w:r>
    </w:p>
    <w:p>
      <w:pPr>
        <w:spacing w:after="0" w:line="234" w:lineRule="auto"/>
        <w:rPr>
          <w:sz w:val="20"/>
          <w:szCs w:val="20"/>
          <w:color w:val="auto"/>
        </w:rPr>
      </w:pPr>
      <w:r>
        <w:rPr>
          <w:rFonts w:ascii="Arial" w:cs="Arial" w:eastAsia="Arial" w:hAnsi="Arial"/>
          <w:sz w:val="18"/>
          <w:szCs w:val="18"/>
          <w:color w:val="auto"/>
        </w:rPr>
        <w:t>Corporate Vice President, Finance and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7A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48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right"/>
              <w:ind w:right="116"/>
              <w:spacing w:after="0"/>
              <w:rPr>
                <w:sz w:val="20"/>
                <w:szCs w:val="20"/>
                <w:color w:val="auto"/>
              </w:rPr>
            </w:pPr>
            <w:r>
              <w:rPr>
                <w:rFonts w:ascii="Arial" w:cs="Arial" w:eastAsia="Arial" w:hAnsi="Arial"/>
                <w:sz w:val="13"/>
                <w:szCs w:val="13"/>
                <w:b w:val="1"/>
                <w:bCs w:val="1"/>
                <w:color w:val="auto"/>
              </w:rPr>
              <w:t>June 30,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2900" w:type="dxa"/>
            <w:vAlign w:val="bottom"/>
          </w:tcPr>
          <w:p>
            <w:pPr>
              <w:spacing w:after="0"/>
              <w:rPr>
                <w:sz w:val="20"/>
                <w:szCs w:val="20"/>
                <w:color w:val="auto"/>
              </w:rPr>
            </w:pPr>
            <w:r>
              <w:rPr>
                <w:rFonts w:ascii="Arial" w:cs="Arial" w:eastAsia="Arial" w:hAnsi="Arial"/>
                <w:sz w:val="13"/>
                <w:szCs w:val="13"/>
                <w:b w:val="1"/>
                <w:bCs w:val="1"/>
                <w:color w:val="auto"/>
              </w:rPr>
              <w:t>Risk Categories</w:t>
            </w:r>
          </w:p>
        </w:tc>
        <w:tc>
          <w:tcPr>
            <w:tcW w:w="5280" w:type="dxa"/>
            <w:vAlign w:val="bottom"/>
          </w:tcPr>
          <w:p>
            <w:pPr>
              <w:ind w:left="460"/>
              <w:spacing w:after="0"/>
              <w:rPr>
                <w:sz w:val="20"/>
                <w:szCs w:val="20"/>
                <w:color w:val="auto"/>
              </w:rPr>
            </w:pPr>
            <w:r>
              <w:rPr>
                <w:rFonts w:ascii="Arial" w:cs="Arial" w:eastAsia="Arial" w:hAnsi="Arial"/>
                <w:sz w:val="13"/>
                <w:szCs w:val="13"/>
                <w:b w:val="1"/>
                <w:bCs w:val="1"/>
                <w:color w:val="auto"/>
              </w:rPr>
              <w:t>Hypothetical Change</w:t>
            </w:r>
          </w:p>
        </w:tc>
        <w:tc>
          <w:tcPr>
            <w:tcW w:w="820" w:type="dxa"/>
            <w:vAlign w:val="bottom"/>
          </w:tcPr>
          <w:p>
            <w:pPr>
              <w:spacing w:after="0"/>
              <w:rPr>
                <w:sz w:val="15"/>
                <w:szCs w:val="15"/>
                <w:color w:val="auto"/>
              </w:rPr>
            </w:pPr>
          </w:p>
        </w:tc>
        <w:tc>
          <w:tcPr>
            <w:tcW w:w="980" w:type="dxa"/>
            <w:vAlign w:val="bottom"/>
          </w:tcPr>
          <w:p>
            <w:pPr>
              <w:jc w:val="right"/>
              <w:ind w:right="116"/>
              <w:spacing w:after="0"/>
              <w:rPr>
                <w:sz w:val="20"/>
                <w:szCs w:val="20"/>
                <w:color w:val="auto"/>
              </w:rPr>
            </w:pPr>
            <w:r>
              <w:rPr>
                <w:rFonts w:ascii="Arial" w:cs="Arial" w:eastAsia="Arial" w:hAnsi="Arial"/>
                <w:sz w:val="13"/>
                <w:szCs w:val="13"/>
                <w:b w:val="1"/>
                <w:bCs w:val="1"/>
                <w:color w:val="auto"/>
              </w:rPr>
              <w:t>2020</w:t>
            </w: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Impact</w:t>
            </w:r>
          </w:p>
        </w:tc>
      </w:tr>
      <w:tr>
        <w:trPr>
          <w:trHeight w:val="55"/>
        </w:trPr>
        <w:tc>
          <w:tcPr>
            <w:tcW w:w="29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2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currency–Revenue</w:t>
            </w:r>
          </w:p>
        </w:tc>
        <w:tc>
          <w:tcPr>
            <w:tcW w:w="528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foreign exchange rates</w:t>
            </w:r>
          </w:p>
        </w:tc>
        <w:tc>
          <w:tcPr>
            <w:tcW w:w="8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ind w:right="56"/>
              <w:spacing w:after="0" w:line="189" w:lineRule="exact"/>
              <w:rPr>
                <w:sz w:val="20"/>
                <w:szCs w:val="20"/>
                <w:color w:val="auto"/>
              </w:rPr>
            </w:pPr>
            <w:r>
              <w:rPr>
                <w:rFonts w:ascii="Arial" w:cs="Arial" w:eastAsia="Arial" w:hAnsi="Arial"/>
                <w:sz w:val="18"/>
                <w:szCs w:val="18"/>
                <w:b w:val="1"/>
                <w:bCs w:val="1"/>
                <w:color w:val="auto"/>
              </w:rPr>
              <w:t>(4,142)</w:t>
            </w:r>
          </w:p>
        </w:tc>
        <w:tc>
          <w:tcPr>
            <w:tcW w:w="126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8"/>
                <w:szCs w:val="18"/>
                <w:color w:val="auto"/>
              </w:rPr>
              <w:t>Earnings</w:t>
            </w: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8"/>
                <w:szCs w:val="18"/>
                <w:color w:val="auto"/>
              </w:rPr>
              <w:t>Foreign currency–Investments</w:t>
            </w:r>
          </w:p>
        </w:tc>
        <w:tc>
          <w:tcPr>
            <w:tcW w:w="5280" w:type="dxa"/>
            <w:vAlign w:val="bottom"/>
          </w:tcPr>
          <w:p>
            <w:pPr>
              <w:ind w:left="460"/>
              <w:spacing w:after="0" w:line="189" w:lineRule="exact"/>
              <w:rPr>
                <w:sz w:val="20"/>
                <w:szCs w:val="20"/>
                <w:color w:val="auto"/>
              </w:rPr>
            </w:pPr>
            <w:r>
              <w:rPr>
                <w:rFonts w:ascii="Arial" w:cs="Arial" w:eastAsia="Arial" w:hAnsi="Arial"/>
                <w:sz w:val="18"/>
                <w:szCs w:val="18"/>
                <w:color w:val="auto"/>
              </w:rPr>
              <w:t>10% decrease in foreign exchange rates</w:t>
            </w:r>
          </w:p>
        </w:tc>
        <w:tc>
          <w:tcPr>
            <w:tcW w:w="820" w:type="dxa"/>
            <w:vAlign w:val="bottom"/>
          </w:tcPr>
          <w:p>
            <w:pPr>
              <w:spacing w:after="0"/>
              <w:rPr>
                <w:sz w:val="16"/>
                <w:szCs w:val="16"/>
                <w:color w:val="auto"/>
              </w:rPr>
            </w:pPr>
          </w:p>
        </w:tc>
        <w:tc>
          <w:tcPr>
            <w:tcW w:w="980" w:type="dxa"/>
            <w:vAlign w:val="bottom"/>
          </w:tcPr>
          <w:p>
            <w:pPr>
              <w:jc w:val="right"/>
              <w:ind w:right="56"/>
              <w:spacing w:after="0" w:line="189" w:lineRule="exact"/>
              <w:rPr>
                <w:sz w:val="20"/>
                <w:szCs w:val="20"/>
                <w:color w:val="auto"/>
              </w:rPr>
            </w:pPr>
            <w:r>
              <w:rPr>
                <w:rFonts w:ascii="Arial" w:cs="Arial" w:eastAsia="Arial" w:hAnsi="Arial"/>
                <w:sz w:val="18"/>
                <w:szCs w:val="18"/>
                <w:b w:val="1"/>
                <w:bCs w:val="1"/>
                <w:color w:val="auto"/>
              </w:rPr>
              <w:t>(119)</w:t>
            </w:r>
          </w:p>
        </w:tc>
        <w:tc>
          <w:tcPr>
            <w:tcW w:w="12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28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8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6"/>
              <w:spacing w:after="0" w:line="189" w:lineRule="exact"/>
              <w:rPr>
                <w:sz w:val="20"/>
                <w:szCs w:val="20"/>
                <w:color w:val="auto"/>
              </w:rPr>
            </w:pPr>
            <w:r>
              <w:rPr>
                <w:rFonts w:ascii="Arial" w:cs="Arial" w:eastAsia="Arial" w:hAnsi="Arial"/>
                <w:sz w:val="18"/>
                <w:szCs w:val="18"/>
                <w:b w:val="1"/>
                <w:bCs w:val="1"/>
                <w:color w:val="auto"/>
              </w:rPr>
              <w:t>(3,951)</w:t>
            </w:r>
          </w:p>
        </w:tc>
        <w:tc>
          <w:tcPr>
            <w:tcW w:w="126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280" w:type="dxa"/>
            <w:vAlign w:val="bottom"/>
          </w:tcPr>
          <w:p>
            <w:pPr>
              <w:ind w:left="46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820" w:type="dxa"/>
            <w:vAlign w:val="bottom"/>
          </w:tcPr>
          <w:p>
            <w:pPr>
              <w:spacing w:after="0"/>
              <w:rPr>
                <w:sz w:val="16"/>
                <w:szCs w:val="16"/>
                <w:color w:val="auto"/>
              </w:rPr>
            </w:pPr>
          </w:p>
        </w:tc>
        <w:tc>
          <w:tcPr>
            <w:tcW w:w="980" w:type="dxa"/>
            <w:vAlign w:val="bottom"/>
          </w:tcPr>
          <w:p>
            <w:pPr>
              <w:jc w:val="right"/>
              <w:ind w:right="56"/>
              <w:spacing w:after="0" w:line="189" w:lineRule="exact"/>
              <w:rPr>
                <w:sz w:val="20"/>
                <w:szCs w:val="20"/>
                <w:color w:val="auto"/>
              </w:rPr>
            </w:pPr>
            <w:r>
              <w:rPr>
                <w:rFonts w:ascii="Arial" w:cs="Arial" w:eastAsia="Arial" w:hAnsi="Arial"/>
                <w:sz w:val="18"/>
                <w:szCs w:val="18"/>
                <w:b w:val="1"/>
                <w:bCs w:val="1"/>
                <w:color w:val="auto"/>
              </w:rPr>
              <w:t>(301)</w:t>
            </w:r>
          </w:p>
        </w:tc>
        <w:tc>
          <w:tcPr>
            <w:tcW w:w="12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28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equity market prices</w:t>
            </w:r>
          </w:p>
        </w:tc>
        <w:tc>
          <w:tcPr>
            <w:tcW w:w="8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6"/>
              <w:spacing w:after="0" w:line="189" w:lineRule="exact"/>
              <w:rPr>
                <w:sz w:val="20"/>
                <w:szCs w:val="20"/>
                <w:color w:val="auto"/>
              </w:rPr>
            </w:pPr>
            <w:r>
              <w:rPr>
                <w:rFonts w:ascii="Arial" w:cs="Arial" w:eastAsia="Arial" w:hAnsi="Arial"/>
                <w:sz w:val="18"/>
                <w:szCs w:val="18"/>
                <w:b w:val="1"/>
                <w:bCs w:val="1"/>
                <w:color w:val="auto"/>
              </w:rPr>
              <w:t>(239)</w:t>
            </w:r>
          </w:p>
        </w:tc>
        <w:tc>
          <w:tcPr>
            <w:tcW w:w="1260" w:type="dxa"/>
            <w:vAlign w:val="bottom"/>
            <w:gridSpan w:val="2"/>
            <w:shd w:val="clear" w:color="auto" w:fill="E5E5E5"/>
          </w:tcPr>
          <w:p>
            <w:pPr>
              <w:ind w:left="120"/>
              <w:spacing w:after="0" w:line="189" w:lineRule="exact"/>
              <w:rPr>
                <w:sz w:val="20"/>
                <w:szCs w:val="20"/>
                <w:color w:val="auto"/>
              </w:rPr>
            </w:pPr>
            <w:r>
              <w:rPr>
                <w:rFonts w:ascii="Arial" w:cs="Arial" w:eastAsia="Arial" w:hAnsi="Arial"/>
                <w:sz w:val="18"/>
                <w:szCs w:val="18"/>
                <w:color w:val="auto"/>
              </w:rPr>
              <w:t>Earnings</w:t>
            </w:r>
          </w:p>
        </w:tc>
      </w:tr>
      <w:tr>
        <w:trPr>
          <w:trHeight w:val="68"/>
        </w:trPr>
        <w:tc>
          <w:tcPr>
            <w:tcW w:w="2900" w:type="dxa"/>
            <w:vAlign w:val="bottom"/>
            <w:tcBorders>
              <w:bottom w:val="single" w:sz="8" w:color="auto"/>
            </w:tcBorders>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25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68,041</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66,069</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64,497</w:t>
            </w: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74,974</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59,774</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45,863</w:t>
            </w:r>
          </w:p>
        </w:tc>
        <w:tc>
          <w:tcPr>
            <w:tcW w:w="0" w:type="dxa"/>
            <w:vAlign w:val="bottom"/>
          </w:tcPr>
          <w:p>
            <w:pPr>
              <w:spacing w:after="0"/>
              <w:rPr>
                <w:sz w:val="1"/>
                <w:szCs w:val="1"/>
                <w:color w:val="auto"/>
              </w:rPr>
            </w:pPr>
          </w:p>
        </w:tc>
      </w:tr>
      <w:tr>
        <w:trPr>
          <w:trHeight w:val="68"/>
        </w:trPr>
        <w:tc>
          <w:tcPr>
            <w:tcW w:w="538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3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143,015</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125,843</w:t>
            </w:r>
          </w:p>
        </w:tc>
        <w:tc>
          <w:tcPr>
            <w:tcW w:w="22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110,360</w:t>
            </w:r>
          </w:p>
        </w:tc>
        <w:tc>
          <w:tcPr>
            <w:tcW w:w="0" w:type="dxa"/>
            <w:vAlign w:val="bottom"/>
          </w:tcPr>
          <w:p>
            <w:pPr>
              <w:spacing w:after="0"/>
              <w:rPr>
                <w:sz w:val="1"/>
                <w:szCs w:val="1"/>
                <w:color w:val="auto"/>
              </w:rPr>
            </w:pPr>
          </w:p>
        </w:tc>
      </w:tr>
      <w:tr>
        <w:trPr>
          <w:trHeight w:val="54"/>
        </w:trPr>
        <w:tc>
          <w:tcPr>
            <w:tcW w:w="538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16,017</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16,273</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30,061</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26,637</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22,933</w:t>
            </w:r>
          </w:p>
        </w:tc>
        <w:tc>
          <w:tcPr>
            <w:tcW w:w="0" w:type="dxa"/>
            <w:vAlign w:val="bottom"/>
          </w:tcPr>
          <w:p>
            <w:pPr>
              <w:spacing w:after="0"/>
              <w:rPr>
                <w:sz w:val="1"/>
                <w:szCs w:val="1"/>
                <w:color w:val="auto"/>
              </w:rPr>
            </w:pPr>
          </w:p>
        </w:tc>
      </w:tr>
      <w:tr>
        <w:trPr>
          <w:trHeight w:val="68"/>
        </w:trPr>
        <w:tc>
          <w:tcPr>
            <w:tcW w:w="538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2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46,078</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42,910</w:t>
            </w:r>
          </w:p>
        </w:tc>
        <w:tc>
          <w:tcPr>
            <w:tcW w:w="22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38,353</w:t>
            </w:r>
          </w:p>
        </w:tc>
        <w:tc>
          <w:tcPr>
            <w:tcW w:w="0" w:type="dxa"/>
            <w:vAlign w:val="bottom"/>
          </w:tcPr>
          <w:p>
            <w:pPr>
              <w:spacing w:after="0"/>
              <w:rPr>
                <w:sz w:val="1"/>
                <w:szCs w:val="1"/>
                <w:color w:val="auto"/>
              </w:rPr>
            </w:pPr>
          </w:p>
        </w:tc>
      </w:tr>
      <w:tr>
        <w:trPr>
          <w:trHeight w:val="54"/>
        </w:trPr>
        <w:tc>
          <w:tcPr>
            <w:tcW w:w="538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Gross margin</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96,937</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82,933</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72,007</w:t>
            </w:r>
          </w:p>
        </w:tc>
        <w:tc>
          <w:tcPr>
            <w:tcW w:w="0" w:type="dxa"/>
            <w:vAlign w:val="bottom"/>
          </w:tcPr>
          <w:p>
            <w:pPr>
              <w:spacing w:after="0"/>
              <w:rPr>
                <w:sz w:val="1"/>
                <w:szCs w:val="1"/>
                <w:color w:val="auto"/>
              </w:rPr>
            </w:pP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19,269</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16,876</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14,726</w:t>
            </w: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19,598</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18,213</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17,469</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5,111</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4,885</w:t>
            </w:r>
          </w:p>
        </w:tc>
        <w:tc>
          <w:tcPr>
            <w:tcW w:w="2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68"/>
        </w:trPr>
        <w:tc>
          <w:tcPr>
            <w:tcW w:w="5380" w:type="dxa"/>
            <w:vAlign w:val="bottom"/>
            <w:tcBorders>
              <w:top w:val="single" w:sz="8" w:color="auto"/>
            </w:tcBorders>
          </w:tcPr>
          <w:p>
            <w:pPr>
              <w:spacing w:after="0"/>
              <w:rPr>
                <w:sz w:val="5"/>
                <w:szCs w:val="5"/>
                <w:color w:val="auto"/>
              </w:rPr>
            </w:pPr>
          </w:p>
        </w:tc>
        <w:tc>
          <w:tcPr>
            <w:tcW w:w="22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52,959</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42,959</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35,058</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Other income, net</w:t>
            </w:r>
          </w:p>
        </w:tc>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77</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68"/>
        </w:trPr>
        <w:tc>
          <w:tcPr>
            <w:tcW w:w="5380" w:type="dxa"/>
            <w:vAlign w:val="bottom"/>
            <w:tcBorders>
              <w:top w:val="single" w:sz="8" w:color="auto"/>
            </w:tcBorders>
          </w:tcPr>
          <w:p>
            <w:pPr>
              <w:spacing w:after="0"/>
              <w:rPr>
                <w:sz w:val="5"/>
                <w:szCs w:val="5"/>
                <w:color w:val="auto"/>
              </w:rPr>
            </w:pPr>
          </w:p>
        </w:tc>
        <w:tc>
          <w:tcPr>
            <w:tcW w:w="22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53,036</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43,688</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36,474</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8,755</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4,448</w:t>
            </w:r>
          </w:p>
        </w:tc>
        <w:tc>
          <w:tcPr>
            <w:tcW w:w="2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19,903</w:t>
            </w:r>
          </w:p>
        </w:tc>
        <w:tc>
          <w:tcPr>
            <w:tcW w:w="0" w:type="dxa"/>
            <w:vAlign w:val="bottom"/>
          </w:tcPr>
          <w:p>
            <w:pPr>
              <w:spacing w:after="0"/>
              <w:rPr>
                <w:sz w:val="1"/>
                <w:szCs w:val="1"/>
                <w:color w:val="auto"/>
              </w:rPr>
            </w:pPr>
          </w:p>
        </w:tc>
      </w:tr>
      <w:tr>
        <w:trPr>
          <w:trHeight w:val="68"/>
        </w:trPr>
        <w:tc>
          <w:tcPr>
            <w:tcW w:w="5380" w:type="dxa"/>
            <w:vAlign w:val="bottom"/>
            <w:tcBorders>
              <w:top w:val="single" w:sz="8" w:color="auto"/>
            </w:tcBorders>
          </w:tcPr>
          <w:p>
            <w:pPr>
              <w:spacing w:after="0"/>
              <w:rPr>
                <w:sz w:val="5"/>
                <w:szCs w:val="5"/>
                <w:color w:val="auto"/>
              </w:rPr>
            </w:pPr>
          </w:p>
        </w:tc>
        <w:tc>
          <w:tcPr>
            <w:tcW w:w="22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44,281</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39,240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74"/>
        </w:trPr>
        <w:tc>
          <w:tcPr>
            <w:tcW w:w="53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2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380" w:type="dxa"/>
            <w:vAlign w:val="bottom"/>
            <w:vMerge w:val="continue"/>
          </w:tcPr>
          <w:p>
            <w:pPr>
              <w:spacing w:after="0"/>
              <w:rPr>
                <w:sz w:val="22"/>
                <w:szCs w:val="22"/>
                <w:color w:val="auto"/>
              </w:rPr>
            </w:pPr>
          </w:p>
        </w:tc>
        <w:tc>
          <w:tcPr>
            <w:tcW w:w="2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Basic</w:t>
            </w:r>
          </w:p>
        </w:tc>
        <w:tc>
          <w:tcPr>
            <w:tcW w:w="25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5.82</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5.11</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8"/>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8"/>
        </w:trPr>
        <w:tc>
          <w:tcPr>
            <w:tcW w:w="538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Weighted average shares outstanding:</w:t>
            </w:r>
          </w:p>
        </w:tc>
        <w:tc>
          <w:tcPr>
            <w:tcW w:w="22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7,610</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7,673</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189"/>
        </w:trPr>
        <w:tc>
          <w:tcPr>
            <w:tcW w:w="53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Diluted</w:t>
            </w:r>
          </w:p>
        </w:tc>
        <w:tc>
          <w:tcPr>
            <w:tcW w:w="22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7,683</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7,753</w:t>
            </w:r>
          </w:p>
        </w:tc>
        <w:tc>
          <w:tcPr>
            <w:tcW w:w="2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68"/>
        </w:trPr>
        <w:tc>
          <w:tcPr>
            <w:tcW w:w="538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862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54"/>
        </w:trPr>
        <w:tc>
          <w:tcPr>
            <w:tcW w:w="54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44,281</w:t>
            </w:r>
          </w:p>
        </w:tc>
        <w:tc>
          <w:tcPr>
            <w:tcW w:w="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39,240</w:t>
            </w:r>
          </w:p>
        </w:tc>
        <w:tc>
          <w:tcPr>
            <w:tcW w:w="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68"/>
        </w:trPr>
        <w:tc>
          <w:tcPr>
            <w:tcW w:w="542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6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420" w:type="dxa"/>
            <w:vAlign w:val="bottom"/>
            <w:vMerge w:val="continue"/>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Net change related to derivatives</w:t>
            </w:r>
          </w:p>
        </w:tc>
        <w:tc>
          <w:tcPr>
            <w:tcW w:w="16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(38)</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(173)</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9"/>
        </w:trPr>
        <w:tc>
          <w:tcPr>
            <w:tcW w:w="5420" w:type="dxa"/>
            <w:vAlign w:val="bottom"/>
          </w:tcPr>
          <w:p>
            <w:pPr>
              <w:ind w:left="220"/>
              <w:spacing w:after="0" w:line="189" w:lineRule="exact"/>
              <w:rPr>
                <w:sz w:val="20"/>
                <w:szCs w:val="20"/>
                <w:color w:val="auto"/>
              </w:rPr>
            </w:pPr>
            <w:r>
              <w:rPr>
                <w:rFonts w:ascii="Arial" w:cs="Arial" w:eastAsia="Arial" w:hAnsi="Arial"/>
                <w:sz w:val="18"/>
                <w:szCs w:val="18"/>
                <w:color w:val="auto"/>
              </w:rPr>
              <w:t>Net change related to investments</w:t>
            </w: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3,990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2,405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189"/>
        </w:trPr>
        <w:tc>
          <w:tcPr>
            <w:tcW w:w="5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Translation adjustments and other</w:t>
            </w:r>
          </w:p>
        </w:tc>
        <w:tc>
          <w:tcPr>
            <w:tcW w:w="16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(426)</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(318)</w:t>
            </w:r>
          </w:p>
        </w:tc>
        <w:tc>
          <w:tcPr>
            <w:tcW w:w="2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68"/>
        </w:trPr>
        <w:tc>
          <w:tcPr>
            <w:tcW w:w="54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42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1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3,526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1,914</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54"/>
        </w:trPr>
        <w:tc>
          <w:tcPr>
            <w:tcW w:w="54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4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1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47,807</w:t>
            </w:r>
          </w:p>
        </w:tc>
        <w:tc>
          <w:tcPr>
            <w:tcW w:w="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41,154</w:t>
            </w:r>
          </w:p>
        </w:tc>
        <w:tc>
          <w:tcPr>
            <w:tcW w:w="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13,715</w:t>
            </w:r>
          </w:p>
        </w:tc>
        <w:tc>
          <w:tcPr>
            <w:tcW w:w="0" w:type="dxa"/>
            <w:vAlign w:val="bottom"/>
          </w:tcPr>
          <w:p>
            <w:pPr>
              <w:spacing w:after="0"/>
              <w:rPr>
                <w:sz w:val="1"/>
                <w:szCs w:val="1"/>
                <w:color w:val="auto"/>
              </w:rPr>
            </w:pPr>
          </w:p>
        </w:tc>
      </w:tr>
      <w:tr>
        <w:trPr>
          <w:trHeight w:val="68"/>
        </w:trPr>
        <w:tc>
          <w:tcPr>
            <w:tcW w:w="54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46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5280" w:type="dxa"/>
            <w:vAlign w:val="bottom"/>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r>
    </w:tbl>
    <w:p>
      <w:pPr>
        <w:spacing w:after="0" w:line="18" w:lineRule="exact"/>
        <w:rPr>
          <w:sz w:val="20"/>
          <w:szCs w:val="20"/>
          <w:color w:val="auto"/>
        </w:rPr>
      </w:pPr>
    </w:p>
    <w:p>
      <w:pPr>
        <w:sectPr>
          <w:pgSz w:w="11900" w:h="16838" w:orient="portrait"/>
          <w:cols w:equalWidth="0" w:num="1">
            <w:col w:w="11160"/>
          </w:cols>
          <w:pgMar w:left="320" w:top="138" w:right="419" w:bottom="1440" w:gutter="0" w:footer="0" w:header="0"/>
        </w:sectPr>
      </w:pPr>
    </w:p>
    <w:tbl>
      <w:tblPr>
        <w:tblLayout w:type="fixed"/>
        <w:tblInd w:w="0" w:type="dxa"/>
        <w:tblCellMar>
          <w:top w:w="0" w:type="dxa"/>
          <w:left w:w="0" w:type="dxa"/>
          <w:bottom w:w="0" w:type="dxa"/>
          <w:right w:w="0" w:type="dxa"/>
        </w:tblCellMar>
      </w:tblPr>
      <w:tr>
        <w:trPr>
          <w:trHeight w:val="211"/>
        </w:trPr>
        <w:tc>
          <w:tcPr>
            <w:tcW w:w="85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13,576</w:t>
            </w:r>
          </w:p>
        </w:tc>
        <w:tc>
          <w:tcPr>
            <w:tcW w:w="0" w:type="dxa"/>
            <w:vAlign w:val="bottom"/>
          </w:tcPr>
          <w:p>
            <w:pPr>
              <w:spacing w:after="0"/>
              <w:rPr>
                <w:sz w:val="1"/>
                <w:szCs w:val="1"/>
                <w:color w:val="auto"/>
              </w:rPr>
            </w:pPr>
          </w:p>
        </w:tc>
      </w:tr>
      <w:tr>
        <w:trPr>
          <w:trHeight w:val="167"/>
        </w:trPr>
        <w:tc>
          <w:tcPr>
            <w:tcW w:w="8520" w:type="dxa"/>
            <w:vAlign w:val="bottom"/>
          </w:tcPr>
          <w:p>
            <w:pPr>
              <w:ind w:left="220"/>
              <w:spacing w:after="0" w:line="167" w:lineRule="exact"/>
              <w:rPr>
                <w:sz w:val="20"/>
                <w:szCs w:val="20"/>
                <w:color w:val="auto"/>
              </w:rPr>
            </w:pPr>
            <w:r>
              <w:rPr>
                <w:rFonts w:ascii="Arial" w:cs="Arial" w:eastAsia="Arial" w:hAnsi="Arial"/>
                <w:sz w:val="18"/>
                <w:szCs w:val="18"/>
                <w:color w:val="auto"/>
              </w:rPr>
              <w:t>Cash and cash equivalents</w:t>
            </w:r>
          </w:p>
        </w:tc>
        <w:tc>
          <w:tcPr>
            <w:tcW w:w="3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5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122,951</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520" w:type="dxa"/>
            <w:vAlign w:val="bottom"/>
          </w:tcPr>
          <w:p>
            <w:pPr>
              <w:ind w:left="440"/>
              <w:spacing w:after="0"/>
              <w:rPr>
                <w:sz w:val="20"/>
                <w:szCs w:val="20"/>
                <w:color w:val="auto"/>
              </w:rPr>
            </w:pPr>
            <w:r>
              <w:rPr>
                <w:rFonts w:ascii="Arial" w:cs="Arial" w:eastAsia="Arial" w:hAnsi="Arial"/>
                <w:sz w:val="18"/>
                <w:szCs w:val="18"/>
                <w:color w:val="auto"/>
              </w:rPr>
              <w:t>Total cash, cash equivalents, and short-term investments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136,527</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$788</w:t>
            </w:r>
            <w:r>
              <w:rPr>
                <w:rFonts w:ascii="Arial" w:cs="Arial" w:eastAsia="Arial" w:hAnsi="Arial"/>
                <w:sz w:val="18"/>
                <w:szCs w:val="18"/>
                <w:color w:val="auto"/>
              </w:rPr>
              <w:t xml:space="preserve"> and $411</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32,011</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line="189" w:lineRule="exact"/>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1,895</w:t>
            </w:r>
          </w:p>
        </w:tc>
        <w:tc>
          <w:tcPr>
            <w:tcW w:w="0" w:type="dxa"/>
            <w:vAlign w:val="bottom"/>
          </w:tcPr>
          <w:p>
            <w:pPr>
              <w:spacing w:after="0"/>
              <w:rPr>
                <w:sz w:val="1"/>
                <w:szCs w:val="1"/>
                <w:color w:val="auto"/>
              </w:rPr>
            </w:pPr>
          </w:p>
        </w:tc>
      </w:tr>
      <w:tr>
        <w:trPr>
          <w:trHeight w:val="239"/>
        </w:trPr>
        <w:tc>
          <w:tcPr>
            <w:tcW w:w="85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11,482</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5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181,915</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$43,197</w:t>
            </w:r>
            <w:r>
              <w:rPr>
                <w:rFonts w:ascii="Arial" w:cs="Arial" w:eastAsia="Arial" w:hAnsi="Arial"/>
                <w:sz w:val="18"/>
                <w:szCs w:val="18"/>
                <w:color w:val="auto"/>
              </w:rPr>
              <w:t xml:space="preserve"> and $35,330</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44,151</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8,753</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2,965</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43,351</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7,038</w:t>
            </w:r>
          </w:p>
        </w:tc>
        <w:tc>
          <w:tcPr>
            <w:tcW w:w="0" w:type="dxa"/>
            <w:vAlign w:val="bottom"/>
          </w:tcPr>
          <w:p>
            <w:pPr>
              <w:spacing w:after="0"/>
              <w:rPr>
                <w:sz w:val="1"/>
                <w:szCs w:val="1"/>
                <w:color w:val="auto"/>
              </w:rPr>
            </w:pPr>
          </w:p>
        </w:tc>
      </w:tr>
      <w:tr>
        <w:trPr>
          <w:trHeight w:val="239"/>
        </w:trPr>
        <w:tc>
          <w:tcPr>
            <w:tcW w:w="8520" w:type="dxa"/>
            <w:vAlign w:val="bottom"/>
          </w:tcPr>
          <w:p>
            <w:pPr>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13,138</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52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301,311</w:t>
            </w:r>
          </w:p>
        </w:tc>
        <w:tc>
          <w:tcPr>
            <w:tcW w:w="0" w:type="dxa"/>
            <w:vAlign w:val="bottom"/>
          </w:tcPr>
          <w:p>
            <w:pPr>
              <w:spacing w:after="0"/>
              <w:rPr>
                <w:sz w:val="1"/>
                <w:szCs w:val="1"/>
                <w:color w:val="auto"/>
              </w:rPr>
            </w:pPr>
          </w:p>
        </w:tc>
      </w:tr>
      <w:tr>
        <w:trPr>
          <w:trHeight w:val="61"/>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5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12,530</w:t>
            </w:r>
          </w:p>
        </w:tc>
        <w:tc>
          <w:tcPr>
            <w:tcW w:w="0" w:type="dxa"/>
            <w:vAlign w:val="bottom"/>
          </w:tcPr>
          <w:p>
            <w:pPr>
              <w:spacing w:after="0"/>
              <w:rPr>
                <w:sz w:val="1"/>
                <w:szCs w:val="1"/>
                <w:color w:val="auto"/>
              </w:rPr>
            </w:pPr>
          </w:p>
        </w:tc>
      </w:tr>
      <w:tr>
        <w:trPr>
          <w:trHeight w:val="167"/>
        </w:trPr>
        <w:tc>
          <w:tcPr>
            <w:tcW w:w="8520" w:type="dxa"/>
            <w:vAlign w:val="bottom"/>
          </w:tcPr>
          <w:p>
            <w:pPr>
              <w:ind w:left="220"/>
              <w:spacing w:after="0" w:line="167" w:lineRule="exact"/>
              <w:rPr>
                <w:sz w:val="20"/>
                <w:szCs w:val="20"/>
                <w:color w:val="auto"/>
              </w:rPr>
            </w:pPr>
            <w:r>
              <w:rPr>
                <w:rFonts w:ascii="Arial" w:cs="Arial" w:eastAsia="Arial" w:hAnsi="Arial"/>
                <w:sz w:val="18"/>
                <w:szCs w:val="18"/>
                <w:color w:val="auto"/>
              </w:rPr>
              <w:t>Accounts payable</w:t>
            </w:r>
          </w:p>
        </w:tc>
        <w:tc>
          <w:tcPr>
            <w:tcW w:w="3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line="189" w:lineRule="exact"/>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3,749</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line="189" w:lineRule="exact"/>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7,874</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line="189" w:lineRule="exact"/>
              <w:rPr>
                <w:sz w:val="20"/>
                <w:szCs w:val="20"/>
                <w:color w:val="auto"/>
              </w:rPr>
            </w:pPr>
            <w:r>
              <w:rPr>
                <w:rFonts w:ascii="Arial" w:cs="Arial" w:eastAsia="Arial" w:hAnsi="Arial"/>
                <w:sz w:val="18"/>
                <w:szCs w:val="18"/>
                <w:color w:val="auto"/>
              </w:rPr>
              <w:t>Short-term income taxes</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2,130</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line="189" w:lineRule="exact"/>
              <w:rPr>
                <w:sz w:val="20"/>
                <w:szCs w:val="20"/>
                <w:color w:val="auto"/>
              </w:rPr>
            </w:pPr>
            <w:r>
              <w:rPr>
                <w:rFonts w:ascii="Arial" w:cs="Arial" w:eastAsia="Arial" w:hAnsi="Arial"/>
                <w:sz w:val="18"/>
                <w:szCs w:val="18"/>
                <w:color w:val="auto"/>
              </w:rPr>
              <w:t>Short-term unearned revenue</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36,000</w:t>
            </w:r>
          </w:p>
        </w:tc>
        <w:tc>
          <w:tcPr>
            <w:tcW w:w="0" w:type="dxa"/>
            <w:vAlign w:val="bottom"/>
          </w:tcPr>
          <w:p>
            <w:pPr>
              <w:spacing w:after="0"/>
              <w:rPr>
                <w:sz w:val="1"/>
                <w:szCs w:val="1"/>
                <w:color w:val="auto"/>
              </w:rPr>
            </w:pPr>
          </w:p>
        </w:tc>
      </w:tr>
      <w:tr>
        <w:trPr>
          <w:trHeight w:val="239"/>
        </w:trPr>
        <w:tc>
          <w:tcPr>
            <w:tcW w:w="852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10,027</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52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72,310</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59,578</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Long-term income taxes</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29,432</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3,180</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7,671</w:t>
            </w:r>
          </w:p>
        </w:tc>
        <w:tc>
          <w:tcPr>
            <w:tcW w:w="0" w:type="dxa"/>
            <w:vAlign w:val="bottom"/>
          </w:tcPr>
          <w:p>
            <w:pPr>
              <w:spacing w:after="0"/>
              <w:rPr>
                <w:sz w:val="1"/>
                <w:szCs w:val="1"/>
                <w:color w:val="auto"/>
              </w:rPr>
            </w:pPr>
          </w:p>
        </w:tc>
      </w:tr>
      <w:tr>
        <w:trPr>
          <w:trHeight w:val="239"/>
        </w:trPr>
        <w:tc>
          <w:tcPr>
            <w:tcW w:w="85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10,632</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183,007</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5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520" w:type="dxa"/>
            <w:vAlign w:val="bottom"/>
          </w:tcPr>
          <w:p>
            <w:pPr>
              <w:spacing w:after="0" w:line="167" w:lineRule="exact"/>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80,552</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7,571</w:t>
            </w:r>
            <w:r>
              <w:rPr>
                <w:rFonts w:ascii="Arial" w:cs="Arial" w:eastAsia="Arial" w:hAnsi="Arial"/>
                <w:sz w:val="18"/>
                <w:szCs w:val="18"/>
                <w:color w:val="auto"/>
              </w:rPr>
              <w:t xml:space="preserve"> and 7,643</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line="189" w:lineRule="exact"/>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34,566</w:t>
            </w:r>
          </w:p>
        </w:tc>
        <w:tc>
          <w:tcPr>
            <w:tcW w:w="0" w:type="dxa"/>
            <w:vAlign w:val="bottom"/>
          </w:tcPr>
          <w:p>
            <w:pPr>
              <w:spacing w:after="0"/>
              <w:rPr>
                <w:sz w:val="1"/>
                <w:szCs w:val="1"/>
                <w:color w:val="auto"/>
              </w:rPr>
            </w:pPr>
          </w:p>
        </w:tc>
      </w:tr>
      <w:tr>
        <w:trPr>
          <w:trHeight w:val="239"/>
        </w:trPr>
        <w:tc>
          <w:tcPr>
            <w:tcW w:w="85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3,186</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118,304</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301,311</w:t>
            </w:r>
          </w:p>
        </w:tc>
        <w:tc>
          <w:tcPr>
            <w:tcW w:w="0" w:type="dxa"/>
            <w:vAlign w:val="bottom"/>
          </w:tcPr>
          <w:p>
            <w:pPr>
              <w:spacing w:after="0"/>
              <w:rPr>
                <w:sz w:val="1"/>
                <w:szCs w:val="1"/>
                <w:color w:val="auto"/>
              </w:rPr>
            </w:pPr>
          </w:p>
        </w:tc>
      </w:tr>
      <w:tr>
        <w:trPr>
          <w:trHeight w:val="61"/>
        </w:trPr>
        <w:tc>
          <w:tcPr>
            <w:tcW w:w="85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-5596890</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-5356860</wp:posOffset>
            </wp:positionV>
            <wp:extent cx="713232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-5022850</wp:posOffset>
            </wp:positionV>
            <wp:extent cx="71323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-3968115</wp:posOffset>
            </wp:positionV>
            <wp:extent cx="713232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713232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713232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670" w:hanging="670"/>
        <w:spacing w:after="0"/>
        <w:tabs>
          <w:tab w:leader="none" w:pos="6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11,356</w:t>
      </w:r>
    </w:p>
    <w:p>
      <w:pPr>
        <w:ind w:left="570"/>
        <w:spacing w:after="0"/>
        <w:rPr>
          <w:rFonts w:ascii="Arial" w:cs="Arial" w:eastAsia="Arial" w:hAnsi="Arial"/>
          <w:sz w:val="18"/>
          <w:szCs w:val="18"/>
          <w:color w:val="auto"/>
        </w:rPr>
      </w:pPr>
      <w:r>
        <w:rPr>
          <w:rFonts w:ascii="Arial" w:cs="Arial" w:eastAsia="Arial" w:hAnsi="Arial"/>
          <w:sz w:val="18"/>
          <w:szCs w:val="18"/>
          <w:color w:val="auto"/>
        </w:rPr>
        <w:t>122,463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133,819</w:t>
      </w:r>
    </w:p>
    <w:p>
      <w:pPr>
        <w:jc w:val="right"/>
        <w:ind w:right="60"/>
        <w:spacing w:after="0" w:line="219" w:lineRule="auto"/>
        <w:rPr>
          <w:sz w:val="20"/>
          <w:szCs w:val="20"/>
          <w:color w:val="auto"/>
        </w:rPr>
      </w:pPr>
      <w:r>
        <w:rPr>
          <w:rFonts w:ascii="Arial" w:cs="Arial" w:eastAsia="Arial" w:hAnsi="Arial"/>
          <w:sz w:val="18"/>
          <w:szCs w:val="18"/>
          <w:color w:val="auto"/>
        </w:rPr>
        <w:t>29,524</w:t>
      </w:r>
    </w:p>
    <w:p>
      <w:pPr>
        <w:jc w:val="right"/>
        <w:ind w:right="60"/>
        <w:spacing w:after="0" w:line="219" w:lineRule="auto"/>
        <w:rPr>
          <w:sz w:val="20"/>
          <w:szCs w:val="20"/>
          <w:color w:val="auto"/>
        </w:rPr>
      </w:pPr>
      <w:r>
        <w:rPr>
          <w:rFonts w:ascii="Arial" w:cs="Arial" w:eastAsia="Arial" w:hAnsi="Arial"/>
          <w:sz w:val="18"/>
          <w:szCs w:val="18"/>
          <w:color w:val="auto"/>
        </w:rPr>
        <w:t>2,063</w:t>
      </w:r>
    </w:p>
    <w:p>
      <w:pPr>
        <w:jc w:val="right"/>
        <w:ind w:right="60"/>
        <w:spacing w:after="0"/>
        <w:rPr>
          <w:sz w:val="20"/>
          <w:szCs w:val="20"/>
          <w:color w:val="auto"/>
        </w:rPr>
      </w:pPr>
      <w:r>
        <w:rPr>
          <w:rFonts w:ascii="Arial" w:cs="Arial" w:eastAsia="Arial" w:hAnsi="Arial"/>
          <w:sz w:val="18"/>
          <w:szCs w:val="18"/>
          <w:color w:val="auto"/>
        </w:rPr>
        <w:t>10,146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175,552</w:t>
      </w:r>
    </w:p>
    <w:p>
      <w:pPr>
        <w:jc w:val="right"/>
        <w:ind w:right="60"/>
        <w:spacing w:after="0" w:line="219" w:lineRule="auto"/>
        <w:rPr>
          <w:sz w:val="20"/>
          <w:szCs w:val="20"/>
          <w:color w:val="auto"/>
        </w:rPr>
      </w:pPr>
      <w:r>
        <w:rPr>
          <w:rFonts w:ascii="Arial" w:cs="Arial" w:eastAsia="Arial" w:hAnsi="Arial"/>
          <w:sz w:val="18"/>
          <w:szCs w:val="18"/>
          <w:color w:val="auto"/>
        </w:rPr>
        <w:t>36,477</w:t>
      </w:r>
    </w:p>
    <w:p>
      <w:pPr>
        <w:jc w:val="right"/>
        <w:ind w:right="60"/>
        <w:spacing w:after="0" w:line="219" w:lineRule="auto"/>
        <w:rPr>
          <w:sz w:val="20"/>
          <w:szCs w:val="20"/>
          <w:color w:val="auto"/>
        </w:rPr>
      </w:pPr>
      <w:r>
        <w:rPr>
          <w:rFonts w:ascii="Arial" w:cs="Arial" w:eastAsia="Arial" w:hAnsi="Arial"/>
          <w:sz w:val="18"/>
          <w:szCs w:val="18"/>
          <w:color w:val="auto"/>
        </w:rPr>
        <w:t>7,379</w:t>
      </w:r>
    </w:p>
    <w:p>
      <w:pPr>
        <w:jc w:val="right"/>
        <w:ind w:right="60"/>
        <w:spacing w:after="0" w:line="219" w:lineRule="auto"/>
        <w:rPr>
          <w:sz w:val="20"/>
          <w:szCs w:val="20"/>
          <w:color w:val="auto"/>
        </w:rPr>
      </w:pPr>
      <w:r>
        <w:rPr>
          <w:rFonts w:ascii="Arial" w:cs="Arial" w:eastAsia="Arial" w:hAnsi="Arial"/>
          <w:sz w:val="18"/>
          <w:szCs w:val="18"/>
          <w:color w:val="auto"/>
        </w:rPr>
        <w:t>2,649</w:t>
      </w:r>
    </w:p>
    <w:p>
      <w:pPr>
        <w:jc w:val="right"/>
        <w:ind w:right="60"/>
        <w:spacing w:after="0" w:line="219" w:lineRule="auto"/>
        <w:rPr>
          <w:sz w:val="20"/>
          <w:szCs w:val="20"/>
          <w:color w:val="auto"/>
        </w:rPr>
      </w:pPr>
      <w:r>
        <w:rPr>
          <w:rFonts w:ascii="Arial" w:cs="Arial" w:eastAsia="Arial" w:hAnsi="Arial"/>
          <w:sz w:val="18"/>
          <w:szCs w:val="18"/>
          <w:color w:val="auto"/>
        </w:rPr>
        <w:t>42,026</w:t>
      </w:r>
    </w:p>
    <w:p>
      <w:pPr>
        <w:jc w:val="right"/>
        <w:ind w:right="60"/>
        <w:spacing w:after="0" w:line="219" w:lineRule="auto"/>
        <w:rPr>
          <w:sz w:val="20"/>
          <w:szCs w:val="20"/>
          <w:color w:val="auto"/>
        </w:rPr>
      </w:pPr>
      <w:r>
        <w:rPr>
          <w:rFonts w:ascii="Arial" w:cs="Arial" w:eastAsia="Arial" w:hAnsi="Arial"/>
          <w:sz w:val="18"/>
          <w:szCs w:val="18"/>
          <w:color w:val="auto"/>
        </w:rPr>
        <w:t>7,750</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1" w:lineRule="exact"/>
        <w:rPr>
          <w:sz w:val="20"/>
          <w:szCs w:val="20"/>
          <w:color w:val="auto"/>
        </w:rPr>
      </w:pPr>
    </w:p>
    <w:p>
      <w:pPr>
        <w:ind w:left="570" w:hanging="570"/>
        <w:spacing w:after="0"/>
        <w:tabs>
          <w:tab w:leader="none" w:pos="5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286,556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770" w:hanging="770"/>
        <w:spacing w:after="0"/>
        <w:tabs>
          <w:tab w:leader="none" w:pos="7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9,382</w:t>
      </w:r>
    </w:p>
    <w:p>
      <w:pPr>
        <w:ind w:left="770"/>
        <w:spacing w:after="0" w:line="219" w:lineRule="auto"/>
        <w:rPr>
          <w:rFonts w:ascii="Arial" w:cs="Arial" w:eastAsia="Arial" w:hAnsi="Arial"/>
          <w:sz w:val="18"/>
          <w:szCs w:val="18"/>
          <w:color w:val="auto"/>
        </w:rPr>
      </w:pPr>
      <w:r>
        <w:rPr>
          <w:rFonts w:ascii="Arial" w:cs="Arial" w:eastAsia="Arial" w:hAnsi="Arial"/>
          <w:sz w:val="18"/>
          <w:szCs w:val="18"/>
          <w:color w:val="auto"/>
        </w:rPr>
        <w:t>5,516</w:t>
      </w:r>
    </w:p>
    <w:p>
      <w:pPr>
        <w:ind w:left="770"/>
        <w:spacing w:after="0" w:line="219" w:lineRule="auto"/>
        <w:rPr>
          <w:rFonts w:ascii="Arial" w:cs="Arial" w:eastAsia="Arial" w:hAnsi="Arial"/>
          <w:sz w:val="18"/>
          <w:szCs w:val="18"/>
          <w:color w:val="auto"/>
        </w:rPr>
      </w:pPr>
      <w:r>
        <w:rPr>
          <w:rFonts w:ascii="Arial" w:cs="Arial" w:eastAsia="Arial" w:hAnsi="Arial"/>
          <w:sz w:val="18"/>
          <w:szCs w:val="18"/>
          <w:color w:val="auto"/>
        </w:rPr>
        <w:t>6,830</w:t>
      </w:r>
    </w:p>
    <w:p>
      <w:pPr>
        <w:ind w:left="770"/>
        <w:spacing w:after="0" w:line="219" w:lineRule="auto"/>
        <w:rPr>
          <w:rFonts w:ascii="Arial" w:cs="Arial" w:eastAsia="Arial" w:hAnsi="Arial"/>
          <w:sz w:val="18"/>
          <w:szCs w:val="18"/>
          <w:color w:val="auto"/>
        </w:rPr>
      </w:pPr>
      <w:r>
        <w:rPr>
          <w:rFonts w:ascii="Arial" w:cs="Arial" w:eastAsia="Arial" w:hAnsi="Arial"/>
          <w:sz w:val="18"/>
          <w:szCs w:val="18"/>
          <w:color w:val="auto"/>
        </w:rPr>
        <w:t>5,665</w:t>
      </w:r>
    </w:p>
    <w:p>
      <w:pPr>
        <w:jc w:val="right"/>
        <w:ind w:right="60"/>
        <w:spacing w:after="0" w:line="219" w:lineRule="auto"/>
        <w:rPr>
          <w:sz w:val="20"/>
          <w:szCs w:val="20"/>
          <w:color w:val="auto"/>
        </w:rPr>
      </w:pPr>
      <w:r>
        <w:rPr>
          <w:rFonts w:ascii="Arial" w:cs="Arial" w:eastAsia="Arial" w:hAnsi="Arial"/>
          <w:sz w:val="18"/>
          <w:szCs w:val="18"/>
          <w:color w:val="auto"/>
        </w:rPr>
        <w:t>32,676</w:t>
      </w:r>
    </w:p>
    <w:p>
      <w:pPr>
        <w:jc w:val="right"/>
        <w:ind w:right="60"/>
        <w:spacing w:after="0"/>
        <w:rPr>
          <w:sz w:val="20"/>
          <w:szCs w:val="20"/>
          <w:color w:val="auto"/>
        </w:rPr>
      </w:pPr>
      <w:r>
        <w:rPr>
          <w:rFonts w:ascii="Arial" w:cs="Arial" w:eastAsia="Arial" w:hAnsi="Arial"/>
          <w:sz w:val="18"/>
          <w:szCs w:val="18"/>
          <w:color w:val="auto"/>
        </w:rPr>
        <w:t>9,351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69,420</w:t>
      </w:r>
    </w:p>
    <w:p>
      <w:pPr>
        <w:jc w:val="right"/>
        <w:ind w:right="60"/>
        <w:spacing w:after="0" w:line="219" w:lineRule="auto"/>
        <w:rPr>
          <w:sz w:val="20"/>
          <w:szCs w:val="20"/>
          <w:color w:val="auto"/>
        </w:rPr>
      </w:pPr>
      <w:r>
        <w:rPr>
          <w:rFonts w:ascii="Arial" w:cs="Arial" w:eastAsia="Arial" w:hAnsi="Arial"/>
          <w:sz w:val="18"/>
          <w:szCs w:val="18"/>
          <w:color w:val="auto"/>
        </w:rPr>
        <w:t>66,662</w:t>
      </w:r>
    </w:p>
    <w:p>
      <w:pPr>
        <w:jc w:val="right"/>
        <w:ind w:right="60"/>
        <w:spacing w:after="0" w:line="219" w:lineRule="auto"/>
        <w:rPr>
          <w:sz w:val="20"/>
          <w:szCs w:val="20"/>
          <w:color w:val="auto"/>
        </w:rPr>
      </w:pPr>
      <w:r>
        <w:rPr>
          <w:rFonts w:ascii="Arial" w:cs="Arial" w:eastAsia="Arial" w:hAnsi="Arial"/>
          <w:sz w:val="18"/>
          <w:szCs w:val="18"/>
          <w:color w:val="auto"/>
        </w:rPr>
        <w:t>29,612</w:t>
      </w:r>
    </w:p>
    <w:p>
      <w:pPr>
        <w:jc w:val="right"/>
        <w:ind w:right="60"/>
        <w:spacing w:after="0" w:line="219" w:lineRule="auto"/>
        <w:rPr>
          <w:sz w:val="20"/>
          <w:szCs w:val="20"/>
          <w:color w:val="auto"/>
        </w:rPr>
      </w:pPr>
      <w:r>
        <w:rPr>
          <w:rFonts w:ascii="Arial" w:cs="Arial" w:eastAsia="Arial" w:hAnsi="Arial"/>
          <w:sz w:val="18"/>
          <w:szCs w:val="18"/>
          <w:color w:val="auto"/>
        </w:rPr>
        <w:t>4,530</w:t>
      </w:r>
    </w:p>
    <w:p>
      <w:pPr>
        <w:jc w:val="right"/>
        <w:ind w:right="60"/>
        <w:spacing w:after="0" w:line="219" w:lineRule="auto"/>
        <w:rPr>
          <w:sz w:val="20"/>
          <w:szCs w:val="20"/>
          <w:color w:val="auto"/>
        </w:rPr>
      </w:pPr>
      <w:r>
        <w:rPr>
          <w:rFonts w:ascii="Arial" w:cs="Arial" w:eastAsia="Arial" w:hAnsi="Arial"/>
          <w:sz w:val="18"/>
          <w:szCs w:val="18"/>
          <w:color w:val="auto"/>
        </w:rPr>
        <w:t>233</w:t>
      </w:r>
    </w:p>
    <w:p>
      <w:pPr>
        <w:jc w:val="right"/>
        <w:ind w:right="60"/>
        <w:spacing w:after="0" w:line="219" w:lineRule="auto"/>
        <w:rPr>
          <w:sz w:val="20"/>
          <w:szCs w:val="20"/>
          <w:color w:val="auto"/>
        </w:rPr>
      </w:pPr>
      <w:r>
        <w:rPr>
          <w:rFonts w:ascii="Arial" w:cs="Arial" w:eastAsia="Arial" w:hAnsi="Arial"/>
          <w:sz w:val="18"/>
          <w:szCs w:val="18"/>
          <w:color w:val="auto"/>
        </w:rPr>
        <w:t>6,188</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ind w:left="570"/>
        <w:spacing w:after="0"/>
        <w:rPr>
          <w:sz w:val="20"/>
          <w:szCs w:val="20"/>
          <w:color w:val="auto"/>
        </w:rPr>
      </w:pPr>
      <w:r>
        <w:rPr>
          <w:rFonts w:ascii="Arial" w:cs="Arial" w:eastAsia="Arial" w:hAnsi="Arial"/>
          <w:sz w:val="18"/>
          <w:szCs w:val="18"/>
          <w:color w:val="auto"/>
        </w:rPr>
        <w:t>184,226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78,520</w:t>
      </w:r>
    </w:p>
    <w:p>
      <w:pPr>
        <w:jc w:val="right"/>
        <w:ind w:right="60"/>
        <w:spacing w:after="0" w:line="219" w:lineRule="auto"/>
        <w:rPr>
          <w:sz w:val="20"/>
          <w:szCs w:val="20"/>
          <w:color w:val="auto"/>
        </w:rPr>
      </w:pPr>
      <w:r>
        <w:rPr>
          <w:rFonts w:ascii="Arial" w:cs="Arial" w:eastAsia="Arial" w:hAnsi="Arial"/>
          <w:sz w:val="18"/>
          <w:szCs w:val="18"/>
          <w:color w:val="auto"/>
        </w:rPr>
        <w:t>24,150</w:t>
      </w:r>
    </w:p>
    <w:p>
      <w:pPr>
        <w:jc w:val="right"/>
        <w:spacing w:after="0"/>
        <w:rPr>
          <w:sz w:val="20"/>
          <w:szCs w:val="20"/>
          <w:color w:val="auto"/>
        </w:rPr>
      </w:pPr>
      <w:r>
        <w:rPr>
          <w:rFonts w:ascii="Arial" w:cs="Arial" w:eastAsia="Arial" w:hAnsi="Arial"/>
          <w:sz w:val="18"/>
          <w:szCs w:val="18"/>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ind w:left="570"/>
        <w:spacing w:after="0"/>
        <w:rPr>
          <w:sz w:val="20"/>
          <w:szCs w:val="20"/>
          <w:color w:val="auto"/>
        </w:rPr>
      </w:pPr>
      <w:r>
        <w:rPr>
          <w:rFonts w:ascii="Arial" w:cs="Arial" w:eastAsia="Arial" w:hAnsi="Arial"/>
          <w:sz w:val="18"/>
          <w:szCs w:val="18"/>
          <w:color w:val="auto"/>
        </w:rPr>
        <w:t>102,330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ind w:left="570" w:hanging="570"/>
        <w:spacing w:after="0"/>
        <w:tabs>
          <w:tab w:leader="none" w:pos="5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286,556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715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760" w:space="130"/>
            <w:col w:w="1270"/>
          </w:cols>
          <w:pgMar w:left="320" w:top="138" w:right="41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8" w:right="419" w:bottom="1440" w:gutter="0" w:footer="0" w:header="0"/>
          <w:type w:val="continuous"/>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FLOWS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405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2018</w:t>
            </w:r>
          </w:p>
        </w:tc>
      </w:tr>
      <w:tr>
        <w:trPr>
          <w:trHeight w:val="55"/>
        </w:trPr>
        <w:tc>
          <w:tcPr>
            <w:tcW w:w="7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44,281</w:t>
            </w:r>
          </w:p>
        </w:tc>
        <w:tc>
          <w:tcPr>
            <w:tcW w:w="3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39,240</w:t>
            </w:r>
          </w:p>
        </w:tc>
        <w:tc>
          <w:tcPr>
            <w:tcW w:w="2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16,571</w:t>
            </w: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to net cash from operations:</w:t>
            </w: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r>
      <w:tr>
        <w:trPr>
          <w:trHeight w:val="189"/>
        </w:trPr>
        <w:tc>
          <w:tcPr>
            <w:tcW w:w="7680" w:type="dxa"/>
            <w:vAlign w:val="bottom"/>
          </w:tcPr>
          <w:p>
            <w:pPr>
              <w:ind w:left="220"/>
              <w:spacing w:after="0" w:line="189" w:lineRule="exact"/>
              <w:rPr>
                <w:sz w:val="20"/>
                <w:szCs w:val="20"/>
                <w:color w:val="auto"/>
              </w:rPr>
            </w:pPr>
            <w:r>
              <w:rPr>
                <w:rFonts w:ascii="Arial" w:cs="Arial" w:eastAsia="Arial" w:hAnsi="Arial"/>
                <w:sz w:val="18"/>
                <w:szCs w:val="18"/>
                <w:color w:val="auto"/>
              </w:rPr>
              <w:t>Depreciation, amortization, and other</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12,796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11,682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10,261</w:t>
            </w:r>
          </w:p>
        </w:tc>
      </w:tr>
      <w:tr>
        <w:trPr>
          <w:trHeight w:val="189"/>
        </w:trPr>
        <w:tc>
          <w:tcPr>
            <w:tcW w:w="76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5,289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4,652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3,940</w:t>
            </w:r>
          </w:p>
        </w:tc>
      </w:tr>
      <w:tr>
        <w:trPr>
          <w:trHeight w:val="189"/>
        </w:trPr>
        <w:tc>
          <w:tcPr>
            <w:tcW w:w="7680" w:type="dxa"/>
            <w:vAlign w:val="bottom"/>
          </w:tcPr>
          <w:p>
            <w:pPr>
              <w:ind w:left="220"/>
              <w:spacing w:after="0" w:line="189" w:lineRule="exact"/>
              <w:rPr>
                <w:sz w:val="20"/>
                <w:szCs w:val="20"/>
                <w:color w:val="auto"/>
              </w:rPr>
            </w:pPr>
            <w:r>
              <w:rPr>
                <w:rFonts w:ascii="Arial" w:cs="Arial" w:eastAsia="Arial" w:hAnsi="Arial"/>
                <w:sz w:val="18"/>
                <w:szCs w:val="18"/>
                <w:color w:val="auto"/>
              </w:rPr>
              <w:t>Net recognized gains on investments and derivatives</w:t>
            </w: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(792)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(2,212)</w:t>
            </w:r>
          </w:p>
        </w:tc>
      </w:tr>
      <w:tr>
        <w:trPr>
          <w:trHeight w:val="189"/>
        </w:trPr>
        <w:tc>
          <w:tcPr>
            <w:tcW w:w="76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(6,463)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(5,143)</w:t>
            </w:r>
          </w:p>
        </w:tc>
      </w:tr>
      <w:tr>
        <w:trPr>
          <w:trHeight w:val="189"/>
        </w:trPr>
        <w:tc>
          <w:tcPr>
            <w:tcW w:w="7680" w:type="dxa"/>
            <w:vAlign w:val="bottom"/>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6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(2,577)</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(2,812)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(3,862)</w:t>
            </w:r>
          </w:p>
        </w:tc>
      </w:tr>
      <w:tr>
        <w:trPr>
          <w:trHeight w:val="189"/>
        </w:trPr>
        <w:tc>
          <w:tcPr>
            <w:tcW w:w="7680" w:type="dxa"/>
            <w:vAlign w:val="bottom"/>
          </w:tcPr>
          <w:p>
            <w:pPr>
              <w:ind w:left="440"/>
              <w:spacing w:after="0" w:line="189" w:lineRule="exact"/>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(465)</w:t>
            </w:r>
          </w:p>
        </w:tc>
      </w:tr>
      <w:tr>
        <w:trPr>
          <w:trHeight w:val="189"/>
        </w:trPr>
        <w:tc>
          <w:tcPr>
            <w:tcW w:w="76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(2,330)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(1,718)</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(952)</w:t>
            </w:r>
          </w:p>
        </w:tc>
      </w:tr>
      <w:tr>
        <w:trPr>
          <w:trHeight w:val="189"/>
        </w:trPr>
        <w:tc>
          <w:tcPr>
            <w:tcW w:w="7680" w:type="dxa"/>
            <w:vAlign w:val="bottom"/>
          </w:tcPr>
          <w:p>
            <w:pPr>
              <w:ind w:left="440"/>
              <w:spacing w:after="0" w:line="189" w:lineRule="exact"/>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(1,037)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(1,834)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(285)</w:t>
            </w:r>
          </w:p>
        </w:tc>
      </w:tr>
      <w:tr>
        <w:trPr>
          <w:trHeight w:val="189"/>
        </w:trPr>
        <w:tc>
          <w:tcPr>
            <w:tcW w:w="76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3,018</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1,148</w:t>
            </w:r>
          </w:p>
        </w:tc>
      </w:tr>
      <w:tr>
        <w:trPr>
          <w:trHeight w:val="189"/>
        </w:trPr>
        <w:tc>
          <w:tcPr>
            <w:tcW w:w="7680" w:type="dxa"/>
            <w:vAlign w:val="bottom"/>
          </w:tcPr>
          <w:p>
            <w:pPr>
              <w:ind w:left="440"/>
              <w:spacing w:after="0" w:line="189" w:lineRule="exact"/>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2,212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4,462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5,922</w:t>
            </w:r>
          </w:p>
        </w:tc>
      </w:tr>
      <w:tr>
        <w:trPr>
          <w:trHeight w:val="189"/>
        </w:trPr>
        <w:tc>
          <w:tcPr>
            <w:tcW w:w="76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Income taxes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(3,631)</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2,929</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18,183</w:t>
            </w:r>
          </w:p>
        </w:tc>
      </w:tr>
      <w:tr>
        <w:trPr>
          <w:trHeight w:val="189"/>
        </w:trPr>
        <w:tc>
          <w:tcPr>
            <w:tcW w:w="7680" w:type="dxa"/>
            <w:vAlign w:val="bottom"/>
          </w:tcPr>
          <w:p>
            <w:pPr>
              <w:ind w:left="440"/>
              <w:spacing w:after="0" w:line="189" w:lineRule="exact"/>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1,346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1,419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798</w:t>
            </w:r>
          </w:p>
        </w:tc>
      </w:tr>
      <w:tr>
        <w:trPr>
          <w:trHeight w:val="189"/>
        </w:trPr>
        <w:tc>
          <w:tcPr>
            <w:tcW w:w="768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1,348</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591</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(20)</w:t>
            </w:r>
          </w:p>
        </w:tc>
      </w:tr>
      <w:tr>
        <w:trPr>
          <w:trHeight w:val="68"/>
        </w:trPr>
        <w:tc>
          <w:tcPr>
            <w:tcW w:w="76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3"/>
        </w:trPr>
        <w:tc>
          <w:tcPr>
            <w:tcW w:w="768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26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60,675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52,185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43,884</w:t>
            </w:r>
          </w:p>
        </w:tc>
      </w:tr>
      <w:tr>
        <w:trPr>
          <w:trHeight w:val="54"/>
        </w:trPr>
        <w:tc>
          <w:tcPr>
            <w:tcW w:w="7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7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Financing</w:t>
            </w: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Repayments of short-term debt, maturities of 90 days or less, net</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(7,324)</w:t>
            </w: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Proceeds from issuance of debt</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7,183</w:t>
            </w: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Cash premium on debt exchange</w:t>
            </w: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(3,417)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w:t>
            </w: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Repayments of debt</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(5,518)</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(4,000)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(10,060)</w:t>
            </w: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Common stock issued</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1,343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1,142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1,002</w:t>
            </w: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repurchased</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(22,968)</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(19,543)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(10,721)</w:t>
            </w: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(15,137)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(13,811)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(12,699)</w:t>
            </w: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(334)</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(675)</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(971)</w:t>
            </w:r>
          </w:p>
        </w:tc>
      </w:tr>
      <w:tr>
        <w:trPr>
          <w:trHeight w:val="68"/>
        </w:trPr>
        <w:tc>
          <w:tcPr>
            <w:tcW w:w="76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4"/>
        </w:trPr>
        <w:tc>
          <w:tcPr>
            <w:tcW w:w="7680" w:type="dxa"/>
            <w:vAlign w:val="bottom"/>
          </w:tcPr>
          <w:p>
            <w:pPr>
              <w:ind w:left="660"/>
              <w:spacing w:after="0"/>
              <w:rPr>
                <w:sz w:val="20"/>
                <w:szCs w:val="20"/>
                <w:color w:val="auto"/>
              </w:rPr>
            </w:pPr>
            <w:r>
              <w:rPr>
                <w:rFonts w:ascii="Arial" w:cs="Arial" w:eastAsia="Arial" w:hAnsi="Arial"/>
                <w:sz w:val="18"/>
                <w:szCs w:val="18"/>
                <w:color w:val="auto"/>
              </w:rPr>
              <w:t>Net cash used in financing</w:t>
            </w:r>
          </w:p>
        </w:tc>
        <w:tc>
          <w:tcPr>
            <w:tcW w:w="2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(46,031)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(36,887)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(33,590)</w:t>
            </w:r>
          </w:p>
        </w:tc>
      </w:tr>
      <w:tr>
        <w:trPr>
          <w:trHeight w:val="54"/>
        </w:trPr>
        <w:tc>
          <w:tcPr>
            <w:tcW w:w="7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7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Investing</w:t>
            </w: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(15,441)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(13,925)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(11,632)</w:t>
            </w: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Acquisition of companies, net of cash acquired, and purchases of intangible and other assets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(2,521)</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(2,388)</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(888)</w:t>
            </w: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(77,190)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(57,697)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(137,380)</w:t>
            </w: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Maturities of investments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66,449</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20,043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26,360</w:t>
            </w: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Sales of investments</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17,721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38,194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117,577</w:t>
            </w: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(1,241)</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(98)</w:t>
            </w:r>
          </w:p>
        </w:tc>
      </w:tr>
      <w:tr>
        <w:trPr>
          <w:trHeight w:val="68"/>
        </w:trPr>
        <w:tc>
          <w:tcPr>
            <w:tcW w:w="76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4"/>
        </w:trPr>
        <w:tc>
          <w:tcPr>
            <w:tcW w:w="7680" w:type="dxa"/>
            <w:vAlign w:val="bottom"/>
          </w:tcPr>
          <w:p>
            <w:pPr>
              <w:ind w:left="660"/>
              <w:spacing w:after="0"/>
              <w:rPr>
                <w:sz w:val="20"/>
                <w:szCs w:val="20"/>
                <w:color w:val="auto"/>
              </w:rPr>
            </w:pPr>
            <w:r>
              <w:rPr>
                <w:rFonts w:ascii="Arial" w:cs="Arial" w:eastAsia="Arial" w:hAnsi="Arial"/>
                <w:sz w:val="18"/>
                <w:szCs w:val="18"/>
                <w:color w:val="auto"/>
              </w:rPr>
              <w:t>Net cash used in investing</w:t>
            </w:r>
          </w:p>
        </w:tc>
        <w:tc>
          <w:tcPr>
            <w:tcW w:w="2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(12,223)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(15,773)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(6,061)</w:t>
            </w:r>
          </w:p>
        </w:tc>
      </w:tr>
      <w:tr>
        <w:trPr>
          <w:trHeight w:val="54"/>
        </w:trPr>
        <w:tc>
          <w:tcPr>
            <w:tcW w:w="7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7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Effect of foreign exchange rates on cash and cash equivalents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(201)</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(115)</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50</w:t>
            </w:r>
          </w:p>
        </w:tc>
      </w:tr>
      <w:tr>
        <w:trPr>
          <w:trHeight w:val="68"/>
        </w:trPr>
        <w:tc>
          <w:tcPr>
            <w:tcW w:w="76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61"/>
        </w:trPr>
        <w:tc>
          <w:tcPr>
            <w:tcW w:w="7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2,220</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(590)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4,283</w:t>
            </w:r>
          </w:p>
        </w:tc>
      </w:tr>
      <w:tr>
        <w:trPr>
          <w:trHeight w:val="250"/>
        </w:trPr>
        <w:tc>
          <w:tcPr>
            <w:tcW w:w="76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11,946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7,663</w:t>
            </w:r>
          </w:p>
        </w:tc>
      </w:tr>
      <w:tr>
        <w:trPr>
          <w:trHeight w:val="68"/>
        </w:trPr>
        <w:tc>
          <w:tcPr>
            <w:tcW w:w="76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7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end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13,576</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11,356</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11,946</w:t>
            </w:r>
          </w:p>
        </w:tc>
      </w:tr>
      <w:tr>
        <w:trPr>
          <w:trHeight w:val="75"/>
        </w:trPr>
        <w:tc>
          <w:tcPr>
            <w:tcW w:w="76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8" w:right="31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r>
      <w:tr>
        <w:trPr>
          <w:trHeight w:val="54"/>
        </w:trPr>
        <w:tc>
          <w:tcPr>
            <w:tcW w:w="48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88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8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80"/>
              <w:spacing w:after="0" w:line="189" w:lineRule="exact"/>
              <w:rPr>
                <w:sz w:val="20"/>
                <w:szCs w:val="20"/>
                <w:color w:val="auto"/>
              </w:rPr>
            </w:pPr>
            <w:r>
              <w:rPr>
                <w:rFonts w:ascii="Arial" w:cs="Arial" w:eastAsia="Arial" w:hAnsi="Arial"/>
                <w:sz w:val="18"/>
                <w:szCs w:val="18"/>
                <w:b w:val="1"/>
                <w:bCs w:val="1"/>
                <w:color w:val="auto"/>
              </w:rPr>
              <w:t>78,520</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71,223</w:t>
            </w:r>
          </w:p>
        </w:tc>
        <w:tc>
          <w:tcPr>
            <w:tcW w:w="3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69,315</w:t>
            </w:r>
          </w:p>
        </w:tc>
      </w:tr>
      <w:tr>
        <w:trPr>
          <w:trHeight w:val="203"/>
        </w:trPr>
        <w:tc>
          <w:tcPr>
            <w:tcW w:w="4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26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1,343</w:t>
            </w:r>
          </w:p>
        </w:tc>
        <w:tc>
          <w:tcPr>
            <w:tcW w:w="2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6,829</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1,002</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(4,599)</w:t>
            </w: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(3,033)</w:t>
            </w:r>
          </w:p>
        </w:tc>
      </w:tr>
      <w:tr>
        <w:trPr>
          <w:trHeight w:val="203"/>
        </w:trPr>
        <w:tc>
          <w:tcPr>
            <w:tcW w:w="4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6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5,289</w:t>
            </w:r>
          </w:p>
        </w:tc>
        <w:tc>
          <w:tcPr>
            <w:tcW w:w="2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4,652</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3,940</w:t>
            </w:r>
          </w:p>
        </w:tc>
      </w:tr>
      <w:tr>
        <w:trPr>
          <w:trHeight w:val="239"/>
        </w:trPr>
        <w:tc>
          <w:tcPr>
            <w:tcW w:w="4880" w:type="dxa"/>
            <w:vAlign w:val="bottom"/>
          </w:tcPr>
          <w:p>
            <w:pPr>
              <w:spacing w:after="0"/>
              <w:rPr>
                <w:sz w:val="20"/>
                <w:szCs w:val="20"/>
                <w:color w:val="auto"/>
              </w:rPr>
            </w:pPr>
            <w:r>
              <w:rPr>
                <w:rFonts w:ascii="Arial" w:cs="Arial" w:eastAsia="Arial" w:hAnsi="Arial"/>
                <w:sz w:val="18"/>
                <w:szCs w:val="18"/>
                <w:color w:val="auto"/>
              </w:rPr>
              <w:t>Other, net</w:t>
            </w: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31"/>
        </w:trPr>
        <w:tc>
          <w:tcPr>
            <w:tcW w:w="48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61"/>
        </w:trPr>
        <w:tc>
          <w:tcPr>
            <w:tcW w:w="48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8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80,552</w:t>
            </w: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78,520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71,223</w:t>
            </w:r>
          </w:p>
        </w:tc>
      </w:tr>
      <w:tr>
        <w:trPr>
          <w:trHeight w:val="68"/>
        </w:trPr>
        <w:tc>
          <w:tcPr>
            <w:tcW w:w="488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24,150</w:t>
            </w: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13,682</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17,769</w:t>
            </w:r>
          </w:p>
        </w:tc>
      </w:tr>
      <w:tr>
        <w:trPr>
          <w:trHeight w:val="189"/>
        </w:trPr>
        <w:tc>
          <w:tcPr>
            <w:tcW w:w="48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80"/>
              <w:spacing w:after="0" w:line="189" w:lineRule="exact"/>
              <w:rPr>
                <w:sz w:val="20"/>
                <w:szCs w:val="20"/>
                <w:color w:val="auto"/>
              </w:rPr>
            </w:pPr>
            <w:r>
              <w:rPr>
                <w:rFonts w:ascii="Arial" w:cs="Arial" w:eastAsia="Arial" w:hAnsi="Arial"/>
                <w:sz w:val="18"/>
                <w:szCs w:val="18"/>
                <w:b w:val="1"/>
                <w:bCs w:val="1"/>
                <w:color w:val="auto"/>
              </w:rPr>
              <w:t>44,281</w:t>
            </w:r>
          </w:p>
        </w:tc>
        <w:tc>
          <w:tcPr>
            <w:tcW w:w="220" w:type="dxa"/>
            <w:vAlign w:val="bottom"/>
          </w:tcPr>
          <w:p>
            <w:pPr>
              <w:spacing w:after="0"/>
              <w:rPr>
                <w:sz w:val="16"/>
                <w:szCs w:val="16"/>
                <w:color w:val="auto"/>
              </w:rPr>
            </w:pP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39,240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16,571</w:t>
            </w: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(15,483)</w:t>
            </w: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(14,103)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(12,917)</w:t>
            </w:r>
          </w:p>
        </w:tc>
      </w:tr>
      <w:tr>
        <w:trPr>
          <w:trHeight w:val="189"/>
        </w:trPr>
        <w:tc>
          <w:tcPr>
            <w:tcW w:w="488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(18,382)</w:t>
            </w:r>
          </w:p>
        </w:tc>
        <w:tc>
          <w:tcPr>
            <w:tcW w:w="22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(15,346)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(7,699)</w:t>
            </w: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677</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w:t>
            </w:r>
          </w:p>
        </w:tc>
      </w:tr>
      <w:tr>
        <w:trPr>
          <w:trHeight w:val="68"/>
        </w:trPr>
        <w:tc>
          <w:tcPr>
            <w:tcW w:w="488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880" w:type="dxa"/>
            <w:vAlign w:val="bottom"/>
          </w:tcPr>
          <w:p>
            <w:pPr>
              <w:ind w:left="220"/>
              <w:spacing w:after="0"/>
              <w:rPr>
                <w:sz w:val="20"/>
                <w:szCs w:val="20"/>
                <w:color w:val="auto"/>
              </w:rPr>
            </w:pPr>
            <w:r>
              <w:rPr>
                <w:rFonts w:ascii="Arial" w:cs="Arial" w:eastAsia="Arial" w:hAnsi="Arial"/>
                <w:sz w:val="18"/>
                <w:szCs w:val="18"/>
                <w:color w:val="auto"/>
              </w:rPr>
              <w:t>Balance, end of period</w:t>
            </w:r>
          </w:p>
        </w:tc>
        <w:tc>
          <w:tcPr>
            <w:tcW w:w="2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34,566</w:t>
            </w:r>
          </w:p>
        </w:tc>
        <w:tc>
          <w:tcPr>
            <w:tcW w:w="2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24,150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13,682</w:t>
            </w:r>
          </w:p>
        </w:tc>
      </w:tr>
      <w:tr>
        <w:trPr>
          <w:trHeight w:val="54"/>
        </w:trPr>
        <w:tc>
          <w:tcPr>
            <w:tcW w:w="48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8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 (loss)</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88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(340)</w:t>
            </w:r>
          </w:p>
        </w:tc>
        <w:tc>
          <w:tcPr>
            <w:tcW w:w="22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(2,187)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627</w:t>
            </w: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3,526</w:t>
            </w: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1,914</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(2,856)</w:t>
            </w:r>
          </w:p>
        </w:tc>
      </w:tr>
      <w:tr>
        <w:trPr>
          <w:trHeight w:val="250"/>
        </w:trPr>
        <w:tc>
          <w:tcPr>
            <w:tcW w:w="488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68"/>
        </w:trPr>
        <w:tc>
          <w:tcPr>
            <w:tcW w:w="4880" w:type="dxa"/>
            <w:vAlign w:val="bottom"/>
            <w:tcBorders>
              <w:top w:val="single" w:sz="8" w:color="auto"/>
            </w:tcBorders>
          </w:tcPr>
          <w:p>
            <w:pPr>
              <w:spacing w:after="0"/>
              <w:rPr>
                <w:sz w:val="5"/>
                <w:szCs w:val="5"/>
                <w:color w:val="auto"/>
              </w:rPr>
            </w:pPr>
          </w:p>
        </w:tc>
        <w:tc>
          <w:tcPr>
            <w:tcW w:w="26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8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26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3,186</w:t>
            </w: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(340)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(2,187)</w:t>
            </w:r>
          </w:p>
        </w:tc>
      </w:tr>
      <w:tr>
        <w:trPr>
          <w:trHeight w:val="68"/>
        </w:trPr>
        <w:tc>
          <w:tcPr>
            <w:tcW w:w="48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118,304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102,330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82,718</w:t>
            </w:r>
          </w:p>
        </w:tc>
      </w:tr>
      <w:tr>
        <w:trPr>
          <w:trHeight w:val="61"/>
        </w:trPr>
        <w:tc>
          <w:tcPr>
            <w:tcW w:w="48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48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8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2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2.04</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1.84</w:t>
            </w:r>
          </w:p>
        </w:tc>
        <w:tc>
          <w:tcPr>
            <w:tcW w:w="3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1.68</w:t>
            </w:r>
          </w:p>
        </w:tc>
      </w:tr>
      <w:tr>
        <w:trPr>
          <w:trHeight w:val="68"/>
        </w:trPr>
        <w:tc>
          <w:tcPr>
            <w:tcW w:w="488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412"/>
        </w:trPr>
        <w:tc>
          <w:tcPr>
            <w:tcW w:w="488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9"/>
        </w:trPr>
        <w:tc>
          <w:tcPr>
            <w:tcW w:w="4880" w:type="dxa"/>
            <w:vAlign w:val="bottom"/>
          </w:tcPr>
          <w:p>
            <w:pPr>
              <w:spacing w:after="0"/>
              <w:rPr>
                <w:sz w:val="24"/>
                <w:szCs w:val="24"/>
                <w:color w:val="auto"/>
              </w:rPr>
            </w:pPr>
          </w:p>
        </w:tc>
        <w:tc>
          <w:tcPr>
            <w:tcW w:w="2640" w:type="dxa"/>
            <w:vAlign w:val="bottom"/>
          </w:tcPr>
          <w:p>
            <w:pPr>
              <w:jc w:val="right"/>
              <w:ind w:right="1735"/>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8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(“GAAP”).</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recast certain prior period amounts to conform to the current period presentation. The recast of these prior period amounts had no impact on our consolidated balance sheets, consolidated income statements, or net cash from or used in operating, financing, or investing on our consolidated cash flows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 including uncertainty in the current economic environment due to the recent outbreak of a novel strain of the coronavirus (“COVID-19”).</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2020, we completed an assessment of the useful lives of our server and network equipment and determined we should increase the estimated useful life of server equipment from three years to four years and increase the estimated useful life of network equipment from two years to four years. This change in accounting estimate will be effective beginning fiscal year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 revenue includes sales from operating systems; cross-device productivity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Office 365, Azure, Dynamics 365, and Xbox Live; solution support; and consulting services. Service and other revenue also includes sales from online advertising and LinkedIn.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19 – Segment Information and Geographic Data for further information, including revenue by significant product and service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June 30, 2020 and 2019, long-term accounts receivable, net of allowance for doubtful accounts, was $2.7 billion and $2.2 billion, respectively, and is included in other long-term assets in our consolidated balance sheets.</w:t>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062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6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9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434</w:t>
            </w:r>
          </w:p>
        </w:tc>
        <w:tc>
          <w:tcPr>
            <w:tcW w:w="120" w:type="dxa"/>
            <w:vAlign w:val="bottom"/>
            <w:shd w:val="clear" w:color="auto" w:fill="E5E5E5"/>
          </w:tcPr>
          <w:p>
            <w:pPr>
              <w:spacing w:after="0"/>
              <w:rPr>
                <w:sz w:val="16"/>
                <w:szCs w:val="16"/>
                <w:color w:val="auto"/>
              </w:rPr>
            </w:pPr>
          </w:p>
        </w:tc>
        <w:tc>
          <w:tcPr>
            <w:tcW w:w="58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397</w:t>
            </w:r>
          </w:p>
        </w:tc>
        <w:tc>
          <w:tcPr>
            <w:tcW w:w="100" w:type="dxa"/>
            <w:vAlign w:val="bottom"/>
            <w:shd w:val="clear" w:color="auto" w:fill="E5E5E5"/>
          </w:tcPr>
          <w:p>
            <w:pPr>
              <w:spacing w:after="0"/>
              <w:rPr>
                <w:sz w:val="16"/>
                <w:szCs w:val="16"/>
                <w:color w:val="auto"/>
              </w:rPr>
            </w:pPr>
          </w:p>
        </w:tc>
        <w:tc>
          <w:tcPr>
            <w:tcW w:w="620" w:type="dxa"/>
            <w:vAlign w:val="bottom"/>
            <w:gridSpan w:val="3"/>
            <w:shd w:val="clear" w:color="auto" w:fill="E5E5E5"/>
          </w:tcPr>
          <w:p>
            <w:pPr>
              <w:jc w:val="right"/>
              <w:ind w:right="440"/>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361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20"/>
              <w:spacing w:after="0" w:line="189" w:lineRule="exact"/>
              <w:rPr>
                <w:sz w:val="20"/>
                <w:szCs w:val="20"/>
                <w:color w:val="auto"/>
              </w:rPr>
            </w:pPr>
            <w:r>
              <w:rPr>
                <w:rFonts w:ascii="Arial" w:cs="Arial" w:eastAsia="Arial" w:hAnsi="Arial"/>
                <w:sz w:val="18"/>
                <w:szCs w:val="18"/>
                <w:color w:val="auto"/>
              </w:rPr>
              <w:t>Charged to costs and other</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560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Write-offs</w:t>
            </w:r>
          </w:p>
        </w:tc>
        <w:tc>
          <w:tcPr>
            <w:tcW w:w="4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(178)</w:t>
            </w:r>
          </w:p>
        </w:tc>
        <w:tc>
          <w:tcPr>
            <w:tcW w:w="8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(116)</w:t>
            </w:r>
          </w:p>
        </w:tc>
        <w:tc>
          <w:tcPr>
            <w:tcW w:w="8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78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0"/>
                <w:szCs w:val="20"/>
                <w:color w:val="auto"/>
              </w:rPr>
            </w:pPr>
            <w:r>
              <w:rPr>
                <w:rFonts w:ascii="Arial" w:cs="Arial" w:eastAsia="Arial" w:hAnsi="Arial"/>
                <w:sz w:val="18"/>
                <w:szCs w:val="18"/>
                <w:color w:val="auto"/>
              </w:rPr>
              <w:t>Balance, end of period</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816</w:t>
            </w:r>
          </w:p>
        </w:tc>
        <w:tc>
          <w:tcPr>
            <w:tcW w:w="120" w:type="dxa"/>
            <w:vAlign w:val="bottom"/>
          </w:tcPr>
          <w:p>
            <w:pPr>
              <w:spacing w:after="0"/>
              <w:rPr>
                <w:sz w:val="22"/>
                <w:szCs w:val="22"/>
                <w:color w:val="auto"/>
              </w:rPr>
            </w:pPr>
          </w:p>
        </w:tc>
        <w:tc>
          <w:tcPr>
            <w:tcW w:w="5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2"/>
                <w:szCs w:val="22"/>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560" w:type="dxa"/>
            <w:vAlign w:val="bottom"/>
            <w:vMerge w:val="restart"/>
          </w:tcPr>
          <w:p>
            <w:pPr>
              <w:spacing w:after="0"/>
              <w:rPr>
                <w:sz w:val="20"/>
                <w:szCs w:val="20"/>
                <w:color w:val="auto"/>
              </w:rPr>
            </w:pPr>
            <w:r>
              <w:rPr>
                <w:rFonts w:ascii="Arial" w:cs="Arial" w:eastAsia="Arial" w:hAnsi="Arial"/>
                <w:sz w:val="18"/>
                <w:szCs w:val="18"/>
                <w:color w:val="auto"/>
              </w:rPr>
              <w:t>Allowance for doubtful accounts included in our consolidated balance sheets:</w:t>
            </w:r>
          </w:p>
        </w:tc>
        <w:tc>
          <w:tcPr>
            <w:tcW w:w="4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5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3"/>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3"/>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656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656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9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788</w:t>
            </w:r>
          </w:p>
        </w:tc>
        <w:tc>
          <w:tcPr>
            <w:tcW w:w="580" w:type="dxa"/>
            <w:vAlign w:val="bottom"/>
            <w:gridSpan w:val="3"/>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411</w:t>
            </w:r>
          </w:p>
        </w:tc>
        <w:tc>
          <w:tcPr>
            <w:tcW w:w="62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377</w:t>
            </w:r>
          </w:p>
        </w:tc>
        <w:tc>
          <w:tcPr>
            <w:tcW w:w="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60" w:type="dxa"/>
            <w:vAlign w:val="bottom"/>
          </w:tcPr>
          <w:p>
            <w:pPr>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65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816</w:t>
            </w:r>
          </w:p>
        </w:tc>
        <w:tc>
          <w:tcPr>
            <w:tcW w:w="580" w:type="dxa"/>
            <w:vAlign w:val="bottom"/>
            <w:gridSpan w:val="3"/>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434</w:t>
            </w:r>
          </w:p>
        </w:tc>
        <w:tc>
          <w:tcPr>
            <w:tcW w:w="62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397</w:t>
            </w:r>
          </w:p>
        </w:tc>
        <w:tc>
          <w:tcPr>
            <w:tcW w:w="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560" w:type="dxa"/>
            <w:vAlign w:val="bottom"/>
            <w:vMerge w:val="restart"/>
          </w:tcPr>
          <w:p>
            <w:pPr>
              <w:ind w:left="5540"/>
              <w:spacing w:after="0"/>
              <w:rPr>
                <w:sz w:val="20"/>
                <w:szCs w:val="20"/>
                <w:color w:val="auto"/>
              </w:rPr>
            </w:pPr>
            <w:r>
              <w:rPr>
                <w:rFonts w:ascii="Arial" w:cs="Arial" w:eastAsia="Arial" w:hAnsi="Arial"/>
                <w:sz w:val="14"/>
                <w:szCs w:val="14"/>
                <w:color w:val="auto"/>
              </w:rPr>
              <w:t>62</w:t>
            </w:r>
          </w:p>
        </w:tc>
        <w:tc>
          <w:tcPr>
            <w:tcW w:w="42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5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2" w:name="page63"/>
    <w:bookmarkEnd w:id="6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Live subscriptions; Windows 10 post-delivery support; Dynamics business solutions; Skype prepaid credits and subscriptions; and other offerings for which we have been paid in advance and earn the revenue when we transfer control of the product or service.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13 – Unearned Revenue for further information, including unearned revenue by segment and changes in unearned revenue during the period.</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June 30, 2020 and 2019, our financing receivables, net were $5.2 billion and $4.3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apply a practical expedient to expense costs as incurred for costs to obtain a contract with a customer when the amortization period would have been one year or less. These costs include our internal sales force compensation program and certain partner sales incentive programs as we have determined annual compensation is commensurate with annual sales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 of revenue includes: manufacturing and distribution costs for products sold and programs licensed; operating costs related to product support service centers and product distribution centers; costs incurred to include software on PCs sold by original equipment manufacturers (“OEM”), to drive traffic to our websites, and to acquire online advertising space; costs incurred to support and maintain online products and services, including datacenter costs and royalties; warranty costs; inventory valuation adjustments; costs associated with the delivery of consulting services; and the amortization of capitalized software development costs. Capitalized software development costs are amortized over the estimated lives of the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provide for the estimated costs of fulfilling our obligations under hardware and software warranties at the time the related revenue is recognized. For hardware warranties, we estimate the costs based on historical and projected product failure rates, historical and projected repair costs, and knowledge of specific product failures (if any). The specific hardware warranty terms and conditions vary depending upon the product sold and the country in which we do business, but generally include parts and labor over a period generally ranging from 90 days to three years. For software warranties, we estimate the costs to provide bug fixes, such as security patches, over the estimated life of the software. We regularly reevaluate our estimates to assess the adequacy of the recorded warranty liabilities and adjust the amounts as necessary.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3" w:name="page64"/>
    <w:bookmarkEnd w:id="6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 Advertising costs are expensed as incurred. Advertising expense was $1.6 billion in fiscal years 2020, 2019, and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for the employee stock purchase plan (“ESPP”) is measured as the discount the employee is entitled to upon purchase and is recognized in the period of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in our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4" w:name="page65"/>
    <w:bookmarkEnd w:id="6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other-than-temporary impairments, are recorded in other comprehensive income. Debt investments are impaired when a decline in fair value is judged to be other-than-temporary. Fair value is calculated based on publicly available market information or other estimates determined by management. We employ a systematic methodology on a quarterly basis that considers available quantitative and qualitative evidence in evaluating potential impairment of our investments. If the cost of an investment exceeds its fair value, we evaluate, among other factors, general market conditions, credit quality of debt instrument issuers, and the duration and extent to which the fair value is less than cost. We also evaluate whether we have plans to sell the security or it is more likely than not that we will be required to sell the security before recovery. In addition, we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in other income (expense), net and a new cost basis in the investment is established.</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quarterly basis and recognize an impairment if there are sufficient indicators that the fair value of the investment is less than carrying value. Changes in value are recorded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earnings with the corresponding hedged item. Gains and losses representing hedge components excluded from the assessment of effectiveness are recognized in earnings.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6" w:lineRule="exact"/>
        <w:rPr>
          <w:sz w:val="20"/>
          <w:szCs w:val="20"/>
          <w:color w:val="auto"/>
        </w:rPr>
      </w:pPr>
    </w:p>
    <w:p>
      <w:pPr>
        <w:jc w:val="both"/>
        <w:ind w:left="1060" w:hanging="391"/>
        <w:spacing w:after="0" w:line="250"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28" w:lineRule="exact"/>
        <w:rPr>
          <w:rFonts w:ascii="Arial" w:cs="Arial" w:eastAsia="Arial" w:hAnsi="Arial"/>
          <w:sz w:val="18"/>
          <w:szCs w:val="18"/>
          <w:color w:val="auto"/>
        </w:rPr>
      </w:pPr>
    </w:p>
    <w:p>
      <w:pPr>
        <w:jc w:val="both"/>
        <w:ind w:left="1060" w:hanging="391"/>
        <w:spacing w:after="0" w:line="239"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primarily include certain over-the-counter option and swap contracts.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5" w:name="page66"/>
    <w:bookmarkEnd w:id="6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both"/>
        <w:ind w:left="1060" w:hanging="391"/>
        <w:spacing w:after="0" w:line="242"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If our review indicates a reduction in utility below carrying value, we reduce our inventory to a new cost basis through a charge to cost of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computer software developed or acquired for internal use, three to seven years; computer equipment, two to three years; buildings and improvements, five to 15 years; leasehold improvements, three to 20 years; and furniture and equipment, one to 10 years. Land is not depreciated.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6" w:name="page67"/>
    <w:bookmarkEnd w:id="6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intangible assets are subject to amortization and are amortized using the straight-line method over their estimated period of benefit, ranging from one to 20 years. We evaluate the recoverability of intangible assets periodically by taking into account events or circumstances that may warrant revised estimates of useful lives or that indicate the asset may be impaired.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Targeted Improvements to Accounting for Hedging Activities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August 2017, the Financial Accounting Standards Board (“FASB”) issued new guidance related to accounting for hedging activities. This guidance expands strategies that qualify for hedge accounting, changes how many hedging relationships are presented in the financial statements, and simplifies the application of hedge accounting in certain situations. We adopted the standard effective July 1, 2019. As we did not hold derivative instruments requiring an adjustment upon adoption, there was no impact in our consolidated financial statements. Adoption of the standard enhanced the presentation of the effects of our hedging instruments and the hedged items in our consolidated financial statements to increase the understandability of the results of our hedging strategies.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will be required to use a forward-looking expected credit loss model for accounts receivable, loans, and other financial instruments. Credit losses relating to available-for-sale debt securities will also be recorded through an allowance for credit losses rather than as a reduction in the amortized cost basis of the securities. The standard will be adopted upon the effective date for us beginning July 1, 2020. Adoption of the standard will be applied using a modified retrospective approach through a cumulative-effect adjustment to retained earnings as of the effective date to align our credit loss methodology with the new standard. We have evaluated the impact of this standard in our consolidated financial statements, including accounting policies, processes, and systems. We continue to monitor economic implications of the COVID-19 pandemic. Based on current market conditions, adoption of the standard will not have a material impact on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The standard will be effective for us beginning July 1, 2021, with early adoption permitted. We are currently evaluating the impact of this standard in our consolidated financial statements, including accounting policies, processes, and systems.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7" w:name="page68"/>
    <w:bookmarkEnd w:id="6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44,281</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39,240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3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7,610</w:t>
            </w:r>
          </w:p>
        </w:tc>
        <w:tc>
          <w:tcPr>
            <w:tcW w:w="3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7,673</w:t>
            </w:r>
          </w:p>
        </w:tc>
        <w:tc>
          <w:tcPr>
            <w:tcW w:w="340" w:type="dxa"/>
            <w:vAlign w:val="bottom"/>
          </w:tcPr>
          <w:p>
            <w:pPr>
              <w:spacing w:after="0"/>
              <w:rPr>
                <w:sz w:val="22"/>
                <w:szCs w:val="22"/>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34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73</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80</w:t>
            </w:r>
          </w:p>
        </w:tc>
        <w:tc>
          <w:tcPr>
            <w:tcW w:w="34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68"/>
        </w:trPr>
        <w:tc>
          <w:tcPr>
            <w:tcW w:w="73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32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3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7,683</w:t>
            </w:r>
          </w:p>
        </w:tc>
        <w:tc>
          <w:tcPr>
            <w:tcW w:w="3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7,753</w:t>
            </w:r>
          </w:p>
        </w:tc>
        <w:tc>
          <w:tcPr>
            <w:tcW w:w="340" w:type="dxa"/>
            <w:vAlign w:val="bottom"/>
          </w:tcPr>
          <w:p>
            <w:pPr>
              <w:spacing w:after="0"/>
              <w:rPr>
                <w:sz w:val="22"/>
                <w:szCs w:val="22"/>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61"/>
        </w:trPr>
        <w:tc>
          <w:tcPr>
            <w:tcW w:w="732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5.82</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5.11</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2.15</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5.76</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5.06</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25" w:lineRule="exact"/>
        <w:rPr>
          <w:sz w:val="20"/>
          <w:szCs w:val="20"/>
          <w:color w:val="auto"/>
        </w:rPr>
      </w:pPr>
    </w:p>
    <w:p>
      <w:pPr>
        <w:ind w:right="3720" w:firstLine="3711"/>
        <w:spacing w:after="0" w:line="434"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2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2,680</w:t>
            </w:r>
          </w:p>
        </w:tc>
        <w:tc>
          <w:tcPr>
            <w:tcW w:w="38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2,762</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3"/>
          </w:tcPr>
          <w:p>
            <w:pPr>
              <w:jc w:val="right"/>
              <w:ind w:right="160"/>
              <w:spacing w:after="0" w:line="189" w:lineRule="exact"/>
              <w:rPr>
                <w:sz w:val="20"/>
                <w:szCs w:val="20"/>
                <w:color w:val="auto"/>
              </w:rPr>
            </w:pPr>
            <w:r>
              <w:rPr>
                <w:rFonts w:ascii="Arial" w:cs="Arial" w:eastAsia="Arial" w:hAnsi="Arial"/>
                <w:sz w:val="18"/>
                <w:szCs w:val="18"/>
                <w:b w:val="1"/>
                <w:bCs w:val="1"/>
                <w:color w:val="auto"/>
              </w:rPr>
              <w:t>(2,591)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(2,686)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18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32</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648</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3"/>
          </w:tcPr>
          <w:p>
            <w:pPr>
              <w:jc w:val="right"/>
              <w:ind w:right="220"/>
              <w:spacing w:after="0" w:line="189" w:lineRule="exact"/>
              <w:rPr>
                <w:sz w:val="20"/>
                <w:szCs w:val="20"/>
                <w:color w:val="auto"/>
              </w:rPr>
            </w:pPr>
            <w:r>
              <w:rPr>
                <w:rFonts w:ascii="Arial" w:cs="Arial" w:eastAsia="Arial" w:hAnsi="Arial"/>
                <w:sz w:val="18"/>
                <w:szCs w:val="18"/>
                <w:b w:val="1"/>
                <w:bCs w:val="1"/>
                <w:color w:val="auto"/>
              </w:rPr>
              <w:t>187</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144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losses on foreign currency remeasurements</w:t>
            </w:r>
          </w:p>
        </w:tc>
        <w:tc>
          <w:tcPr>
            <w:tcW w:w="18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(191)</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(82)</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0"/>
                <w:szCs w:val="20"/>
                <w:color w:val="auto"/>
              </w:rPr>
            </w:pPr>
            <w:r>
              <w:rPr>
                <w:rFonts w:ascii="Arial" w:cs="Arial" w:eastAsia="Arial" w:hAnsi="Arial"/>
                <w:sz w:val="18"/>
                <w:szCs w:val="18"/>
                <w:color w:val="auto"/>
              </w:rPr>
              <w:t>Other, net</w:t>
            </w:r>
          </w:p>
        </w:tc>
        <w:tc>
          <w:tcPr>
            <w:tcW w:w="1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68"/>
        </w:trPr>
        <w:tc>
          <w:tcPr>
            <w:tcW w:w="5520" w:type="dxa"/>
            <w:vAlign w:val="bottom"/>
            <w:tcBorders>
              <w:top w:val="single" w:sz="8" w:color="auto"/>
            </w:tcBorders>
          </w:tcPr>
          <w:p>
            <w:pPr>
              <w:spacing w:after="0"/>
              <w:rPr>
                <w:sz w:val="5"/>
                <w:szCs w:val="5"/>
                <w:color w:val="auto"/>
              </w:rPr>
            </w:pPr>
          </w:p>
        </w:tc>
        <w:tc>
          <w:tcPr>
            <w:tcW w:w="18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77</w:t>
            </w:r>
          </w:p>
        </w:tc>
        <w:tc>
          <w:tcPr>
            <w:tcW w:w="38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729</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75"/>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18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0"/>
        </w:trPr>
        <w:tc>
          <w:tcPr>
            <w:tcW w:w="55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520" w:type="dxa"/>
            <w:vAlign w:val="bottom"/>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55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55"/>
        </w:trPr>
        <w:tc>
          <w:tcPr>
            <w:tcW w:w="552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3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2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50</w:t>
            </w:r>
          </w:p>
        </w:tc>
        <w:tc>
          <w:tcPr>
            <w:tcW w:w="38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12</w:t>
            </w: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3"/>
          </w:tcPr>
          <w:p>
            <w:pPr>
              <w:jc w:val="right"/>
              <w:ind w:right="160"/>
              <w:spacing w:after="0" w:line="189" w:lineRule="exact"/>
              <w:rPr>
                <w:sz w:val="20"/>
                <w:szCs w:val="20"/>
                <w:color w:val="auto"/>
              </w:rPr>
            </w:pPr>
            <w:r>
              <w:rPr>
                <w:rFonts w:ascii="Arial" w:cs="Arial" w:eastAsia="Arial" w:hAnsi="Arial"/>
                <w:sz w:val="18"/>
                <w:szCs w:val="18"/>
                <w:b w:val="1"/>
                <w:bCs w:val="1"/>
                <w:color w:val="auto"/>
              </w:rPr>
              <w:t>(37)</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(93)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Other-than-temporary impairments of investments</w:t>
            </w:r>
          </w:p>
        </w:tc>
        <w:tc>
          <w:tcPr>
            <w:tcW w:w="18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(17)</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(16)</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8"/>
        </w:trPr>
        <w:tc>
          <w:tcPr>
            <w:tcW w:w="552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20"/>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61"/>
        </w:trPr>
        <w:tc>
          <w:tcPr>
            <w:tcW w:w="5520" w:type="dxa"/>
            <w:vAlign w:val="bottom"/>
            <w:vMerge w:val="restart"/>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18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55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55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52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on investments sold</w:t>
            </w:r>
          </w:p>
        </w:tc>
        <w:tc>
          <w:tcPr>
            <w:tcW w:w="2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83</w:t>
            </w:r>
          </w:p>
        </w:tc>
        <w:tc>
          <w:tcPr>
            <w:tcW w:w="220" w:type="dxa"/>
            <w:vAlign w:val="bottom"/>
            <w:shd w:val="clear" w:color="auto" w:fill="E5E5E5"/>
          </w:tcPr>
          <w:p>
            <w:pPr>
              <w:spacing w:after="0"/>
              <w:rPr>
                <w:sz w:val="16"/>
                <w:szCs w:val="16"/>
                <w:color w:val="auto"/>
              </w:rPr>
            </w:pPr>
          </w:p>
        </w:tc>
        <w:tc>
          <w:tcPr>
            <w:tcW w:w="38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276</w:t>
            </w:r>
          </w:p>
        </w:tc>
        <w:tc>
          <w:tcPr>
            <w:tcW w:w="140" w:type="dxa"/>
            <w:vAlign w:val="bottom"/>
            <w:shd w:val="clear" w:color="auto" w:fill="E5E5E5"/>
          </w:tcPr>
          <w:p>
            <w:pPr>
              <w:spacing w:after="0"/>
              <w:rPr>
                <w:sz w:val="16"/>
                <w:szCs w:val="16"/>
                <w:color w:val="auto"/>
              </w:rPr>
            </w:pPr>
          </w:p>
        </w:tc>
        <w:tc>
          <w:tcPr>
            <w:tcW w:w="4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3,406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8"/>
                <w:szCs w:val="18"/>
                <w:color w:val="auto"/>
              </w:rPr>
              <w:t>Net unrealized gains on investments still held</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69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479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18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3"/>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(116)</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w:t>
            </w: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8"/>
        </w:trPr>
        <w:tc>
          <w:tcPr>
            <w:tcW w:w="552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20"/>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22"/>
                <w:szCs w:val="22"/>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22"/>
                <w:szCs w:val="2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1800" w:type="dxa"/>
            <w:vAlign w:val="bottom"/>
            <w:vMerge w:val="restart"/>
          </w:tcPr>
          <w:p>
            <w:pPr>
              <w:jc w:val="right"/>
              <w:ind w:right="1533"/>
              <w:spacing w:after="0"/>
              <w:rPr>
                <w:sz w:val="20"/>
                <w:szCs w:val="20"/>
                <w:color w:val="auto"/>
              </w:rPr>
            </w:pPr>
            <w:r>
              <w:rPr>
                <w:rFonts w:ascii="Arial" w:cs="Arial" w:eastAsia="Arial" w:hAnsi="Arial"/>
                <w:sz w:val="14"/>
                <w:szCs w:val="14"/>
                <w:color w:val="auto"/>
              </w:rPr>
              <w:t>68</w:t>
            </w: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6"/>
        </w:trPr>
        <w:tc>
          <w:tcPr>
            <w:tcW w:w="55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5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8" w:name="page69"/>
    <w:bookmarkEnd w:id="6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Recorded</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8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Short-term</w:t>
            </w:r>
          </w:p>
        </w:tc>
        <w:tc>
          <w:tcPr>
            <w:tcW w:w="16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4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420" w:type="dxa"/>
            <w:vAlign w:val="bottom"/>
          </w:tcPr>
          <w:p>
            <w:pPr>
              <w:ind w:left="260"/>
              <w:spacing w:after="0"/>
              <w:rPr>
                <w:sz w:val="20"/>
                <w:szCs w:val="20"/>
                <w:color w:val="auto"/>
              </w:rPr>
            </w:pPr>
            <w:r>
              <w:rPr>
                <w:rFonts w:ascii="Arial" w:cs="Arial" w:eastAsia="Arial" w:hAnsi="Arial"/>
                <w:sz w:val="13"/>
                <w:szCs w:val="13"/>
                <w:b w:val="1"/>
                <w:bCs w:val="1"/>
                <w:color w:val="auto"/>
              </w:rPr>
              <w:t>Fair Value Level</w:t>
            </w:r>
          </w:p>
        </w:tc>
        <w:tc>
          <w:tcPr>
            <w:tcW w:w="14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Cost Basis</w:t>
            </w:r>
          </w:p>
        </w:tc>
        <w:tc>
          <w:tcPr>
            <w:tcW w:w="16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Gains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Basis</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1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5"/>
        </w:trPr>
        <w:tc>
          <w:tcPr>
            <w:tcW w:w="24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80" w:type="dxa"/>
            <w:vAlign w:val="bottom"/>
          </w:tcPr>
          <w:p>
            <w:pPr>
              <w:ind w:left="220"/>
              <w:spacing w:after="0"/>
              <w:rPr>
                <w:sz w:val="20"/>
                <w:szCs w:val="20"/>
                <w:color w:val="auto"/>
              </w:rPr>
            </w:pPr>
            <w:r>
              <w:rPr>
                <w:rFonts w:ascii="Arial" w:cs="Arial" w:eastAsia="Arial" w:hAnsi="Arial"/>
                <w:sz w:val="13"/>
                <w:szCs w:val="13"/>
                <w:b w:val="1"/>
                <w:bCs w:val="1"/>
                <w:color w:val="auto"/>
              </w:rPr>
              <w:t>Other Comprehensive Income</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42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4,687</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1</w:t>
            </w:r>
          </w:p>
        </w:tc>
        <w:tc>
          <w:tcPr>
            <w:tcW w:w="2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4,688</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1,618</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3,070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420" w:type="dxa"/>
            <w:vAlign w:val="bottom"/>
          </w:tcPr>
          <w:p>
            <w:pPr>
              <w:jc w:val="center"/>
              <w:ind w:left="30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2,898</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2,898</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1,646</w:t>
            </w:r>
          </w:p>
        </w:tc>
        <w:tc>
          <w:tcPr>
            <w:tcW w:w="1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1,252</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42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1</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92,067</w:t>
            </w:r>
          </w:p>
        </w:tc>
        <w:tc>
          <w:tcPr>
            <w:tcW w:w="1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6,495</w:t>
            </w: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(1)</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98,561</w:t>
            </w: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3,168</w:t>
            </w:r>
          </w:p>
        </w:tc>
        <w:tc>
          <w:tcPr>
            <w:tcW w:w="1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95,393</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20"/>
                <w:szCs w:val="20"/>
                <w:color w:val="auto"/>
              </w:rPr>
            </w:pPr>
            <w:r>
              <w:rPr>
                <w:rFonts w:ascii="Arial" w:cs="Arial" w:eastAsia="Arial" w:hAnsi="Arial"/>
                <w:sz w:val="16"/>
                <w:szCs w:val="16"/>
                <w:color w:val="auto"/>
              </w:rPr>
              <w:t>U.S. agency securities</w:t>
            </w:r>
          </w:p>
        </w:tc>
        <w:tc>
          <w:tcPr>
            <w:tcW w:w="1420" w:type="dxa"/>
            <w:vAlign w:val="bottom"/>
          </w:tcPr>
          <w:p>
            <w:pPr>
              <w:jc w:val="center"/>
              <w:ind w:left="30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2,439</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2,441</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449</w:t>
            </w:r>
          </w:p>
        </w:tc>
        <w:tc>
          <w:tcPr>
            <w:tcW w:w="1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1,992</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42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6,982</w:t>
            </w:r>
          </w:p>
        </w:tc>
        <w:tc>
          <w:tcPr>
            <w:tcW w:w="1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6</w:t>
            </w: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6,985</w:t>
            </w: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6,984</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4,865</w:t>
            </w:r>
          </w:p>
        </w:tc>
        <w:tc>
          <w:tcPr>
            <w:tcW w:w="160" w:type="dxa"/>
            <w:vAlign w:val="bottom"/>
          </w:tcPr>
          <w:p>
            <w:pPr>
              <w:spacing w:after="0"/>
              <w:rPr>
                <w:sz w:val="16"/>
                <w:szCs w:val="16"/>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41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6"/>
                <w:szCs w:val="16"/>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4,900</w:t>
            </w:r>
          </w:p>
        </w:tc>
        <w:tc>
          <w:tcPr>
            <w:tcW w:w="140" w:type="dxa"/>
            <w:vAlign w:val="bottom"/>
          </w:tcPr>
          <w:p>
            <w:pPr>
              <w:spacing w:after="0"/>
              <w:rPr>
                <w:sz w:val="16"/>
                <w:szCs w:val="16"/>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0</w:t>
            </w:r>
          </w:p>
        </w:tc>
        <w:tc>
          <w:tcPr>
            <w:tcW w:w="180" w:type="dxa"/>
            <w:vAlign w:val="bottom"/>
          </w:tcPr>
          <w:p>
            <w:pPr>
              <w:spacing w:after="0"/>
              <w:rPr>
                <w:sz w:val="16"/>
                <w:szCs w:val="16"/>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4,900</w:t>
            </w:r>
          </w:p>
        </w:tc>
        <w:tc>
          <w:tcPr>
            <w:tcW w:w="160" w:type="dxa"/>
            <w:vAlign w:val="bottom"/>
          </w:tcPr>
          <w:p>
            <w:pPr>
              <w:spacing w:after="0"/>
              <w:rPr>
                <w:sz w:val="16"/>
                <w:szCs w:val="16"/>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7"/>
        </w:trPr>
        <w:tc>
          <w:tcPr>
            <w:tcW w:w="248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420" w:type="dxa"/>
            <w:vAlign w:val="bottom"/>
          </w:tcPr>
          <w:p>
            <w:pPr>
              <w:jc w:val="center"/>
              <w:ind w:left="30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42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8,500</w:t>
            </w:r>
          </w:p>
        </w:tc>
        <w:tc>
          <w:tcPr>
            <w:tcW w:w="1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327</w:t>
            </w: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(17)</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8,810</w:t>
            </w: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1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8,810</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420" w:type="dxa"/>
            <w:vAlign w:val="bottom"/>
          </w:tcPr>
          <w:p>
            <w:pPr>
              <w:jc w:val="center"/>
              <w:ind w:left="300"/>
              <w:spacing w:after="0"/>
              <w:rPr>
                <w:sz w:val="20"/>
                <w:szCs w:val="20"/>
                <w:color w:val="auto"/>
              </w:rPr>
            </w:pPr>
            <w:r>
              <w:rPr>
                <w:rFonts w:ascii="Arial" w:cs="Arial" w:eastAsia="Arial" w:hAnsi="Arial"/>
                <w:sz w:val="16"/>
                <w:szCs w:val="16"/>
                <w:color w:val="auto"/>
              </w:rPr>
              <w:t>Level 3</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58</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42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313</w:t>
            </w:r>
          </w:p>
        </w:tc>
        <w:tc>
          <w:tcPr>
            <w:tcW w:w="1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57</w:t>
            </w: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(4)</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366</w:t>
            </w: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1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366</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6"/>
                <w:szCs w:val="16"/>
                <w:color w:val="auto"/>
              </w:rPr>
              <w:t>Municipal securities</w:t>
            </w:r>
          </w:p>
        </w:tc>
        <w:tc>
          <w:tcPr>
            <w:tcW w:w="1420" w:type="dxa"/>
            <w:vAlign w:val="bottom"/>
          </w:tcPr>
          <w:p>
            <w:pPr>
              <w:jc w:val="center"/>
              <w:ind w:left="300"/>
              <w:spacing w:after="0"/>
              <w:rPr>
                <w:sz w:val="20"/>
                <w:szCs w:val="20"/>
                <w:color w:val="auto"/>
              </w:rPr>
            </w:pPr>
            <w:r>
              <w:rPr>
                <w:rFonts w:ascii="Arial" w:cs="Arial" w:eastAsia="Arial" w:hAnsi="Arial"/>
                <w:sz w:val="16"/>
                <w:szCs w:val="16"/>
                <w:color w:val="auto"/>
              </w:rPr>
              <w:t>Level 3</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91</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91</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42"/>
        </w:trPr>
        <w:tc>
          <w:tcPr>
            <w:tcW w:w="24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4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142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122,900</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6,929</w:t>
            </w:r>
          </w:p>
        </w:tc>
        <w:tc>
          <w:tcPr>
            <w:tcW w:w="2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(31)</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129,798</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6,882</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122,916</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68"/>
        </w:trPr>
        <w:tc>
          <w:tcPr>
            <w:tcW w:w="248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14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8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80" w:type="dxa"/>
            <w:vAlign w:val="bottom"/>
          </w:tcPr>
          <w:p>
            <w:pPr>
              <w:ind w:left="220"/>
              <w:spacing w:after="0"/>
              <w:rPr>
                <w:sz w:val="20"/>
                <w:szCs w:val="20"/>
                <w:color w:val="auto"/>
              </w:rPr>
            </w:pPr>
            <w:r>
              <w:rPr>
                <w:rFonts w:ascii="Arial" w:cs="Arial" w:eastAsia="Arial" w:hAnsi="Arial"/>
                <w:sz w:val="13"/>
                <w:szCs w:val="13"/>
                <w:b w:val="1"/>
                <w:bCs w:val="1"/>
                <w:color w:val="auto"/>
              </w:rPr>
              <w:t>Net Income</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4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42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1</w:t>
            </w: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1,198</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784</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414</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6"/>
                <w:szCs w:val="16"/>
                <w:color w:val="auto"/>
              </w:rPr>
              <w:t>Equity investments</w:t>
            </w:r>
          </w:p>
        </w:tc>
        <w:tc>
          <w:tcPr>
            <w:tcW w:w="1420" w:type="dxa"/>
            <w:vAlign w:val="bottom"/>
          </w:tcPr>
          <w:p>
            <w:pPr>
              <w:jc w:val="center"/>
              <w:ind w:left="300"/>
              <w:spacing w:after="0"/>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2,551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2,551</w:t>
            </w:r>
          </w:p>
        </w:tc>
        <w:tc>
          <w:tcPr>
            <w:tcW w:w="0" w:type="dxa"/>
            <w:vAlign w:val="bottom"/>
          </w:tcPr>
          <w:p>
            <w:pPr>
              <w:spacing w:after="0"/>
              <w:rPr>
                <w:sz w:val="1"/>
                <w:szCs w:val="1"/>
                <w:color w:val="auto"/>
              </w:rPr>
            </w:pPr>
          </w:p>
        </w:tc>
      </w:tr>
      <w:tr>
        <w:trPr>
          <w:trHeight w:val="42"/>
        </w:trPr>
        <w:tc>
          <w:tcPr>
            <w:tcW w:w="24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4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1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3,749</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784</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2,965</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0"/>
                <w:szCs w:val="20"/>
                <w:color w:val="auto"/>
              </w:rPr>
            </w:pPr>
            <w:r>
              <w:rPr>
                <w:rFonts w:ascii="Arial" w:cs="Arial" w:eastAsia="Arial" w:hAnsi="Arial"/>
                <w:sz w:val="16"/>
                <w:szCs w:val="16"/>
                <w:color w:val="auto"/>
              </w:rPr>
              <w:t>Cash</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5,910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5,910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48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14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35</w:t>
            </w: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1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35</w:t>
            </w: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480" w:type="dxa"/>
            <w:vAlign w:val="bottom"/>
          </w:tcPr>
          <w:p>
            <w:pPr>
              <w:ind w:left="220"/>
              <w:spacing w:after="0"/>
              <w:rPr>
                <w:sz w:val="20"/>
                <w:szCs w:val="20"/>
                <w:color w:val="auto"/>
              </w:rPr>
            </w:pPr>
            <w:r>
              <w:rPr>
                <w:rFonts w:ascii="Arial" w:cs="Arial" w:eastAsia="Arial" w:hAnsi="Arial"/>
                <w:sz w:val="16"/>
                <w:szCs w:val="16"/>
                <w:color w:val="auto"/>
              </w:rPr>
              <w:t>Total</w:t>
            </w: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139,492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13,576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122,951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2,965</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ind w:right="22"/>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9"/>
        </w:trPr>
        <w:tc>
          <w:tcPr>
            <w:tcW w:w="2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4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9" w:name="page70"/>
    <w:bookmarkEnd w:id="6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Cash</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Recorded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and Cash</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Short-term</w:t>
            </w:r>
          </w:p>
        </w:tc>
        <w:tc>
          <w:tcPr>
            <w:tcW w:w="1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5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400" w:type="dxa"/>
            <w:vAlign w:val="bottom"/>
          </w:tcPr>
          <w:p>
            <w:pPr>
              <w:ind w:left="260"/>
              <w:spacing w:after="0"/>
              <w:rPr>
                <w:sz w:val="20"/>
                <w:szCs w:val="20"/>
                <w:color w:val="auto"/>
              </w:rPr>
            </w:pPr>
            <w:r>
              <w:rPr>
                <w:rFonts w:ascii="Arial" w:cs="Arial" w:eastAsia="Arial" w:hAnsi="Arial"/>
                <w:sz w:val="13"/>
                <w:szCs w:val="13"/>
                <w:b w:val="1"/>
                <w:bCs w:val="1"/>
                <w:color w:val="auto"/>
              </w:rPr>
              <w:t>Fair Value Level</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Cost Basis</w:t>
            </w: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Losses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Basis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Equivalents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1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5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3"/>
                <w:szCs w:val="13"/>
                <w:b w:val="1"/>
                <w:bCs w:val="1"/>
                <w:color w:val="auto"/>
              </w:rPr>
              <w:t>June 30, 2019</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20"/>
              <w:spacing w:after="0"/>
              <w:rPr>
                <w:sz w:val="20"/>
                <w:szCs w:val="20"/>
                <w:color w:val="auto"/>
              </w:rPr>
            </w:pPr>
            <w:r>
              <w:rPr>
                <w:rFonts w:ascii="Arial" w:cs="Arial" w:eastAsia="Arial" w:hAnsi="Arial"/>
                <w:sz w:val="13"/>
                <w:szCs w:val="13"/>
                <w:b w:val="1"/>
                <w:bCs w:val="1"/>
                <w:color w:val="auto"/>
              </w:rPr>
              <w:t>Other Comprehensive Income</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40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2</w:t>
            </w:r>
          </w:p>
        </w:tc>
        <w:tc>
          <w:tcPr>
            <w:tcW w:w="2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2,211</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2,211</w:t>
            </w:r>
          </w:p>
        </w:tc>
        <w:tc>
          <w:tcPr>
            <w:tcW w:w="18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1,773</w:t>
            </w:r>
          </w:p>
        </w:tc>
        <w:tc>
          <w:tcPr>
            <w:tcW w:w="2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438</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400" w:type="dxa"/>
            <w:vAlign w:val="bottom"/>
          </w:tcPr>
          <w:p>
            <w:pPr>
              <w:jc w:val="center"/>
              <w:ind w:left="300"/>
              <w:spacing w:after="0"/>
              <w:rPr>
                <w:sz w:val="20"/>
                <w:szCs w:val="20"/>
                <w:color w:val="auto"/>
              </w:rPr>
            </w:pPr>
            <w:r>
              <w:rPr>
                <w:rFonts w:ascii="Arial" w:cs="Arial" w:eastAsia="Arial" w:hAnsi="Arial"/>
                <w:sz w:val="16"/>
                <w:szCs w:val="16"/>
                <w:color w:val="auto"/>
              </w:rPr>
              <w:t>Level 2</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2,018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1,430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588</w:t>
            </w:r>
          </w:p>
        </w:tc>
        <w:tc>
          <w:tcPr>
            <w:tcW w:w="1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40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1</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104,925</w:t>
            </w: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1,854</w:t>
            </w: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(104)</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106,675</w:t>
            </w:r>
          </w:p>
        </w:tc>
        <w:tc>
          <w:tcPr>
            <w:tcW w:w="6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769</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105,906</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U.S. agency securities</w:t>
            </w:r>
          </w:p>
        </w:tc>
        <w:tc>
          <w:tcPr>
            <w:tcW w:w="1400" w:type="dxa"/>
            <w:vAlign w:val="bottom"/>
          </w:tcPr>
          <w:p>
            <w:pPr>
              <w:jc w:val="center"/>
              <w:ind w:left="300"/>
              <w:spacing w:after="0"/>
              <w:rPr>
                <w:sz w:val="20"/>
                <w:szCs w:val="20"/>
                <w:color w:val="auto"/>
              </w:rPr>
            </w:pPr>
            <w:r>
              <w:rPr>
                <w:rFonts w:ascii="Arial" w:cs="Arial" w:eastAsia="Arial" w:hAnsi="Arial"/>
                <w:sz w:val="16"/>
                <w:szCs w:val="16"/>
                <w:color w:val="auto"/>
              </w:rPr>
              <w:t>Level 2</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988</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988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698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290</w:t>
            </w:r>
          </w:p>
        </w:tc>
        <w:tc>
          <w:tcPr>
            <w:tcW w:w="1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40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2</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6,350</w:t>
            </w: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4</w:t>
            </w: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(8)</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6,346</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2,506</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3,840</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1"/>
        </w:trPr>
        <w:tc>
          <w:tcPr>
            <w:tcW w:w="250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0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400" w:type="dxa"/>
            <w:vAlign w:val="bottom"/>
          </w:tcPr>
          <w:p>
            <w:pPr>
              <w:jc w:val="center"/>
              <w:ind w:left="300"/>
              <w:spacing w:after="0"/>
              <w:rPr>
                <w:sz w:val="20"/>
                <w:szCs w:val="20"/>
                <w:color w:val="auto"/>
              </w:rPr>
            </w:pPr>
            <w:r>
              <w:rPr>
                <w:rFonts w:ascii="Arial" w:cs="Arial" w:eastAsia="Arial" w:hAnsi="Arial"/>
                <w:sz w:val="16"/>
                <w:szCs w:val="16"/>
                <w:color w:val="auto"/>
              </w:rPr>
              <w:t>Level 2</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3,554</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3,561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3,561</w:t>
            </w:r>
          </w:p>
        </w:tc>
        <w:tc>
          <w:tcPr>
            <w:tcW w:w="1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40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2</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7,437</w:t>
            </w: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111</w:t>
            </w: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(7)</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7,541</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7,541</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400" w:type="dxa"/>
            <w:vAlign w:val="bottom"/>
          </w:tcPr>
          <w:p>
            <w:pPr>
              <w:jc w:val="center"/>
              <w:ind w:left="300"/>
              <w:spacing w:after="0"/>
              <w:rPr>
                <w:sz w:val="20"/>
                <w:szCs w:val="20"/>
                <w:color w:val="auto"/>
              </w:rPr>
            </w:pPr>
            <w:r>
              <w:rPr>
                <w:rFonts w:ascii="Arial" w:cs="Arial" w:eastAsia="Arial" w:hAnsi="Arial"/>
                <w:sz w:val="16"/>
                <w:szCs w:val="16"/>
                <w:color w:val="auto"/>
              </w:rPr>
              <w:t>Level 3</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40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2</w:t>
            </w: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242</w:t>
            </w: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48</w:t>
            </w: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290</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290</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Arial" w:cs="Arial" w:eastAsia="Arial" w:hAnsi="Arial"/>
                <w:sz w:val="16"/>
                <w:szCs w:val="16"/>
                <w:color w:val="auto"/>
              </w:rPr>
              <w:t>Municipal securities</w:t>
            </w:r>
          </w:p>
        </w:tc>
        <w:tc>
          <w:tcPr>
            <w:tcW w:w="1400" w:type="dxa"/>
            <w:vAlign w:val="bottom"/>
          </w:tcPr>
          <w:p>
            <w:pPr>
              <w:jc w:val="center"/>
              <w:ind w:left="300"/>
              <w:spacing w:after="0"/>
              <w:rPr>
                <w:sz w:val="20"/>
                <w:szCs w:val="20"/>
                <w:color w:val="auto"/>
              </w:rPr>
            </w:pPr>
            <w:r>
              <w:rPr>
                <w:rFonts w:ascii="Arial" w:cs="Arial" w:eastAsia="Arial" w:hAnsi="Arial"/>
                <w:sz w:val="16"/>
                <w:szCs w:val="16"/>
                <w:color w:val="auto"/>
              </w:rPr>
              <w:t>Level 3</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0"/>
        </w:trPr>
        <w:tc>
          <w:tcPr>
            <w:tcW w:w="25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14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127,747</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2,027</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(122)</w:t>
            </w:r>
          </w:p>
        </w:tc>
        <w:tc>
          <w:tcPr>
            <w:tcW w:w="2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129,652</w:t>
            </w:r>
          </w:p>
        </w:tc>
        <w:tc>
          <w:tcPr>
            <w:tcW w:w="60" w:type="dxa"/>
            <w:vAlign w:val="bottom"/>
            <w:shd w:val="clear" w:color="auto" w:fill="E5E5E5"/>
          </w:tcPr>
          <w:p>
            <w:pPr>
              <w:spacing w:after="0"/>
              <w:rPr>
                <w:sz w:val="16"/>
                <w:szCs w:val="16"/>
                <w:color w:val="auto"/>
              </w:rPr>
            </w:pPr>
          </w:p>
        </w:tc>
        <w:tc>
          <w:tcPr>
            <w:tcW w:w="18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7,176</w:t>
            </w:r>
          </w:p>
        </w:tc>
        <w:tc>
          <w:tcPr>
            <w:tcW w:w="2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122,476</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8"/>
        </w:trPr>
        <w:tc>
          <w:tcPr>
            <w:tcW w:w="25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w:t>
            </w:r>
          </w:p>
        </w:tc>
        <w:tc>
          <w:tcPr>
            <w:tcW w:w="14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50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20"/>
              <w:spacing w:after="0"/>
              <w:rPr>
                <w:sz w:val="20"/>
                <w:szCs w:val="20"/>
                <w:color w:val="auto"/>
              </w:rPr>
            </w:pPr>
            <w:r>
              <w:rPr>
                <w:rFonts w:ascii="Arial" w:cs="Arial" w:eastAsia="Arial" w:hAnsi="Arial"/>
                <w:sz w:val="13"/>
                <w:szCs w:val="13"/>
                <w:b w:val="1"/>
                <w:bCs w:val="1"/>
                <w:color w:val="auto"/>
              </w:rPr>
              <w:t>Net Income</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400" w:type="dxa"/>
            <w:vAlign w:val="bottom"/>
            <w:shd w:val="clear" w:color="auto" w:fill="E5E5E5"/>
          </w:tcPr>
          <w:p>
            <w:pPr>
              <w:jc w:val="center"/>
              <w:ind w:left="300"/>
              <w:spacing w:after="0"/>
              <w:rPr>
                <w:sz w:val="20"/>
                <w:szCs w:val="20"/>
                <w:color w:val="auto"/>
              </w:rPr>
            </w:pPr>
            <w:r>
              <w:rPr>
                <w:rFonts w:ascii="Arial" w:cs="Arial" w:eastAsia="Arial" w:hAnsi="Arial"/>
                <w:sz w:val="16"/>
                <w:szCs w:val="16"/>
                <w:color w:val="auto"/>
              </w:rPr>
              <w:t>Level 1</w:t>
            </w: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973</w:t>
            </w:r>
          </w:p>
        </w:tc>
        <w:tc>
          <w:tcPr>
            <w:tcW w:w="18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409</w:t>
            </w:r>
          </w:p>
        </w:tc>
        <w:tc>
          <w:tcPr>
            <w:tcW w:w="2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97"/>
        </w:trPr>
        <w:tc>
          <w:tcPr>
            <w:tcW w:w="2500" w:type="dxa"/>
            <w:vAlign w:val="bottom"/>
          </w:tcPr>
          <w:p>
            <w:pPr>
              <w:spacing w:after="0"/>
              <w:rPr>
                <w:sz w:val="20"/>
                <w:szCs w:val="20"/>
                <w:color w:val="auto"/>
              </w:rPr>
            </w:pPr>
            <w:r>
              <w:rPr>
                <w:rFonts w:ascii="Arial" w:cs="Arial" w:eastAsia="Arial" w:hAnsi="Arial"/>
                <w:sz w:val="16"/>
                <w:szCs w:val="16"/>
                <w:color w:val="auto"/>
              </w:rPr>
              <w:t>Equity investments</w:t>
            </w:r>
          </w:p>
        </w:tc>
        <w:tc>
          <w:tcPr>
            <w:tcW w:w="1400" w:type="dxa"/>
            <w:vAlign w:val="bottom"/>
          </w:tcPr>
          <w:p>
            <w:pPr>
              <w:jc w:val="center"/>
              <w:ind w:left="3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2,085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60"/>
        </w:trPr>
        <w:tc>
          <w:tcPr>
            <w:tcW w:w="25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14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3,058</w:t>
            </w:r>
          </w:p>
        </w:tc>
        <w:tc>
          <w:tcPr>
            <w:tcW w:w="18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409</w:t>
            </w:r>
          </w:p>
        </w:tc>
        <w:tc>
          <w:tcPr>
            <w:tcW w:w="2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0"/>
                <w:szCs w:val="20"/>
                <w:color w:val="auto"/>
              </w:rPr>
            </w:pPr>
            <w:r>
              <w:rPr>
                <w:rFonts w:ascii="Arial" w:cs="Arial" w:eastAsia="Arial" w:hAnsi="Arial"/>
                <w:sz w:val="16"/>
                <w:szCs w:val="16"/>
                <w:color w:val="auto"/>
              </w:rPr>
              <w:t>Cash</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3,771</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3,771</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50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14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(13)</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(13)</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8"/>
        </w:trPr>
        <w:tc>
          <w:tcPr>
            <w:tcW w:w="25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500" w:type="dxa"/>
            <w:vAlign w:val="bottom"/>
          </w:tcPr>
          <w:p>
            <w:pPr>
              <w:ind w:left="220"/>
              <w:spacing w:after="0"/>
              <w:rPr>
                <w:sz w:val="20"/>
                <w:szCs w:val="20"/>
                <w:color w:val="auto"/>
              </w:rPr>
            </w:pPr>
            <w:r>
              <w:rPr>
                <w:rFonts w:ascii="Arial" w:cs="Arial" w:eastAsia="Arial" w:hAnsi="Arial"/>
                <w:sz w:val="16"/>
                <w:szCs w:val="16"/>
                <w:color w:val="auto"/>
              </w:rPr>
              <w:t>Total</w:t>
            </w: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136,468</w:t>
            </w:r>
          </w:p>
        </w:tc>
        <w:tc>
          <w:tcPr>
            <w:tcW w:w="6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11,356</w:t>
            </w:r>
          </w:p>
        </w:tc>
        <w:tc>
          <w:tcPr>
            <w:tcW w:w="6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122,463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38100</wp:posOffset>
            </wp:positionV>
            <wp:extent cx="26917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91765" cy="17145"/>
                    </a:xfrm>
                    <a:prstGeom prst="rect">
                      <a:avLst/>
                    </a:prstGeom>
                    <a:noFill/>
                  </pic:spPr>
                </pic:pic>
              </a:graphicData>
            </a:graphic>
          </wp:anchor>
        </w:drawing>
      </w:r>
    </w:p>
    <w:p>
      <w:pPr>
        <w:spacing w:after="0" w:line="129"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21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June 30, 2020 and 2019, equity investments without readily determinable fair values measured at cost with adjustments for observable changes in price or impairments were $1.4 billion and $1.2 billion,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Less than 12 Months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right"/>
              <w:ind w:right="120"/>
              <w:spacing w:after="0"/>
              <w:rPr>
                <w:sz w:val="20"/>
                <w:szCs w:val="20"/>
                <w:color w:val="auto"/>
              </w:rPr>
            </w:pPr>
            <w:r>
              <w:rPr>
                <w:rFonts w:ascii="Arial" w:cs="Arial" w:eastAsia="Arial" w:hAnsi="Arial"/>
                <w:sz w:val="13"/>
                <w:szCs w:val="13"/>
                <w:b w:val="1"/>
                <w:bCs w:val="1"/>
                <w:color w:val="auto"/>
              </w:rPr>
              <w:t>12 Months or Greater</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5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52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5"/>
        </w:trPr>
        <w:tc>
          <w:tcPr>
            <w:tcW w:w="5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2,323</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1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2,323</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500</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9"/>
        </w:trPr>
        <w:tc>
          <w:tcPr>
            <w:tcW w:w="5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1,014</w:t>
            </w: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(6)</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1,014</w:t>
            </w:r>
          </w:p>
        </w:tc>
        <w:tc>
          <w:tcPr>
            <w:tcW w:w="1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649</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649</w:t>
            </w:r>
          </w:p>
        </w:tc>
        <w:tc>
          <w:tcPr>
            <w:tcW w:w="12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189"/>
        </w:trPr>
        <w:tc>
          <w:tcPr>
            <w:tcW w:w="5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66</w:t>
            </w: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68"/>
        </w:trPr>
        <w:tc>
          <w:tcPr>
            <w:tcW w:w="5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24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4,552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4,552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61"/>
        </w:trPr>
        <w:tc>
          <w:tcPr>
            <w:tcW w:w="5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6"/>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8" w:right="319" w:bottom="1440" w:gutter="0" w:footer="0" w:header="0"/>
        </w:sectPr>
      </w:pPr>
    </w:p>
    <w:bookmarkStart w:id="70" w:name="page71"/>
    <w:bookmarkEnd w:id="7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Less than 12 Months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12 Months or Greater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4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4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42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4"/>
        </w:trPr>
        <w:tc>
          <w:tcPr>
            <w:tcW w:w="4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3"/>
                <w:szCs w:val="13"/>
                <w:b w:val="1"/>
                <w:bCs w:val="1"/>
                <w:color w:val="auto"/>
              </w:rPr>
              <w:t>June 30, 2019</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12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1,491</w:t>
            </w:r>
          </w:p>
        </w:tc>
        <w:tc>
          <w:tcPr>
            <w:tcW w:w="1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1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39,158</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(103)</w:t>
            </w:r>
          </w:p>
        </w:tc>
        <w:tc>
          <w:tcPr>
            <w:tcW w:w="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40,649</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77</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4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10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664</w:t>
            </w:r>
          </w:p>
        </w:tc>
        <w:tc>
          <w:tcPr>
            <w:tcW w:w="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378</w:t>
            </w: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w:t>
            </w: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1,042</w:t>
            </w: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Corporate notes and bonds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
        </w:trPr>
        <w:tc>
          <w:tcPr>
            <w:tcW w:w="4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2,678</w:t>
            </w:r>
          </w:p>
        </w:tc>
        <w:tc>
          <w:tcPr>
            <w:tcW w:w="1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w:t>
            </w:r>
          </w:p>
        </w:tc>
        <w:tc>
          <w:tcPr>
            <w:tcW w:w="1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39,989</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(117)</w:t>
            </w:r>
          </w:p>
        </w:tc>
        <w:tc>
          <w:tcPr>
            <w:tcW w:w="2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42,667</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74"/>
        </w:trPr>
        <w:tc>
          <w:tcPr>
            <w:tcW w:w="4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other-than-temporary impairments based on our evaluation of available evidence.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Estimated</w:t>
            </w:r>
          </w:p>
        </w:tc>
      </w:tr>
      <w:tr>
        <w:trPr>
          <w:trHeight w:val="178"/>
        </w:trPr>
        <w:tc>
          <w:tcPr>
            <w:tcW w:w="54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ind w:left="320"/>
              <w:spacing w:after="0"/>
              <w:rPr>
                <w:sz w:val="20"/>
                <w:szCs w:val="20"/>
                <w:color w:val="auto"/>
              </w:rPr>
            </w:pPr>
            <w:r>
              <w:rPr>
                <w:rFonts w:ascii="Arial" w:cs="Arial" w:eastAsia="Arial" w:hAnsi="Arial"/>
                <w:sz w:val="13"/>
                <w:szCs w:val="13"/>
                <w:b w:val="1"/>
                <w:bCs w:val="1"/>
                <w:color w:val="auto"/>
              </w:rPr>
              <w:t>Cost Basis</w:t>
            </w:r>
          </w:p>
        </w:tc>
        <w:tc>
          <w:tcPr>
            <w:tcW w:w="4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r>
      <w:tr>
        <w:trPr>
          <w:trHeight w:val="55"/>
        </w:trPr>
        <w:tc>
          <w:tcPr>
            <w:tcW w:w="54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4"/>
        </w:trPr>
        <w:tc>
          <w:tcPr>
            <w:tcW w:w="54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5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29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36,169</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36,276</w:t>
            </w: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2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51,465</w:t>
            </w:r>
          </w:p>
        </w:tc>
        <w:tc>
          <w:tcPr>
            <w:tcW w:w="440" w:type="dxa"/>
            <w:vAlign w:val="bottom"/>
          </w:tcPr>
          <w:p>
            <w:pPr>
              <w:spacing w:after="0"/>
              <w:rPr>
                <w:sz w:val="16"/>
                <w:szCs w:val="16"/>
                <w:color w:val="auto"/>
              </w:rPr>
            </w:pP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54,700</w:t>
            </w:r>
          </w:p>
        </w:tc>
      </w:tr>
      <w:tr>
        <w:trPr>
          <w:trHeight w:val="189"/>
        </w:trPr>
        <w:tc>
          <w:tcPr>
            <w:tcW w:w="5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25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32,299</w:t>
            </w:r>
          </w:p>
        </w:tc>
        <w:tc>
          <w:tcPr>
            <w:tcW w:w="4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35,674</w:t>
            </w:r>
          </w:p>
        </w:tc>
      </w:tr>
      <w:tr>
        <w:trPr>
          <w:trHeight w:val="250"/>
        </w:trPr>
        <w:tc>
          <w:tcPr>
            <w:tcW w:w="5480" w:type="dxa"/>
            <w:vAlign w:val="bottom"/>
          </w:tcPr>
          <w:p>
            <w:pPr>
              <w:spacing w:after="0"/>
              <w:rPr>
                <w:sz w:val="20"/>
                <w:szCs w:val="20"/>
                <w:color w:val="auto"/>
              </w:rPr>
            </w:pPr>
            <w:r>
              <w:rPr>
                <w:rFonts w:ascii="Arial" w:cs="Arial" w:eastAsia="Arial" w:hAnsi="Arial"/>
                <w:sz w:val="18"/>
                <w:szCs w:val="18"/>
                <w:color w:val="auto"/>
              </w:rPr>
              <w:t>Due after 10 years</w:t>
            </w:r>
          </w:p>
        </w:tc>
        <w:tc>
          <w:tcPr>
            <w:tcW w:w="2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2,967</w:t>
            </w:r>
          </w:p>
        </w:tc>
        <w:tc>
          <w:tcPr>
            <w:tcW w:w="4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3,148</w:t>
            </w:r>
          </w:p>
        </w:tc>
      </w:tr>
      <w:tr>
        <w:trPr>
          <w:trHeight w:val="68"/>
        </w:trPr>
        <w:tc>
          <w:tcPr>
            <w:tcW w:w="5480" w:type="dxa"/>
            <w:vAlign w:val="bottom"/>
            <w:tcBorders>
              <w:top w:val="single" w:sz="8" w:color="auto"/>
            </w:tcBorders>
          </w:tcPr>
          <w:p>
            <w:pPr>
              <w:spacing w:after="0"/>
              <w:rPr>
                <w:sz w:val="5"/>
                <w:szCs w:val="5"/>
                <w:color w:val="auto"/>
              </w:rPr>
            </w:pPr>
          </w:p>
        </w:tc>
        <w:tc>
          <w:tcPr>
            <w:tcW w:w="25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54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122,900</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129,798</w:t>
            </w:r>
          </w:p>
        </w:tc>
      </w:tr>
      <w:tr>
        <w:trPr>
          <w:trHeight w:val="74"/>
        </w:trPr>
        <w:tc>
          <w:tcPr>
            <w:tcW w:w="54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past, option and forward contracts were used to hedge a portion of forecasted international revenue and were designated as cash flow hedging instruments. Principal currencies hedged included the Euro, Japanese yen, British pound, Canadian dollar, and Australian dollar.</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1" w:name="page72"/>
    <w:bookmarkEnd w:id="7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over-the-counter swap and option contracts. These contracts are not designated as hedging instruments and are included in “Other contracts” in the tables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June 30, 2020, our long-term unsecured debt rating was AAA, and cash investments were in excess of $1.0 billion. As a result, no collateral was required to be posted.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June 30,</w:t>
            </w:r>
          </w:p>
        </w:tc>
        <w:tc>
          <w:tcPr>
            <w:tcW w:w="440" w:type="dxa"/>
            <w:vAlign w:val="bottom"/>
          </w:tcPr>
          <w:p>
            <w:pPr>
              <w:spacing w:after="0"/>
              <w:rPr>
                <w:sz w:val="12"/>
                <w:szCs w:val="12"/>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3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8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r>
      <w:tr>
        <w:trPr>
          <w:trHeight w:val="55"/>
        </w:trPr>
        <w:tc>
          <w:tcPr>
            <w:tcW w:w="4340" w:type="dxa"/>
            <w:vAlign w:val="bottom"/>
            <w:tcBorders>
              <w:bottom w:val="single" w:sz="8" w:color="auto"/>
            </w:tcBorders>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340" w:type="dxa"/>
            <w:vAlign w:val="bottom"/>
          </w:tcPr>
          <w:p>
            <w:pPr>
              <w:spacing w:after="0"/>
              <w:rPr>
                <w:sz w:val="4"/>
                <w:szCs w:val="4"/>
                <w:color w:val="auto"/>
              </w:rPr>
            </w:pPr>
          </w:p>
        </w:tc>
        <w:tc>
          <w:tcPr>
            <w:tcW w:w="4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680" w:type="dxa"/>
            <w:vAlign w:val="bottom"/>
            <w:shd w:val="clear" w:color="auto" w:fill="E5E5E5"/>
          </w:tcPr>
          <w:p>
            <w:pPr>
              <w:jc w:val="right"/>
              <w:ind w:right="159"/>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635</w:t>
            </w:r>
          </w:p>
        </w:tc>
        <w:tc>
          <w:tcPr>
            <w:tcW w:w="4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680" w:type="dxa"/>
            <w:vAlign w:val="bottom"/>
          </w:tcPr>
          <w:p>
            <w:pPr>
              <w:spacing w:after="0"/>
              <w:rPr>
                <w:sz w:val="16"/>
                <w:szCs w:val="16"/>
                <w:color w:val="auto"/>
              </w:rPr>
            </w:pPr>
          </w:p>
        </w:tc>
        <w:tc>
          <w:tcPr>
            <w:tcW w:w="90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6,754</w:t>
            </w:r>
          </w:p>
        </w:tc>
        <w:tc>
          <w:tcPr>
            <w:tcW w:w="4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6,034</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 purchased</w:t>
            </w:r>
          </w:p>
        </w:tc>
        <w:tc>
          <w:tcPr>
            <w:tcW w:w="46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1,295</w:t>
            </w:r>
          </w:p>
        </w:tc>
        <w:tc>
          <w:tcPr>
            <w:tcW w:w="4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r>
      <w:tr>
        <w:trPr>
          <w:trHeight w:val="229"/>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340" w:type="dxa"/>
            <w:vAlign w:val="bottom"/>
          </w:tcPr>
          <w:p>
            <w:pPr>
              <w:spacing w:after="0"/>
              <w:rPr>
                <w:sz w:val="4"/>
                <w:szCs w:val="4"/>
                <w:color w:val="auto"/>
              </w:rPr>
            </w:pPr>
          </w:p>
        </w:tc>
        <w:tc>
          <w:tcPr>
            <w:tcW w:w="4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6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11,896</w:t>
            </w:r>
          </w:p>
        </w:tc>
        <w:tc>
          <w:tcPr>
            <w:tcW w:w="4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14,889</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680" w:type="dxa"/>
            <w:vAlign w:val="bottom"/>
          </w:tcPr>
          <w:p>
            <w:pPr>
              <w:spacing w:after="0"/>
              <w:rPr>
                <w:sz w:val="16"/>
                <w:szCs w:val="16"/>
                <w:color w:val="auto"/>
              </w:rPr>
            </w:pPr>
          </w:p>
        </w:tc>
        <w:tc>
          <w:tcPr>
            <w:tcW w:w="90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15,595</w:t>
            </w:r>
          </w:p>
        </w:tc>
        <w:tc>
          <w:tcPr>
            <w:tcW w:w="4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15,614</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46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1,844</w:t>
            </w:r>
          </w:p>
        </w:tc>
        <w:tc>
          <w:tcPr>
            <w:tcW w:w="4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2,007</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46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b w:val="1"/>
                <w:bCs w:val="1"/>
                <w:color w:val="auto"/>
              </w:rPr>
              <w:t>757</w:t>
            </w:r>
          </w:p>
        </w:tc>
        <w:tc>
          <w:tcPr>
            <w:tcW w:w="4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r>
        <w:trPr>
          <w:trHeight w:val="744"/>
        </w:trPr>
        <w:tc>
          <w:tcPr>
            <w:tcW w:w="4340" w:type="dxa"/>
            <w:vAlign w:val="bottom"/>
            <w:tcBorders>
              <w:top w:val="single" w:sz="8" w:color="auto"/>
            </w:tcBorders>
          </w:tcPr>
          <w:p>
            <w:pPr>
              <w:spacing w:after="0"/>
              <w:rPr>
                <w:sz w:val="24"/>
                <w:szCs w:val="24"/>
                <w:color w:val="auto"/>
              </w:rPr>
            </w:pPr>
          </w:p>
        </w:tc>
        <w:tc>
          <w:tcPr>
            <w:tcW w:w="4680" w:type="dxa"/>
            <w:vAlign w:val="bottom"/>
            <w:tcBorders>
              <w:top w:val="single" w:sz="8" w:color="auto"/>
            </w:tcBorders>
          </w:tcPr>
          <w:p>
            <w:pPr>
              <w:jc w:val="right"/>
              <w:ind w:right="3239"/>
              <w:spacing w:after="0"/>
              <w:rPr>
                <w:sz w:val="20"/>
                <w:szCs w:val="20"/>
                <w:color w:val="auto"/>
              </w:rPr>
            </w:pPr>
            <w:r>
              <w:rPr>
                <w:rFonts w:ascii="Arial" w:cs="Arial" w:eastAsia="Arial" w:hAnsi="Arial"/>
                <w:sz w:val="14"/>
                <w:szCs w:val="14"/>
                <w:color w:val="auto"/>
              </w:rPr>
              <w:t>72</w:t>
            </w: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340" w:type="dxa"/>
            <w:vAlign w:val="bottom"/>
            <w:tcBorders>
              <w:bottom w:val="single" w:sz="8" w:color="9A9A9A"/>
            </w:tcBorders>
          </w:tcPr>
          <w:p>
            <w:pPr>
              <w:spacing w:after="0"/>
              <w:rPr>
                <w:sz w:val="8"/>
                <w:szCs w:val="8"/>
                <w:color w:val="auto"/>
              </w:rPr>
            </w:pPr>
          </w:p>
        </w:tc>
        <w:tc>
          <w:tcPr>
            <w:tcW w:w="46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2" w:name="page73"/>
    <w:bookmarkEnd w:id="7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4"/>
        </w:trPr>
        <w:tc>
          <w:tcPr>
            <w:tcW w:w="5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93</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245</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(334)</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204</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8"/>
        </w:trPr>
        <w:tc>
          <w:tcPr>
            <w:tcW w:w="59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Gross amounts of derivatives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400</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(399)</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280" w:type="dxa"/>
            <w:vAlign w:val="bottom"/>
          </w:tcPr>
          <w:p>
            <w:pPr>
              <w:spacing w:after="0"/>
              <w:rPr>
                <w:sz w:val="16"/>
                <w:szCs w:val="16"/>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(154)</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158</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(113)</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(154)</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1"/>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199</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146</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(334)</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(61)</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$399 million and $399 million, respectively, as of June 30, 2020, and $247 million and $272 million, respectively, as of June 30,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840" w:type="dxa"/>
            <w:vAlign w:val="bottom"/>
          </w:tcPr>
          <w:p>
            <w:pPr>
              <w:jc w:val="right"/>
              <w:ind w:right="1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54"/>
        </w:trPr>
        <w:tc>
          <w:tcPr>
            <w:tcW w:w="35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2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1</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398</w:t>
            </w:r>
          </w:p>
        </w:tc>
        <w:tc>
          <w:tcPr>
            <w:tcW w:w="4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400</w:t>
            </w: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4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(399)</w:t>
            </w:r>
          </w:p>
        </w:tc>
      </w:tr>
      <w:tr>
        <w:trPr>
          <w:trHeight w:val="179"/>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2019</w:t>
            </w:r>
          </w:p>
        </w:tc>
        <w:tc>
          <w:tcPr>
            <w:tcW w:w="2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5"/>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0</w:t>
            </w:r>
          </w:p>
        </w:tc>
        <w:tc>
          <w:tcPr>
            <w:tcW w:w="5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247</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3</w:t>
            </w:r>
          </w:p>
        </w:tc>
        <w:tc>
          <w:tcPr>
            <w:tcW w:w="5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250</w:t>
            </w: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r>
      <w:tr>
        <w:trPr>
          <w:trHeight w:val="40"/>
        </w:trPr>
        <w:tc>
          <w:tcPr>
            <w:tcW w:w="35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589"/>
        </w:trPr>
        <w:tc>
          <w:tcPr>
            <w:tcW w:w="3540" w:type="dxa"/>
            <w:vAlign w:val="bottom"/>
          </w:tcPr>
          <w:p>
            <w:pPr>
              <w:spacing w:after="0"/>
              <w:rPr>
                <w:sz w:val="24"/>
                <w:szCs w:val="24"/>
                <w:color w:val="auto"/>
              </w:rPr>
            </w:pPr>
          </w:p>
        </w:tc>
        <w:tc>
          <w:tcPr>
            <w:tcW w:w="2820" w:type="dxa"/>
            <w:vAlign w:val="bottom"/>
          </w:tcPr>
          <w:p>
            <w:pPr>
              <w:jc w:val="right"/>
              <w:ind w:right="579"/>
              <w:spacing w:after="0"/>
              <w:rPr>
                <w:sz w:val="20"/>
                <w:szCs w:val="20"/>
                <w:color w:val="auto"/>
              </w:rPr>
            </w:pPr>
            <w:r>
              <w:rPr>
                <w:rFonts w:ascii="Arial" w:cs="Arial" w:eastAsia="Arial" w:hAnsi="Arial"/>
                <w:sz w:val="14"/>
                <w:szCs w:val="14"/>
                <w:color w:val="auto"/>
              </w:rPr>
              <w:t>73</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3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3" w:name="page74"/>
    <w:bookmarkEnd w:id="7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our consolidated income statements were as follows:</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465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Other</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rPr>
              <w:t>Other</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Income</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rPr>
              <w:t>Income</w:t>
            </w: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(Expense),</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rPr>
              <w:t>(Expense),</w:t>
            </w: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(Expense),</w:t>
            </w: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3"/>
                <w:szCs w:val="13"/>
                <w:b w:val="1"/>
                <w:bCs w:val="1"/>
                <w:color w:val="auto"/>
              </w:rPr>
              <w:t>Revenue</w:t>
            </w:r>
          </w:p>
        </w:tc>
        <w:tc>
          <w:tcPr>
            <w:tcW w:w="34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Net</w:t>
            </w:r>
          </w:p>
        </w:tc>
        <w:tc>
          <w:tcPr>
            <w:tcW w:w="380" w:type="dxa"/>
            <w:vAlign w:val="bottom"/>
          </w:tcPr>
          <w:p>
            <w:pPr>
              <w:spacing w:after="0"/>
              <w:rPr>
                <w:sz w:val="15"/>
                <w:szCs w:val="15"/>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auto"/>
              </w:rPr>
              <w:t>Revenue</w:t>
            </w:r>
          </w:p>
        </w:tc>
        <w:tc>
          <w:tcPr>
            <w:tcW w:w="32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rPr>
              <w:t>Net</w:t>
            </w:r>
          </w:p>
        </w:tc>
        <w:tc>
          <w:tcPr>
            <w:tcW w:w="38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3"/>
                <w:szCs w:val="13"/>
                <w:b w:val="1"/>
                <w:bCs w:val="1"/>
                <w:color w:val="auto"/>
              </w:rPr>
              <w:t>Revenue</w:t>
            </w:r>
          </w:p>
        </w:tc>
        <w:tc>
          <w:tcPr>
            <w:tcW w:w="3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54"/>
        </w:trPr>
        <w:tc>
          <w:tcPr>
            <w:tcW w:w="34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46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7"/>
              <w:spacing w:after="0" w:line="189" w:lineRule="exact"/>
              <w:rPr>
                <w:sz w:val="20"/>
                <w:szCs w:val="20"/>
                <w:color w:val="auto"/>
              </w:rPr>
            </w:pPr>
            <w:r>
              <w:rPr>
                <w:rFonts w:ascii="Arial" w:cs="Arial" w:eastAsia="Arial" w:hAnsi="Arial"/>
                <w:sz w:val="18"/>
                <w:szCs w:val="18"/>
                <w:b w:val="1"/>
                <w:bCs w:val="1"/>
                <w:color w:val="auto"/>
              </w:rPr>
              <w:t>1</w:t>
            </w:r>
          </w:p>
        </w:tc>
        <w:tc>
          <w:tcPr>
            <w:tcW w:w="38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189"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(130)</w:t>
            </w:r>
          </w:p>
        </w:tc>
        <w:tc>
          <w:tcPr>
            <w:tcW w:w="38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line="189" w:lineRule="exact"/>
              <w:rPr>
                <w:sz w:val="20"/>
                <w:szCs w:val="20"/>
                <w:color w:val="auto"/>
              </w:rPr>
            </w:pPr>
            <w:r>
              <w:rPr>
                <w:rFonts w:ascii="Arial" w:cs="Arial" w:eastAsia="Arial" w:hAnsi="Arial"/>
                <w:sz w:val="18"/>
                <w:szCs w:val="18"/>
                <w:color w:val="auto"/>
              </w:rPr>
              <w:t>0</w:t>
            </w:r>
          </w:p>
        </w:tc>
        <w:tc>
          <w:tcPr>
            <w:tcW w:w="340" w:type="dxa"/>
            <w:vAlign w:val="bottom"/>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b w:val="1"/>
                <w:bCs w:val="1"/>
                <w:color w:val="auto"/>
              </w:rPr>
              <w:t>3</w:t>
            </w: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0</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color w:val="auto"/>
              </w:rPr>
              <w:t>130</w:t>
            </w: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color w:val="auto"/>
              </w:rPr>
              <w:t>0</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5"/>
        </w:trPr>
        <w:tc>
          <w:tcPr>
            <w:tcW w:w="3420" w:type="dxa"/>
            <w:vAlign w:val="bottom"/>
          </w:tcPr>
          <w:p>
            <w:pPr>
              <w:ind w:left="220"/>
              <w:spacing w:after="0" w:line="175" w:lineRule="exact"/>
              <w:rPr>
                <w:sz w:val="20"/>
                <w:szCs w:val="20"/>
                <w:color w:val="auto"/>
              </w:rPr>
            </w:pPr>
            <w:r>
              <w:rPr>
                <w:rFonts w:ascii="Arial" w:cs="Arial" w:eastAsia="Arial" w:hAnsi="Arial"/>
                <w:sz w:val="18"/>
                <w:szCs w:val="18"/>
                <w:color w:val="auto"/>
              </w:rPr>
              <w:t>Excluded from effectiveness</w:t>
            </w:r>
          </w:p>
        </w:tc>
        <w:tc>
          <w:tcPr>
            <w:tcW w:w="460" w:type="dxa"/>
            <w:vAlign w:val="bottom"/>
          </w:tcPr>
          <w:p>
            <w:pPr>
              <w:spacing w:after="0"/>
              <w:rPr>
                <w:sz w:val="15"/>
                <w:szCs w:val="15"/>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5"/>
                <w:szCs w:val="15"/>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139</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440"/>
              <w:spacing w:after="0" w:line="203" w:lineRule="exact"/>
              <w:rPr>
                <w:sz w:val="20"/>
                <w:szCs w:val="20"/>
                <w:color w:val="auto"/>
              </w:rPr>
            </w:pPr>
            <w:r>
              <w:rPr>
                <w:rFonts w:ascii="Arial" w:cs="Arial" w:eastAsia="Arial" w:hAnsi="Arial"/>
                <w:sz w:val="18"/>
                <w:szCs w:val="18"/>
                <w:color w:val="auto"/>
              </w:rPr>
              <w:t>assessment</w:t>
            </w:r>
          </w:p>
        </w:tc>
        <w:tc>
          <w:tcPr>
            <w:tcW w:w="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7"/>
                <w:szCs w:val="17"/>
                <w:color w:val="auto"/>
              </w:rPr>
            </w:pPr>
          </w:p>
        </w:tc>
        <w:tc>
          <w:tcPr>
            <w:tcW w:w="980" w:type="dxa"/>
            <w:vAlign w:val="bottom"/>
          </w:tcPr>
          <w:p>
            <w:pPr>
              <w:jc w:val="right"/>
              <w:ind w:right="57"/>
              <w:spacing w:after="0" w:line="203" w:lineRule="exact"/>
              <w:rPr>
                <w:sz w:val="20"/>
                <w:szCs w:val="20"/>
                <w:color w:val="auto"/>
              </w:rPr>
            </w:pPr>
            <w:r>
              <w:rPr>
                <w:rFonts w:ascii="Arial" w:cs="Arial" w:eastAsia="Arial" w:hAnsi="Arial"/>
                <w:sz w:val="18"/>
                <w:szCs w:val="18"/>
                <w:color w:val="auto"/>
              </w:rPr>
              <w:t>168</w:t>
            </w:r>
          </w:p>
        </w:tc>
        <w:tc>
          <w:tcPr>
            <w:tcW w:w="380" w:type="dxa"/>
            <w:vAlign w:val="bottom"/>
          </w:tcPr>
          <w:p>
            <w:pPr>
              <w:spacing w:after="0"/>
              <w:rPr>
                <w:sz w:val="17"/>
                <w:szCs w:val="17"/>
                <w:color w:val="auto"/>
              </w:rPr>
            </w:pPr>
          </w:p>
        </w:tc>
        <w:tc>
          <w:tcPr>
            <w:tcW w:w="920" w:type="dxa"/>
            <w:vAlign w:val="bottom"/>
          </w:tcPr>
          <w:p>
            <w:pPr>
              <w:jc w:val="right"/>
              <w:ind w:right="72"/>
              <w:spacing w:after="0" w:line="203" w:lineRule="exact"/>
              <w:rPr>
                <w:sz w:val="20"/>
                <w:szCs w:val="20"/>
                <w:color w:val="auto"/>
              </w:rPr>
            </w:pPr>
            <w:r>
              <w:rPr>
                <w:rFonts w:ascii="Arial" w:cs="Arial" w:eastAsia="Arial" w:hAnsi="Arial"/>
                <w:sz w:val="18"/>
                <w:szCs w:val="18"/>
                <w:color w:val="auto"/>
              </w:rPr>
              <w:t>0</w:t>
            </w:r>
          </w:p>
        </w:tc>
        <w:tc>
          <w:tcPr>
            <w:tcW w:w="34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460" w:type="dxa"/>
            <w:vAlign w:val="bottom"/>
          </w:tcPr>
          <w:p>
            <w:pPr>
              <w:spacing w:after="0"/>
              <w:rPr>
                <w:sz w:val="16"/>
                <w:szCs w:val="16"/>
                <w:color w:val="auto"/>
              </w:rPr>
            </w:pPr>
          </w:p>
        </w:tc>
        <w:tc>
          <w:tcPr>
            <w:tcW w:w="86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6"/>
                <w:szCs w:val="16"/>
                <w:color w:val="auto"/>
              </w:rPr>
            </w:pPr>
          </w:p>
        </w:tc>
        <w:tc>
          <w:tcPr>
            <w:tcW w:w="960" w:type="dxa"/>
            <w:vAlign w:val="bottom"/>
          </w:tcPr>
          <w:p>
            <w:pPr>
              <w:jc w:val="right"/>
              <w:ind w:right="57"/>
              <w:spacing w:after="0" w:line="189" w:lineRule="exact"/>
              <w:rPr>
                <w:sz w:val="20"/>
                <w:szCs w:val="20"/>
                <w:color w:val="auto"/>
              </w:rPr>
            </w:pPr>
            <w:r>
              <w:rPr>
                <w:rFonts w:ascii="Arial" w:cs="Arial" w:eastAsia="Arial" w:hAnsi="Arial"/>
                <w:sz w:val="18"/>
                <w:szCs w:val="18"/>
                <w:b w:val="1"/>
                <w:bCs w:val="1"/>
                <w:color w:val="auto"/>
              </w:rPr>
              <w:t>93</w:t>
            </w:r>
          </w:p>
        </w:tc>
        <w:tc>
          <w:tcPr>
            <w:tcW w:w="380" w:type="dxa"/>
            <w:vAlign w:val="bottom"/>
          </w:tcPr>
          <w:p>
            <w:pPr>
              <w:spacing w:after="0"/>
              <w:rPr>
                <w:sz w:val="16"/>
                <w:szCs w:val="16"/>
                <w:color w:val="auto"/>
              </w:rPr>
            </w:pPr>
          </w:p>
        </w:tc>
        <w:tc>
          <w:tcPr>
            <w:tcW w:w="900" w:type="dxa"/>
            <w:vAlign w:val="bottom"/>
          </w:tcPr>
          <w:p>
            <w:pPr>
              <w:jc w:val="right"/>
              <w:ind w:right="32"/>
              <w:spacing w:after="0" w:line="189"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6"/>
                <w:szCs w:val="16"/>
                <w:color w:val="auto"/>
              </w:rPr>
            </w:pPr>
          </w:p>
        </w:tc>
        <w:tc>
          <w:tcPr>
            <w:tcW w:w="980" w:type="dxa"/>
            <w:vAlign w:val="bottom"/>
          </w:tcPr>
          <w:p>
            <w:pPr>
              <w:jc w:val="right"/>
              <w:ind w:right="57"/>
              <w:spacing w:after="0" w:line="189" w:lineRule="exact"/>
              <w:rPr>
                <w:sz w:val="20"/>
                <w:szCs w:val="20"/>
                <w:color w:val="auto"/>
              </w:rPr>
            </w:pPr>
            <w:r>
              <w:rPr>
                <w:rFonts w:ascii="Arial" w:cs="Arial" w:eastAsia="Arial" w:hAnsi="Arial"/>
                <w:sz w:val="18"/>
                <w:szCs w:val="18"/>
                <w:color w:val="auto"/>
              </w:rPr>
              <w:t>0</w:t>
            </w:r>
          </w:p>
        </w:tc>
        <w:tc>
          <w:tcPr>
            <w:tcW w:w="380" w:type="dxa"/>
            <w:vAlign w:val="bottom"/>
          </w:tcPr>
          <w:p>
            <w:pPr>
              <w:spacing w:after="0"/>
              <w:rPr>
                <w:sz w:val="16"/>
                <w:szCs w:val="16"/>
                <w:color w:val="auto"/>
              </w:rPr>
            </w:pPr>
          </w:p>
        </w:tc>
        <w:tc>
          <w:tcPr>
            <w:tcW w:w="920" w:type="dxa"/>
            <w:vAlign w:val="bottom"/>
          </w:tcPr>
          <w:p>
            <w:pPr>
              <w:jc w:val="right"/>
              <w:ind w:right="72"/>
              <w:spacing w:after="0" w:line="189" w:lineRule="exact"/>
              <w:rPr>
                <w:sz w:val="20"/>
                <w:szCs w:val="20"/>
                <w:color w:val="auto"/>
              </w:rPr>
            </w:pPr>
            <w:r>
              <w:rPr>
                <w:rFonts w:ascii="Arial" w:cs="Arial" w:eastAsia="Arial" w:hAnsi="Arial"/>
                <w:sz w:val="18"/>
                <w:szCs w:val="18"/>
                <w:color w:val="auto"/>
              </w:rPr>
              <w:t>0</w:t>
            </w:r>
          </w:p>
        </w:tc>
        <w:tc>
          <w:tcPr>
            <w:tcW w:w="34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(93)</w:t>
            </w: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0</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color w:val="auto"/>
              </w:rPr>
              <w:t>0</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3420" w:type="dxa"/>
            <w:vAlign w:val="bottom"/>
          </w:tcPr>
          <w:p>
            <w:pPr>
              <w:spacing w:after="0" w:line="189" w:lineRule="exact"/>
              <w:rPr>
                <w:sz w:val="20"/>
                <w:szCs w:val="20"/>
                <w:color w:val="auto"/>
              </w:rPr>
            </w:pPr>
            <w:r>
              <w:rPr>
                <w:rFonts w:ascii="Arial" w:cs="Arial" w:eastAsia="Arial" w:hAnsi="Arial"/>
                <w:sz w:val="18"/>
                <w:szCs w:val="18"/>
                <w:color w:val="auto"/>
              </w:rPr>
              <w:t>Equity contracts</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Derivatives</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b w:val="1"/>
                <w:bCs w:val="1"/>
                <w:color w:val="auto"/>
              </w:rPr>
              <w:t>0</w:t>
            </w: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0</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7"/>
              <w:spacing w:after="0" w:line="189"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color w:val="auto"/>
              </w:rPr>
              <w:t>0</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89"/>
        </w:trPr>
        <w:tc>
          <w:tcPr>
            <w:tcW w:w="3420" w:type="dxa"/>
            <w:vAlign w:val="bottom"/>
          </w:tcPr>
          <w:p>
            <w:pPr>
              <w:ind w:left="220"/>
              <w:spacing w:after="0" w:line="189" w:lineRule="exact"/>
              <w:rPr>
                <w:sz w:val="20"/>
                <w:szCs w:val="20"/>
                <w:color w:val="auto"/>
              </w:rPr>
            </w:pPr>
            <w:r>
              <w:rPr>
                <w:rFonts w:ascii="Arial" w:cs="Arial" w:eastAsia="Arial" w:hAnsi="Arial"/>
                <w:sz w:val="18"/>
                <w:szCs w:val="18"/>
                <w:color w:val="auto"/>
              </w:rPr>
              <w:t>Hedged items</w:t>
            </w:r>
          </w:p>
        </w:tc>
        <w:tc>
          <w:tcPr>
            <w:tcW w:w="460" w:type="dxa"/>
            <w:vAlign w:val="bottom"/>
          </w:tcPr>
          <w:p>
            <w:pPr>
              <w:spacing w:after="0"/>
              <w:rPr>
                <w:sz w:val="16"/>
                <w:szCs w:val="16"/>
                <w:color w:val="auto"/>
              </w:rPr>
            </w:pPr>
          </w:p>
        </w:tc>
        <w:tc>
          <w:tcPr>
            <w:tcW w:w="86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6"/>
                <w:szCs w:val="16"/>
                <w:color w:val="auto"/>
              </w:rPr>
            </w:pPr>
          </w:p>
        </w:tc>
        <w:tc>
          <w:tcPr>
            <w:tcW w:w="960" w:type="dxa"/>
            <w:vAlign w:val="bottom"/>
          </w:tcPr>
          <w:p>
            <w:pPr>
              <w:jc w:val="right"/>
              <w:ind w:right="57"/>
              <w:spacing w:after="0" w:line="189" w:lineRule="exact"/>
              <w:rPr>
                <w:sz w:val="20"/>
                <w:szCs w:val="20"/>
                <w:color w:val="auto"/>
              </w:rPr>
            </w:pPr>
            <w:r>
              <w:rPr>
                <w:rFonts w:ascii="Arial" w:cs="Arial" w:eastAsia="Arial" w:hAnsi="Arial"/>
                <w:sz w:val="18"/>
                <w:szCs w:val="18"/>
                <w:b w:val="1"/>
                <w:bCs w:val="1"/>
                <w:color w:val="auto"/>
              </w:rPr>
              <w:t>0</w:t>
            </w:r>
          </w:p>
        </w:tc>
        <w:tc>
          <w:tcPr>
            <w:tcW w:w="380" w:type="dxa"/>
            <w:vAlign w:val="bottom"/>
          </w:tcPr>
          <w:p>
            <w:pPr>
              <w:spacing w:after="0"/>
              <w:rPr>
                <w:sz w:val="16"/>
                <w:szCs w:val="16"/>
                <w:color w:val="auto"/>
              </w:rPr>
            </w:pPr>
          </w:p>
        </w:tc>
        <w:tc>
          <w:tcPr>
            <w:tcW w:w="900" w:type="dxa"/>
            <w:vAlign w:val="bottom"/>
          </w:tcPr>
          <w:p>
            <w:pPr>
              <w:jc w:val="right"/>
              <w:ind w:right="32"/>
              <w:spacing w:after="0" w:line="189"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6"/>
                <w:szCs w:val="16"/>
                <w:color w:val="auto"/>
              </w:rPr>
            </w:pPr>
          </w:p>
        </w:tc>
        <w:tc>
          <w:tcPr>
            <w:tcW w:w="980" w:type="dxa"/>
            <w:vAlign w:val="bottom"/>
          </w:tcPr>
          <w:p>
            <w:pPr>
              <w:jc w:val="right"/>
              <w:ind w:right="57"/>
              <w:spacing w:after="0" w:line="189" w:lineRule="exact"/>
              <w:rPr>
                <w:sz w:val="20"/>
                <w:szCs w:val="20"/>
                <w:color w:val="auto"/>
              </w:rPr>
            </w:pPr>
            <w:r>
              <w:rPr>
                <w:rFonts w:ascii="Arial" w:cs="Arial" w:eastAsia="Arial" w:hAnsi="Arial"/>
                <w:sz w:val="18"/>
                <w:szCs w:val="18"/>
                <w:color w:val="auto"/>
              </w:rPr>
              <w:t>0</w:t>
            </w:r>
          </w:p>
        </w:tc>
        <w:tc>
          <w:tcPr>
            <w:tcW w:w="380" w:type="dxa"/>
            <w:vAlign w:val="bottom"/>
          </w:tcPr>
          <w:p>
            <w:pPr>
              <w:spacing w:after="0"/>
              <w:rPr>
                <w:sz w:val="16"/>
                <w:szCs w:val="16"/>
                <w:color w:val="auto"/>
              </w:rPr>
            </w:pPr>
          </w:p>
        </w:tc>
        <w:tc>
          <w:tcPr>
            <w:tcW w:w="920" w:type="dxa"/>
            <w:vAlign w:val="bottom"/>
          </w:tcPr>
          <w:p>
            <w:pPr>
              <w:jc w:val="right"/>
              <w:ind w:right="72"/>
              <w:spacing w:after="0" w:line="189" w:lineRule="exact"/>
              <w:rPr>
                <w:sz w:val="20"/>
                <w:szCs w:val="20"/>
                <w:color w:val="auto"/>
              </w:rPr>
            </w:pPr>
            <w:r>
              <w:rPr>
                <w:rFonts w:ascii="Arial" w:cs="Arial" w:eastAsia="Arial" w:hAnsi="Arial"/>
                <w:sz w:val="18"/>
                <w:szCs w:val="18"/>
                <w:color w:val="auto"/>
              </w:rPr>
              <w:t>0</w:t>
            </w:r>
          </w:p>
        </w:tc>
        <w:tc>
          <w:tcPr>
            <w:tcW w:w="34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75"/>
        </w:trPr>
        <w:tc>
          <w:tcPr>
            <w:tcW w:w="342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Excluded from effectiveness</w:t>
            </w:r>
          </w:p>
        </w:tc>
        <w:tc>
          <w:tcPr>
            <w:tcW w:w="460" w:type="dxa"/>
            <w:vAlign w:val="bottom"/>
            <w:shd w:val="clear" w:color="auto" w:fill="E5E5E5"/>
          </w:tcPr>
          <w:p>
            <w:pPr>
              <w:spacing w:after="0"/>
              <w:rPr>
                <w:sz w:val="15"/>
                <w:szCs w:val="15"/>
                <w:color w:val="auto"/>
              </w:rPr>
            </w:pPr>
          </w:p>
        </w:tc>
        <w:tc>
          <w:tcPr>
            <w:tcW w:w="86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5"/>
                <w:szCs w:val="15"/>
                <w:color w:val="auto"/>
              </w:rPr>
            </w:pPr>
          </w:p>
        </w:tc>
        <w:tc>
          <w:tcPr>
            <w:tcW w:w="960" w:type="dxa"/>
            <w:vAlign w:val="bottom"/>
            <w:vMerge w:val="restart"/>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0</w:t>
            </w:r>
          </w:p>
        </w:tc>
        <w:tc>
          <w:tcPr>
            <w:tcW w:w="38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assessment</w:t>
            </w:r>
          </w:p>
        </w:tc>
        <w:tc>
          <w:tcPr>
            <w:tcW w:w="460" w:type="dxa"/>
            <w:vAlign w:val="bottom"/>
            <w:shd w:val="clear" w:color="auto" w:fill="E5E5E5"/>
          </w:tcPr>
          <w:p>
            <w:pPr>
              <w:spacing w:after="0"/>
              <w:rPr>
                <w:sz w:val="17"/>
                <w:szCs w:val="17"/>
                <w:color w:val="auto"/>
              </w:rPr>
            </w:pPr>
          </w:p>
        </w:tc>
        <w:tc>
          <w:tcPr>
            <w:tcW w:w="860" w:type="dxa"/>
            <w:vAlign w:val="bottom"/>
            <w:vMerge w:val="continue"/>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60" w:type="dxa"/>
            <w:vAlign w:val="bottom"/>
            <w:vMerge w:val="continue"/>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32"/>
              <w:spacing w:after="0" w:line="203" w:lineRule="exact"/>
              <w:rPr>
                <w:sz w:val="20"/>
                <w:szCs w:val="20"/>
                <w:color w:val="auto"/>
              </w:rPr>
            </w:pPr>
            <w:r>
              <w:rPr>
                <w:rFonts w:ascii="Arial" w:cs="Arial" w:eastAsia="Arial" w:hAnsi="Arial"/>
                <w:sz w:val="18"/>
                <w:szCs w:val="18"/>
                <w:color w:val="auto"/>
              </w:rPr>
              <w:t>0</w:t>
            </w: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57"/>
              <w:spacing w:after="0" w:line="203"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72"/>
              <w:spacing w:after="0" w:line="203" w:lineRule="exact"/>
              <w:rPr>
                <w:sz w:val="20"/>
                <w:szCs w:val="20"/>
                <w:color w:val="auto"/>
              </w:rPr>
            </w:pPr>
            <w:r>
              <w:rPr>
                <w:rFonts w:ascii="Arial" w:cs="Arial" w:eastAsia="Arial" w:hAnsi="Arial"/>
                <w:sz w:val="18"/>
                <w:szCs w:val="18"/>
                <w:color w:val="auto"/>
              </w:rPr>
              <w:t>0</w:t>
            </w:r>
          </w:p>
        </w:tc>
        <w:tc>
          <w:tcPr>
            <w:tcW w:w="3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3"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20"/>
              <w:spacing w:after="0" w:line="175" w:lineRule="exact"/>
              <w:rPr>
                <w:sz w:val="20"/>
                <w:szCs w:val="20"/>
                <w:color w:val="auto"/>
              </w:rPr>
            </w:pPr>
            <w:r>
              <w:rPr>
                <w:rFonts w:ascii="Arial" w:cs="Arial" w:eastAsia="Arial" w:hAnsi="Arial"/>
                <w:sz w:val="18"/>
                <w:szCs w:val="18"/>
                <w:color w:val="auto"/>
              </w:rPr>
              <w:t>Amount reclassified from accumulated</w:t>
            </w:r>
          </w:p>
        </w:tc>
        <w:tc>
          <w:tcPr>
            <w:tcW w:w="460" w:type="dxa"/>
            <w:vAlign w:val="bottom"/>
          </w:tcPr>
          <w:p>
            <w:pPr>
              <w:spacing w:after="0"/>
              <w:rPr>
                <w:sz w:val="15"/>
                <w:szCs w:val="15"/>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5"/>
                <w:szCs w:val="15"/>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0</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440"/>
              <w:spacing w:after="0" w:line="203" w:lineRule="exact"/>
              <w:rPr>
                <w:sz w:val="20"/>
                <w:szCs w:val="20"/>
                <w:color w:val="auto"/>
              </w:rPr>
            </w:pPr>
            <w:r>
              <w:rPr>
                <w:rFonts w:ascii="Arial" w:cs="Arial" w:eastAsia="Arial" w:hAnsi="Arial"/>
                <w:sz w:val="18"/>
                <w:szCs w:val="18"/>
                <w:color w:val="auto"/>
              </w:rPr>
              <w:t>other comprehensive income</w:t>
            </w:r>
          </w:p>
        </w:tc>
        <w:tc>
          <w:tcPr>
            <w:tcW w:w="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341</w:t>
            </w:r>
          </w:p>
        </w:tc>
        <w:tc>
          <w:tcPr>
            <w:tcW w:w="320" w:type="dxa"/>
            <w:vAlign w:val="bottom"/>
          </w:tcPr>
          <w:p>
            <w:pPr>
              <w:spacing w:after="0"/>
              <w:rPr>
                <w:sz w:val="17"/>
                <w:szCs w:val="17"/>
                <w:color w:val="auto"/>
              </w:rPr>
            </w:pPr>
          </w:p>
        </w:tc>
        <w:tc>
          <w:tcPr>
            <w:tcW w:w="980" w:type="dxa"/>
            <w:vAlign w:val="bottom"/>
          </w:tcPr>
          <w:p>
            <w:pPr>
              <w:jc w:val="right"/>
              <w:ind w:right="57"/>
              <w:spacing w:after="0" w:line="203" w:lineRule="exact"/>
              <w:rPr>
                <w:sz w:val="20"/>
                <w:szCs w:val="20"/>
                <w:color w:val="auto"/>
              </w:rPr>
            </w:pPr>
            <w:r>
              <w:rPr>
                <w:rFonts w:ascii="Arial" w:cs="Arial" w:eastAsia="Arial" w:hAnsi="Arial"/>
                <w:sz w:val="18"/>
                <w:szCs w:val="18"/>
                <w:color w:val="auto"/>
              </w:rPr>
              <w:t>0</w:t>
            </w:r>
          </w:p>
        </w:tc>
        <w:tc>
          <w:tcPr>
            <w:tcW w:w="380" w:type="dxa"/>
            <w:vAlign w:val="bottom"/>
          </w:tcPr>
          <w:p>
            <w:pPr>
              <w:spacing w:after="0"/>
              <w:rPr>
                <w:sz w:val="17"/>
                <w:szCs w:val="17"/>
                <w:color w:val="auto"/>
              </w:rPr>
            </w:pPr>
          </w:p>
        </w:tc>
        <w:tc>
          <w:tcPr>
            <w:tcW w:w="920" w:type="dxa"/>
            <w:vAlign w:val="bottom"/>
          </w:tcPr>
          <w:p>
            <w:pPr>
              <w:jc w:val="right"/>
              <w:ind w:right="72"/>
              <w:spacing w:after="0" w:line="203" w:lineRule="exact"/>
              <w:rPr>
                <w:sz w:val="20"/>
                <w:szCs w:val="20"/>
                <w:color w:val="auto"/>
              </w:rPr>
            </w:pPr>
            <w:r>
              <w:rPr>
                <w:rFonts w:ascii="Arial" w:cs="Arial" w:eastAsia="Arial" w:hAnsi="Arial"/>
                <w:sz w:val="18"/>
                <w:szCs w:val="18"/>
                <w:color w:val="auto"/>
              </w:rPr>
              <w:t>185</w:t>
            </w:r>
          </w:p>
        </w:tc>
        <w:tc>
          <w:tcPr>
            <w:tcW w:w="34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342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Excluded from effectiveness</w:t>
            </w:r>
          </w:p>
        </w:tc>
        <w:tc>
          <w:tcPr>
            <w:tcW w:w="460" w:type="dxa"/>
            <w:vAlign w:val="bottom"/>
            <w:shd w:val="clear" w:color="auto" w:fill="E5E5E5"/>
          </w:tcPr>
          <w:p>
            <w:pPr>
              <w:spacing w:after="0"/>
              <w:rPr>
                <w:sz w:val="15"/>
                <w:szCs w:val="15"/>
                <w:color w:val="auto"/>
              </w:rPr>
            </w:pPr>
          </w:p>
        </w:tc>
        <w:tc>
          <w:tcPr>
            <w:tcW w:w="86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5"/>
                <w:szCs w:val="15"/>
                <w:color w:val="auto"/>
              </w:rPr>
            </w:pPr>
          </w:p>
        </w:tc>
        <w:tc>
          <w:tcPr>
            <w:tcW w:w="960" w:type="dxa"/>
            <w:vAlign w:val="bottom"/>
            <w:vMerge w:val="restart"/>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0</w:t>
            </w:r>
          </w:p>
        </w:tc>
        <w:tc>
          <w:tcPr>
            <w:tcW w:w="38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assessment</w:t>
            </w:r>
          </w:p>
        </w:tc>
        <w:tc>
          <w:tcPr>
            <w:tcW w:w="460" w:type="dxa"/>
            <w:vAlign w:val="bottom"/>
            <w:shd w:val="clear" w:color="auto" w:fill="E5E5E5"/>
          </w:tcPr>
          <w:p>
            <w:pPr>
              <w:spacing w:after="0"/>
              <w:rPr>
                <w:sz w:val="17"/>
                <w:szCs w:val="17"/>
                <w:color w:val="auto"/>
              </w:rPr>
            </w:pPr>
          </w:p>
        </w:tc>
        <w:tc>
          <w:tcPr>
            <w:tcW w:w="860" w:type="dxa"/>
            <w:vAlign w:val="bottom"/>
            <w:vMerge w:val="continue"/>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60" w:type="dxa"/>
            <w:vAlign w:val="bottom"/>
            <w:vMerge w:val="continue"/>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(64)</w:t>
            </w: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57"/>
              <w:spacing w:after="0" w:line="203"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12"/>
              <w:spacing w:after="0" w:line="203" w:lineRule="exact"/>
              <w:rPr>
                <w:sz w:val="20"/>
                <w:szCs w:val="20"/>
                <w:color w:val="auto"/>
              </w:rPr>
            </w:pPr>
            <w:r>
              <w:rPr>
                <w:rFonts w:ascii="Arial" w:cs="Arial" w:eastAsia="Arial" w:hAnsi="Arial"/>
                <w:sz w:val="18"/>
                <w:szCs w:val="18"/>
                <w:color w:val="auto"/>
              </w:rPr>
              <w:t>(255)</w:t>
            </w:r>
          </w:p>
        </w:tc>
        <w:tc>
          <w:tcPr>
            <w:tcW w:w="3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(123)</w:t>
            </w:r>
          </w:p>
        </w:tc>
        <w:tc>
          <w:tcPr>
            <w:tcW w:w="3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0</w:t>
            </w:r>
          </w:p>
        </w:tc>
        <w:tc>
          <w:tcPr>
            <w:tcW w:w="32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(97)</w:t>
            </w:r>
          </w:p>
        </w:tc>
        <w:tc>
          <w:tcPr>
            <w:tcW w:w="38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color w:val="auto"/>
              </w:rPr>
              <w:t>0</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3420" w:type="dxa"/>
            <w:vAlign w:val="bottom"/>
          </w:tcPr>
          <w:p>
            <w:pPr>
              <w:spacing w:after="0"/>
              <w:rPr>
                <w:sz w:val="20"/>
                <w:szCs w:val="20"/>
                <w:color w:val="auto"/>
              </w:rPr>
            </w:pPr>
            <w:r>
              <w:rPr>
                <w:rFonts w:ascii="Arial" w:cs="Arial" w:eastAsia="Arial" w:hAnsi="Arial"/>
                <w:sz w:val="18"/>
                <w:szCs w:val="18"/>
                <w:color w:val="auto"/>
              </w:rPr>
              <w:t>Other contracts</w:t>
            </w:r>
          </w:p>
        </w:tc>
        <w:tc>
          <w:tcPr>
            <w:tcW w:w="4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b w:val="1"/>
                <w:bCs w:val="1"/>
                <w:color w:val="auto"/>
              </w:rPr>
              <w:t>50</w:t>
            </w:r>
          </w:p>
        </w:tc>
        <w:tc>
          <w:tcPr>
            <w:tcW w:w="3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
        </w:trPr>
        <w:tc>
          <w:tcPr>
            <w:tcW w:w="3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620" w:type="dxa"/>
            <w:vAlign w:val="bottom"/>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880" w:type="dxa"/>
            <w:vAlign w:val="bottom"/>
          </w:tcPr>
          <w:p>
            <w:pPr>
              <w:jc w:val="right"/>
              <w:ind w:right="213"/>
              <w:spacing w:after="0"/>
              <w:rPr>
                <w:sz w:val="20"/>
                <w:szCs w:val="20"/>
                <w:color w:val="auto"/>
              </w:rPr>
            </w:pPr>
            <w:r>
              <w:rPr>
                <w:rFonts w:ascii="Arial" w:cs="Arial" w:eastAsia="Arial" w:hAnsi="Arial"/>
                <w:sz w:val="13"/>
                <w:szCs w:val="13"/>
                <w:b w:val="1"/>
                <w:bCs w:val="1"/>
                <w:color w:val="auto"/>
              </w:rPr>
              <w:t>2019</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r>
      <w:tr>
        <w:trPr>
          <w:trHeight w:val="216"/>
        </w:trPr>
        <w:tc>
          <w:tcPr>
            <w:tcW w:w="604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3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8"/>
                <w:szCs w:val="18"/>
                <w:color w:val="auto"/>
              </w:rPr>
            </w:pPr>
          </w:p>
        </w:tc>
        <w:tc>
          <w:tcPr>
            <w:tcW w:w="19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4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219</w:t>
            </w:r>
          </w:p>
        </w:tc>
        <w:tc>
          <w:tcPr>
            <w:tcW w:w="0" w:type="dxa"/>
            <w:vAlign w:val="bottom"/>
          </w:tcPr>
          <w:p>
            <w:pPr>
              <w:spacing w:after="0"/>
              <w:rPr>
                <w:sz w:val="1"/>
                <w:szCs w:val="1"/>
                <w:color w:val="auto"/>
              </w:rPr>
            </w:pPr>
          </w:p>
        </w:tc>
      </w:tr>
      <w:tr>
        <w:trPr>
          <w:trHeight w:val="513"/>
        </w:trPr>
        <w:tc>
          <w:tcPr>
            <w:tcW w:w="456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gridSpan w:val="3"/>
          </w:tcPr>
          <w:p>
            <w:pPr>
              <w:jc w:val="center"/>
              <w:ind w:right="2240"/>
              <w:spacing w:after="0"/>
              <w:rPr>
                <w:sz w:val="20"/>
                <w:szCs w:val="20"/>
                <w:color w:val="auto"/>
              </w:rPr>
            </w:pPr>
            <w:r>
              <w:rPr>
                <w:rFonts w:ascii="Arial" w:cs="Arial" w:eastAsia="Arial" w:hAnsi="Arial"/>
                <w:sz w:val="18"/>
                <w:szCs w:val="18"/>
                <w:color w:val="auto"/>
                <w:w w:val="99"/>
              </w:rPr>
              <w:t>NOTE 6 — INVENTORIES</w:t>
            </w:r>
          </w:p>
        </w:tc>
        <w:tc>
          <w:tcPr>
            <w:tcW w:w="5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21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2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438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E5E5E5"/>
          </w:tcPr>
          <w:p>
            <w:pPr>
              <w:spacing w:after="0"/>
              <w:rPr>
                <w:sz w:val="16"/>
                <w:szCs w:val="16"/>
                <w:color w:val="auto"/>
              </w:rPr>
            </w:pPr>
          </w:p>
        </w:tc>
        <w:tc>
          <w:tcPr>
            <w:tcW w:w="4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700</w:t>
            </w:r>
          </w:p>
        </w:tc>
        <w:tc>
          <w:tcPr>
            <w:tcW w:w="4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E5E5E5"/>
          </w:tcPr>
          <w:p>
            <w:pPr>
              <w:spacing w:after="0"/>
              <w:rPr>
                <w:sz w:val="16"/>
                <w:szCs w:val="16"/>
                <w:color w:val="auto"/>
              </w:rPr>
            </w:pPr>
          </w:p>
        </w:tc>
        <w:tc>
          <w:tcPr>
            <w:tcW w:w="19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1,112</w:t>
            </w:r>
          </w:p>
        </w:tc>
        <w:tc>
          <w:tcPr>
            <w:tcW w:w="1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560" w:type="dxa"/>
            <w:vAlign w:val="bottom"/>
          </w:tcPr>
          <w:p>
            <w:pPr>
              <w:ind w:left="220"/>
              <w:spacing w:after="0"/>
              <w:rPr>
                <w:sz w:val="20"/>
                <w:szCs w:val="20"/>
                <w:color w:val="auto"/>
              </w:rPr>
            </w:pPr>
            <w:r>
              <w:rPr>
                <w:rFonts w:ascii="Arial" w:cs="Arial" w:eastAsia="Arial" w:hAnsi="Arial"/>
                <w:sz w:val="18"/>
                <w:szCs w:val="18"/>
                <w:color w:val="auto"/>
              </w:rPr>
              <w:t>Total</w:t>
            </w:r>
          </w:p>
        </w:tc>
        <w:tc>
          <w:tcPr>
            <w:tcW w:w="4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1,895</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61"/>
        </w:trPr>
        <w:tc>
          <w:tcPr>
            <w:tcW w:w="4560" w:type="dxa"/>
            <w:vAlign w:val="bottom"/>
          </w:tcPr>
          <w:p>
            <w:pPr>
              <w:spacing w:after="0"/>
              <w:rPr>
                <w:sz w:val="5"/>
                <w:szCs w:val="5"/>
                <w:color w:val="auto"/>
              </w:rPr>
            </w:pPr>
          </w:p>
        </w:tc>
        <w:tc>
          <w:tcPr>
            <w:tcW w:w="2140" w:type="dxa"/>
            <w:vAlign w:val="bottom"/>
            <w:vMerge w:val="restart"/>
          </w:tcPr>
          <w:p>
            <w:pPr>
              <w:jc w:val="right"/>
              <w:ind w:right="914"/>
              <w:spacing w:after="0"/>
              <w:rPr>
                <w:sz w:val="20"/>
                <w:szCs w:val="20"/>
                <w:color w:val="auto"/>
              </w:rPr>
            </w:pPr>
            <w:r>
              <w:rPr>
                <w:rFonts w:ascii="Arial" w:cs="Arial" w:eastAsia="Arial" w:hAnsi="Arial"/>
                <w:sz w:val="14"/>
                <w:szCs w:val="14"/>
                <w:color w:val="auto"/>
              </w:rPr>
              <w:t>74</w:t>
            </w:r>
          </w:p>
        </w:tc>
        <w:tc>
          <w:tcPr>
            <w:tcW w:w="19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45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6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4" w:name="page75"/>
    <w:bookmarkEnd w:id="7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NOTE 7 — PROPERTY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8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r>
      <w:tr>
        <w:trPr>
          <w:trHeight w:val="55"/>
        </w:trPr>
        <w:tc>
          <w:tcPr>
            <w:tcW w:w="8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8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Land</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1,823</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1,540</w:t>
            </w:r>
          </w:p>
        </w:tc>
        <w:tc>
          <w:tcPr>
            <w:tcW w:w="100" w:type="dxa"/>
            <w:vAlign w:val="bottom"/>
            <w:shd w:val="clear" w:color="auto" w:fill="E5E5E5"/>
          </w:tcPr>
          <w:p>
            <w:pPr>
              <w:spacing w:after="0"/>
              <w:rPr>
                <w:sz w:val="16"/>
                <w:szCs w:val="16"/>
                <w:color w:val="auto"/>
              </w:rPr>
            </w:pPr>
          </w:p>
        </w:tc>
      </w:tr>
      <w:tr>
        <w:trPr>
          <w:trHeight w:val="189"/>
        </w:trPr>
        <w:tc>
          <w:tcPr>
            <w:tcW w:w="8680" w:type="dxa"/>
            <w:vAlign w:val="bottom"/>
          </w:tcPr>
          <w:p>
            <w:pPr>
              <w:spacing w:after="0" w:line="189" w:lineRule="exact"/>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33,995</w:t>
            </w: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26,288</w:t>
            </w:r>
          </w:p>
        </w:tc>
        <w:tc>
          <w:tcPr>
            <w:tcW w:w="100" w:type="dxa"/>
            <w:vAlign w:val="bottom"/>
          </w:tcPr>
          <w:p>
            <w:pPr>
              <w:spacing w:after="0"/>
              <w:rPr>
                <w:sz w:val="16"/>
                <w:szCs w:val="16"/>
                <w:color w:val="auto"/>
              </w:rPr>
            </w:pPr>
          </w:p>
        </w:tc>
      </w:tr>
      <w:tr>
        <w:trPr>
          <w:trHeight w:val="189"/>
        </w:trPr>
        <w:tc>
          <w:tcPr>
            <w:tcW w:w="8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5,487</w:t>
            </w: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5,316</w:t>
            </w:r>
          </w:p>
        </w:tc>
        <w:tc>
          <w:tcPr>
            <w:tcW w:w="100" w:type="dxa"/>
            <w:vAlign w:val="bottom"/>
            <w:shd w:val="clear" w:color="auto" w:fill="E5E5E5"/>
          </w:tcPr>
          <w:p>
            <w:pPr>
              <w:spacing w:after="0"/>
              <w:rPr>
                <w:sz w:val="16"/>
                <w:szCs w:val="16"/>
                <w:color w:val="auto"/>
              </w:rPr>
            </w:pPr>
          </w:p>
        </w:tc>
      </w:tr>
      <w:tr>
        <w:trPr>
          <w:trHeight w:val="189"/>
        </w:trPr>
        <w:tc>
          <w:tcPr>
            <w:tcW w:w="8680" w:type="dxa"/>
            <w:vAlign w:val="bottom"/>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41,261</w:t>
            </w: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33,823</w:t>
            </w:r>
          </w:p>
        </w:tc>
        <w:tc>
          <w:tcPr>
            <w:tcW w:w="100" w:type="dxa"/>
            <w:vAlign w:val="bottom"/>
          </w:tcPr>
          <w:p>
            <w:pPr>
              <w:spacing w:after="0"/>
              <w:rPr>
                <w:sz w:val="16"/>
                <w:szCs w:val="16"/>
                <w:color w:val="auto"/>
              </w:rPr>
            </w:pPr>
          </w:p>
        </w:tc>
      </w:tr>
      <w:tr>
        <w:trPr>
          <w:trHeight w:val="189"/>
        </w:trPr>
        <w:tc>
          <w:tcPr>
            <w:tcW w:w="8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Furniture and equipment</w:t>
            </w: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4,782</w:t>
            </w: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4,840</w:t>
            </w:r>
          </w:p>
        </w:tc>
        <w:tc>
          <w:tcPr>
            <w:tcW w:w="100" w:type="dxa"/>
            <w:vAlign w:val="bottom"/>
            <w:shd w:val="clear" w:color="auto" w:fill="E5E5E5"/>
          </w:tcPr>
          <w:p>
            <w:pPr>
              <w:spacing w:after="0"/>
              <w:rPr>
                <w:sz w:val="16"/>
                <w:szCs w:val="16"/>
                <w:color w:val="auto"/>
              </w:rPr>
            </w:pPr>
          </w:p>
        </w:tc>
      </w:tr>
      <w:tr>
        <w:trPr>
          <w:trHeight w:val="68"/>
        </w:trPr>
        <w:tc>
          <w:tcPr>
            <w:tcW w:w="86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8680" w:type="dxa"/>
            <w:vAlign w:val="bottom"/>
          </w:tcPr>
          <w:p>
            <w:pPr>
              <w:ind w:left="220"/>
              <w:spacing w:after="0"/>
              <w:rPr>
                <w:sz w:val="20"/>
                <w:szCs w:val="20"/>
                <w:color w:val="auto"/>
              </w:rPr>
            </w:pPr>
            <w:r>
              <w:rPr>
                <w:rFonts w:ascii="Arial" w:cs="Arial" w:eastAsia="Arial" w:hAnsi="Arial"/>
                <w:sz w:val="18"/>
                <w:szCs w:val="18"/>
                <w:color w:val="auto"/>
              </w:rPr>
              <w:t>Total, at cost</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87,348</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71,807</w:t>
            </w:r>
          </w:p>
        </w:tc>
        <w:tc>
          <w:tcPr>
            <w:tcW w:w="100" w:type="dxa"/>
            <w:vAlign w:val="bottom"/>
          </w:tcPr>
          <w:p>
            <w:pPr>
              <w:spacing w:after="0"/>
              <w:rPr>
                <w:sz w:val="21"/>
                <w:szCs w:val="21"/>
                <w:color w:val="auto"/>
              </w:rPr>
            </w:pPr>
          </w:p>
        </w:tc>
      </w:tr>
      <w:tr>
        <w:trPr>
          <w:trHeight w:val="189"/>
        </w:trPr>
        <w:tc>
          <w:tcPr>
            <w:tcW w:w="8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Accumulated depreciation</w:t>
            </w:r>
          </w:p>
        </w:tc>
        <w:tc>
          <w:tcPr>
            <w:tcW w:w="3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(43,197)</w:t>
            </w:r>
          </w:p>
        </w:tc>
        <w:tc>
          <w:tcPr>
            <w:tcW w:w="3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(35,330)</w:t>
            </w:r>
          </w:p>
        </w:tc>
      </w:tr>
      <w:tr>
        <w:trPr>
          <w:trHeight w:val="68"/>
        </w:trPr>
        <w:tc>
          <w:tcPr>
            <w:tcW w:w="86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8680" w:type="dxa"/>
            <w:vAlign w:val="bottom"/>
          </w:tcPr>
          <w:p>
            <w:pPr>
              <w:ind w:left="220"/>
              <w:spacing w:after="0"/>
              <w:rPr>
                <w:sz w:val="20"/>
                <w:szCs w:val="20"/>
                <w:color w:val="auto"/>
              </w:rPr>
            </w:pPr>
            <w:r>
              <w:rPr>
                <w:rFonts w:ascii="Arial" w:cs="Arial" w:eastAsia="Arial" w:hAnsi="Arial"/>
                <w:sz w:val="18"/>
                <w:szCs w:val="18"/>
                <w:color w:val="auto"/>
              </w:rPr>
              <w:t>Total, net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44,151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36,477</w:t>
            </w:r>
          </w:p>
        </w:tc>
        <w:tc>
          <w:tcPr>
            <w:tcW w:w="100" w:type="dxa"/>
            <w:vAlign w:val="bottom"/>
          </w:tcPr>
          <w:p>
            <w:pPr>
              <w:spacing w:after="0"/>
              <w:rPr>
                <w:sz w:val="22"/>
                <w:szCs w:val="22"/>
                <w:color w:val="auto"/>
              </w:rPr>
            </w:pPr>
          </w:p>
        </w:tc>
      </w:tr>
      <w:tr>
        <w:trPr>
          <w:trHeight w:val="61"/>
        </w:trPr>
        <w:tc>
          <w:tcPr>
            <w:tcW w:w="86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fiscal years 2020, 2019, and 2018, depreciation expense was $10.7 billion, $9.7 billion, and $7.7 billion, respectively. We have committed $5.0 billion for the construction of new buildings, building improvements, and leasehold improvements as of June 30, 2020.</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fiscal year 2020, we recorded an impairment charge of $186 million to Property and Equipment, primarily to leasehold improvements, due to the closing of our Microsoft Store physical locations.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8 — BUSINESS COMBINATIONS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GitHub, Inc.</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October 25, 2018, we acquired GitHub, Inc. (“GitHub”), a software development platform, in a $7.5 billion stock transaction (inclusive of total cash payments of $1.3 billion in respect of vested GitHub equity awards and an indemnity escrow). The acquisition is expected to empower developers to achieve more at every stage of the development lifecycle, accelerate enterprise use of GitHub, and bring Microsoft’s developer tools and services to new audiences. The financial results of GitHub have been included in our consolidated financial statements since the date of the acquisition. GitHub is reported as part of our Intelligent Cloud segment.</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allocation of the purchase price to goodwill was completed as of June 30, 2019. The major classes of assets and liabilities to which we allocated the purchase price were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Cash, cash equivalents, and short-term investments</w:t>
            </w:r>
          </w:p>
        </w:tc>
        <w:tc>
          <w:tcPr>
            <w:tcW w:w="440" w:type="dxa"/>
            <w:vAlign w:val="bottom"/>
            <w:shd w:val="clear" w:color="auto" w:fill="E5E5E5"/>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E5E5E5"/>
          </w:tcPr>
          <w:p>
            <w:pPr>
              <w:spacing w:after="0"/>
              <w:rPr>
                <w:sz w:val="18"/>
                <w:szCs w:val="18"/>
                <w:color w:val="auto"/>
              </w:rPr>
            </w:pPr>
          </w:p>
        </w:tc>
      </w:tr>
      <w:tr>
        <w:trPr>
          <w:trHeight w:val="189"/>
        </w:trPr>
        <w:tc>
          <w:tcPr>
            <w:tcW w:w="990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5,497</w:t>
            </w:r>
          </w:p>
        </w:tc>
        <w:tc>
          <w:tcPr>
            <w:tcW w:w="100" w:type="dxa"/>
            <w:vAlign w:val="bottom"/>
          </w:tcPr>
          <w:p>
            <w:pPr>
              <w:spacing w:after="0"/>
              <w:rPr>
                <w:sz w:val="16"/>
                <w:szCs w:val="16"/>
                <w:color w:val="auto"/>
              </w:rPr>
            </w:pPr>
          </w:p>
        </w:tc>
      </w:tr>
      <w:tr>
        <w:trPr>
          <w:trHeight w:val="189"/>
        </w:trPr>
        <w:tc>
          <w:tcPr>
            <w:tcW w:w="9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4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1,267</w:t>
            </w:r>
          </w:p>
        </w:tc>
        <w:tc>
          <w:tcPr>
            <w:tcW w:w="100" w:type="dxa"/>
            <w:vAlign w:val="bottom"/>
            <w:shd w:val="clear" w:color="auto" w:fill="E5E5E5"/>
          </w:tcPr>
          <w:p>
            <w:pPr>
              <w:spacing w:after="0"/>
              <w:rPr>
                <w:sz w:val="16"/>
                <w:szCs w:val="16"/>
                <w:color w:val="auto"/>
              </w:rPr>
            </w:pPr>
          </w:p>
        </w:tc>
      </w:tr>
      <w:tr>
        <w:trPr>
          <w:trHeight w:val="189"/>
        </w:trPr>
        <w:tc>
          <w:tcPr>
            <w:tcW w:w="9900" w:type="dxa"/>
            <w:vAlign w:val="bottom"/>
          </w:tcPr>
          <w:p>
            <w:pPr>
              <w:spacing w:after="0" w:line="189" w:lineRule="exact"/>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6"/>
                <w:szCs w:val="16"/>
                <w:color w:val="auto"/>
              </w:rPr>
            </w:pPr>
          </w:p>
        </w:tc>
      </w:tr>
      <w:tr>
        <w:trPr>
          <w:trHeight w:val="189"/>
        </w:trPr>
        <w:tc>
          <w:tcPr>
            <w:tcW w:w="9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liabilities</w:t>
            </w: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(217)</w:t>
            </w:r>
          </w:p>
        </w:tc>
      </w:tr>
      <w:tr>
        <w:trPr>
          <w:trHeight w:val="68"/>
        </w:trPr>
        <w:tc>
          <w:tcPr>
            <w:tcW w:w="9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990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2"/>
                <w:szCs w:val="22"/>
                <w:color w:val="auto"/>
              </w:rPr>
            </w:pPr>
          </w:p>
        </w:tc>
      </w:tr>
      <w:tr>
        <w:trPr>
          <w:trHeight w:val="61"/>
        </w:trPr>
        <w:tc>
          <w:tcPr>
            <w:tcW w:w="99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goodwill recognized in connection with the acquisition is primarily attributable to anticipated synergies from future growth and is not expected to be deductible for tax purposes. We assigned the goodwill to our Intelligent Cloud segment.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5" w:name="page76"/>
    <w:bookmarkEnd w:id="7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49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r>
      <w:tr>
        <w:trPr>
          <w:trHeight w:val="54"/>
        </w:trPr>
        <w:tc>
          <w:tcPr>
            <w:tcW w:w="496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9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Customer-related</w:t>
            </w:r>
          </w:p>
        </w:tc>
        <w:tc>
          <w:tcPr>
            <w:tcW w:w="39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648</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r>
      <w:tr>
        <w:trPr>
          <w:trHeight w:val="189"/>
        </w:trPr>
        <w:tc>
          <w:tcPr>
            <w:tcW w:w="4960" w:type="dxa"/>
            <w:vAlign w:val="bottom"/>
          </w:tcPr>
          <w:p>
            <w:pPr>
              <w:spacing w:after="0" w:line="189" w:lineRule="exact"/>
              <w:rPr>
                <w:sz w:val="20"/>
                <w:szCs w:val="20"/>
                <w:color w:val="auto"/>
              </w:rPr>
            </w:pPr>
            <w:r>
              <w:rPr>
                <w:rFonts w:ascii="Arial" w:cs="Arial" w:eastAsia="Arial" w:hAnsi="Arial"/>
                <w:sz w:val="18"/>
                <w:szCs w:val="18"/>
                <w:color w:val="auto"/>
              </w:rPr>
              <w:t>Technology-based</w:t>
            </w:r>
          </w:p>
        </w:tc>
        <w:tc>
          <w:tcPr>
            <w:tcW w:w="3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447</w:t>
            </w: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 years</w:t>
            </w:r>
          </w:p>
        </w:tc>
      </w:tr>
      <w:tr>
        <w:trPr>
          <w:trHeight w:val="189"/>
        </w:trPr>
        <w:tc>
          <w:tcPr>
            <w:tcW w:w="4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4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170</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 years</w:t>
            </w:r>
          </w:p>
        </w:tc>
      </w:t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Contract-based</w:t>
            </w: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 years</w:t>
            </w:r>
          </w:p>
        </w:tc>
      </w:tr>
      <w:tr>
        <w:trPr>
          <w:trHeight w:val="40"/>
        </w:trPr>
        <w:tc>
          <w:tcPr>
            <w:tcW w:w="496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61"/>
        </w:trPr>
        <w:tc>
          <w:tcPr>
            <w:tcW w:w="49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9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1,267</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 years</w:t>
            </w:r>
          </w:p>
        </w:tc>
      </w:tr>
      <w:tr>
        <w:trPr>
          <w:trHeight w:val="74"/>
        </w:trPr>
        <w:tc>
          <w:tcPr>
            <w:tcW w:w="49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Transactions recognized separately from the purchase price allocation were approximately $600 million, primarily related to equity awards recognized as expense over the related service period.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fiscal year 2020, we completed 15 acquisitions for $2.4 billion, substantially all of which were paid in cash. These entities have been included in our consolidated results of operations since their respective acquisition dates. The effects of these business combinations, individually and in aggregate, were not material to our consolidated results of operations.</w:t>
      </w:r>
    </w:p>
    <w:p>
      <w:pPr>
        <w:spacing w:after="0" w:line="216"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9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ectPr>
          <w:pgSz w:w="11900" w:h="16838" w:orient="portrait"/>
          <w:cols w:equalWidth="0" w:num="1">
            <w:col w:w="11240"/>
          </w:cols>
          <w:pgMar w:left="320" w:top="138" w:right="339" w:bottom="144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June 30,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52705</wp:posOffset>
            </wp:positionV>
            <wp:extent cx="70548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June 30,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right"/>
        <w:ind w:right="120"/>
        <w:spacing w:after="0"/>
        <w:rPr>
          <w:sz w:val="20"/>
          <w:szCs w:val="20"/>
          <w:color w:val="auto"/>
        </w:rPr>
      </w:pPr>
      <w:r>
        <w:rPr>
          <w:rFonts w:ascii="Arial" w:cs="Arial" w:eastAsia="Arial" w:hAnsi="Arial"/>
          <w:sz w:val="13"/>
          <w:szCs w:val="13"/>
          <w:b w:val="1"/>
          <w:bCs w:val="1"/>
          <w:color w:val="auto"/>
        </w:rPr>
        <w:t>June 30,</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3"/>
          <w:szCs w:val="13"/>
          <w:b w:val="1"/>
          <w:bCs w:val="1"/>
          <w:color w:val="auto"/>
        </w:rPr>
        <w:t>2020</w:t>
      </w:r>
    </w:p>
    <w:p>
      <w:pPr>
        <w:spacing w:after="0" w:line="116" w:lineRule="exact"/>
        <w:rPr>
          <w:sz w:val="20"/>
          <w:szCs w:val="20"/>
          <w:color w:val="auto"/>
        </w:rPr>
      </w:pPr>
    </w:p>
    <w:p>
      <w:pPr>
        <w:sectPr>
          <w:pgSz w:w="11900" w:h="16838" w:orient="portrait"/>
          <w:cols w:equalWidth="0" w:num="8">
            <w:col w:w="2400" w:space="720"/>
            <w:col w:w="540" w:space="500"/>
            <w:col w:w="980" w:space="720"/>
            <w:col w:w="360" w:space="640"/>
            <w:col w:w="540" w:space="540"/>
            <w:col w:w="900" w:space="720"/>
            <w:col w:w="360" w:space="660"/>
            <w:col w:w="660"/>
          </w:cols>
          <w:pgMar w:left="320" w:top="13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400" w:type="dxa"/>
            <w:vAlign w:val="bottom"/>
            <w:shd w:val="clear" w:color="auto" w:fill="E5E5E5"/>
          </w:tcPr>
          <w:p>
            <w:pPr>
              <w:spacing w:after="0"/>
              <w:rPr>
                <w:sz w:val="20"/>
                <w:szCs w:val="20"/>
                <w:color w:val="auto"/>
              </w:rPr>
            </w:pPr>
            <w:r>
              <w:rPr>
                <w:rFonts w:ascii="Arial" w:cs="Arial" w:eastAsia="Arial" w:hAnsi="Arial"/>
                <w:sz w:val="18"/>
                <w:szCs w:val="18"/>
                <w:color w:val="auto"/>
              </w:rPr>
              <w:t>Productivity and Business</w:t>
            </w:r>
          </w:p>
        </w:tc>
        <w:tc>
          <w:tcPr>
            <w:tcW w:w="5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24,277</w:t>
            </w:r>
          </w:p>
        </w:tc>
        <w:tc>
          <w:tcPr>
            <w:tcW w:w="380" w:type="dxa"/>
            <w:vAlign w:val="bottom"/>
            <w:vMerge w:val="restart"/>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7</w:t>
            </w:r>
          </w:p>
        </w:tc>
        <w:tc>
          <w:tcPr>
            <w:tcW w:w="44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(94)</w:t>
            </w:r>
          </w:p>
        </w:tc>
        <w:tc>
          <w:tcPr>
            <w:tcW w:w="260" w:type="dxa"/>
            <w:vAlign w:val="bottom"/>
            <w:vMerge w:val="restart"/>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24,190</w:t>
            </w:r>
          </w:p>
        </w:tc>
        <w:tc>
          <w:tcPr>
            <w:tcW w:w="0" w:type="dxa"/>
            <w:vAlign w:val="bottom"/>
          </w:tcPr>
          <w:p>
            <w:pPr>
              <w:spacing w:after="0"/>
              <w:rPr>
                <w:sz w:val="1"/>
                <w:szCs w:val="1"/>
                <w:color w:val="auto"/>
              </w:rPr>
            </w:pPr>
          </w:p>
        </w:tc>
      </w:tr>
      <w:tr>
        <w:trPr>
          <w:trHeight w:val="167"/>
        </w:trPr>
        <w:tc>
          <w:tcPr>
            <w:tcW w:w="2400" w:type="dxa"/>
            <w:vAlign w:val="bottom"/>
            <w:shd w:val="clear" w:color="auto" w:fill="E5E5E5"/>
          </w:tcPr>
          <w:p>
            <w:pPr>
              <w:ind w:left="220"/>
              <w:spacing w:after="0" w:line="167" w:lineRule="exact"/>
              <w:rPr>
                <w:sz w:val="20"/>
                <w:szCs w:val="20"/>
                <w:color w:val="auto"/>
              </w:rPr>
            </w:pPr>
            <w:r>
              <w:rPr>
                <w:rFonts w:ascii="Arial" w:cs="Arial" w:eastAsia="Arial" w:hAnsi="Arial"/>
                <w:sz w:val="18"/>
                <w:szCs w:val="18"/>
                <w:color w:val="auto"/>
              </w:rPr>
              <w:t>Processes</w:t>
            </w:r>
          </w:p>
        </w:tc>
        <w:tc>
          <w:tcPr>
            <w:tcW w:w="560" w:type="dxa"/>
            <w:vAlign w:val="bottom"/>
            <w:shd w:val="clear" w:color="auto" w:fill="E5E5E5"/>
          </w:tcPr>
          <w:p>
            <w:pPr>
              <w:jc w:val="right"/>
              <w:ind w:right="50"/>
              <w:spacing w:after="0" w:line="167"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200"/>
              <w:spacing w:after="0" w:line="167" w:lineRule="exact"/>
              <w:rPr>
                <w:sz w:val="20"/>
                <w:szCs w:val="20"/>
                <w:color w:val="auto"/>
              </w:rPr>
            </w:pPr>
            <w:r>
              <w:rPr>
                <w:rFonts w:ascii="Arial" w:cs="Arial" w:eastAsia="Arial" w:hAnsi="Arial"/>
                <w:sz w:val="18"/>
                <w:szCs w:val="18"/>
                <w:color w:val="auto"/>
              </w:rPr>
              <w:t>23,823</w:t>
            </w:r>
          </w:p>
        </w:tc>
        <w:tc>
          <w:tcPr>
            <w:tcW w:w="380" w:type="dxa"/>
            <w:vAlign w:val="bottom"/>
            <w:shd w:val="clear" w:color="auto" w:fill="E5E5E5"/>
          </w:tcPr>
          <w:p>
            <w:pPr>
              <w:jc w:val="right"/>
              <w:ind w:right="190"/>
              <w:spacing w:after="0" w:line="167"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line="167" w:lineRule="exact"/>
              <w:rPr>
                <w:sz w:val="20"/>
                <w:szCs w:val="20"/>
                <w:color w:val="auto"/>
              </w:rPr>
            </w:pPr>
            <w:r>
              <w:rPr>
                <w:rFonts w:ascii="Arial" w:cs="Arial" w:eastAsia="Arial" w:hAnsi="Arial"/>
                <w:sz w:val="18"/>
                <w:szCs w:val="18"/>
                <w:color w:val="auto"/>
              </w:rPr>
              <w:t>514</w:t>
            </w:r>
          </w:p>
        </w:tc>
        <w:tc>
          <w:tcPr>
            <w:tcW w:w="720" w:type="dxa"/>
            <w:vAlign w:val="bottom"/>
            <w:gridSpan w:val="2"/>
            <w:shd w:val="clear" w:color="auto" w:fill="E5E5E5"/>
          </w:tcPr>
          <w:p>
            <w:pPr>
              <w:jc w:val="right"/>
              <w:ind w:right="300"/>
              <w:spacing w:after="0" w:line="167"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84"/>
              <w:spacing w:after="0" w:line="167" w:lineRule="exact"/>
              <w:rPr>
                <w:sz w:val="20"/>
                <w:szCs w:val="20"/>
                <w:color w:val="auto"/>
              </w:rPr>
            </w:pPr>
            <w:r>
              <w:rPr>
                <w:rFonts w:ascii="Arial" w:cs="Arial" w:eastAsia="Arial" w:hAnsi="Arial"/>
                <w:sz w:val="18"/>
                <w:szCs w:val="18"/>
                <w:color w:val="auto"/>
              </w:rPr>
              <w:t>(60)</w:t>
            </w:r>
          </w:p>
        </w:tc>
        <w:tc>
          <w:tcPr>
            <w:tcW w:w="280" w:type="dxa"/>
            <w:vAlign w:val="bottom"/>
            <w:gridSpan w:val="2"/>
            <w:vMerge w:val="continue"/>
            <w:shd w:val="clear" w:color="auto" w:fill="E5E5E5"/>
          </w:tcPr>
          <w:p>
            <w:pPr>
              <w:spacing w:after="0"/>
              <w:rPr>
                <w:sz w:val="14"/>
                <w:szCs w:val="14"/>
                <w:color w:val="auto"/>
              </w:rPr>
            </w:pPr>
          </w:p>
        </w:tc>
        <w:tc>
          <w:tcPr>
            <w:tcW w:w="900" w:type="dxa"/>
            <w:vAlign w:val="bottom"/>
            <w:gridSpan w:val="2"/>
            <w:vMerge w:val="continue"/>
            <w:shd w:val="clear" w:color="auto" w:fill="E5E5E5"/>
          </w:tcPr>
          <w:p>
            <w:pPr>
              <w:spacing w:after="0"/>
              <w:rPr>
                <w:sz w:val="14"/>
                <w:szCs w:val="14"/>
                <w:color w:val="auto"/>
              </w:rPr>
            </w:pPr>
          </w:p>
        </w:tc>
        <w:tc>
          <w:tcPr>
            <w:tcW w:w="380" w:type="dxa"/>
            <w:vAlign w:val="bottom"/>
            <w:vMerge w:val="continue"/>
            <w:shd w:val="clear" w:color="auto" w:fill="E5E5E5"/>
          </w:tcPr>
          <w:p>
            <w:pPr>
              <w:spacing w:after="0"/>
              <w:rPr>
                <w:sz w:val="14"/>
                <w:szCs w:val="14"/>
                <w:color w:val="auto"/>
              </w:rPr>
            </w:pPr>
          </w:p>
        </w:tc>
        <w:tc>
          <w:tcPr>
            <w:tcW w:w="860" w:type="dxa"/>
            <w:vAlign w:val="bottom"/>
            <w:gridSpan w:val="2"/>
            <w:vMerge w:val="continue"/>
            <w:shd w:val="clear" w:color="auto" w:fill="E5E5E5"/>
          </w:tcPr>
          <w:p>
            <w:pPr>
              <w:spacing w:after="0"/>
              <w:rPr>
                <w:sz w:val="14"/>
                <w:szCs w:val="14"/>
                <w:color w:val="auto"/>
              </w:rPr>
            </w:pPr>
          </w:p>
        </w:tc>
        <w:tc>
          <w:tcPr>
            <w:tcW w:w="440" w:type="dxa"/>
            <w:vAlign w:val="bottom"/>
            <w:gridSpan w:val="2"/>
            <w:vMerge w:val="continue"/>
            <w:shd w:val="clear" w:color="auto" w:fill="E5E5E5"/>
          </w:tcPr>
          <w:p>
            <w:pPr>
              <w:spacing w:after="0"/>
              <w:rPr>
                <w:sz w:val="14"/>
                <w:szCs w:val="14"/>
                <w:color w:val="auto"/>
              </w:rPr>
            </w:pPr>
          </w:p>
        </w:tc>
        <w:tc>
          <w:tcPr>
            <w:tcW w:w="840" w:type="dxa"/>
            <w:vAlign w:val="bottom"/>
            <w:gridSpan w:val="2"/>
            <w:vMerge w:val="continue"/>
            <w:shd w:val="clear" w:color="auto" w:fill="E5E5E5"/>
          </w:tcPr>
          <w:p>
            <w:pPr>
              <w:spacing w:after="0"/>
              <w:rPr>
                <w:sz w:val="14"/>
                <w:szCs w:val="14"/>
                <w:color w:val="auto"/>
              </w:rPr>
            </w:pPr>
          </w:p>
        </w:tc>
        <w:tc>
          <w:tcPr>
            <w:tcW w:w="260" w:type="dxa"/>
            <w:vAlign w:val="bottom"/>
            <w:vMerge w:val="continue"/>
            <w:shd w:val="clear" w:color="auto" w:fill="E5E5E5"/>
          </w:tcPr>
          <w:p>
            <w:pPr>
              <w:spacing w:after="0"/>
              <w:rPr>
                <w:sz w:val="14"/>
                <w:szCs w:val="14"/>
                <w:color w:val="auto"/>
              </w:rPr>
            </w:pPr>
          </w:p>
        </w:tc>
        <w:tc>
          <w:tcPr>
            <w:tcW w:w="840" w:type="dxa"/>
            <w:vAlign w:val="bottom"/>
            <w:gridSpan w:val="2"/>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400" w:type="dxa"/>
            <w:vAlign w:val="bottom"/>
            <w:shd w:val="clear" w:color="auto" w:fill="E5E5E5"/>
          </w:tcPr>
          <w:p>
            <w:pPr>
              <w:spacing w:after="0" w:line="37" w:lineRule="exact"/>
              <w:rPr>
                <w:sz w:val="20"/>
                <w:szCs w:val="20"/>
                <w:color w:val="auto"/>
              </w:rPr>
            </w:pPr>
            <w:r>
              <w:rPr>
                <w:rFonts w:ascii="Arial" w:cs="Arial" w:eastAsia="Arial" w:hAnsi="Arial"/>
                <w:sz w:val="4"/>
                <w:szCs w:val="4"/>
                <w:color w:val="auto"/>
              </w:rPr>
              <w:t>Intelligent Cloud</w:t>
            </w:r>
          </w:p>
        </w:tc>
        <w:tc>
          <w:tcPr>
            <w:tcW w:w="560" w:type="dxa"/>
            <w:vAlign w:val="bottom"/>
            <w:shd w:val="clear" w:color="auto" w:fill="E5E5E5"/>
          </w:tcPr>
          <w:p>
            <w:pPr>
              <w:spacing w:after="0"/>
              <w:rPr>
                <w:sz w:val="3"/>
                <w:szCs w:val="3"/>
                <w:color w:val="auto"/>
              </w:rPr>
            </w:pPr>
          </w:p>
        </w:tc>
        <w:tc>
          <w:tcPr>
            <w:tcW w:w="900" w:type="dxa"/>
            <w:vAlign w:val="bottom"/>
            <w:gridSpan w:val="2"/>
            <w:shd w:val="clear" w:color="auto" w:fill="E5E5E5"/>
          </w:tcPr>
          <w:p>
            <w:pPr>
              <w:jc w:val="right"/>
              <w:ind w:right="200"/>
              <w:spacing w:after="0" w:line="37" w:lineRule="exact"/>
              <w:rPr>
                <w:sz w:val="20"/>
                <w:szCs w:val="20"/>
                <w:color w:val="auto"/>
              </w:rPr>
            </w:pPr>
            <w:r>
              <w:rPr>
                <w:rFonts w:ascii="Arial" w:cs="Arial" w:eastAsia="Arial" w:hAnsi="Arial"/>
                <w:sz w:val="4"/>
                <w:szCs w:val="4"/>
                <w:color w:val="auto"/>
              </w:rPr>
              <w:t>5,703</w:t>
            </w:r>
          </w:p>
        </w:tc>
        <w:tc>
          <w:tcPr>
            <w:tcW w:w="380" w:type="dxa"/>
            <w:vAlign w:val="bottom"/>
            <w:shd w:val="clear" w:color="auto" w:fill="E5E5E5"/>
          </w:tcPr>
          <w:p>
            <w:pPr>
              <w:spacing w:after="0"/>
              <w:rPr>
                <w:sz w:val="3"/>
                <w:szCs w:val="3"/>
                <w:color w:val="auto"/>
              </w:rPr>
            </w:pPr>
          </w:p>
        </w:tc>
        <w:tc>
          <w:tcPr>
            <w:tcW w:w="720" w:type="dxa"/>
            <w:vAlign w:val="bottom"/>
            <w:shd w:val="clear" w:color="auto" w:fill="E5E5E5"/>
          </w:tcPr>
          <w:p>
            <w:pPr>
              <w:jc w:val="right"/>
              <w:spacing w:after="0" w:line="37" w:lineRule="exact"/>
              <w:rPr>
                <w:sz w:val="20"/>
                <w:szCs w:val="20"/>
                <w:color w:val="auto"/>
              </w:rPr>
            </w:pPr>
            <w:r>
              <w:rPr>
                <w:rFonts w:ascii="Arial" w:cs="Arial" w:eastAsia="Arial" w:hAnsi="Arial"/>
                <w:sz w:val="4"/>
                <w:szCs w:val="4"/>
                <w:color w:val="auto"/>
              </w:rPr>
              <w:t>5,605</w:t>
            </w:r>
          </w:p>
        </w:tc>
        <w:tc>
          <w:tcPr>
            <w:tcW w:w="320" w:type="dxa"/>
            <w:vAlign w:val="bottom"/>
            <w:shd w:val="clear" w:color="auto" w:fill="E5E5E5"/>
          </w:tcPr>
          <w:p>
            <w:pPr>
              <w:spacing w:after="0"/>
              <w:rPr>
                <w:sz w:val="3"/>
                <w:szCs w:val="3"/>
                <w:color w:val="auto"/>
              </w:rPr>
            </w:pPr>
          </w:p>
        </w:tc>
        <w:tc>
          <w:tcPr>
            <w:tcW w:w="400" w:type="dxa"/>
            <w:vAlign w:val="bottom"/>
            <w:shd w:val="clear" w:color="auto" w:fill="E5E5E5"/>
          </w:tcPr>
          <w:p>
            <w:pPr>
              <w:spacing w:after="0"/>
              <w:rPr>
                <w:sz w:val="3"/>
                <w:szCs w:val="3"/>
                <w:color w:val="auto"/>
              </w:rPr>
            </w:pPr>
          </w:p>
        </w:tc>
        <w:tc>
          <w:tcPr>
            <w:tcW w:w="760" w:type="dxa"/>
            <w:vAlign w:val="bottom"/>
            <w:gridSpan w:val="2"/>
            <w:shd w:val="clear" w:color="auto" w:fill="E5E5E5"/>
          </w:tcPr>
          <w:p>
            <w:pPr>
              <w:jc w:val="right"/>
              <w:ind w:right="144"/>
              <w:spacing w:after="0" w:line="37" w:lineRule="exact"/>
              <w:rPr>
                <w:sz w:val="20"/>
                <w:szCs w:val="20"/>
                <w:color w:val="auto"/>
              </w:rPr>
            </w:pPr>
            <w:r>
              <w:rPr>
                <w:rFonts w:ascii="Arial" w:cs="Arial" w:eastAsia="Arial" w:hAnsi="Arial"/>
                <w:sz w:val="4"/>
                <w:szCs w:val="4"/>
                <w:color w:val="auto"/>
              </w:rPr>
              <w:t>43</w:t>
            </w:r>
          </w:p>
        </w:tc>
        <w:tc>
          <w:tcPr>
            <w:tcW w:w="40" w:type="dxa"/>
            <w:vAlign w:val="bottom"/>
            <w:shd w:val="clear" w:color="auto" w:fill="E5E5E5"/>
          </w:tcPr>
          <w:p>
            <w:pPr>
              <w:spacing w:after="0"/>
              <w:rPr>
                <w:sz w:val="3"/>
                <w:szCs w:val="3"/>
                <w:color w:val="auto"/>
              </w:rPr>
            </w:pPr>
          </w:p>
        </w:tc>
        <w:tc>
          <w:tcPr>
            <w:tcW w:w="240" w:type="dxa"/>
            <w:vAlign w:val="bottom"/>
            <w:shd w:val="clear" w:color="auto" w:fill="E5E5E5"/>
          </w:tcPr>
          <w:p>
            <w:pPr>
              <w:spacing w:after="0"/>
              <w:rPr>
                <w:sz w:val="3"/>
                <w:szCs w:val="3"/>
                <w:color w:val="auto"/>
              </w:rPr>
            </w:pPr>
          </w:p>
        </w:tc>
        <w:tc>
          <w:tcPr>
            <w:tcW w:w="900" w:type="dxa"/>
            <w:vAlign w:val="bottom"/>
            <w:gridSpan w:val="2"/>
            <w:shd w:val="clear" w:color="auto" w:fill="E5E5E5"/>
          </w:tcPr>
          <w:p>
            <w:pPr>
              <w:jc w:val="right"/>
              <w:ind w:right="220"/>
              <w:spacing w:after="0" w:line="37" w:lineRule="exact"/>
              <w:rPr>
                <w:sz w:val="20"/>
                <w:szCs w:val="20"/>
                <w:color w:val="auto"/>
              </w:rPr>
            </w:pPr>
            <w:r>
              <w:rPr>
                <w:rFonts w:ascii="Arial" w:cs="Arial" w:eastAsia="Arial" w:hAnsi="Arial"/>
                <w:sz w:val="4"/>
                <w:szCs w:val="4"/>
                <w:b w:val="1"/>
                <w:bCs w:val="1"/>
                <w:color w:val="auto"/>
              </w:rPr>
              <w:t>11,351</w:t>
            </w:r>
          </w:p>
        </w:tc>
        <w:tc>
          <w:tcPr>
            <w:tcW w:w="380" w:type="dxa"/>
            <w:vAlign w:val="bottom"/>
            <w:shd w:val="clear" w:color="auto" w:fill="E5E5E5"/>
          </w:tcPr>
          <w:p>
            <w:pPr>
              <w:spacing w:after="0"/>
              <w:rPr>
                <w:sz w:val="3"/>
                <w:szCs w:val="3"/>
                <w:color w:val="auto"/>
              </w:rPr>
            </w:pPr>
          </w:p>
        </w:tc>
        <w:tc>
          <w:tcPr>
            <w:tcW w:w="860" w:type="dxa"/>
            <w:vAlign w:val="bottom"/>
            <w:gridSpan w:val="2"/>
            <w:shd w:val="clear" w:color="auto" w:fill="E5E5E5"/>
          </w:tcPr>
          <w:p>
            <w:pPr>
              <w:jc w:val="right"/>
              <w:ind w:right="120"/>
              <w:spacing w:after="0" w:line="37" w:lineRule="exact"/>
              <w:rPr>
                <w:sz w:val="20"/>
                <w:szCs w:val="20"/>
                <w:color w:val="auto"/>
              </w:rPr>
            </w:pPr>
            <w:r>
              <w:rPr>
                <w:rFonts w:ascii="Arial" w:cs="Arial" w:eastAsia="Arial" w:hAnsi="Arial"/>
                <w:sz w:val="4"/>
                <w:szCs w:val="4"/>
                <w:b w:val="1"/>
                <w:bCs w:val="1"/>
                <w:color w:val="auto"/>
              </w:rPr>
              <w:t>1,351</w:t>
            </w:r>
          </w:p>
        </w:tc>
        <w:tc>
          <w:tcPr>
            <w:tcW w:w="100" w:type="dxa"/>
            <w:vAlign w:val="bottom"/>
            <w:shd w:val="clear" w:color="auto" w:fill="E5E5E5"/>
          </w:tcPr>
          <w:p>
            <w:pPr>
              <w:spacing w:after="0"/>
              <w:rPr>
                <w:sz w:val="3"/>
                <w:szCs w:val="3"/>
                <w:color w:val="auto"/>
              </w:rPr>
            </w:pPr>
          </w:p>
        </w:tc>
        <w:tc>
          <w:tcPr>
            <w:tcW w:w="340" w:type="dxa"/>
            <w:vAlign w:val="bottom"/>
            <w:shd w:val="clear" w:color="auto" w:fill="E5E5E5"/>
          </w:tcPr>
          <w:p>
            <w:pPr>
              <w:spacing w:after="0"/>
              <w:rPr>
                <w:sz w:val="3"/>
                <w:szCs w:val="3"/>
                <w:color w:val="auto"/>
              </w:rPr>
            </w:pPr>
          </w:p>
        </w:tc>
        <w:tc>
          <w:tcPr>
            <w:tcW w:w="840" w:type="dxa"/>
            <w:vAlign w:val="bottom"/>
            <w:gridSpan w:val="2"/>
            <w:shd w:val="clear" w:color="auto" w:fill="E5E5E5"/>
          </w:tcPr>
          <w:p>
            <w:pPr>
              <w:jc w:val="right"/>
              <w:ind w:right="160"/>
              <w:spacing w:after="0" w:line="37" w:lineRule="exact"/>
              <w:rPr>
                <w:sz w:val="20"/>
                <w:szCs w:val="20"/>
                <w:color w:val="auto"/>
              </w:rPr>
            </w:pPr>
            <w:r>
              <w:rPr>
                <w:rFonts w:ascii="Arial" w:cs="Arial" w:eastAsia="Arial" w:hAnsi="Arial"/>
                <w:sz w:val="4"/>
                <w:szCs w:val="4"/>
                <w:b w:val="1"/>
                <w:bCs w:val="1"/>
                <w:color w:val="auto"/>
              </w:rPr>
              <w:t>(5)</w:t>
            </w:r>
          </w:p>
        </w:tc>
        <w:tc>
          <w:tcPr>
            <w:tcW w:w="260" w:type="dxa"/>
            <w:vAlign w:val="bottom"/>
            <w:shd w:val="clear" w:color="auto" w:fill="E5E5E5"/>
          </w:tcPr>
          <w:p>
            <w:pPr>
              <w:spacing w:after="0"/>
              <w:rPr>
                <w:sz w:val="3"/>
                <w:szCs w:val="3"/>
                <w:color w:val="auto"/>
              </w:rPr>
            </w:pPr>
          </w:p>
        </w:tc>
        <w:tc>
          <w:tcPr>
            <w:tcW w:w="840" w:type="dxa"/>
            <w:vAlign w:val="bottom"/>
            <w:gridSpan w:val="2"/>
            <w:shd w:val="clear" w:color="auto" w:fill="E5E5E5"/>
          </w:tcPr>
          <w:p>
            <w:pPr>
              <w:jc w:val="right"/>
              <w:ind w:right="120"/>
              <w:spacing w:after="0" w:line="37" w:lineRule="exact"/>
              <w:rPr>
                <w:sz w:val="20"/>
                <w:szCs w:val="20"/>
                <w:color w:val="auto"/>
              </w:rPr>
            </w:pPr>
            <w:r>
              <w:rPr>
                <w:rFonts w:ascii="Arial" w:cs="Arial" w:eastAsia="Arial" w:hAnsi="Arial"/>
                <w:sz w:val="4"/>
                <w:szCs w:val="4"/>
                <w:b w:val="1"/>
                <w:bCs w:val="1"/>
                <w:color w:val="auto"/>
              </w:rPr>
              <w:t>12,697</w:t>
            </w:r>
          </w:p>
        </w:tc>
        <w:tc>
          <w:tcPr>
            <w:tcW w:w="0" w:type="dxa"/>
            <w:vAlign w:val="bottom"/>
          </w:tcPr>
          <w:p>
            <w:pPr>
              <w:spacing w:after="0" w:line="20" w:lineRule="exact"/>
              <w:rPr>
                <w:sz w:val="1"/>
                <w:szCs w:val="1"/>
                <w:color w:val="auto"/>
              </w:rPr>
            </w:pPr>
          </w:p>
        </w:tc>
      </w:tr>
      <w:tr>
        <w:trPr>
          <w:trHeight w:val="187"/>
        </w:trPr>
        <w:tc>
          <w:tcPr>
            <w:tcW w:w="2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gridSpan w:val="2"/>
          </w:tcPr>
          <w:p>
            <w:pPr>
              <w:jc w:val="right"/>
              <w:ind w:right="540"/>
              <w:spacing w:after="0"/>
              <w:rPr>
                <w:sz w:val="20"/>
                <w:szCs w:val="20"/>
                <w:color w:val="auto"/>
              </w:rPr>
            </w:pPr>
            <w:r>
              <w:rPr>
                <w:rFonts w:ascii="Arial" w:cs="Arial" w:eastAsia="Arial" w:hAnsi="Arial"/>
                <w:sz w:val="15"/>
                <w:szCs w:val="15"/>
                <w:color w:val="auto"/>
                <w:w w:val="87"/>
              </w:rPr>
              <w:t>(a)</w:t>
            </w:r>
          </w:p>
        </w:tc>
        <w:tc>
          <w:tcPr>
            <w:tcW w:w="5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w w:val="87"/>
              </w:rPr>
              <w:t>(a)</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shd w:val="clear" w:color="auto" w:fill="E5E5E5"/>
          </w:tcPr>
          <w:p>
            <w:pPr>
              <w:spacing w:after="0" w:line="191" w:lineRule="exact"/>
              <w:rPr>
                <w:sz w:val="20"/>
                <w:szCs w:val="20"/>
                <w:color w:val="auto"/>
              </w:rPr>
            </w:pPr>
            <w:r>
              <w:rPr>
                <w:rFonts w:ascii="Arial" w:cs="Arial" w:eastAsia="Arial" w:hAnsi="Arial"/>
                <w:sz w:val="18"/>
                <w:szCs w:val="18"/>
                <w:color w:val="auto"/>
              </w:rPr>
              <w:t>More Personal Computing</w:t>
            </w:r>
          </w:p>
        </w:tc>
        <w:tc>
          <w:tcPr>
            <w:tcW w:w="5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91" w:lineRule="exact"/>
              <w:rPr>
                <w:sz w:val="20"/>
                <w:szCs w:val="20"/>
                <w:color w:val="auto"/>
              </w:rPr>
            </w:pPr>
            <w:r>
              <w:rPr>
                <w:rFonts w:ascii="Arial" w:cs="Arial" w:eastAsia="Arial" w:hAnsi="Arial"/>
                <w:sz w:val="18"/>
                <w:szCs w:val="18"/>
                <w:color w:val="auto"/>
              </w:rPr>
              <w:t>6,157</w:t>
            </w:r>
          </w:p>
        </w:tc>
        <w:tc>
          <w:tcPr>
            <w:tcW w:w="3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91" w:lineRule="exact"/>
              <w:rPr>
                <w:sz w:val="20"/>
                <w:szCs w:val="20"/>
                <w:color w:val="auto"/>
              </w:rPr>
            </w:pPr>
            <w:r>
              <w:rPr>
                <w:rFonts w:ascii="Arial" w:cs="Arial" w:eastAsia="Arial" w:hAnsi="Arial"/>
                <w:sz w:val="18"/>
                <w:szCs w:val="18"/>
                <w:color w:val="auto"/>
              </w:rPr>
              <w:t>289</w:t>
            </w:r>
          </w:p>
        </w:tc>
        <w:tc>
          <w:tcPr>
            <w:tcW w:w="3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84"/>
              <w:spacing w:after="0" w:line="191" w:lineRule="exact"/>
              <w:rPr>
                <w:sz w:val="20"/>
                <w:szCs w:val="20"/>
                <w:color w:val="auto"/>
              </w:rPr>
            </w:pPr>
            <w:r>
              <w:rPr>
                <w:rFonts w:ascii="Arial" w:cs="Arial" w:eastAsia="Arial" w:hAnsi="Arial"/>
                <w:sz w:val="18"/>
                <w:szCs w:val="18"/>
                <w:color w:val="auto"/>
              </w:rPr>
              <w:t>(48)</w:t>
            </w:r>
          </w:p>
        </w:tc>
        <w:tc>
          <w:tcPr>
            <w:tcW w:w="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91" w:lineRule="exact"/>
              <w:rPr>
                <w:sz w:val="20"/>
                <w:szCs w:val="20"/>
                <w:color w:val="auto"/>
              </w:rPr>
            </w:pPr>
            <w:r>
              <w:rPr>
                <w:rFonts w:ascii="Arial" w:cs="Arial" w:eastAsia="Arial" w:hAnsi="Arial"/>
                <w:sz w:val="18"/>
                <w:szCs w:val="18"/>
                <w:b w:val="1"/>
                <w:bCs w:val="1"/>
                <w:color w:val="auto"/>
              </w:rPr>
              <w:t>6,398</w:t>
            </w:r>
          </w:p>
        </w:tc>
        <w:tc>
          <w:tcPr>
            <w:tcW w:w="3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91" w:lineRule="exact"/>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60"/>
              <w:spacing w:after="0" w:line="191" w:lineRule="exact"/>
              <w:rPr>
                <w:sz w:val="20"/>
                <w:szCs w:val="20"/>
                <w:color w:val="auto"/>
              </w:rPr>
            </w:pPr>
            <w:r>
              <w:rPr>
                <w:rFonts w:ascii="Arial" w:cs="Arial" w:eastAsia="Arial" w:hAnsi="Arial"/>
                <w:sz w:val="18"/>
                <w:szCs w:val="18"/>
                <w:b w:val="1"/>
                <w:bCs w:val="1"/>
                <w:color w:val="auto"/>
              </w:rPr>
              <w:t>(30)</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20"/>
              <w:spacing w:after="0" w:line="191" w:lineRule="exact"/>
              <w:rPr>
                <w:sz w:val="20"/>
                <w:szCs w:val="20"/>
                <w:color w:val="auto"/>
              </w:rPr>
            </w:pPr>
            <w:r>
              <w:rPr>
                <w:rFonts w:ascii="Arial" w:cs="Arial" w:eastAsia="Arial" w:hAnsi="Arial"/>
                <w:sz w:val="18"/>
                <w:szCs w:val="18"/>
                <w:b w:val="1"/>
                <w:bCs w:val="1"/>
                <w:color w:val="auto"/>
              </w:rPr>
              <w:t>6,464</w:t>
            </w:r>
          </w:p>
        </w:tc>
        <w:tc>
          <w:tcPr>
            <w:tcW w:w="0" w:type="dxa"/>
            <w:vAlign w:val="bottom"/>
          </w:tcPr>
          <w:p>
            <w:pPr>
              <w:spacing w:after="0"/>
              <w:rPr>
                <w:sz w:val="1"/>
                <w:szCs w:val="1"/>
                <w:color w:val="auto"/>
              </w:rPr>
            </w:pPr>
          </w:p>
        </w:tc>
      </w:tr>
      <w:tr>
        <w:trPr>
          <w:trHeight w:val="68"/>
        </w:trPr>
        <w:tc>
          <w:tcPr>
            <w:tcW w:w="24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35,683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6,408</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4"/>
              <w:spacing w:after="0"/>
              <w:rPr>
                <w:sz w:val="20"/>
                <w:szCs w:val="20"/>
                <w:color w:val="auto"/>
              </w:rPr>
            </w:pPr>
            <w:r>
              <w:rPr>
                <w:rFonts w:ascii="Arial" w:cs="Arial" w:eastAsia="Arial" w:hAnsi="Arial"/>
                <w:sz w:val="18"/>
                <w:szCs w:val="18"/>
                <w:color w:val="auto"/>
              </w:rPr>
              <w:t>(65)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42,026</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34290</wp:posOffset>
            </wp:positionV>
            <wp:extent cx="533209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32095" cy="17145"/>
                    </a:xfrm>
                    <a:prstGeom prst="rect">
                      <a:avLst/>
                    </a:prstGeom>
                    <a:noFill/>
                  </pic:spPr>
                </pic:pic>
              </a:graphicData>
            </a:graphic>
          </wp:anchor>
        </w:drawing>
      </w:r>
    </w:p>
    <w:p>
      <w:pPr>
        <w:spacing w:after="0" w:line="123"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Includes goodwill of $5.5 billion related to GitHub. See Note 8 – Business Combinations for further information</w:t>
      </w:r>
      <w:r>
        <w:rPr>
          <w:rFonts w:ascii="Arial" w:cs="Arial" w:eastAsia="Arial" w:hAnsi="Arial"/>
          <w:sz w:val="18"/>
          <w:szCs w:val="18"/>
          <w:color w:val="auto"/>
        </w:rPr>
        <w:t>.</w:t>
      </w:r>
    </w:p>
    <w:p>
      <w:pPr>
        <w:spacing w:after="0" w:line="17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test goodwill for impairment annually on May 1 at the reporting unit level, primarily using a discounted cash flow methodology with a peer-based, risk-adjusted weighted average cost of capital. We believe use of a discounted cash flow approach is the most reliable indicator of the fair values of the businesses.</w:t>
      </w:r>
    </w:p>
    <w:p>
      <w:pPr>
        <w:spacing w:after="0" w:line="14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No instances of impairment were identified in our May 1, 2020, May 1, 2019, or May 1, 2018 tests. As of June 30, 2020 and 2019, accumulated goodwill impairment was $11.3 billion.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76" w:name="page77"/>
    <w:bookmarkEnd w:id="7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31"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NOTE 10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Net Carrying</w:t>
            </w:r>
          </w:p>
        </w:tc>
        <w:tc>
          <w:tcPr>
            <w:tcW w:w="2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 Carrying</w:t>
            </w:r>
          </w:p>
        </w:tc>
      </w:tr>
      <w:tr>
        <w:trPr>
          <w:trHeight w:val="178"/>
        </w:trPr>
        <w:tc>
          <w:tcPr>
            <w:tcW w:w="32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54"/>
        </w:trPr>
        <w:tc>
          <w:tcPr>
            <w:tcW w:w="3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r>
      <w:tr>
        <w:trPr>
          <w:trHeight w:val="54"/>
        </w:trPr>
        <w:tc>
          <w:tcPr>
            <w:tcW w:w="3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8,160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(6,381)</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1,779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7,691</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(5,771)</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1,920</w:t>
            </w:r>
          </w:p>
        </w:tc>
      </w:tr>
      <w:tr>
        <w:trPr>
          <w:trHeight w:val="189"/>
        </w:trPr>
        <w:tc>
          <w:tcPr>
            <w:tcW w:w="328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34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4,967</w:t>
            </w:r>
          </w:p>
        </w:tc>
        <w:tc>
          <w:tcPr>
            <w:tcW w:w="18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(2,320)</w:t>
            </w:r>
          </w:p>
        </w:tc>
        <w:tc>
          <w:tcPr>
            <w:tcW w:w="2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2,647</w:t>
            </w:r>
          </w:p>
        </w:tc>
        <w:tc>
          <w:tcPr>
            <w:tcW w:w="280" w:type="dxa"/>
            <w:vAlign w:val="bottom"/>
          </w:tcPr>
          <w:p>
            <w:pPr>
              <w:spacing w:after="0"/>
              <w:rPr>
                <w:sz w:val="16"/>
                <w:szCs w:val="16"/>
                <w:color w:val="auto"/>
              </w:rPr>
            </w:pPr>
          </w:p>
        </w:tc>
        <w:tc>
          <w:tcPr>
            <w:tcW w:w="10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4,709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(1,785)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2,924</w:t>
            </w:r>
          </w:p>
        </w:tc>
      </w:tr>
      <w:tr>
        <w:trPr>
          <w:trHeight w:val="189"/>
        </w:trPr>
        <w:tc>
          <w:tcPr>
            <w:tcW w:w="3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4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4,158</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(1,588)</w:t>
            </w:r>
          </w:p>
        </w:tc>
        <w:tc>
          <w:tcPr>
            <w:tcW w:w="2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2,570</w:t>
            </w:r>
          </w:p>
        </w:tc>
        <w:tc>
          <w:tcPr>
            <w:tcW w:w="2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4,165</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(1,327)</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2,838</w:t>
            </w:r>
          </w:p>
        </w:tc>
      </w:tr>
      <w:tr>
        <w:trPr>
          <w:trHeight w:val="250"/>
        </w:trPr>
        <w:tc>
          <w:tcPr>
            <w:tcW w:w="3280" w:type="dxa"/>
            <w:vAlign w:val="bottom"/>
          </w:tcPr>
          <w:p>
            <w:pPr>
              <w:spacing w:after="0"/>
              <w:rPr>
                <w:sz w:val="20"/>
                <w:szCs w:val="20"/>
                <w:color w:val="auto"/>
              </w:rPr>
            </w:pPr>
            <w:r>
              <w:rPr>
                <w:rFonts w:ascii="Arial" w:cs="Arial" w:eastAsia="Arial" w:hAnsi="Arial"/>
                <w:sz w:val="18"/>
                <w:szCs w:val="18"/>
                <w:color w:val="auto"/>
              </w:rPr>
              <w:t>Contract-based</w:t>
            </w:r>
          </w:p>
        </w:tc>
        <w:tc>
          <w:tcPr>
            <w:tcW w:w="3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474</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(432)</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w:t>
            </w:r>
          </w:p>
        </w:tc>
        <w:tc>
          <w:tcPr>
            <w:tcW w:w="2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68"/>
        </w:trPr>
        <w:tc>
          <w:tcPr>
            <w:tcW w:w="32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32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17,759</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(10,721)</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7,038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ind w:left="180"/>
              <w:spacing w:after="0" w:line="189" w:lineRule="exact"/>
              <w:rPr>
                <w:sz w:val="20"/>
                <w:szCs w:val="20"/>
                <w:color w:val="auto"/>
              </w:rPr>
            </w:pPr>
            <w:r>
              <w:rPr>
                <w:rFonts w:ascii="Arial" w:cs="Arial" w:eastAsia="Arial" w:hAnsi="Arial"/>
                <w:sz w:val="18"/>
                <w:szCs w:val="18"/>
                <w:color w:val="auto"/>
              </w:rPr>
              <w:t>17,139</w:t>
            </w:r>
            <w:r>
              <w:rPr>
                <w:rFonts w:ascii="Arial" w:cs="Arial" w:eastAsia="Arial" w:hAnsi="Arial"/>
                <w:sz w:val="15"/>
                <w:szCs w:val="15"/>
                <w:color w:val="auto"/>
              </w:rPr>
              <w:t>(a)</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(9,389)</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7,750</w:t>
            </w:r>
          </w:p>
        </w:tc>
      </w:tr>
      <w:tr>
        <w:trPr>
          <w:trHeight w:val="75"/>
        </w:trPr>
        <w:tc>
          <w:tcPr>
            <w:tcW w:w="32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43"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$1.3 billion related to GitHub. See Note 8 – Business Combinations for further information</w:t>
      </w:r>
      <w:r>
        <w:rPr>
          <w:rFonts w:ascii="Arial" w:cs="Arial" w:eastAsia="Arial" w:hAnsi="Arial"/>
          <w:sz w:val="18"/>
          <w:szCs w:val="18"/>
          <w:color w:val="auto"/>
        </w:rPr>
        <w:t>.</w:t>
      </w:r>
    </w:p>
    <w:p>
      <w:pPr>
        <w:spacing w:after="0" w:line="17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No material impairments of intangible assets were identified during fiscal years 2020, 2019, or 2018. We estimate that we have no significant residual value related to our intangible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acquired during the periods presented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136"/>
              <w:spacing w:after="0"/>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39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Amount</w:t>
            </w:r>
          </w:p>
        </w:tc>
        <w:tc>
          <w:tcPr>
            <w:tcW w:w="1240" w:type="dxa"/>
            <w:vAlign w:val="bottom"/>
          </w:tcPr>
          <w:p>
            <w:pPr>
              <w:jc w:val="right"/>
              <w:ind w:right="136"/>
              <w:spacing w:after="0"/>
              <w:rPr>
                <w:sz w:val="20"/>
                <w:szCs w:val="20"/>
                <w:color w:val="auto"/>
              </w:rPr>
            </w:pPr>
            <w:r>
              <w:rPr>
                <w:rFonts w:ascii="Arial" w:cs="Arial" w:eastAsia="Arial" w:hAnsi="Arial"/>
                <w:sz w:val="13"/>
                <w:szCs w:val="13"/>
                <w:b w:val="1"/>
                <w:bCs w:val="1"/>
                <w:color w:val="auto"/>
              </w:rPr>
              <w:t>Average Life</w:t>
            </w:r>
          </w:p>
        </w:tc>
        <w:tc>
          <w:tcPr>
            <w:tcW w:w="300" w:type="dxa"/>
            <w:vAlign w:val="bottom"/>
          </w:tcPr>
          <w:p>
            <w:pPr>
              <w:spacing w:after="0"/>
              <w:rPr>
                <w:sz w:val="15"/>
                <w:szCs w:val="15"/>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r>
      <w:tr>
        <w:trPr>
          <w:trHeight w:val="54"/>
        </w:trPr>
        <w:tc>
          <w:tcPr>
            <w:tcW w:w="39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39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7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531</w:t>
            </w:r>
          </w:p>
        </w:tc>
        <w:tc>
          <w:tcPr>
            <w:tcW w:w="1240" w:type="dxa"/>
            <w:vAlign w:val="bottom"/>
            <w:shd w:val="clear" w:color="auto" w:fill="E5E5E5"/>
          </w:tcPr>
          <w:p>
            <w:pPr>
              <w:jc w:val="right"/>
              <w:ind w:right="136"/>
              <w:spacing w:after="0" w:line="189" w:lineRule="exact"/>
              <w:rPr>
                <w:sz w:val="20"/>
                <w:szCs w:val="20"/>
                <w:color w:val="auto"/>
              </w:rPr>
            </w:pPr>
            <w:r>
              <w:rPr>
                <w:rFonts w:ascii="Arial" w:cs="Arial" w:eastAsia="Arial" w:hAnsi="Arial"/>
                <w:sz w:val="18"/>
                <w:szCs w:val="18"/>
                <w:b w:val="1"/>
                <w:bCs w:val="1"/>
                <w:color w:val="auto"/>
              </w:rPr>
              <w:t>6 years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814</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 years</w:t>
            </w: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303</w:t>
            </w:r>
          </w:p>
        </w:tc>
        <w:tc>
          <w:tcPr>
            <w:tcW w:w="1240" w:type="dxa"/>
            <w:vAlign w:val="bottom"/>
          </w:tcPr>
          <w:p>
            <w:pPr>
              <w:jc w:val="right"/>
              <w:ind w:right="136"/>
              <w:spacing w:after="0" w:line="189" w:lineRule="exact"/>
              <w:rPr>
                <w:sz w:val="20"/>
                <w:szCs w:val="20"/>
                <w:color w:val="auto"/>
              </w:rPr>
            </w:pPr>
            <w:r>
              <w:rPr>
                <w:rFonts w:ascii="Arial" w:cs="Arial" w:eastAsia="Arial" w:hAnsi="Arial"/>
                <w:sz w:val="18"/>
                <w:szCs w:val="18"/>
                <w:b w:val="1"/>
                <w:bCs w:val="1"/>
                <w:color w:val="auto"/>
              </w:rPr>
              <w:t>5 years</w:t>
            </w:r>
          </w:p>
        </w:tc>
        <w:tc>
          <w:tcPr>
            <w:tcW w:w="30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710</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 years</w:t>
            </w:r>
          </w:p>
        </w:tc>
      </w:tr>
      <w:tr>
        <w:trPr>
          <w:trHeight w:val="189"/>
        </w:trPr>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24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w:t>
            </w:r>
          </w:p>
        </w:tc>
        <w:tc>
          <w:tcPr>
            <w:tcW w:w="1240" w:type="dxa"/>
            <w:vAlign w:val="bottom"/>
            <w:shd w:val="clear" w:color="auto" w:fill="E5E5E5"/>
          </w:tcPr>
          <w:p>
            <w:pPr>
              <w:jc w:val="right"/>
              <w:ind w:right="136"/>
              <w:spacing w:after="0" w:line="189" w:lineRule="exact"/>
              <w:rPr>
                <w:sz w:val="20"/>
                <w:szCs w:val="20"/>
                <w:color w:val="auto"/>
              </w:rPr>
            </w:pPr>
            <w:r>
              <w:rPr>
                <w:rFonts w:ascii="Arial" w:cs="Arial" w:eastAsia="Arial" w:hAnsi="Arial"/>
                <w:sz w:val="18"/>
                <w:szCs w:val="18"/>
                <w:b w:val="1"/>
                <w:bCs w:val="1"/>
                <w:color w:val="auto"/>
              </w:rPr>
              <w:t>2 years</w:t>
            </w: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177</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 years</w:t>
            </w: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Contract-based</w:t>
            </w:r>
          </w:p>
        </w:tc>
        <w:tc>
          <w:tcPr>
            <w:tcW w:w="2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w:t>
            </w:r>
          </w:p>
        </w:tc>
        <w:tc>
          <w:tcPr>
            <w:tcW w:w="1240" w:type="dxa"/>
            <w:vAlign w:val="bottom"/>
          </w:tcPr>
          <w:p>
            <w:pPr>
              <w:jc w:val="right"/>
              <w:ind w:right="136"/>
              <w:spacing w:after="0"/>
              <w:rPr>
                <w:sz w:val="20"/>
                <w:szCs w:val="20"/>
                <w:color w:val="auto"/>
              </w:rPr>
            </w:pPr>
            <w:r>
              <w:rPr>
                <w:rFonts w:ascii="Arial" w:cs="Arial" w:eastAsia="Arial" w:hAnsi="Arial"/>
                <w:sz w:val="18"/>
                <w:szCs w:val="18"/>
                <w:b w:val="1"/>
                <w:bCs w:val="1"/>
                <w:color w:val="auto"/>
              </w:rPr>
              <w:t>0 years</w:t>
            </w:r>
          </w:p>
        </w:tc>
        <w:tc>
          <w:tcPr>
            <w:tcW w:w="3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 years</w:t>
            </w:r>
          </w:p>
        </w:tc>
      </w:tr>
      <w:tr>
        <w:trPr>
          <w:trHeight w:val="68"/>
        </w:trPr>
        <w:tc>
          <w:tcPr>
            <w:tcW w:w="3940" w:type="dxa"/>
            <w:vAlign w:val="bottom"/>
            <w:tcBorders>
              <w:top w:val="single" w:sz="8" w:color="auto"/>
            </w:tcBorders>
          </w:tcPr>
          <w:p>
            <w:pPr>
              <w:spacing w:after="0"/>
              <w:rPr>
                <w:sz w:val="5"/>
                <w:szCs w:val="5"/>
                <w:color w:val="auto"/>
              </w:rPr>
            </w:pPr>
          </w:p>
        </w:tc>
        <w:tc>
          <w:tcPr>
            <w:tcW w:w="24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39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836</w:t>
            </w:r>
          </w:p>
        </w:tc>
        <w:tc>
          <w:tcPr>
            <w:tcW w:w="1240" w:type="dxa"/>
            <w:vAlign w:val="bottom"/>
            <w:shd w:val="clear" w:color="auto" w:fill="E5E5E5"/>
          </w:tcPr>
          <w:p>
            <w:pPr>
              <w:jc w:val="right"/>
              <w:ind w:right="136"/>
              <w:spacing w:after="0" w:line="189" w:lineRule="exact"/>
              <w:rPr>
                <w:sz w:val="20"/>
                <w:szCs w:val="20"/>
                <w:color w:val="auto"/>
              </w:rPr>
            </w:pPr>
            <w:r>
              <w:rPr>
                <w:rFonts w:ascii="Arial" w:cs="Arial" w:eastAsia="Arial" w:hAnsi="Arial"/>
                <w:sz w:val="18"/>
                <w:szCs w:val="18"/>
                <w:b w:val="1"/>
                <w:bCs w:val="1"/>
                <w:color w:val="auto"/>
              </w:rPr>
              <w:t>5 years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1,708</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 years</w:t>
            </w:r>
          </w:p>
        </w:tc>
      </w:tr>
      <w:tr>
        <w:trPr>
          <w:trHeight w:val="74"/>
        </w:trPr>
        <w:tc>
          <w:tcPr>
            <w:tcW w:w="39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expense was $1.6 billion, $1.9 billion, and $2.2 billion for fiscal years 2020, 2019, and 2018,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June 30, 2020:</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5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460" w:type="dxa"/>
            <w:vAlign w:val="bottom"/>
          </w:tcPr>
          <w:p>
            <w:pPr>
              <w:spacing w:after="0"/>
              <w:rPr>
                <w:sz w:val="4"/>
                <w:szCs w:val="4"/>
                <w:color w:val="auto"/>
              </w:rPr>
            </w:pPr>
          </w:p>
        </w:tc>
        <w:tc>
          <w:tcPr>
            <w:tcW w:w="5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w:t>
            </w:r>
          </w:p>
        </w:tc>
        <w:tc>
          <w:tcPr>
            <w:tcW w:w="6600" w:type="dxa"/>
            <w:vAlign w:val="bottom"/>
            <w:gridSpan w:val="2"/>
            <w:shd w:val="clear" w:color="auto" w:fill="E5E5E5"/>
          </w:tcPr>
          <w:p>
            <w:pPr>
              <w:jc w:val="right"/>
              <w:ind w:right="60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1,483</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5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1,399</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58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1,219</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5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851</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58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447</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5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1,639</w:t>
            </w:r>
          </w:p>
        </w:tc>
        <w:tc>
          <w:tcPr>
            <w:tcW w:w="0" w:type="dxa"/>
            <w:vAlign w:val="bottom"/>
          </w:tcPr>
          <w:p>
            <w:pPr>
              <w:spacing w:after="0"/>
              <w:rPr>
                <w:sz w:val="1"/>
                <w:szCs w:val="1"/>
                <w:color w:val="auto"/>
              </w:rPr>
            </w:pPr>
          </w:p>
        </w:tc>
      </w:tr>
      <w:tr>
        <w:trPr>
          <w:trHeight w:val="68"/>
        </w:trPr>
        <w:tc>
          <w:tcPr>
            <w:tcW w:w="3460" w:type="dxa"/>
            <w:vAlign w:val="bottom"/>
            <w:tcBorders>
              <w:top w:val="single" w:sz="8" w:color="auto"/>
            </w:tcBorders>
          </w:tcPr>
          <w:p>
            <w:pPr>
              <w:spacing w:after="0"/>
              <w:rPr>
                <w:sz w:val="5"/>
                <w:szCs w:val="5"/>
                <w:color w:val="auto"/>
              </w:rPr>
            </w:pPr>
          </w:p>
        </w:tc>
        <w:tc>
          <w:tcPr>
            <w:tcW w:w="58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6600" w:type="dxa"/>
            <w:vAlign w:val="bottom"/>
            <w:gridSpan w:val="2"/>
            <w:shd w:val="clear" w:color="auto" w:fill="E5E5E5"/>
          </w:tcPr>
          <w:p>
            <w:pPr>
              <w:jc w:val="right"/>
              <w:ind w:right="60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7,038</w:t>
            </w:r>
          </w:p>
        </w:tc>
        <w:tc>
          <w:tcPr>
            <w:tcW w:w="0" w:type="dxa"/>
            <w:vAlign w:val="bottom"/>
          </w:tcPr>
          <w:p>
            <w:pPr>
              <w:spacing w:after="0"/>
              <w:rPr>
                <w:sz w:val="1"/>
                <w:szCs w:val="1"/>
                <w:color w:val="auto"/>
              </w:rPr>
            </w:pPr>
          </w:p>
        </w:tc>
      </w:tr>
      <w:tr>
        <w:trPr>
          <w:trHeight w:val="75"/>
        </w:trPr>
        <w:tc>
          <w:tcPr>
            <w:tcW w:w="3460" w:type="dxa"/>
            <w:vAlign w:val="bottom"/>
          </w:tcPr>
          <w:p>
            <w:pPr>
              <w:spacing w:after="0"/>
              <w:rPr>
                <w:sz w:val="6"/>
                <w:szCs w:val="6"/>
                <w:color w:val="auto"/>
              </w:rPr>
            </w:pPr>
          </w:p>
        </w:tc>
        <w:tc>
          <w:tcPr>
            <w:tcW w:w="5880" w:type="dxa"/>
            <w:vAlign w:val="bottom"/>
            <w:vMerge w:val="restart"/>
          </w:tcPr>
          <w:p>
            <w:pPr>
              <w:jc w:val="right"/>
              <w:ind w:right="3556"/>
              <w:spacing w:after="0"/>
              <w:rPr>
                <w:sz w:val="20"/>
                <w:szCs w:val="20"/>
                <w:color w:val="auto"/>
              </w:rPr>
            </w:pPr>
            <w:r>
              <w:rPr>
                <w:rFonts w:ascii="Arial" w:cs="Arial" w:eastAsia="Arial" w:hAnsi="Arial"/>
                <w:sz w:val="14"/>
                <w:szCs w:val="14"/>
                <w:color w:val="auto"/>
              </w:rPr>
              <w:t>77</w:t>
            </w:r>
          </w:p>
        </w:tc>
        <w:tc>
          <w:tcPr>
            <w:tcW w:w="7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34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60" w:type="dxa"/>
            <w:vAlign w:val="bottom"/>
            <w:tcBorders>
              <w:bottom w:val="single" w:sz="8" w:color="9A9A9A"/>
            </w:tcBorders>
          </w:tcPr>
          <w:p>
            <w:pPr>
              <w:spacing w:after="0"/>
              <w:rPr>
                <w:sz w:val="8"/>
                <w:szCs w:val="8"/>
                <w:color w:val="auto"/>
              </w:rPr>
            </w:pPr>
          </w:p>
        </w:tc>
        <w:tc>
          <w:tcPr>
            <w:tcW w:w="58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7" w:name="page78"/>
    <w:bookmarkEnd w:id="7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600" w:type="dxa"/>
            <w:vAlign w:val="bottom"/>
          </w:tcPr>
          <w:p>
            <w:pPr>
              <w:jc w:val="right"/>
              <w:ind w:right="514"/>
              <w:spacing w:after="0"/>
              <w:rPr>
                <w:sz w:val="20"/>
                <w:szCs w:val="20"/>
                <w:color w:val="auto"/>
              </w:rPr>
            </w:pPr>
            <w:r>
              <w:rPr>
                <w:rFonts w:ascii="Arial" w:cs="Arial" w:eastAsia="Arial" w:hAnsi="Arial"/>
                <w:sz w:val="13"/>
                <w:szCs w:val="13"/>
                <w:b w:val="1"/>
                <w:bCs w:val="1"/>
                <w:color w:val="auto"/>
              </w:rPr>
              <w:t>Maturities</w:t>
            </w:r>
          </w:p>
        </w:tc>
        <w:tc>
          <w:tcPr>
            <w:tcW w:w="1720" w:type="dxa"/>
            <w:vAlign w:val="bottom"/>
          </w:tcPr>
          <w:p>
            <w:pPr>
              <w:jc w:val="right"/>
              <w:ind w:right="414"/>
              <w:spacing w:after="0"/>
              <w:rPr>
                <w:sz w:val="20"/>
                <w:szCs w:val="20"/>
                <w:color w:val="auto"/>
              </w:rPr>
            </w:pPr>
            <w:r>
              <w:rPr>
                <w:rFonts w:ascii="Arial" w:cs="Arial" w:eastAsia="Arial" w:hAnsi="Arial"/>
                <w:sz w:val="13"/>
                <w:szCs w:val="13"/>
                <w:b w:val="1"/>
                <w:bCs w:val="1"/>
                <w:color w:val="auto"/>
              </w:rPr>
              <w:t>Stated Interest</w:t>
            </w:r>
          </w:p>
        </w:tc>
        <w:tc>
          <w:tcPr>
            <w:tcW w:w="1640" w:type="dxa"/>
            <w:vAlign w:val="bottom"/>
          </w:tcPr>
          <w:p>
            <w:pPr>
              <w:jc w:val="right"/>
              <w:ind w:right="154"/>
              <w:spacing w:after="0"/>
              <w:rPr>
                <w:sz w:val="20"/>
                <w:szCs w:val="20"/>
                <w:color w:val="auto"/>
              </w:rPr>
            </w:pPr>
            <w:r>
              <w:rPr>
                <w:rFonts w:ascii="Arial" w:cs="Arial" w:eastAsia="Arial" w:hAnsi="Arial"/>
                <w:sz w:val="13"/>
                <w:szCs w:val="13"/>
                <w:b w:val="1"/>
                <w:bCs w:val="1"/>
                <w:color w:val="auto"/>
              </w:rPr>
              <w:t>Effective Interest</w:t>
            </w:r>
          </w:p>
        </w:tc>
        <w:tc>
          <w:tcPr>
            <w:tcW w:w="5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600" w:type="dxa"/>
            <w:vAlign w:val="bottom"/>
          </w:tcPr>
          <w:p>
            <w:pPr>
              <w:jc w:val="right"/>
              <w:ind w:right="354"/>
              <w:spacing w:after="0"/>
              <w:rPr>
                <w:sz w:val="20"/>
                <w:szCs w:val="20"/>
                <w:color w:val="auto"/>
              </w:rPr>
            </w:pPr>
            <w:r>
              <w:rPr>
                <w:rFonts w:ascii="Arial" w:cs="Arial" w:eastAsia="Arial" w:hAnsi="Arial"/>
                <w:sz w:val="13"/>
                <w:szCs w:val="13"/>
                <w:b w:val="1"/>
                <w:bCs w:val="1"/>
                <w:color w:val="auto"/>
              </w:rPr>
              <w:t>(calendar year)</w:t>
            </w:r>
          </w:p>
        </w:tc>
        <w:tc>
          <w:tcPr>
            <w:tcW w:w="1720" w:type="dxa"/>
            <w:vAlign w:val="bottom"/>
          </w:tcPr>
          <w:p>
            <w:pPr>
              <w:jc w:val="right"/>
              <w:ind w:right="734"/>
              <w:spacing w:after="0"/>
              <w:rPr>
                <w:sz w:val="20"/>
                <w:szCs w:val="20"/>
                <w:color w:val="auto"/>
              </w:rPr>
            </w:pPr>
            <w:r>
              <w:rPr>
                <w:rFonts w:ascii="Arial" w:cs="Arial" w:eastAsia="Arial" w:hAnsi="Arial"/>
                <w:sz w:val="13"/>
                <w:szCs w:val="13"/>
                <w:b w:val="1"/>
                <w:bCs w:val="1"/>
                <w:color w:val="auto"/>
              </w:rPr>
              <w:t>Rate</w:t>
            </w:r>
          </w:p>
        </w:tc>
        <w:tc>
          <w:tcPr>
            <w:tcW w:w="1640" w:type="dxa"/>
            <w:vAlign w:val="bottom"/>
          </w:tcPr>
          <w:p>
            <w:pPr>
              <w:jc w:val="right"/>
              <w:ind w:right="554"/>
              <w:spacing w:after="0"/>
              <w:rPr>
                <w:sz w:val="20"/>
                <w:szCs w:val="20"/>
                <w:color w:val="auto"/>
              </w:rPr>
            </w:pPr>
            <w:r>
              <w:rPr>
                <w:rFonts w:ascii="Arial" w:cs="Arial" w:eastAsia="Arial" w:hAnsi="Arial"/>
                <w:sz w:val="13"/>
                <w:szCs w:val="13"/>
                <w:b w:val="1"/>
                <w:bCs w:val="1"/>
                <w:color w:val="auto"/>
              </w:rPr>
              <w:t>Rate</w:t>
            </w:r>
          </w:p>
        </w:tc>
        <w:tc>
          <w:tcPr>
            <w:tcW w:w="52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2019</w:t>
            </w:r>
          </w:p>
        </w:tc>
      </w:tr>
      <w:tr>
        <w:trPr>
          <w:trHeight w:val="54"/>
        </w:trPr>
        <w:tc>
          <w:tcPr>
            <w:tcW w:w="35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61"/>
        </w:trPr>
        <w:tc>
          <w:tcPr>
            <w:tcW w:w="35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2009 issuance of $3.8 billion </w:t>
            </w:r>
            <w:r>
              <w:rPr>
                <w:rFonts w:ascii="Arial" w:cs="Arial" w:eastAsia="Arial" w:hAnsi="Arial"/>
                <w:sz w:val="15"/>
                <w:szCs w:val="15"/>
                <w:color w:val="auto"/>
              </w:rPr>
              <w:t>(a)</w:t>
            </w:r>
          </w:p>
        </w:tc>
        <w:tc>
          <w:tcPr>
            <w:tcW w:w="160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2039</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5.20%</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5.24%</w:t>
            </w:r>
          </w:p>
        </w:tc>
        <w:tc>
          <w:tcPr>
            <w:tcW w:w="5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559</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750</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2010 issuance of $4.8 billion </w:t>
            </w:r>
            <w:r>
              <w:rPr>
                <w:rFonts w:ascii="Arial" w:cs="Arial" w:eastAsia="Arial" w:hAnsi="Arial"/>
                <w:sz w:val="15"/>
                <w:szCs w:val="15"/>
                <w:color w:val="auto"/>
              </w:rPr>
              <w:t>(a)</w:t>
            </w:r>
          </w:p>
        </w:tc>
        <w:tc>
          <w:tcPr>
            <w:tcW w:w="160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2020–2040</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3.00%–4.50%</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3.14%–4.57%</w:t>
            </w:r>
          </w:p>
        </w:tc>
        <w:tc>
          <w:tcPr>
            <w:tcW w:w="5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1,571</w:t>
            </w:r>
          </w:p>
        </w:tc>
        <w:tc>
          <w:tcPr>
            <w:tcW w:w="3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2,000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2011 issuance of $2.3 billion </w:t>
            </w:r>
            <w:r>
              <w:rPr>
                <w:rFonts w:ascii="Arial" w:cs="Arial" w:eastAsia="Arial" w:hAnsi="Arial"/>
                <w:sz w:val="15"/>
                <w:szCs w:val="15"/>
                <w:color w:val="auto"/>
              </w:rPr>
              <w:t>(a)</w:t>
            </w:r>
          </w:p>
        </w:tc>
        <w:tc>
          <w:tcPr>
            <w:tcW w:w="160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2021–2041</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4.00%–5.30%</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4.08%–5.36%</w:t>
            </w:r>
          </w:p>
        </w:tc>
        <w:tc>
          <w:tcPr>
            <w:tcW w:w="5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1,270</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1,500</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2012 issuance of $2.3 billion</w:t>
            </w:r>
          </w:p>
        </w:tc>
        <w:tc>
          <w:tcPr>
            <w:tcW w:w="160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2022–2042</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2.13%–3.50%</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2.24%–3.57%</w:t>
            </w:r>
          </w:p>
        </w:tc>
        <w:tc>
          <w:tcPr>
            <w:tcW w:w="5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1,650</w:t>
            </w:r>
          </w:p>
        </w:tc>
        <w:tc>
          <w:tcPr>
            <w:tcW w:w="3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1,650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2013 issuance of $5.2 billion </w:t>
            </w:r>
            <w:r>
              <w:rPr>
                <w:rFonts w:ascii="Arial" w:cs="Arial" w:eastAsia="Arial" w:hAnsi="Arial"/>
                <w:sz w:val="15"/>
                <w:szCs w:val="15"/>
                <w:color w:val="auto"/>
              </w:rPr>
              <w:t>(a)</w:t>
            </w:r>
          </w:p>
        </w:tc>
        <w:tc>
          <w:tcPr>
            <w:tcW w:w="160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2023–2043</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2.38%–4.88%</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2.47%–4.92%</w:t>
            </w:r>
          </w:p>
        </w:tc>
        <w:tc>
          <w:tcPr>
            <w:tcW w:w="5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2,919</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3,500</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2013 issuance of €4.1 billion</w:t>
            </w:r>
          </w:p>
        </w:tc>
        <w:tc>
          <w:tcPr>
            <w:tcW w:w="160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2021–2033</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2.13%–3.13%</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2.23%–3.22%</w:t>
            </w:r>
          </w:p>
        </w:tc>
        <w:tc>
          <w:tcPr>
            <w:tcW w:w="5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4,549</w:t>
            </w:r>
          </w:p>
        </w:tc>
        <w:tc>
          <w:tcPr>
            <w:tcW w:w="3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4,613</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2014 issuance</w:t>
            </w:r>
          </w:p>
        </w:tc>
        <w:tc>
          <w:tcPr>
            <w:tcW w:w="160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18</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2015 issuance of $23.8 billion </w:t>
            </w:r>
            <w:r>
              <w:rPr>
                <w:rFonts w:ascii="Arial" w:cs="Arial" w:eastAsia="Arial" w:hAnsi="Arial"/>
                <w:sz w:val="15"/>
                <w:szCs w:val="15"/>
                <w:color w:val="auto"/>
              </w:rPr>
              <w:t>(a)</w:t>
            </w:r>
          </w:p>
        </w:tc>
        <w:tc>
          <w:tcPr>
            <w:tcW w:w="160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2020–2055</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2.00%–4.75%</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2.09%–4.78%</w:t>
            </w:r>
          </w:p>
        </w:tc>
        <w:tc>
          <w:tcPr>
            <w:tcW w:w="5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15,549</w:t>
            </w:r>
          </w:p>
        </w:tc>
        <w:tc>
          <w:tcPr>
            <w:tcW w:w="3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22,000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2016 issuance of $19.8 billion </w:t>
            </w:r>
            <w:r>
              <w:rPr>
                <w:rFonts w:ascii="Arial" w:cs="Arial" w:eastAsia="Arial" w:hAnsi="Arial"/>
                <w:sz w:val="15"/>
                <w:szCs w:val="15"/>
                <w:color w:val="auto"/>
              </w:rPr>
              <w:t>(a)</w:t>
            </w:r>
          </w:p>
        </w:tc>
        <w:tc>
          <w:tcPr>
            <w:tcW w:w="160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2021–2056</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1.55%–3.95%</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1.64%–4.03%</w:t>
            </w:r>
          </w:p>
        </w:tc>
        <w:tc>
          <w:tcPr>
            <w:tcW w:w="5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16,955</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19,750</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2017 issuance of $17.0 billion </w:t>
            </w:r>
            <w:r>
              <w:rPr>
                <w:rFonts w:ascii="Arial" w:cs="Arial" w:eastAsia="Arial" w:hAnsi="Arial"/>
                <w:sz w:val="15"/>
                <w:szCs w:val="15"/>
                <w:color w:val="auto"/>
              </w:rPr>
              <w:t>(a)</w:t>
            </w:r>
          </w:p>
        </w:tc>
        <w:tc>
          <w:tcPr>
            <w:tcW w:w="1600" w:type="dxa"/>
            <w:vAlign w:val="bottom"/>
          </w:tcPr>
          <w:p>
            <w:pPr>
              <w:jc w:val="right"/>
              <w:ind w:right="214"/>
              <w:spacing w:after="0" w:line="189" w:lineRule="exact"/>
              <w:rPr>
                <w:sz w:val="20"/>
                <w:szCs w:val="20"/>
                <w:color w:val="auto"/>
              </w:rPr>
            </w:pPr>
            <w:r>
              <w:rPr>
                <w:rFonts w:ascii="Arial" w:cs="Arial" w:eastAsia="Arial" w:hAnsi="Arial"/>
                <w:sz w:val="18"/>
                <w:szCs w:val="18"/>
                <w:b w:val="1"/>
                <w:bCs w:val="1"/>
                <w:color w:val="auto"/>
              </w:rPr>
              <w:t>2022–2057</w:t>
            </w:r>
          </w:p>
        </w:tc>
        <w:tc>
          <w:tcPr>
            <w:tcW w:w="1720" w:type="dxa"/>
            <w:vAlign w:val="bottom"/>
          </w:tcPr>
          <w:p>
            <w:pPr>
              <w:jc w:val="right"/>
              <w:ind w:right="174"/>
              <w:spacing w:after="0" w:line="189" w:lineRule="exact"/>
              <w:rPr>
                <w:sz w:val="20"/>
                <w:szCs w:val="20"/>
                <w:color w:val="auto"/>
              </w:rPr>
            </w:pPr>
            <w:r>
              <w:rPr>
                <w:rFonts w:ascii="Arial" w:cs="Arial" w:eastAsia="Arial" w:hAnsi="Arial"/>
                <w:sz w:val="18"/>
                <w:szCs w:val="18"/>
                <w:b w:val="1"/>
                <w:bCs w:val="1"/>
                <w:color w:val="auto"/>
              </w:rPr>
              <w:t>2.40%–4.50%</w:t>
            </w:r>
          </w:p>
        </w:tc>
        <w:tc>
          <w:tcPr>
            <w:tcW w:w="1640" w:type="dxa"/>
            <w:vAlign w:val="bottom"/>
          </w:tcPr>
          <w:p>
            <w:pPr>
              <w:jc w:val="right"/>
              <w:ind w:right="114"/>
              <w:spacing w:after="0" w:line="189" w:lineRule="exact"/>
              <w:rPr>
                <w:sz w:val="20"/>
                <w:szCs w:val="20"/>
                <w:color w:val="auto"/>
              </w:rPr>
            </w:pPr>
            <w:r>
              <w:rPr>
                <w:rFonts w:ascii="Arial" w:cs="Arial" w:eastAsia="Arial" w:hAnsi="Arial"/>
                <w:sz w:val="18"/>
                <w:szCs w:val="18"/>
                <w:b w:val="1"/>
                <w:bCs w:val="1"/>
                <w:color w:val="auto"/>
              </w:rPr>
              <w:t>2.52%–4.53%</w:t>
            </w:r>
          </w:p>
        </w:tc>
        <w:tc>
          <w:tcPr>
            <w:tcW w:w="5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12,385</w:t>
            </w:r>
          </w:p>
        </w:tc>
        <w:tc>
          <w:tcPr>
            <w:tcW w:w="3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17,000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2020 issuance of $10.0 billion </w:t>
            </w:r>
            <w:r>
              <w:rPr>
                <w:rFonts w:ascii="Arial" w:cs="Arial" w:eastAsia="Arial" w:hAnsi="Arial"/>
                <w:sz w:val="15"/>
                <w:szCs w:val="15"/>
                <w:color w:val="auto"/>
              </w:rPr>
              <w:t>(a)</w:t>
            </w:r>
          </w:p>
        </w:tc>
        <w:tc>
          <w:tcPr>
            <w:tcW w:w="1600" w:type="dxa"/>
            <w:vAlign w:val="bottom"/>
            <w:shd w:val="clear" w:color="auto" w:fill="E5E5E5"/>
          </w:tcPr>
          <w:p>
            <w:pPr>
              <w:jc w:val="right"/>
              <w:ind w:right="214"/>
              <w:spacing w:after="0" w:line="189" w:lineRule="exact"/>
              <w:rPr>
                <w:sz w:val="20"/>
                <w:szCs w:val="20"/>
                <w:color w:val="auto"/>
              </w:rPr>
            </w:pPr>
            <w:r>
              <w:rPr>
                <w:rFonts w:ascii="Arial" w:cs="Arial" w:eastAsia="Arial" w:hAnsi="Arial"/>
                <w:sz w:val="18"/>
                <w:szCs w:val="18"/>
                <w:b w:val="1"/>
                <w:bCs w:val="1"/>
                <w:color w:val="auto"/>
              </w:rPr>
              <w:t>2050–2060</w:t>
            </w:r>
          </w:p>
        </w:tc>
        <w:tc>
          <w:tcPr>
            <w:tcW w:w="1720" w:type="dxa"/>
            <w:vAlign w:val="bottom"/>
            <w:shd w:val="clear" w:color="auto" w:fill="E5E5E5"/>
          </w:tcPr>
          <w:p>
            <w:pPr>
              <w:jc w:val="right"/>
              <w:ind w:right="174"/>
              <w:spacing w:after="0" w:line="189" w:lineRule="exact"/>
              <w:rPr>
                <w:sz w:val="20"/>
                <w:szCs w:val="20"/>
                <w:color w:val="auto"/>
              </w:rPr>
            </w:pPr>
            <w:r>
              <w:rPr>
                <w:rFonts w:ascii="Arial" w:cs="Arial" w:eastAsia="Arial" w:hAnsi="Arial"/>
                <w:sz w:val="18"/>
                <w:szCs w:val="18"/>
                <w:b w:val="1"/>
                <w:bCs w:val="1"/>
                <w:color w:val="auto"/>
              </w:rPr>
              <w:t>2.53%–2.68%</w:t>
            </w:r>
          </w:p>
        </w:tc>
        <w:tc>
          <w:tcPr>
            <w:tcW w:w="16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8"/>
                <w:szCs w:val="18"/>
                <w:b w:val="1"/>
                <w:bCs w:val="1"/>
                <w:color w:val="auto"/>
              </w:rPr>
              <w:t>2.53%–2.68%</w:t>
            </w:r>
          </w:p>
        </w:tc>
        <w:tc>
          <w:tcPr>
            <w:tcW w:w="5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10,000</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0</w:t>
            </w:r>
          </w:p>
        </w:tc>
      </w:tr>
      <w:tr>
        <w:trPr>
          <w:trHeight w:val="68"/>
        </w:trPr>
        <w:tc>
          <w:tcPr>
            <w:tcW w:w="35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50"/>
        </w:trPr>
        <w:tc>
          <w:tcPr>
            <w:tcW w:w="3540" w:type="dxa"/>
            <w:vAlign w:val="bottom"/>
          </w:tcPr>
          <w:p>
            <w:pPr>
              <w:ind w:left="220"/>
              <w:spacing w:after="0"/>
              <w:rPr>
                <w:sz w:val="20"/>
                <w:szCs w:val="20"/>
                <w:color w:val="auto"/>
              </w:rPr>
            </w:pPr>
            <w:r>
              <w:rPr>
                <w:rFonts w:ascii="Arial" w:cs="Arial" w:eastAsia="Arial" w:hAnsi="Arial"/>
                <w:sz w:val="18"/>
                <w:szCs w:val="18"/>
                <w:color w:val="auto"/>
              </w:rPr>
              <w:t>Total face value</w:t>
            </w:r>
          </w:p>
        </w:tc>
        <w:tc>
          <w:tcPr>
            <w:tcW w:w="1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67,407</w:t>
            </w:r>
          </w:p>
        </w:tc>
        <w:tc>
          <w:tcPr>
            <w:tcW w:w="3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72,781</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Unamortized discount and issuance costs</w:t>
            </w:r>
          </w:p>
        </w:tc>
        <w:tc>
          <w:tcPr>
            <w:tcW w:w="160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(554)</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(603)</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(b)</w:t>
            </w:r>
          </w:p>
        </w:tc>
        <w:tc>
          <w:tcPr>
            <w:tcW w:w="1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93</w:t>
            </w:r>
          </w:p>
        </w:tc>
        <w:tc>
          <w:tcPr>
            <w:tcW w:w="3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Premium on debt exchange </w:t>
            </w:r>
            <w:r>
              <w:rPr>
                <w:rFonts w:ascii="Arial" w:cs="Arial" w:eastAsia="Arial" w:hAnsi="Arial"/>
                <w:sz w:val="15"/>
                <w:szCs w:val="15"/>
                <w:color w:val="auto"/>
              </w:rPr>
              <w:t>(a)</w:t>
            </w:r>
          </w:p>
        </w:tc>
        <w:tc>
          <w:tcPr>
            <w:tcW w:w="160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(3,619)</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0</w:t>
            </w:r>
          </w:p>
        </w:tc>
      </w:tr>
      <w:tr>
        <w:trPr>
          <w:trHeight w:val="68"/>
        </w:trPr>
        <w:tc>
          <w:tcPr>
            <w:tcW w:w="35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50"/>
        </w:trPr>
        <w:tc>
          <w:tcPr>
            <w:tcW w:w="35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63,327</w:t>
            </w:r>
          </w:p>
        </w:tc>
        <w:tc>
          <w:tcPr>
            <w:tcW w:w="3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72,178</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600" w:type="dxa"/>
            <w:vAlign w:val="bottom"/>
            <w:shd w:val="clear" w:color="auto" w:fill="E5E5E5"/>
          </w:tcPr>
          <w:p>
            <w:pPr>
              <w:spacing w:after="0"/>
              <w:rPr>
                <w:sz w:val="16"/>
                <w:szCs w:val="16"/>
                <w:color w:val="auto"/>
              </w:rPr>
            </w:pPr>
          </w:p>
        </w:tc>
        <w:tc>
          <w:tcPr>
            <w:tcW w:w="1720" w:type="dxa"/>
            <w:vAlign w:val="bottom"/>
            <w:shd w:val="clear" w:color="auto" w:fill="E5E5E5"/>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(3,749)</w:t>
            </w: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(5,516)</w:t>
            </w:r>
          </w:p>
        </w:tc>
      </w:tr>
      <w:tr>
        <w:trPr>
          <w:trHeight w:val="68"/>
        </w:trPr>
        <w:tc>
          <w:tcPr>
            <w:tcW w:w="35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64"/>
        </w:trPr>
        <w:tc>
          <w:tcPr>
            <w:tcW w:w="354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6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59,578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34290</wp:posOffset>
            </wp:positionV>
            <wp:extent cx="156019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23" w:lineRule="exact"/>
        <w:rPr>
          <w:sz w:val="20"/>
          <w:szCs w:val="20"/>
          <w:color w:val="auto"/>
        </w:rPr>
      </w:pPr>
    </w:p>
    <w:p>
      <w:pPr>
        <w:ind w:left="540" w:hanging="532"/>
        <w:spacing w:after="0" w:line="245"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In June 2020, we exchanged a portion of our existing debt at premium for cash and new debt with longer maturities. The premium will be amortized over the term of the new debt.</w:t>
      </w: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June 30, 2020 and 2019, the estimated fair value of long-term debt, including the current portion, was $77.1 billion and $78.9 billion, respectively. The estimated fair values are based on Level 2 inputs.</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June 30, 2020:</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48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6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460" w:type="dxa"/>
            <w:vAlign w:val="bottom"/>
          </w:tcPr>
          <w:p>
            <w:pPr>
              <w:spacing w:after="0"/>
              <w:rPr>
                <w:sz w:val="4"/>
                <w:szCs w:val="4"/>
                <w:color w:val="auto"/>
              </w:rPr>
            </w:pPr>
          </w:p>
        </w:tc>
        <w:tc>
          <w:tcPr>
            <w:tcW w:w="6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w:t>
            </w:r>
          </w:p>
        </w:tc>
        <w:tc>
          <w:tcPr>
            <w:tcW w:w="666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3,750</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6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7,966</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6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6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5,250</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6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2,250</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6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45,441</w:t>
            </w:r>
          </w:p>
        </w:tc>
        <w:tc>
          <w:tcPr>
            <w:tcW w:w="0" w:type="dxa"/>
            <w:vAlign w:val="bottom"/>
          </w:tcPr>
          <w:p>
            <w:pPr>
              <w:spacing w:after="0"/>
              <w:rPr>
                <w:sz w:val="1"/>
                <w:szCs w:val="1"/>
                <w:color w:val="auto"/>
              </w:rPr>
            </w:pPr>
          </w:p>
        </w:tc>
      </w:tr>
      <w:tr>
        <w:trPr>
          <w:trHeight w:val="68"/>
        </w:trPr>
        <w:tc>
          <w:tcPr>
            <w:tcW w:w="3460" w:type="dxa"/>
            <w:vAlign w:val="bottom"/>
            <w:tcBorders>
              <w:top w:val="single" w:sz="8" w:color="auto"/>
            </w:tcBorders>
          </w:tcPr>
          <w:p>
            <w:pPr>
              <w:spacing w:after="0"/>
              <w:rPr>
                <w:sz w:val="5"/>
                <w:szCs w:val="5"/>
                <w:color w:val="auto"/>
              </w:rPr>
            </w:pPr>
          </w:p>
        </w:tc>
        <w:tc>
          <w:tcPr>
            <w:tcW w:w="6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666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67,407</w:t>
            </w:r>
          </w:p>
        </w:tc>
        <w:tc>
          <w:tcPr>
            <w:tcW w:w="0" w:type="dxa"/>
            <w:vAlign w:val="bottom"/>
          </w:tcPr>
          <w:p>
            <w:pPr>
              <w:spacing w:after="0"/>
              <w:rPr>
                <w:sz w:val="1"/>
                <w:szCs w:val="1"/>
                <w:color w:val="auto"/>
              </w:rPr>
            </w:pPr>
          </w:p>
        </w:tc>
      </w:tr>
      <w:tr>
        <w:trPr>
          <w:trHeight w:val="75"/>
        </w:trPr>
        <w:tc>
          <w:tcPr>
            <w:tcW w:w="3460" w:type="dxa"/>
            <w:vAlign w:val="bottom"/>
          </w:tcPr>
          <w:p>
            <w:pPr>
              <w:spacing w:after="0"/>
              <w:rPr>
                <w:sz w:val="6"/>
                <w:szCs w:val="6"/>
                <w:color w:val="auto"/>
              </w:rPr>
            </w:pPr>
          </w:p>
        </w:tc>
        <w:tc>
          <w:tcPr>
            <w:tcW w:w="6100" w:type="dxa"/>
            <w:vAlign w:val="bottom"/>
            <w:vMerge w:val="restart"/>
          </w:tcPr>
          <w:p>
            <w:pPr>
              <w:jc w:val="right"/>
              <w:ind w:right="3776"/>
              <w:spacing w:after="0"/>
              <w:rPr>
                <w:sz w:val="20"/>
                <w:szCs w:val="20"/>
                <w:color w:val="auto"/>
              </w:rPr>
            </w:pPr>
            <w:r>
              <w:rPr>
                <w:rFonts w:ascii="Arial" w:cs="Arial" w:eastAsia="Arial" w:hAnsi="Arial"/>
                <w:sz w:val="14"/>
                <w:szCs w:val="14"/>
                <w:color w:val="auto"/>
              </w:rPr>
              <w:t>78</w:t>
            </w: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346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60" w:type="dxa"/>
            <w:vAlign w:val="bottom"/>
            <w:tcBorders>
              <w:bottom w:val="single" w:sz="8" w:color="9A9A9A"/>
            </w:tcBorders>
          </w:tcPr>
          <w:p>
            <w:pPr>
              <w:spacing w:after="0"/>
              <w:rPr>
                <w:sz w:val="8"/>
                <w:szCs w:val="8"/>
                <w:color w:val="auto"/>
              </w:rPr>
            </w:pPr>
          </w:p>
        </w:tc>
        <w:tc>
          <w:tcPr>
            <w:tcW w:w="6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8" w:name="page79"/>
    <w:bookmarkEnd w:id="7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Cuts and Jobs Act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22, 2017, the Tax Cuts and Jobs Act (“TCJA”) was enacted into law, which significantly changed existing U.S. tax law and included numerous provisions that affect our business. We recorded a provisional net charge of $13.7 billion related to the enactment of the TCJA in fiscal year 2018, and adjusted the provisional net charge by recording additional tax expense of $157 million in fiscal year 2019 pursuant to Securities and Exchange Commission Staff Accounting Bulletin No. 118.</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fiscal year 2019, in response to the TCJA and recently issued regulations, we transferred certain intangible properties held by our foreign subsidiaries to the U.S. and Ireland. The transfers of intangible properties resulted in a $2.6 billion net income tax benefit recorded in the fourth quarter of fiscal year 2019, as the value of future tax deductions exceeded the current tax liability from foreign jurisdictions and U.S. global intangible low-taxed income (“GILTI”) tax.</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3"/>
                <w:szCs w:val="13"/>
                <w:b w:val="1"/>
                <w:bCs w:val="1"/>
                <w:color w:val="auto"/>
              </w:rPr>
              <w:t>Current Taxes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3,537</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4,718</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19,764</w:t>
            </w:r>
          </w:p>
        </w:tc>
        <w:tc>
          <w:tcPr>
            <w:tcW w:w="0" w:type="dxa"/>
            <w:vAlign w:val="bottom"/>
          </w:tcPr>
          <w:p>
            <w:pPr>
              <w:spacing w:after="0"/>
              <w:rPr>
                <w:sz w:val="1"/>
                <w:szCs w:val="1"/>
                <w:color w:val="auto"/>
              </w:rPr>
            </w:pPr>
          </w:p>
        </w:tc>
      </w:tr>
      <w:tr>
        <w:trPr>
          <w:trHeight w:val="189"/>
        </w:trPr>
        <w:tc>
          <w:tcPr>
            <w:tcW w:w="692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763</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662</w:t>
            </w:r>
          </w:p>
        </w:tc>
        <w:tc>
          <w:tcPr>
            <w:tcW w:w="26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189"/>
        </w:trPr>
        <w:tc>
          <w:tcPr>
            <w:tcW w:w="6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7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4,444</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5,531</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68"/>
        </w:trPr>
        <w:tc>
          <w:tcPr>
            <w:tcW w:w="69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920" w:type="dxa"/>
            <w:vAlign w:val="bottom"/>
          </w:tcPr>
          <w:p>
            <w:pPr>
              <w:ind w:left="220"/>
              <w:spacing w:after="0"/>
              <w:rPr>
                <w:sz w:val="20"/>
                <w:szCs w:val="20"/>
                <w:color w:val="auto"/>
              </w:rPr>
            </w:pPr>
            <w:r>
              <w:rPr>
                <w:rFonts w:ascii="Arial" w:cs="Arial" w:eastAsia="Arial" w:hAnsi="Arial"/>
                <w:sz w:val="18"/>
                <w:szCs w:val="18"/>
                <w:color w:val="auto"/>
              </w:rPr>
              <w:t>Current taxes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8,744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10,911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25,046</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3"/>
                <w:szCs w:val="13"/>
                <w:b w:val="1"/>
                <w:bCs w:val="1"/>
                <w:color w:val="auto"/>
              </w:rPr>
              <w:t>Deferred Taxes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(5,647)</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189"/>
        </w:trPr>
        <w:tc>
          <w:tcPr>
            <w:tcW w:w="692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(6)</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(1,010)</w:t>
            </w:r>
          </w:p>
        </w:tc>
        <w:tc>
          <w:tcPr>
            <w:tcW w:w="26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89"/>
        </w:trPr>
        <w:tc>
          <w:tcPr>
            <w:tcW w:w="6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7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(41)</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194</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68"/>
        </w:trPr>
        <w:tc>
          <w:tcPr>
            <w:tcW w:w="69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92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(6,463)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54"/>
        </w:trPr>
        <w:tc>
          <w:tcPr>
            <w:tcW w:w="69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9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Provision for income taxes</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8,755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4,448</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19,903</w:t>
            </w:r>
          </w:p>
        </w:tc>
        <w:tc>
          <w:tcPr>
            <w:tcW w:w="0" w:type="dxa"/>
            <w:vAlign w:val="bottom"/>
          </w:tcPr>
          <w:p>
            <w:pPr>
              <w:spacing w:after="0"/>
              <w:rPr>
                <w:sz w:val="1"/>
                <w:szCs w:val="1"/>
                <w:color w:val="auto"/>
              </w:rPr>
            </w:pPr>
          </w:p>
        </w:tc>
      </w:tr>
      <w:tr>
        <w:trPr>
          <w:trHeight w:val="75"/>
        </w:trPr>
        <w:tc>
          <w:tcPr>
            <w:tcW w:w="6920" w:type="dxa"/>
            <w:vAlign w:val="bottom"/>
            <w:vMerge w:val="restart"/>
          </w:tcPr>
          <w:p>
            <w:pPr>
              <w:spacing w:after="0"/>
              <w:rPr>
                <w:sz w:val="20"/>
                <w:szCs w:val="20"/>
                <w:color w:val="auto"/>
              </w:rPr>
            </w:pPr>
            <w:r>
              <w:rPr>
                <w:rFonts w:ascii="Arial" w:cs="Arial" w:eastAsia="Arial" w:hAnsi="Arial"/>
                <w:sz w:val="18"/>
                <w:szCs w:val="18"/>
                <w:color w:val="auto"/>
              </w:rPr>
              <w:t>U.S. and foreign components of income before income taxes were as follows:</w:t>
            </w:r>
          </w:p>
        </w:tc>
        <w:tc>
          <w:tcPr>
            <w:tcW w:w="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69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9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69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55"/>
        </w:trPr>
        <w:tc>
          <w:tcPr>
            <w:tcW w:w="69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24,116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15,799</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28,920</w:t>
            </w:r>
          </w:p>
        </w:tc>
        <w:tc>
          <w:tcPr>
            <w:tcW w:w="2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27,889</w:t>
            </w: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68"/>
        </w:trPr>
        <w:tc>
          <w:tcPr>
            <w:tcW w:w="69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9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Income before income taxes</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53,036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43,688</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36,474</w:t>
            </w:r>
          </w:p>
        </w:tc>
        <w:tc>
          <w:tcPr>
            <w:tcW w:w="0" w:type="dxa"/>
            <w:vAlign w:val="bottom"/>
          </w:tcPr>
          <w:p>
            <w:pPr>
              <w:spacing w:after="0"/>
              <w:rPr>
                <w:sz w:val="1"/>
                <w:szCs w:val="1"/>
                <w:color w:val="auto"/>
              </w:rPr>
            </w:pPr>
          </w:p>
        </w:tc>
      </w:tr>
      <w:tr>
        <w:trPr>
          <w:trHeight w:val="75"/>
        </w:trPr>
        <w:tc>
          <w:tcPr>
            <w:tcW w:w="6920" w:type="dxa"/>
            <w:vAlign w:val="bottom"/>
            <w:vMerge w:val="restart"/>
          </w:tcPr>
          <w:p>
            <w:pPr>
              <w:ind w:left="5540"/>
              <w:spacing w:after="0"/>
              <w:rPr>
                <w:sz w:val="20"/>
                <w:szCs w:val="20"/>
                <w:color w:val="auto"/>
              </w:rPr>
            </w:pPr>
            <w:r>
              <w:rPr>
                <w:rFonts w:ascii="Arial" w:cs="Arial" w:eastAsia="Arial" w:hAnsi="Arial"/>
                <w:sz w:val="14"/>
                <w:szCs w:val="14"/>
                <w:color w:val="auto"/>
              </w:rPr>
              <w:t>79</w:t>
            </w:r>
          </w:p>
        </w:tc>
        <w:tc>
          <w:tcPr>
            <w:tcW w:w="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9"/>
        </w:trPr>
        <w:tc>
          <w:tcPr>
            <w:tcW w:w="69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9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9" w:name="page80"/>
    <w:bookmarkEnd w:id="7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items accounting for the difference between income taxes computed at the U.S. federal statutory rate and our effective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0637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r>
      <w:tr>
        <w:trPr>
          <w:trHeight w:val="54"/>
        </w:trPr>
        <w:tc>
          <w:tcPr>
            <w:tcW w:w="7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7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Federal statutory rate</w:t>
            </w:r>
          </w:p>
        </w:tc>
        <w:tc>
          <w:tcPr>
            <w:tcW w:w="12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21.0%</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21.0%</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28.1%</w:t>
            </w:r>
          </w:p>
        </w:tc>
        <w:tc>
          <w:tcPr>
            <w:tcW w:w="100" w:type="dxa"/>
            <w:vAlign w:val="bottom"/>
            <w:shd w:val="clear" w:color="auto" w:fill="E5E5E5"/>
          </w:tcPr>
          <w:p>
            <w:pPr>
              <w:spacing w:after="0"/>
              <w:rPr>
                <w:sz w:val="16"/>
                <w:szCs w:val="16"/>
                <w:color w:val="auto"/>
              </w:rPr>
            </w:pPr>
          </w:p>
        </w:tc>
      </w:tr>
      <w:tr>
        <w:trPr>
          <w:trHeight w:val="189"/>
        </w:trPr>
        <w:tc>
          <w:tcPr>
            <w:tcW w:w="7660" w:type="dxa"/>
            <w:vAlign w:val="bottom"/>
          </w:tcPr>
          <w:p>
            <w:pPr>
              <w:spacing w:after="0" w:line="189" w:lineRule="exact"/>
              <w:rPr>
                <w:sz w:val="20"/>
                <w:szCs w:val="20"/>
                <w:color w:val="auto"/>
              </w:rPr>
            </w:pPr>
            <w:r>
              <w:rPr>
                <w:rFonts w:ascii="Arial" w:cs="Arial" w:eastAsia="Arial" w:hAnsi="Arial"/>
                <w:sz w:val="18"/>
                <w:szCs w:val="18"/>
                <w:color w:val="auto"/>
              </w:rPr>
              <w:t>Effect of:</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Foreign earnings taxed at lower rates</w:t>
            </w:r>
          </w:p>
        </w:tc>
        <w:tc>
          <w:tcPr>
            <w:tcW w:w="12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(3.7)%</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(4.1)%</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(7.8)%</w:t>
            </w:r>
          </w:p>
        </w:tc>
        <w:tc>
          <w:tcPr>
            <w:tcW w:w="100" w:type="dxa"/>
            <w:vAlign w:val="bottom"/>
            <w:shd w:val="clear" w:color="auto" w:fill="E5E5E5"/>
          </w:tcPr>
          <w:p>
            <w:pPr>
              <w:spacing w:after="0"/>
              <w:rPr>
                <w:sz w:val="16"/>
                <w:szCs w:val="16"/>
                <w:color w:val="auto"/>
              </w:rPr>
            </w:pPr>
          </w:p>
        </w:tc>
      </w:tr>
      <w:tr>
        <w:trPr>
          <w:trHeight w:val="189"/>
        </w:trPr>
        <w:tc>
          <w:tcPr>
            <w:tcW w:w="7660" w:type="dxa"/>
            <w:vAlign w:val="bottom"/>
          </w:tcPr>
          <w:p>
            <w:pPr>
              <w:ind w:left="220"/>
              <w:spacing w:after="0" w:line="189" w:lineRule="exact"/>
              <w:rPr>
                <w:sz w:val="20"/>
                <w:szCs w:val="20"/>
                <w:color w:val="auto"/>
              </w:rPr>
            </w:pPr>
            <w:r>
              <w:rPr>
                <w:rFonts w:ascii="Arial" w:cs="Arial" w:eastAsia="Arial" w:hAnsi="Arial"/>
                <w:sz w:val="18"/>
                <w:szCs w:val="18"/>
                <w:color w:val="auto"/>
              </w:rPr>
              <w:t>Impact of the enactment of the TCJA</w:t>
            </w:r>
          </w:p>
        </w:tc>
        <w:tc>
          <w:tcPr>
            <w:tcW w:w="12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0.4%</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37.7%</w:t>
            </w:r>
          </w:p>
        </w:tc>
        <w:tc>
          <w:tcPr>
            <w:tcW w:w="100" w:type="dxa"/>
            <w:vAlign w:val="bottom"/>
          </w:tcPr>
          <w:p>
            <w:pPr>
              <w:spacing w:after="0"/>
              <w:rPr>
                <w:sz w:val="16"/>
                <w:szCs w:val="16"/>
                <w:color w:val="auto"/>
              </w:rPr>
            </w:pP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Impact of intangible property transfers</w:t>
            </w:r>
          </w:p>
        </w:tc>
        <w:tc>
          <w:tcPr>
            <w:tcW w:w="12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(5.9)%</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r>
      <w:tr>
        <w:trPr>
          <w:trHeight w:val="189"/>
        </w:trPr>
        <w:tc>
          <w:tcPr>
            <w:tcW w:w="7660" w:type="dxa"/>
            <w:vAlign w:val="bottom"/>
          </w:tcPr>
          <w:p>
            <w:pPr>
              <w:ind w:left="220"/>
              <w:spacing w:after="0" w:line="189" w:lineRule="exact"/>
              <w:rPr>
                <w:sz w:val="20"/>
                <w:szCs w:val="20"/>
                <w:color w:val="auto"/>
              </w:rPr>
            </w:pPr>
            <w:r>
              <w:rPr>
                <w:rFonts w:ascii="Arial" w:cs="Arial" w:eastAsia="Arial" w:hAnsi="Arial"/>
                <w:sz w:val="18"/>
                <w:szCs w:val="18"/>
                <w:color w:val="auto"/>
              </w:rPr>
              <w:t>Foreign-derived intangible income deduction</w:t>
            </w:r>
          </w:p>
        </w:tc>
        <w:tc>
          <w:tcPr>
            <w:tcW w:w="12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(1.1)%</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(1.4)%</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State income taxes, net of federal benefit</w:t>
            </w:r>
          </w:p>
        </w:tc>
        <w:tc>
          <w:tcPr>
            <w:tcW w:w="12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1.3%</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0.7%</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w:t>
            </w:r>
          </w:p>
        </w:tc>
        <w:tc>
          <w:tcPr>
            <w:tcW w:w="100" w:type="dxa"/>
            <w:vAlign w:val="bottom"/>
            <w:shd w:val="clear" w:color="auto" w:fill="E5E5E5"/>
          </w:tcPr>
          <w:p>
            <w:pPr>
              <w:spacing w:after="0"/>
              <w:rPr>
                <w:sz w:val="16"/>
                <w:szCs w:val="16"/>
                <w:color w:val="auto"/>
              </w:rPr>
            </w:pPr>
          </w:p>
        </w:tc>
      </w:tr>
      <w:tr>
        <w:trPr>
          <w:trHeight w:val="189"/>
        </w:trPr>
        <w:tc>
          <w:tcPr>
            <w:tcW w:w="7660" w:type="dxa"/>
            <w:vAlign w:val="bottom"/>
          </w:tcPr>
          <w:p>
            <w:pPr>
              <w:ind w:left="220"/>
              <w:spacing w:after="0" w:line="189" w:lineRule="exact"/>
              <w:rPr>
                <w:sz w:val="20"/>
                <w:szCs w:val="20"/>
                <w:color w:val="auto"/>
              </w:rPr>
            </w:pPr>
            <w:r>
              <w:rPr>
                <w:rFonts w:ascii="Arial" w:cs="Arial" w:eastAsia="Arial" w:hAnsi="Arial"/>
                <w:sz w:val="18"/>
                <w:szCs w:val="18"/>
                <w:color w:val="auto"/>
              </w:rPr>
              <w:t>Research and development credit</w:t>
            </w:r>
          </w:p>
        </w:tc>
        <w:tc>
          <w:tcPr>
            <w:tcW w:w="12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(1.1)%</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Excess tax benefits relating to stock-based compensation</w:t>
            </w:r>
          </w:p>
        </w:tc>
        <w:tc>
          <w:tcPr>
            <w:tcW w:w="12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(2.2)%</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w:t>
            </w:r>
          </w:p>
        </w:tc>
        <w:tc>
          <w:tcPr>
            <w:tcW w:w="100" w:type="dxa"/>
            <w:vAlign w:val="bottom"/>
            <w:shd w:val="clear" w:color="auto" w:fill="E5E5E5"/>
          </w:tcPr>
          <w:p>
            <w:pPr>
              <w:spacing w:after="0"/>
              <w:rPr>
                <w:sz w:val="16"/>
                <w:szCs w:val="16"/>
                <w:color w:val="auto"/>
              </w:rPr>
            </w:pPr>
          </w:p>
        </w:tc>
      </w:tr>
      <w:tr>
        <w:trPr>
          <w:trHeight w:val="189"/>
        </w:trPr>
        <w:tc>
          <w:tcPr>
            <w:tcW w:w="7660" w:type="dxa"/>
            <w:vAlign w:val="bottom"/>
          </w:tcPr>
          <w:p>
            <w:pPr>
              <w:ind w:left="220"/>
              <w:spacing w:after="0" w:line="189" w:lineRule="exact"/>
              <w:rPr>
                <w:sz w:val="20"/>
                <w:szCs w:val="20"/>
                <w:color w:val="auto"/>
              </w:rPr>
            </w:pPr>
            <w:r>
              <w:rPr>
                <w:rFonts w:ascii="Arial" w:cs="Arial" w:eastAsia="Arial" w:hAnsi="Arial"/>
                <w:sz w:val="18"/>
                <w:szCs w:val="18"/>
                <w:color w:val="auto"/>
              </w:rPr>
              <w:t>Interest, net</w:t>
            </w:r>
          </w:p>
        </w:tc>
        <w:tc>
          <w:tcPr>
            <w:tcW w:w="12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1.0%</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6"/>
                <w:szCs w:val="16"/>
                <w:color w:val="auto"/>
              </w:rPr>
            </w:pPr>
          </w:p>
        </w:tc>
      </w:tr>
      <w:tr>
        <w:trPr>
          <w:trHeight w:val="189"/>
        </w:trPr>
        <w:tc>
          <w:tcPr>
            <w:tcW w:w="7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Other reconciling items, net</w:t>
            </w:r>
          </w:p>
        </w:tc>
        <w:tc>
          <w:tcPr>
            <w:tcW w:w="12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1.3%</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w:t>
            </w:r>
          </w:p>
        </w:tc>
        <w:tc>
          <w:tcPr>
            <w:tcW w:w="100" w:type="dxa"/>
            <w:vAlign w:val="bottom"/>
            <w:shd w:val="clear" w:color="auto" w:fill="E5E5E5"/>
          </w:tcPr>
          <w:p>
            <w:pPr>
              <w:spacing w:after="0"/>
              <w:rPr>
                <w:sz w:val="16"/>
                <w:szCs w:val="16"/>
                <w:color w:val="auto"/>
              </w:rPr>
            </w:pPr>
          </w:p>
        </w:tc>
      </w:tr>
      <w:tr>
        <w:trPr>
          <w:trHeight w:val="68"/>
        </w:trPr>
        <w:tc>
          <w:tcPr>
            <w:tcW w:w="76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7660" w:type="dxa"/>
            <w:vAlign w:val="bottom"/>
          </w:tcPr>
          <w:p>
            <w:pPr>
              <w:ind w:left="440"/>
              <w:spacing w:after="0"/>
              <w:rPr>
                <w:sz w:val="20"/>
                <w:szCs w:val="20"/>
                <w:color w:val="auto"/>
              </w:rPr>
            </w:pPr>
            <w:r>
              <w:rPr>
                <w:rFonts w:ascii="Arial" w:cs="Arial" w:eastAsia="Arial" w:hAnsi="Arial"/>
                <w:sz w:val="18"/>
                <w:szCs w:val="18"/>
                <w:color w:val="auto"/>
              </w:rPr>
              <w:t>Effective rate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r>
      <w:tr>
        <w:trPr>
          <w:trHeight w:val="61"/>
        </w:trPr>
        <w:tc>
          <w:tcPr>
            <w:tcW w:w="766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decrease from the federal statutory rate in fiscal year 2020 is primarily due to earnings taxed at lower rates in foreign jurisdictions resulting from producing and distributing our products and services through our foreign regional operations centers in Ireland and Puerto Rico, and tax benefits relating to stock-based compensation. The decrease from the federal statutory rate in fiscal year 2019 is primarily due to a $2.6 billion net income tax benefit related to intangible property transfers, and earnings taxed at lower rates in foreign jurisdictions resulting from producing and distributing our products and services through our foreign regional operations centers in Ireland, Singapore, and Puerto Rico. The increase from the federal statutory rate in fiscal year 2018 is primarily due to the net charge related to the enactment of the TCJA in the second quarter of fiscal year 2018, offset in part by earnings taxed at lower rates in foreign jurisdictions. In fiscal year 2020, our foreign regional operating centers in Ireland and Puerto Rico, which are taxed at rates lower than the U.S. rate, generated 86% of our foreign income before tax. In fiscal years 2019 and 2018, our foreign regional operating centers in Ireland, Singapore, and Puerto Rico, which are taxed at rates lower than the U.S. rate, generated 82% and 87% of our foreign income before tax, respectively. Other reconciling items, net consists primarily of tax credits and GILTI tax. In fiscal years 2020, 2019, and 2018, there were no individually significant other reconciling items.</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our effective tax rate for fiscal year 2020 compared to fiscal year 2019 was primarily due to a $2.6 billion net income tax benefit in the fourth quarter of fiscal year 2019 related to intangible property transfers. The decrease in our effective tax rate for fiscal year 2019 compared to fiscal year 2018 was primarily due to the net charge related to the enactment of the TCJA in the second quarter of fiscal year 2018, and a $2.6 billion net income tax benefit in the fourth quarter of fiscal year 2019 related to intangible property transfers.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0" w:name="page81"/>
    <w:bookmarkEnd w:id="8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income tax assets and liabilities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3"/>
                <w:szCs w:val="13"/>
                <w:b w:val="1"/>
                <w:bCs w:val="1"/>
                <w:color w:val="auto"/>
              </w:rPr>
              <w:t>Deferred Income Tax Assets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461</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Accruals, reserves, and other expenses</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2,721</w:t>
            </w:r>
          </w:p>
        </w:tc>
        <w:tc>
          <w:tcPr>
            <w:tcW w:w="26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 and credit carryforwards</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865</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6,361</w:t>
            </w:r>
          </w:p>
        </w:tc>
        <w:tc>
          <w:tcPr>
            <w:tcW w:w="26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Leasing liabilities</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3,025</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Unearned revenue</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1,553</w:t>
            </w:r>
          </w:p>
        </w:tc>
        <w:tc>
          <w:tcPr>
            <w:tcW w:w="26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354</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68"/>
        </w:trPr>
        <w:tc>
          <w:tcPr>
            <w:tcW w:w="8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900" w:type="dxa"/>
            <w:vAlign w:val="bottom"/>
          </w:tcPr>
          <w:p>
            <w:pPr>
              <w:ind w:left="220"/>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15,340</w:t>
            </w: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15,693</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Less valuation allowance</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(755)</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68"/>
        </w:trPr>
        <w:tc>
          <w:tcPr>
            <w:tcW w:w="8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900" w:type="dxa"/>
            <w:vAlign w:val="bottom"/>
          </w:tcPr>
          <w:p>
            <w:pPr>
              <w:ind w:left="220"/>
              <w:spacing w:after="0"/>
              <w:rPr>
                <w:sz w:val="20"/>
                <w:szCs w:val="20"/>
                <w:color w:val="auto"/>
              </w:rPr>
            </w:pPr>
            <w:r>
              <w:rPr>
                <w:rFonts w:ascii="Arial" w:cs="Arial" w:eastAsia="Arial" w:hAnsi="Arial"/>
                <w:sz w:val="18"/>
                <w:szCs w:val="18"/>
                <w:color w:val="auto"/>
              </w:rPr>
              <w:t>Deferred income tax assets, net of valuation allowance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14,585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54"/>
        </w:trPr>
        <w:tc>
          <w:tcPr>
            <w:tcW w:w="8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3"/>
                <w:szCs w:val="13"/>
                <w:b w:val="1"/>
                <w:bCs w:val="1"/>
                <w:color w:val="auto"/>
              </w:rPr>
              <w:t>Deferred Income Tax Liabilities</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8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Book/tax basis differences in investments and debt</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(2,642)</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Unearned revenue</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6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Leasing assets</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(2,817)</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Deferred GILTI tax liabilities</w:t>
            </w:r>
          </w:p>
        </w:tc>
        <w:tc>
          <w:tcPr>
            <w:tcW w:w="280" w:type="dxa"/>
            <w:vAlign w:val="bottom"/>
          </w:tcPr>
          <w:p>
            <w:pPr>
              <w:spacing w:after="0"/>
              <w:rPr>
                <w:sz w:val="16"/>
                <w:szCs w:val="16"/>
                <w:color w:val="auto"/>
              </w:rPr>
            </w:pPr>
          </w:p>
        </w:tc>
        <w:tc>
          <w:tcPr>
            <w:tcW w:w="9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(2,581)</w:t>
            </w:r>
          </w:p>
        </w:tc>
        <w:tc>
          <w:tcPr>
            <w:tcW w:w="26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(344)</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68"/>
        </w:trPr>
        <w:tc>
          <w:tcPr>
            <w:tcW w:w="8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900" w:type="dxa"/>
            <w:vAlign w:val="bottom"/>
          </w:tcPr>
          <w:p>
            <w:pPr>
              <w:ind w:left="22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54"/>
        </w:trPr>
        <w:tc>
          <w:tcPr>
            <w:tcW w:w="8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Net deferred income tax assets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6,201</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75"/>
        </w:trPr>
        <w:tc>
          <w:tcPr>
            <w:tcW w:w="890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6,405</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50"/>
        </w:trPr>
        <w:tc>
          <w:tcPr>
            <w:tcW w:w="890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(204)</w:t>
            </w:r>
          </w:p>
        </w:tc>
        <w:tc>
          <w:tcPr>
            <w:tcW w:w="2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68"/>
        </w:trPr>
        <w:tc>
          <w:tcPr>
            <w:tcW w:w="89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Net deferred income tax assets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6,201</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75"/>
        </w:trPr>
        <w:tc>
          <w:tcPr>
            <w:tcW w:w="89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2020, we had federal, state, and foreign net operating loss carryforwards of $547 million, $975 million, and $2.0 billion, respectively. The federal and state net operating loss carryforwards will expire in various years from fiscal 2021 through 2040, if not utilized. The majority of our foreign net operating loss carryforwards do not expire. Certain acquired net operating loss carryforwards are subject to an annual limitation, but are expected to be realized with the exception of those which have a valuation allowance.</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valuation allowance disclosed in the table above relates to the foreign net operating loss carryforwards and other net deferred tax assets that may not be realized. In fiscal year 2020, we removed $2.0 billion of foreign net operating losses and corresponding valuation allowances as a result of the liquidation of a foreign subsidiary. There was no impact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were $12.5 billion, $8.4 billion, and $5.5 billion in fiscal years 2020, 2019, and 2018,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unrecognized tax benefits related to uncertain tax positions as of June 30, 2020, 2019, and 2018, were $13.8 billion, $13.1 billion, and $12.0 billion, respectively, which were primarily included in long-term income taxes in our consolidated balance sheets. If recognized, the resulting tax benefit would affect our effective tax rates for fiscal years 2020, 2019, and 2018 by $12.1 billion, $12.0 billion, and $11.3 billion,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1" w:name="page82"/>
    <w:bookmarkEnd w:id="8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June 30, 2020, 2019, and 2018, we had accrued interest expense related to uncertain tax positions of $4.0 billion, $3.4 billion, and $3.0 billion, respectively, net of income tax benefits. The provision for income taxes for fiscal years 2020, 2019, and 2018 included interest expense related to uncertain tax positions of $579 million, $515 million, and $688 million, respectively, net of income tax benefits.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gross unrecognized tax benefits related to uncertain tax positions were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r>
      <w:tr>
        <w:trPr>
          <w:trHeight w:val="54"/>
        </w:trPr>
        <w:tc>
          <w:tcPr>
            <w:tcW w:w="60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6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Beginning unrecognized tax benefits</w:t>
            </w:r>
          </w:p>
        </w:tc>
        <w:tc>
          <w:tcPr>
            <w:tcW w:w="1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13,146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11,961</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11,737</w:t>
            </w:r>
          </w:p>
        </w:tc>
      </w:tr>
      <w:tr>
        <w:trPr>
          <w:trHeight w:val="189"/>
        </w:trPr>
        <w:tc>
          <w:tcPr>
            <w:tcW w:w="6040" w:type="dxa"/>
            <w:vAlign w:val="bottom"/>
          </w:tcPr>
          <w:p>
            <w:pPr>
              <w:ind w:left="220"/>
              <w:spacing w:after="0" w:line="189" w:lineRule="exact"/>
              <w:rPr>
                <w:sz w:val="20"/>
                <w:szCs w:val="20"/>
                <w:color w:val="auto"/>
              </w:rPr>
            </w:pPr>
            <w:r>
              <w:rPr>
                <w:rFonts w:ascii="Arial" w:cs="Arial" w:eastAsia="Arial" w:hAnsi="Arial"/>
                <w:sz w:val="18"/>
                <w:szCs w:val="18"/>
                <w:color w:val="auto"/>
              </w:rPr>
              <w:t>Decreases related to settlements</w:t>
            </w: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(316)</w:t>
            </w:r>
          </w:p>
        </w:tc>
        <w:tc>
          <w:tcPr>
            <w:tcW w:w="26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(193)</w:t>
            </w:r>
          </w:p>
        </w:tc>
      </w:tr>
      <w:tr>
        <w:trPr>
          <w:trHeight w:val="189"/>
        </w:trPr>
        <w:tc>
          <w:tcPr>
            <w:tcW w:w="6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Increases for tax positions related to the current year</w:t>
            </w:r>
          </w:p>
        </w:tc>
        <w:tc>
          <w:tcPr>
            <w:tcW w:w="16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647</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2,106</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1,445</w:t>
            </w:r>
          </w:p>
        </w:tc>
      </w:tr>
      <w:tr>
        <w:trPr>
          <w:trHeight w:val="189"/>
        </w:trPr>
        <w:tc>
          <w:tcPr>
            <w:tcW w:w="6040" w:type="dxa"/>
            <w:vAlign w:val="bottom"/>
          </w:tcPr>
          <w:p>
            <w:pPr>
              <w:ind w:left="220"/>
              <w:spacing w:after="0" w:line="189" w:lineRule="exact"/>
              <w:rPr>
                <w:sz w:val="20"/>
                <w:szCs w:val="20"/>
                <w:color w:val="auto"/>
              </w:rPr>
            </w:pPr>
            <w:r>
              <w:rPr>
                <w:rFonts w:ascii="Arial" w:cs="Arial" w:eastAsia="Arial" w:hAnsi="Arial"/>
                <w:sz w:val="18"/>
                <w:szCs w:val="18"/>
                <w:color w:val="auto"/>
              </w:rPr>
              <w:t>Increases for tax positions related to prior years</w:t>
            </w: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366</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508</w:t>
            </w:r>
          </w:p>
        </w:tc>
        <w:tc>
          <w:tcPr>
            <w:tcW w:w="26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151</w:t>
            </w:r>
          </w:p>
        </w:tc>
      </w:tr>
      <w:tr>
        <w:trPr>
          <w:trHeight w:val="189"/>
        </w:trPr>
        <w:tc>
          <w:tcPr>
            <w:tcW w:w="6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Decreases for tax positions related to prior years</w:t>
            </w:r>
          </w:p>
        </w:tc>
        <w:tc>
          <w:tcPr>
            <w:tcW w:w="16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(331)</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(1,113)</w:t>
            </w:r>
          </w:p>
        </w:tc>
        <w:tc>
          <w:tcPr>
            <w:tcW w:w="2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(1,176)</w:t>
            </w:r>
          </w:p>
        </w:tc>
      </w:tr>
      <w:tr>
        <w:trPr>
          <w:trHeight w:val="250"/>
        </w:trPr>
        <w:tc>
          <w:tcPr>
            <w:tcW w:w="6040" w:type="dxa"/>
            <w:vAlign w:val="bottom"/>
          </w:tcPr>
          <w:p>
            <w:pPr>
              <w:ind w:left="220"/>
              <w:spacing w:after="0"/>
              <w:rPr>
                <w:sz w:val="20"/>
                <w:szCs w:val="20"/>
                <w:color w:val="auto"/>
              </w:rPr>
            </w:pPr>
            <w:r>
              <w:rPr>
                <w:rFonts w:ascii="Arial" w:cs="Arial" w:eastAsia="Arial" w:hAnsi="Arial"/>
                <w:sz w:val="18"/>
                <w:szCs w:val="18"/>
                <w:color w:val="auto"/>
              </w:rPr>
              <w:t>Decreases due to lapsed statutes of limitations</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68"/>
        </w:trPr>
        <w:tc>
          <w:tcPr>
            <w:tcW w:w="6040" w:type="dxa"/>
            <w:vAlign w:val="bottom"/>
            <w:tcBorders>
              <w:top w:val="single" w:sz="8" w:color="auto"/>
            </w:tcBorders>
          </w:tcPr>
          <w:p>
            <w:pPr>
              <w:spacing w:after="0"/>
              <w:rPr>
                <w:sz w:val="5"/>
                <w:szCs w:val="5"/>
                <w:color w:val="auto"/>
              </w:rPr>
            </w:pPr>
          </w:p>
        </w:tc>
        <w:tc>
          <w:tcPr>
            <w:tcW w:w="16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6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Ending unrecognized tax benefits</w:t>
            </w:r>
          </w:p>
        </w:tc>
        <w:tc>
          <w:tcPr>
            <w:tcW w:w="1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13,792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13,146</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11,961</w:t>
            </w:r>
          </w:p>
        </w:tc>
      </w:tr>
      <w:tr>
        <w:trPr>
          <w:trHeight w:val="74"/>
        </w:trPr>
        <w:tc>
          <w:tcPr>
            <w:tcW w:w="60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We remain under audit for tax years 2004 to 2013. In April 2020, the IRS commenced the audit for tax years 2014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2020,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2019, some of which are currently under audit by local tax authorities. The resolution of each of these audits is not expected to be material to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4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660" w:type="dxa"/>
            <w:vAlign w:val="bottom"/>
          </w:tcPr>
          <w:p>
            <w:pPr>
              <w:spacing w:after="0"/>
              <w:rPr>
                <w:sz w:val="4"/>
                <w:szCs w:val="4"/>
                <w:color w:val="auto"/>
              </w:rPr>
            </w:pPr>
          </w:p>
        </w:tc>
        <w:tc>
          <w:tcPr>
            <w:tcW w:w="4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3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18,643</w:t>
            </w:r>
          </w:p>
        </w:tc>
        <w:tc>
          <w:tcPr>
            <w:tcW w:w="3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16,831</w:t>
            </w:r>
          </w:p>
        </w:tc>
        <w:tc>
          <w:tcPr>
            <w:tcW w:w="0" w:type="dxa"/>
            <w:vAlign w:val="bottom"/>
          </w:tcPr>
          <w:p>
            <w:pPr>
              <w:spacing w:after="0"/>
              <w:rPr>
                <w:sz w:val="1"/>
                <w:szCs w:val="1"/>
                <w:color w:val="auto"/>
              </w:rPr>
            </w:pPr>
          </w:p>
        </w:tc>
      </w:tr>
      <w:tr>
        <w:trPr>
          <w:trHeight w:val="189"/>
        </w:trPr>
        <w:tc>
          <w:tcPr>
            <w:tcW w:w="466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16,620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16,988</w:t>
            </w: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0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3,917</w:t>
            </w:r>
          </w:p>
        </w:tc>
        <w:tc>
          <w:tcPr>
            <w:tcW w:w="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60" w:type="dxa"/>
            <w:vAlign w:val="bottom"/>
          </w:tcPr>
          <w:p>
            <w:pPr>
              <w:ind w:left="220"/>
              <w:spacing w:after="0"/>
              <w:rPr>
                <w:sz w:val="20"/>
                <w:szCs w:val="20"/>
                <w:color w:val="auto"/>
              </w:rPr>
            </w:pPr>
            <w:r>
              <w:rPr>
                <w:rFonts w:ascii="Arial" w:cs="Arial" w:eastAsia="Arial" w:hAnsi="Arial"/>
                <w:sz w:val="18"/>
                <w:szCs w:val="18"/>
                <w:color w:val="auto"/>
              </w:rPr>
              <w:t>Total</w:t>
            </w:r>
          </w:p>
        </w:tc>
        <w:tc>
          <w:tcPr>
            <w:tcW w:w="4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39,180</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37,206</w:t>
            </w:r>
          </w:p>
        </w:tc>
        <w:tc>
          <w:tcPr>
            <w:tcW w:w="0" w:type="dxa"/>
            <w:vAlign w:val="bottom"/>
          </w:tcPr>
          <w:p>
            <w:pPr>
              <w:spacing w:after="0"/>
              <w:rPr>
                <w:sz w:val="1"/>
                <w:szCs w:val="1"/>
                <w:color w:val="auto"/>
              </w:rPr>
            </w:pPr>
          </w:p>
        </w:tc>
      </w:tr>
      <w:tr>
        <w:trPr>
          <w:trHeight w:val="61"/>
        </w:trPr>
        <w:tc>
          <w:tcPr>
            <w:tcW w:w="4660" w:type="dxa"/>
            <w:vAlign w:val="bottom"/>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40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4660" w:type="dxa"/>
            <w:vAlign w:val="bottom"/>
            <w:vMerge w:val="continue"/>
          </w:tcPr>
          <w:p>
            <w:pPr>
              <w:spacing w:after="0"/>
              <w:rPr>
                <w:sz w:val="24"/>
                <w:szCs w:val="24"/>
                <w:color w:val="auto"/>
              </w:rPr>
            </w:pPr>
          </w:p>
        </w:tc>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6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6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3"/>
                <w:szCs w:val="13"/>
                <w:b w:val="1"/>
                <w:bCs w:val="1"/>
                <w:color w:val="auto"/>
              </w:rPr>
              <w:t>Year Ended June 30, 2020</w:t>
            </w:r>
          </w:p>
        </w:tc>
        <w:tc>
          <w:tcPr>
            <w:tcW w:w="4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660" w:type="dxa"/>
            <w:vAlign w:val="bottom"/>
          </w:tcPr>
          <w:p>
            <w:pPr>
              <w:spacing w:after="0"/>
              <w:rPr>
                <w:sz w:val="4"/>
                <w:szCs w:val="4"/>
                <w:color w:val="auto"/>
              </w:rPr>
            </w:pPr>
          </w:p>
        </w:tc>
        <w:tc>
          <w:tcPr>
            <w:tcW w:w="4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0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37,206</w:t>
            </w: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line="189" w:lineRule="exact"/>
              <w:rPr>
                <w:sz w:val="20"/>
                <w:szCs w:val="20"/>
                <w:color w:val="auto"/>
              </w:rPr>
            </w:pPr>
            <w:r>
              <w:rPr>
                <w:rFonts w:ascii="Arial" w:cs="Arial" w:eastAsia="Arial" w:hAnsi="Arial"/>
                <w:sz w:val="18"/>
                <w:szCs w:val="18"/>
                <w:color w:val="auto"/>
              </w:rPr>
              <w:t>Deferral of revenue</w:t>
            </w:r>
          </w:p>
        </w:tc>
        <w:tc>
          <w:tcPr>
            <w:tcW w:w="4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78,922</w:t>
            </w: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Recognition of unearned revenue</w:t>
            </w:r>
          </w:p>
        </w:tc>
        <w:tc>
          <w:tcPr>
            <w:tcW w:w="40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(76,948)</w:t>
            </w: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Balance, end of period</w:t>
            </w:r>
          </w:p>
        </w:tc>
        <w:tc>
          <w:tcPr>
            <w:tcW w:w="4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39,180</w:t>
            </w:r>
          </w:p>
        </w:tc>
        <w:tc>
          <w:tcPr>
            <w:tcW w:w="0" w:type="dxa"/>
            <w:vAlign w:val="bottom"/>
          </w:tcPr>
          <w:p>
            <w:pPr>
              <w:spacing w:after="0"/>
              <w:rPr>
                <w:sz w:val="1"/>
                <w:szCs w:val="1"/>
                <w:color w:val="auto"/>
              </w:rPr>
            </w:pPr>
          </w:p>
        </w:tc>
      </w:tr>
      <w:tr>
        <w:trPr>
          <w:trHeight w:val="61"/>
        </w:trPr>
        <w:tc>
          <w:tcPr>
            <w:tcW w:w="4660" w:type="dxa"/>
            <w:vAlign w:val="bottom"/>
          </w:tcPr>
          <w:p>
            <w:pPr>
              <w:spacing w:after="0"/>
              <w:rPr>
                <w:sz w:val="5"/>
                <w:szCs w:val="5"/>
                <w:color w:val="auto"/>
              </w:rPr>
            </w:pPr>
          </w:p>
        </w:tc>
        <w:tc>
          <w:tcPr>
            <w:tcW w:w="4020" w:type="dxa"/>
            <w:vAlign w:val="bottom"/>
            <w:vMerge w:val="restart"/>
          </w:tcPr>
          <w:p>
            <w:pPr>
              <w:jc w:val="right"/>
              <w:ind w:right="2896"/>
              <w:spacing w:after="0"/>
              <w:rPr>
                <w:sz w:val="20"/>
                <w:szCs w:val="20"/>
                <w:color w:val="auto"/>
              </w:rPr>
            </w:pPr>
            <w:r>
              <w:rPr>
                <w:rFonts w:ascii="Arial" w:cs="Arial" w:eastAsia="Arial" w:hAnsi="Arial"/>
                <w:sz w:val="14"/>
                <w:szCs w:val="14"/>
                <w:color w:val="auto"/>
              </w:rPr>
              <w:t>82</w:t>
            </w: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6"/>
        </w:trPr>
        <w:tc>
          <w:tcPr>
            <w:tcW w:w="46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66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2" w:name="page83"/>
    <w:bookmarkEnd w:id="8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$ 111 billion as of June 30, 2020, of which $107 billion is related to the commercial portion of revenue. We expect to recognize approximately 50% of this revenue over the next 12 months and the remainder thereafter.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LEASES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operating and finance leases for datacenters, corporate offices, research and development facilities, retail stores, and certain equipment. Our leases have remaining lease terms of 1 year to 20 years, some of which include options to extend the leases for up to 5 years, and some of which include options to terminate the leases within 1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54"/>
        </w:trPr>
        <w:tc>
          <w:tcPr>
            <w:tcW w:w="8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2,043</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1,707</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74"/>
        </w:trPr>
        <w:tc>
          <w:tcPr>
            <w:tcW w:w="840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84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611</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370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50"/>
        </w:trPr>
        <w:tc>
          <w:tcPr>
            <w:tcW w:w="840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336</w:t>
            </w:r>
          </w:p>
        </w:tc>
        <w:tc>
          <w:tcPr>
            <w:tcW w:w="2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68"/>
        </w:trPr>
        <w:tc>
          <w:tcPr>
            <w:tcW w:w="84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finance lease cost</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947</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617</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74"/>
        </w:trPr>
        <w:tc>
          <w:tcPr>
            <w:tcW w:w="84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8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4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54"/>
        </w:trPr>
        <w:tc>
          <w:tcPr>
            <w:tcW w:w="8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2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1,829</w:t>
            </w: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1,670</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189"/>
        </w:trPr>
        <w:tc>
          <w:tcPr>
            <w:tcW w:w="84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336</w:t>
            </w:r>
          </w:p>
        </w:tc>
        <w:tc>
          <w:tcPr>
            <w:tcW w:w="20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247</w:t>
            </w:r>
          </w:p>
        </w:tc>
        <w:tc>
          <w:tcPr>
            <w:tcW w:w="22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8"/>
        </w:trPr>
        <w:tc>
          <w:tcPr>
            <w:tcW w:w="84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409</w:t>
            </w:r>
          </w:p>
        </w:tc>
        <w:tc>
          <w:tcPr>
            <w:tcW w:w="2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8"/>
        </w:trPr>
        <w:tc>
          <w:tcPr>
            <w:tcW w:w="840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3,677</w:t>
            </w:r>
          </w:p>
        </w:tc>
        <w:tc>
          <w:tcPr>
            <w:tcW w:w="200" w:type="dxa"/>
            <w:vAlign w:val="bottom"/>
          </w:tcPr>
          <w:p>
            <w:pPr>
              <w:spacing w:after="0"/>
              <w:rPr>
                <w:sz w:val="16"/>
                <w:szCs w:val="16"/>
                <w:color w:val="auto"/>
              </w:rPr>
            </w:pP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2,303</w:t>
            </w:r>
          </w:p>
        </w:tc>
        <w:tc>
          <w:tcPr>
            <w:tcW w:w="22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189"/>
        </w:trPr>
        <w:tc>
          <w:tcPr>
            <w:tcW w:w="84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Finance leases</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3,467</w:t>
            </w:r>
          </w:p>
        </w:tc>
        <w:tc>
          <w:tcPr>
            <w:tcW w:w="20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2,532</w:t>
            </w:r>
          </w:p>
        </w:tc>
        <w:tc>
          <w:tcPr>
            <w:tcW w:w="22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68"/>
        </w:trPr>
        <w:tc>
          <w:tcPr>
            <w:tcW w:w="8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9"/>
        </w:trPr>
        <w:tc>
          <w:tcPr>
            <w:tcW w:w="8400" w:type="dxa"/>
            <w:vAlign w:val="bottom"/>
          </w:tcPr>
          <w:p>
            <w:pPr>
              <w:ind w:left="5540"/>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8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3" w:name="page84"/>
    <w:bookmarkEnd w:id="8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8,753</w:t>
            </w:r>
          </w:p>
        </w:tc>
        <w:tc>
          <w:tcPr>
            <w:tcW w:w="200" w:type="dxa"/>
            <w:vAlign w:val="bottom"/>
            <w:shd w:val="clear" w:color="auto" w:fill="E5E5E5"/>
          </w:tcPr>
          <w:p>
            <w:pPr>
              <w:spacing w:after="0"/>
              <w:rPr>
                <w:sz w:val="16"/>
                <w:szCs w:val="16"/>
                <w:color w:val="auto"/>
              </w:rPr>
            </w:pPr>
          </w:p>
        </w:tc>
        <w:tc>
          <w:tcPr>
            <w:tcW w:w="2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7,379</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89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1,616</w:t>
            </w:r>
          </w:p>
        </w:tc>
        <w:tc>
          <w:tcPr>
            <w:tcW w:w="2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7,671</w:t>
            </w:r>
          </w:p>
        </w:tc>
        <w:tc>
          <w:tcPr>
            <w:tcW w:w="2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6,188</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8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9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9,287</w:t>
            </w:r>
          </w:p>
        </w:tc>
        <w:tc>
          <w:tcPr>
            <w:tcW w:w="2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90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8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10,371</w:t>
            </w:r>
          </w:p>
        </w:tc>
        <w:tc>
          <w:tcPr>
            <w:tcW w:w="200" w:type="dxa"/>
            <w:vAlign w:val="bottom"/>
            <w:shd w:val="clear" w:color="auto" w:fill="E5E5E5"/>
          </w:tcPr>
          <w:p>
            <w:pPr>
              <w:spacing w:after="0"/>
              <w:rPr>
                <w:sz w:val="16"/>
                <w:szCs w:val="16"/>
                <w:color w:val="auto"/>
              </w:rPr>
            </w:pPr>
          </w:p>
        </w:tc>
        <w:tc>
          <w:tcPr>
            <w:tcW w:w="2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7,041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9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(1,385)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68"/>
        </w:trPr>
        <w:tc>
          <w:tcPr>
            <w:tcW w:w="89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Property and equipment, net</w:t>
            </w:r>
          </w:p>
        </w:tc>
        <w:tc>
          <w:tcPr>
            <w:tcW w:w="2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8,986</w:t>
            </w:r>
          </w:p>
        </w:tc>
        <w:tc>
          <w:tcPr>
            <w:tcW w:w="200" w:type="dxa"/>
            <w:vAlign w:val="bottom"/>
            <w:shd w:val="clear" w:color="auto" w:fill="E5E5E5"/>
          </w:tcPr>
          <w:p>
            <w:pPr>
              <w:spacing w:after="0"/>
              <w:rPr>
                <w:sz w:val="16"/>
                <w:szCs w:val="16"/>
                <w:color w:val="auto"/>
              </w:rPr>
            </w:pPr>
          </w:p>
        </w:tc>
        <w:tc>
          <w:tcPr>
            <w:tcW w:w="2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6,267</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89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540</w:t>
            </w:r>
          </w:p>
        </w:tc>
        <w:tc>
          <w:tcPr>
            <w:tcW w:w="2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8,956</w:t>
            </w:r>
          </w:p>
        </w:tc>
        <w:tc>
          <w:tcPr>
            <w:tcW w:w="2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6,257</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8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9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9,496</w:t>
            </w:r>
          </w:p>
        </w:tc>
        <w:tc>
          <w:tcPr>
            <w:tcW w:w="2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6,574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90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8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2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 years</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39"/>
        </w:trPr>
        <w:tc>
          <w:tcPr>
            <w:tcW w:w="89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 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179"/>
        </w:trPr>
        <w:tc>
          <w:tcPr>
            <w:tcW w:w="890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8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Finance leases</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3.9%</w:t>
            </w: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8900" w:type="dxa"/>
            <w:vAlign w:val="bottom"/>
          </w:tcPr>
          <w:p>
            <w:pPr>
              <w:spacing w:after="0"/>
              <w:rPr>
                <w:sz w:val="20"/>
                <w:szCs w:val="20"/>
                <w:color w:val="auto"/>
              </w:rPr>
            </w:pPr>
            <w:r>
              <w:rPr>
                <w:rFonts w:ascii="Arial" w:cs="Arial" w:eastAsia="Arial" w:hAnsi="Arial"/>
                <w:sz w:val="18"/>
                <w:szCs w:val="18"/>
                <w:color w:val="auto"/>
              </w:rPr>
              <w:t>Maturities of lease liabilities were as follows: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9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Operating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Finance</w:t>
            </w:r>
          </w:p>
        </w:tc>
        <w:tc>
          <w:tcPr>
            <w:tcW w:w="0" w:type="dxa"/>
            <w:vAlign w:val="bottom"/>
          </w:tcPr>
          <w:p>
            <w:pPr>
              <w:spacing w:after="0"/>
              <w:rPr>
                <w:sz w:val="1"/>
                <w:szCs w:val="1"/>
                <w:color w:val="auto"/>
              </w:rPr>
            </w:pPr>
          </w:p>
        </w:tc>
      </w:tr>
      <w:tr>
        <w:trPr>
          <w:trHeight w:val="178"/>
        </w:trPr>
        <w:tc>
          <w:tcPr>
            <w:tcW w:w="89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Leases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Leases</w:t>
            </w:r>
          </w:p>
        </w:tc>
        <w:tc>
          <w:tcPr>
            <w:tcW w:w="0" w:type="dxa"/>
            <w:vAlign w:val="bottom"/>
          </w:tcPr>
          <w:p>
            <w:pPr>
              <w:spacing w:after="0"/>
              <w:rPr>
                <w:sz w:val="1"/>
                <w:szCs w:val="1"/>
                <w:color w:val="auto"/>
              </w:rPr>
            </w:pPr>
          </w:p>
        </w:tc>
      </w:tr>
      <w:tr>
        <w:trPr>
          <w:trHeight w:val="55"/>
        </w:trPr>
        <w:tc>
          <w:tcPr>
            <w:tcW w:w="8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1,807</w:t>
            </w:r>
          </w:p>
        </w:tc>
        <w:tc>
          <w:tcPr>
            <w:tcW w:w="22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880</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1,652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894</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2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1,474</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903</w:t>
            </w:r>
          </w:p>
        </w:tc>
        <w:tc>
          <w:tcPr>
            <w:tcW w:w="0" w:type="dxa"/>
            <w:vAlign w:val="bottom"/>
          </w:tcPr>
          <w:p>
            <w:pPr>
              <w:spacing w:after="0"/>
              <w:rPr>
                <w:sz w:val="1"/>
                <w:szCs w:val="1"/>
                <w:color w:val="auto"/>
              </w:rPr>
            </w:pPr>
          </w:p>
        </w:tc>
      </w:tr>
      <w:tr>
        <w:trPr>
          <w:trHeight w:val="189"/>
        </w:trPr>
        <w:tc>
          <w:tcPr>
            <w:tcW w:w="890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1,262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line="189" w:lineRule="exact"/>
              <w:rPr>
                <w:sz w:val="20"/>
                <w:szCs w:val="20"/>
                <w:color w:val="auto"/>
              </w:rPr>
            </w:pPr>
            <w:r>
              <w:rPr>
                <w:rFonts w:ascii="Arial" w:cs="Arial" w:eastAsia="Arial" w:hAnsi="Arial"/>
                <w:sz w:val="18"/>
                <w:szCs w:val="18"/>
                <w:b w:val="1"/>
                <w:bCs w:val="1"/>
                <w:color w:val="auto"/>
              </w:rPr>
              <w:t>916</w:t>
            </w: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2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1,000</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1,236</w:t>
            </w:r>
          </w:p>
        </w:tc>
        <w:tc>
          <w:tcPr>
            <w:tcW w:w="0" w:type="dxa"/>
            <w:vAlign w:val="bottom"/>
          </w:tcPr>
          <w:p>
            <w:pPr>
              <w:spacing w:after="0"/>
              <w:rPr>
                <w:sz w:val="1"/>
                <w:szCs w:val="1"/>
                <w:color w:val="auto"/>
              </w:rPr>
            </w:pPr>
          </w:p>
        </w:tc>
      </w:tr>
      <w:tr>
        <w:trPr>
          <w:trHeight w:val="250"/>
        </w:trPr>
        <w:tc>
          <w:tcPr>
            <w:tcW w:w="8900" w:type="dxa"/>
            <w:vAlign w:val="bottom"/>
          </w:tcPr>
          <w:p>
            <w:pPr>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3,122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7,194</w:t>
            </w:r>
          </w:p>
        </w:tc>
        <w:tc>
          <w:tcPr>
            <w:tcW w:w="0" w:type="dxa"/>
            <w:vAlign w:val="bottom"/>
          </w:tcPr>
          <w:p>
            <w:pPr>
              <w:spacing w:after="0"/>
              <w:rPr>
                <w:sz w:val="1"/>
                <w:szCs w:val="1"/>
                <w:color w:val="auto"/>
              </w:rPr>
            </w:pPr>
          </w:p>
        </w:tc>
      </w:tr>
      <w:tr>
        <w:trPr>
          <w:trHeight w:val="68"/>
        </w:trPr>
        <w:tc>
          <w:tcPr>
            <w:tcW w:w="89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lease payments</w:t>
            </w:r>
          </w:p>
        </w:tc>
        <w:tc>
          <w:tcPr>
            <w:tcW w:w="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2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10,317</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12,023</w:t>
            </w:r>
          </w:p>
        </w:tc>
        <w:tc>
          <w:tcPr>
            <w:tcW w:w="0" w:type="dxa"/>
            <w:vAlign w:val="bottom"/>
          </w:tcPr>
          <w:p>
            <w:pPr>
              <w:spacing w:after="0"/>
              <w:rPr>
                <w:sz w:val="1"/>
                <w:szCs w:val="1"/>
                <w:color w:val="auto"/>
              </w:rPr>
            </w:pPr>
          </w:p>
        </w:tc>
      </w:tr>
      <w:tr>
        <w:trPr>
          <w:trHeight w:val="250"/>
        </w:trPr>
        <w:tc>
          <w:tcPr>
            <w:tcW w:w="8900" w:type="dxa"/>
            <w:vAlign w:val="bottom"/>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(1,030)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(2,527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89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9,287</w:t>
            </w:r>
          </w:p>
        </w:tc>
        <w:tc>
          <w:tcPr>
            <w:tcW w:w="22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9,496</w:t>
            </w:r>
          </w:p>
        </w:tc>
        <w:tc>
          <w:tcPr>
            <w:tcW w:w="0" w:type="dxa"/>
            <w:vAlign w:val="bottom"/>
          </w:tcPr>
          <w:p>
            <w:pPr>
              <w:spacing w:after="0"/>
              <w:rPr>
                <w:sz w:val="1"/>
                <w:szCs w:val="1"/>
                <w:color w:val="auto"/>
              </w:rPr>
            </w:pPr>
          </w:p>
        </w:tc>
      </w:tr>
      <w:tr>
        <w:trPr>
          <w:trHeight w:val="75"/>
        </w:trPr>
        <w:tc>
          <w:tcPr>
            <w:tcW w:w="8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2020, we have additional operating and finance leases, primarily for datacenters, that have not yet commenced of $3.4 billion and $ 3.5 billion, respectively. These operating and finance leases will commence between fiscal year 2021 and fiscal year 2023 with lease terms of 1 year to 16 years.</w:t>
      </w:r>
    </w:p>
    <w:p>
      <w:pPr>
        <w:spacing w:after="0" w:line="1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fiscal year 2020, we recorded an impairment charge of $161 million to operating lease right-of-use assets due to the closing of our Microsoft Store physical locations.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4" w:name="page85"/>
    <w:bookmarkEnd w:id="84"/>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64 patent infringement cases pending against Microsoft as of June 30, 2020, none of which are material individually or in aggregate.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trial of the British Columbia action commenced in May 2016. Following a mediation, the parties agreed to a global settlement of all three Canadian actions, and submitted the proposed settlement agreement to the courts in all three jurisdictions for approval. The final settlement has been approved by the courts in British Columbia, Ontario, and Quebec, and the claims administration process will commence once each court approves the form of notice to the class.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Industry and Commerce Investigatio</w:t>
      </w:r>
      <w:r>
        <w:rPr>
          <w:rFonts w:ascii="Arial" w:cs="Arial" w:eastAsia="Arial" w:hAnsi="Arial"/>
          <w:sz w:val="18"/>
          <w:szCs w:val="18"/>
          <w:b w:val="1"/>
          <w:bCs w:val="1"/>
          <w:color w:val="auto"/>
        </w:rPr>
        <w:t>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 -Monopoly Law, and the SAMR conducted onsite inspections of Microsoft offices in Beijing, Shanghai, Guangzhou, and Chengdu. The SAMR has presented its preliminary views as to certain possible violations of China's Anti-Monopoly Law, and discussions are expected to continue.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40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is expected to occur in the second quarter of fiscal year 2021.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5" w:name="page86"/>
    <w:bookmarkEnd w:id="85"/>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2020, we accrued aggregate legal liabilities of $306 million. While we intend to defend these matters vigorously, adverse outcomes that we estimate could reach approximately $500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16 —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2020</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r>
      <w:tr>
        <w:trPr>
          <w:trHeight w:val="82"/>
        </w:trPr>
        <w:tc>
          <w:tcPr>
            <w:tcW w:w="8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9"/>
        </w:trPr>
        <w:tc>
          <w:tcPr>
            <w:tcW w:w="8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year</w:t>
            </w:r>
          </w:p>
        </w:tc>
        <w:tc>
          <w:tcPr>
            <w:tcW w:w="10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7,643</w:t>
            </w:r>
          </w:p>
        </w:tc>
        <w:tc>
          <w:tcPr>
            <w:tcW w:w="10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7,677</w:t>
            </w: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7,708</w:t>
            </w:r>
          </w:p>
        </w:tc>
        <w:tc>
          <w:tcPr>
            <w:tcW w:w="100" w:type="dxa"/>
            <w:vAlign w:val="bottom"/>
            <w:shd w:val="clear" w:color="auto" w:fill="E5E5E5"/>
          </w:tcPr>
          <w:p>
            <w:pPr>
              <w:spacing w:after="0"/>
              <w:rPr>
                <w:sz w:val="16"/>
                <w:szCs w:val="16"/>
                <w:color w:val="auto"/>
              </w:rPr>
            </w:pPr>
          </w:p>
        </w:tc>
      </w:tr>
      <w:tr>
        <w:trPr>
          <w:trHeight w:val="189"/>
        </w:trPr>
        <w:tc>
          <w:tcPr>
            <w:tcW w:w="8460" w:type="dxa"/>
            <w:vAlign w:val="bottom"/>
          </w:tcPr>
          <w:p>
            <w:pPr>
              <w:ind w:left="220"/>
              <w:spacing w:after="0" w:line="189" w:lineRule="exact"/>
              <w:rPr>
                <w:sz w:val="20"/>
                <w:szCs w:val="20"/>
                <w:color w:val="auto"/>
              </w:rPr>
            </w:pPr>
            <w:r>
              <w:rPr>
                <w:rFonts w:ascii="Arial" w:cs="Arial" w:eastAsia="Arial" w:hAnsi="Arial"/>
                <w:sz w:val="18"/>
                <w:szCs w:val="18"/>
                <w:color w:val="auto"/>
              </w:rPr>
              <w:t>Issued</w:t>
            </w:r>
          </w:p>
        </w:tc>
        <w:tc>
          <w:tcPr>
            <w:tcW w:w="1020" w:type="dxa"/>
            <w:vAlign w:val="bottom"/>
            <w:gridSpan w:val="2"/>
          </w:tcPr>
          <w:p>
            <w:pPr>
              <w:jc w:val="right"/>
              <w:ind w:right="340"/>
              <w:spacing w:after="0" w:line="189" w:lineRule="exact"/>
              <w:rPr>
                <w:sz w:val="20"/>
                <w:szCs w:val="20"/>
                <w:color w:val="auto"/>
              </w:rPr>
            </w:pPr>
            <w:r>
              <w:rPr>
                <w:rFonts w:ascii="Arial" w:cs="Arial" w:eastAsia="Arial" w:hAnsi="Arial"/>
                <w:sz w:val="18"/>
                <w:szCs w:val="18"/>
                <w:b w:val="1"/>
                <w:bCs w:val="1"/>
                <w:color w:val="auto"/>
              </w:rPr>
              <w:t>54</w:t>
            </w:r>
          </w:p>
        </w:tc>
        <w:tc>
          <w:tcPr>
            <w:tcW w:w="100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116</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6"/>
                <w:szCs w:val="16"/>
                <w:color w:val="auto"/>
              </w:rPr>
            </w:pPr>
          </w:p>
        </w:tc>
      </w:tr>
      <w:tr>
        <w:trPr>
          <w:trHeight w:val="189"/>
        </w:trPr>
        <w:tc>
          <w:tcPr>
            <w:tcW w:w="8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Repurchased</w:t>
            </w:r>
          </w:p>
        </w:tc>
        <w:tc>
          <w:tcPr>
            <w:tcW w:w="10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(126)</w:t>
            </w:r>
          </w:p>
        </w:tc>
        <w:tc>
          <w:tcPr>
            <w:tcW w:w="100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(150)</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(99)</w:t>
            </w:r>
          </w:p>
        </w:tc>
      </w:tr>
      <w:tr>
        <w:trPr>
          <w:trHeight w:val="68"/>
        </w:trPr>
        <w:tc>
          <w:tcPr>
            <w:tcW w:w="8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8460" w:type="dxa"/>
            <w:vAlign w:val="bottom"/>
          </w:tcPr>
          <w:p>
            <w:pPr>
              <w:spacing w:after="0"/>
              <w:rPr>
                <w:sz w:val="20"/>
                <w:szCs w:val="20"/>
                <w:color w:val="auto"/>
              </w:rPr>
            </w:pPr>
            <w:r>
              <w:rPr>
                <w:rFonts w:ascii="Arial" w:cs="Arial" w:eastAsia="Arial" w:hAnsi="Arial"/>
                <w:sz w:val="18"/>
                <w:szCs w:val="18"/>
                <w:color w:val="auto"/>
              </w:rPr>
              <w:t>Balance, end of year</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7,571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7,643</w:t>
            </w:r>
          </w:p>
        </w:tc>
        <w:tc>
          <w:tcPr>
            <w:tcW w:w="660" w:type="dxa"/>
            <w:vAlign w:val="bottom"/>
          </w:tcPr>
          <w:p>
            <w:pPr>
              <w:jc w:val="right"/>
              <w:spacing w:after="0"/>
              <w:rPr>
                <w:sz w:val="20"/>
                <w:szCs w:val="20"/>
                <w:color w:val="auto"/>
              </w:rPr>
            </w:pPr>
            <w:r>
              <w:rPr>
                <w:rFonts w:ascii="Arial" w:cs="Arial" w:eastAsia="Arial" w:hAnsi="Arial"/>
                <w:sz w:val="18"/>
                <w:szCs w:val="18"/>
                <w:color w:val="auto"/>
              </w:rPr>
              <w:t>7,677</w:t>
            </w:r>
          </w:p>
        </w:tc>
        <w:tc>
          <w:tcPr>
            <w:tcW w:w="100" w:type="dxa"/>
            <w:vAlign w:val="bottom"/>
          </w:tcPr>
          <w:p>
            <w:pPr>
              <w:spacing w:after="0"/>
              <w:rPr>
                <w:sz w:val="22"/>
                <w:szCs w:val="22"/>
                <w:color w:val="auto"/>
              </w:rPr>
            </w:pPr>
          </w:p>
        </w:tc>
      </w:tr>
      <w:tr>
        <w:trPr>
          <w:trHeight w:val="61"/>
        </w:trPr>
        <w:tc>
          <w:tcPr>
            <w:tcW w:w="84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2016,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commenced in December 2016 and was completed in February 2020.</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 This share repurchase program commenced in February 2020, following completion of the program approved on September 20, 2016, has no expiration date, and may be terminated at any time. As of June 30, 2020, $31.7 billion remained of this $40.0 billion share repurchase program.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6" w:name="page87"/>
    <w:bookmarkEnd w:id="86"/>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r>
      <w:tr>
        <w:trPr>
          <w:trHeight w:val="55"/>
        </w:trPr>
        <w:tc>
          <w:tcPr>
            <w:tcW w:w="47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9"/>
                <w:szCs w:val="19"/>
                <w:color w:val="auto"/>
              </w:rPr>
            </w:pPr>
          </w:p>
        </w:tc>
      </w:tr>
      <w:tr>
        <w:trPr>
          <w:trHeight w:val="54"/>
        </w:trPr>
        <w:tc>
          <w:tcPr>
            <w:tcW w:w="4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4,000</w:t>
            </w: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24</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2,600</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1,600</w:t>
            </w: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Second Quarter</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rPr>
              <w:t>4,600</w:t>
            </w:r>
          </w:p>
        </w:tc>
        <w:tc>
          <w:tcPr>
            <w:tcW w:w="10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6,100</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1,800</w:t>
            </w:r>
          </w:p>
        </w:tc>
      </w:tr>
      <w:tr>
        <w:trPr>
          <w:trHeight w:val="189"/>
        </w:trPr>
        <w:tc>
          <w:tcPr>
            <w:tcW w:w="4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Third Quarter</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37</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6,000</w:t>
            </w: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3,899</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34</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3,100</w:t>
            </w: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Fourth Quarter</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w:t>
            </w:r>
          </w:p>
        </w:tc>
        <w:tc>
          <w:tcPr>
            <w:tcW w:w="24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5,088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r>
      <w:tr>
        <w:trPr>
          <w:trHeight w:val="68"/>
        </w:trPr>
        <w:tc>
          <w:tcPr>
            <w:tcW w:w="47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7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126</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19,688</w:t>
            </w: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150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16,799</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99</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8,600</w:t>
            </w:r>
          </w:p>
        </w:tc>
      </w:tr>
      <w:tr>
        <w:trPr>
          <w:trHeight w:val="74"/>
        </w:trPr>
        <w:tc>
          <w:tcPr>
            <w:tcW w:w="474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Shares repurchased during the fourth quarter of fiscal year 2020 were under the share repurchase program approved on September 18, 2019. Shares repurchased during the third quarter of fiscal year 2020 were under the share repurchase programs approved on both September 20, 2016 and September 18, 2019. All other shares repurchased were under the share repurchase program approved on September 20, 2016. The above table excludes shares repurchased to settle employee tax withholding related to the vesting of stock awards of $3.3 billion, $2.7 billion, and $2.1 billion for fiscal years 2020, 2019, and 2018, respectively. All share repurchases were made using cash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Dividend</w:t>
            </w: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0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760" w:type="dxa"/>
            <w:vAlign w:val="bottom"/>
          </w:tcPr>
          <w:p>
            <w:pPr>
              <w:jc w:val="right"/>
              <w:ind w:right="313"/>
              <w:spacing w:after="0"/>
              <w:rPr>
                <w:sz w:val="20"/>
                <w:szCs w:val="20"/>
                <w:color w:val="auto"/>
              </w:rPr>
            </w:pPr>
            <w:r>
              <w:rPr>
                <w:rFonts w:ascii="Arial" w:cs="Arial" w:eastAsia="Arial" w:hAnsi="Arial"/>
                <w:sz w:val="13"/>
                <w:szCs w:val="13"/>
                <w:b w:val="1"/>
                <w:bCs w:val="1"/>
                <w:color w:val="auto"/>
              </w:rPr>
              <w:t>Record Date</w:t>
            </w:r>
          </w:p>
        </w:tc>
        <w:tc>
          <w:tcPr>
            <w:tcW w:w="2300" w:type="dxa"/>
            <w:vAlign w:val="bottom"/>
          </w:tcPr>
          <w:p>
            <w:pPr>
              <w:jc w:val="right"/>
              <w:ind w:right="14"/>
              <w:spacing w:after="0"/>
              <w:rPr>
                <w:sz w:val="20"/>
                <w:szCs w:val="20"/>
                <w:color w:val="auto"/>
              </w:rPr>
            </w:pPr>
            <w:r>
              <w:rPr>
                <w:rFonts w:ascii="Arial" w:cs="Arial" w:eastAsia="Arial" w:hAnsi="Arial"/>
                <w:sz w:val="13"/>
                <w:szCs w:val="13"/>
                <w:b w:val="1"/>
                <w:bCs w:val="1"/>
                <w:color w:val="auto"/>
              </w:rPr>
              <w:t>Payment Date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Per Share</w:t>
            </w:r>
          </w:p>
        </w:tc>
        <w:tc>
          <w:tcPr>
            <w:tcW w:w="44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4"/>
        </w:trPr>
        <w:tc>
          <w:tcPr>
            <w:tcW w:w="24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3"/>
                <w:szCs w:val="13"/>
                <w:b w:val="1"/>
                <w:bCs w:val="1"/>
                <w:color w:val="auto"/>
              </w:rPr>
              <w:t>Fiscal Year 2020</w:t>
            </w:r>
          </w:p>
        </w:tc>
        <w:tc>
          <w:tcPr>
            <w:tcW w:w="2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5"/>
        </w:trPr>
        <w:tc>
          <w:tcPr>
            <w:tcW w:w="24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18, 2019</w:t>
            </w:r>
          </w:p>
        </w:tc>
        <w:tc>
          <w:tcPr>
            <w:tcW w:w="2760" w:type="dxa"/>
            <w:vAlign w:val="bottom"/>
            <w:shd w:val="clear" w:color="auto" w:fill="E5E5E5"/>
          </w:tcPr>
          <w:p>
            <w:pPr>
              <w:jc w:val="right"/>
              <w:ind w:right="313"/>
              <w:spacing w:after="0" w:line="189" w:lineRule="exact"/>
              <w:rPr>
                <w:sz w:val="20"/>
                <w:szCs w:val="20"/>
                <w:color w:val="auto"/>
              </w:rPr>
            </w:pPr>
            <w:r>
              <w:rPr>
                <w:rFonts w:ascii="Arial" w:cs="Arial" w:eastAsia="Arial" w:hAnsi="Arial"/>
                <w:sz w:val="18"/>
                <w:szCs w:val="18"/>
                <w:b w:val="1"/>
                <w:bCs w:val="1"/>
                <w:color w:val="auto"/>
              </w:rPr>
              <w:t>November 21, 2019</w:t>
            </w:r>
          </w:p>
        </w:tc>
        <w:tc>
          <w:tcPr>
            <w:tcW w:w="23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b w:val="1"/>
                <w:bCs w:val="1"/>
                <w:color w:val="auto"/>
              </w:rPr>
              <w:t>December 12, 2019</w:t>
            </w:r>
          </w:p>
        </w:tc>
        <w:tc>
          <w:tcPr>
            <w:tcW w:w="900" w:type="dxa"/>
            <w:vAlign w:val="bottom"/>
            <w:gridSpan w:val="2"/>
            <w:shd w:val="clear" w:color="auto" w:fill="E5E5E5"/>
          </w:tcPr>
          <w:p>
            <w:pPr>
              <w:jc w:val="right"/>
              <w:ind w:right="68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0.51</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3,886</w:t>
            </w:r>
          </w:p>
        </w:tc>
        <w:tc>
          <w:tcPr>
            <w:tcW w:w="0" w:type="dxa"/>
            <w:vAlign w:val="bottom"/>
          </w:tcPr>
          <w:p>
            <w:pPr>
              <w:spacing w:after="0"/>
              <w:rPr>
                <w:sz w:val="1"/>
                <w:szCs w:val="1"/>
                <w:color w:val="auto"/>
              </w:rPr>
            </w:pPr>
          </w:p>
        </w:tc>
      </w:tr>
      <w:tr>
        <w:trPr>
          <w:trHeight w:val="189"/>
        </w:trPr>
        <w:tc>
          <w:tcPr>
            <w:tcW w:w="2400" w:type="dxa"/>
            <w:vAlign w:val="bottom"/>
          </w:tcPr>
          <w:p>
            <w:pPr>
              <w:spacing w:after="0" w:line="189" w:lineRule="exact"/>
              <w:rPr>
                <w:sz w:val="20"/>
                <w:szCs w:val="20"/>
                <w:color w:val="auto"/>
              </w:rPr>
            </w:pPr>
            <w:r>
              <w:rPr>
                <w:rFonts w:ascii="Arial" w:cs="Arial" w:eastAsia="Arial" w:hAnsi="Arial"/>
                <w:sz w:val="18"/>
                <w:szCs w:val="18"/>
                <w:b w:val="1"/>
                <w:bCs w:val="1"/>
                <w:color w:val="auto"/>
              </w:rPr>
              <w:t>December 4, 2019</w:t>
            </w:r>
          </w:p>
        </w:tc>
        <w:tc>
          <w:tcPr>
            <w:tcW w:w="2760" w:type="dxa"/>
            <w:vAlign w:val="bottom"/>
          </w:tcPr>
          <w:p>
            <w:pPr>
              <w:jc w:val="right"/>
              <w:ind w:right="313"/>
              <w:spacing w:after="0" w:line="189" w:lineRule="exact"/>
              <w:rPr>
                <w:sz w:val="20"/>
                <w:szCs w:val="20"/>
                <w:color w:val="auto"/>
              </w:rPr>
            </w:pPr>
            <w:r>
              <w:rPr>
                <w:rFonts w:ascii="Arial" w:cs="Arial" w:eastAsia="Arial" w:hAnsi="Arial"/>
                <w:sz w:val="18"/>
                <w:szCs w:val="18"/>
                <w:b w:val="1"/>
                <w:bCs w:val="1"/>
                <w:color w:val="auto"/>
              </w:rPr>
              <w:t>February 20, 2020</w:t>
            </w:r>
          </w:p>
        </w:tc>
        <w:tc>
          <w:tcPr>
            <w:tcW w:w="2300" w:type="dxa"/>
            <w:vAlign w:val="bottom"/>
          </w:tcPr>
          <w:p>
            <w:pPr>
              <w:jc w:val="right"/>
              <w:ind w:right="14"/>
              <w:spacing w:after="0" w:line="189" w:lineRule="exact"/>
              <w:rPr>
                <w:sz w:val="20"/>
                <w:szCs w:val="20"/>
                <w:color w:val="auto"/>
              </w:rPr>
            </w:pPr>
            <w:r>
              <w:rPr>
                <w:rFonts w:ascii="Arial" w:cs="Arial" w:eastAsia="Arial" w:hAnsi="Arial"/>
                <w:sz w:val="18"/>
                <w:szCs w:val="18"/>
                <w:b w:val="1"/>
                <w:bCs w:val="1"/>
                <w:color w:val="auto"/>
              </w:rPr>
              <w:t>March 12, 2020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0.51</w:t>
            </w:r>
          </w:p>
        </w:tc>
        <w:tc>
          <w:tcPr>
            <w:tcW w:w="440" w:type="dxa"/>
            <w:vAlign w:val="bottom"/>
          </w:tcPr>
          <w:p>
            <w:pPr>
              <w:spacing w:after="0"/>
              <w:rPr>
                <w:sz w:val="16"/>
                <w:szCs w:val="16"/>
                <w:color w:val="auto"/>
              </w:rPr>
            </w:pPr>
          </w:p>
        </w:tc>
        <w:tc>
          <w:tcPr>
            <w:tcW w:w="12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3,876</w:t>
            </w:r>
          </w:p>
        </w:tc>
        <w:tc>
          <w:tcPr>
            <w:tcW w:w="0" w:type="dxa"/>
            <w:vAlign w:val="bottom"/>
          </w:tcPr>
          <w:p>
            <w:pPr>
              <w:spacing w:after="0"/>
              <w:rPr>
                <w:sz w:val="1"/>
                <w:szCs w:val="1"/>
                <w:color w:val="auto"/>
              </w:rPr>
            </w:pPr>
          </w:p>
        </w:tc>
      </w:tr>
      <w:tr>
        <w:trPr>
          <w:trHeight w:val="189"/>
        </w:trPr>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9, 2020</w:t>
            </w:r>
          </w:p>
        </w:tc>
        <w:tc>
          <w:tcPr>
            <w:tcW w:w="2760" w:type="dxa"/>
            <w:vAlign w:val="bottom"/>
            <w:shd w:val="clear" w:color="auto" w:fill="E5E5E5"/>
          </w:tcPr>
          <w:p>
            <w:pPr>
              <w:jc w:val="right"/>
              <w:ind w:right="313"/>
              <w:spacing w:after="0" w:line="189" w:lineRule="exact"/>
              <w:rPr>
                <w:sz w:val="20"/>
                <w:szCs w:val="20"/>
                <w:color w:val="auto"/>
              </w:rPr>
            </w:pPr>
            <w:r>
              <w:rPr>
                <w:rFonts w:ascii="Arial" w:cs="Arial" w:eastAsia="Arial" w:hAnsi="Arial"/>
                <w:sz w:val="18"/>
                <w:szCs w:val="18"/>
                <w:b w:val="1"/>
                <w:bCs w:val="1"/>
                <w:color w:val="auto"/>
              </w:rPr>
              <w:t>May 21, 2020</w:t>
            </w:r>
          </w:p>
        </w:tc>
        <w:tc>
          <w:tcPr>
            <w:tcW w:w="23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b w:val="1"/>
                <w:bCs w:val="1"/>
                <w:color w:val="auto"/>
              </w:rPr>
              <w:t>June 11, 2020</w:t>
            </w: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0.51</w:t>
            </w:r>
          </w:p>
        </w:tc>
        <w:tc>
          <w:tcPr>
            <w:tcW w:w="4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3,865</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0"/>
                <w:szCs w:val="20"/>
                <w:color w:val="auto"/>
              </w:rPr>
            </w:pPr>
            <w:r>
              <w:rPr>
                <w:rFonts w:ascii="Arial" w:cs="Arial" w:eastAsia="Arial" w:hAnsi="Arial"/>
                <w:sz w:val="18"/>
                <w:szCs w:val="18"/>
                <w:b w:val="1"/>
                <w:bCs w:val="1"/>
                <w:color w:val="auto"/>
              </w:rPr>
              <w:t>June 17, 2020</w:t>
            </w:r>
          </w:p>
        </w:tc>
        <w:tc>
          <w:tcPr>
            <w:tcW w:w="2760" w:type="dxa"/>
            <w:vAlign w:val="bottom"/>
          </w:tcPr>
          <w:p>
            <w:pPr>
              <w:jc w:val="right"/>
              <w:ind w:right="313"/>
              <w:spacing w:after="0"/>
              <w:rPr>
                <w:sz w:val="20"/>
                <w:szCs w:val="20"/>
                <w:color w:val="auto"/>
              </w:rPr>
            </w:pPr>
            <w:r>
              <w:rPr>
                <w:rFonts w:ascii="Arial" w:cs="Arial" w:eastAsia="Arial" w:hAnsi="Arial"/>
                <w:sz w:val="18"/>
                <w:szCs w:val="18"/>
                <w:b w:val="1"/>
                <w:bCs w:val="1"/>
                <w:color w:val="auto"/>
              </w:rPr>
              <w:t>August 20, 2020</w:t>
            </w:r>
          </w:p>
        </w:tc>
        <w:tc>
          <w:tcPr>
            <w:tcW w:w="2300" w:type="dxa"/>
            <w:vAlign w:val="bottom"/>
          </w:tcPr>
          <w:p>
            <w:pPr>
              <w:jc w:val="right"/>
              <w:ind w:right="14"/>
              <w:spacing w:after="0"/>
              <w:rPr>
                <w:sz w:val="20"/>
                <w:szCs w:val="20"/>
                <w:color w:val="auto"/>
              </w:rPr>
            </w:pPr>
            <w:r>
              <w:rPr>
                <w:rFonts w:ascii="Arial" w:cs="Arial" w:eastAsia="Arial" w:hAnsi="Arial"/>
                <w:sz w:val="18"/>
                <w:szCs w:val="18"/>
                <w:b w:val="1"/>
                <w:bCs w:val="1"/>
                <w:color w:val="auto"/>
              </w:rPr>
              <w:t>September 10, 2020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0.51</w:t>
            </w:r>
          </w:p>
        </w:tc>
        <w:tc>
          <w:tcPr>
            <w:tcW w:w="4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3,861</w:t>
            </w:r>
          </w:p>
        </w:tc>
        <w:tc>
          <w:tcPr>
            <w:tcW w:w="0" w:type="dxa"/>
            <w:vAlign w:val="bottom"/>
          </w:tcPr>
          <w:p>
            <w:pPr>
              <w:spacing w:after="0"/>
              <w:rPr>
                <w:sz w:val="1"/>
                <w:szCs w:val="1"/>
                <w:color w:val="auto"/>
              </w:rPr>
            </w:pPr>
          </w:p>
        </w:tc>
      </w:tr>
      <w:tr>
        <w:trPr>
          <w:trHeight w:val="68"/>
        </w:trPr>
        <w:tc>
          <w:tcPr>
            <w:tcW w:w="2400" w:type="dxa"/>
            <w:vAlign w:val="bottom"/>
            <w:tcBorders>
              <w:top w:val="single" w:sz="8" w:color="auto"/>
            </w:tcBorders>
          </w:tcPr>
          <w:p>
            <w:pPr>
              <w:spacing w:after="0"/>
              <w:rPr>
                <w:sz w:val="5"/>
                <w:szCs w:val="5"/>
                <w:color w:val="auto"/>
              </w:rPr>
            </w:pPr>
          </w:p>
        </w:tc>
        <w:tc>
          <w:tcPr>
            <w:tcW w:w="2760" w:type="dxa"/>
            <w:vAlign w:val="bottom"/>
            <w:tcBorders>
              <w:top w:val="single" w:sz="8" w:color="auto"/>
            </w:tcBorders>
          </w:tcPr>
          <w:p>
            <w:pPr>
              <w:spacing w:after="0"/>
              <w:rPr>
                <w:sz w:val="5"/>
                <w:szCs w:val="5"/>
                <w:color w:val="auto"/>
              </w:rPr>
            </w:pPr>
          </w:p>
        </w:tc>
        <w:tc>
          <w:tcPr>
            <w:tcW w:w="23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Total</w:t>
            </w:r>
          </w:p>
        </w:tc>
        <w:tc>
          <w:tcPr>
            <w:tcW w:w="2760" w:type="dxa"/>
            <w:vAlign w:val="bottom"/>
            <w:shd w:val="clear" w:color="auto" w:fill="E5E5E5"/>
          </w:tcPr>
          <w:p>
            <w:pPr>
              <w:spacing w:after="0"/>
              <w:rPr>
                <w:sz w:val="16"/>
                <w:szCs w:val="16"/>
                <w:color w:val="auto"/>
              </w:rPr>
            </w:pPr>
          </w:p>
        </w:tc>
        <w:tc>
          <w:tcPr>
            <w:tcW w:w="2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8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2.04</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15,488</w:t>
            </w:r>
          </w:p>
        </w:tc>
        <w:tc>
          <w:tcPr>
            <w:tcW w:w="0" w:type="dxa"/>
            <w:vAlign w:val="bottom"/>
          </w:tcPr>
          <w:p>
            <w:pPr>
              <w:spacing w:after="0"/>
              <w:rPr>
                <w:sz w:val="1"/>
                <w:szCs w:val="1"/>
                <w:color w:val="auto"/>
              </w:rPr>
            </w:pPr>
          </w:p>
        </w:tc>
      </w:tr>
      <w:tr>
        <w:trPr>
          <w:trHeight w:val="75"/>
        </w:trPr>
        <w:tc>
          <w:tcPr>
            <w:tcW w:w="2400" w:type="dxa"/>
            <w:vAlign w:val="bottom"/>
            <w:vMerge w:val="restart"/>
          </w:tcPr>
          <w:p>
            <w:pPr>
              <w:spacing w:after="0"/>
              <w:rPr>
                <w:sz w:val="20"/>
                <w:szCs w:val="20"/>
                <w:color w:val="auto"/>
              </w:rPr>
            </w:pPr>
            <w:r>
              <w:rPr>
                <w:rFonts w:ascii="Arial" w:cs="Arial" w:eastAsia="Arial" w:hAnsi="Arial"/>
                <w:sz w:val="13"/>
                <w:szCs w:val="13"/>
                <w:b w:val="1"/>
                <w:bCs w:val="1"/>
                <w:color w:val="auto"/>
              </w:rPr>
              <w:t>Fiscal Year 2019</w:t>
            </w:r>
          </w:p>
        </w:tc>
        <w:tc>
          <w:tcPr>
            <w:tcW w:w="27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4"/>
                <w:szCs w:val="14"/>
                <w:color w:val="auto"/>
              </w:rPr>
            </w:pPr>
          </w:p>
        </w:tc>
        <w:tc>
          <w:tcPr>
            <w:tcW w:w="2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4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18, 2018</w:t>
            </w:r>
          </w:p>
        </w:tc>
        <w:tc>
          <w:tcPr>
            <w:tcW w:w="2760" w:type="dxa"/>
            <w:vAlign w:val="bottom"/>
            <w:shd w:val="clear" w:color="auto" w:fill="E5E5E5"/>
          </w:tcPr>
          <w:p>
            <w:pPr>
              <w:jc w:val="right"/>
              <w:ind w:right="313"/>
              <w:spacing w:after="0" w:line="189" w:lineRule="exact"/>
              <w:rPr>
                <w:sz w:val="20"/>
                <w:szCs w:val="20"/>
                <w:color w:val="auto"/>
              </w:rPr>
            </w:pPr>
            <w:r>
              <w:rPr>
                <w:rFonts w:ascii="Arial" w:cs="Arial" w:eastAsia="Arial" w:hAnsi="Arial"/>
                <w:sz w:val="18"/>
                <w:szCs w:val="18"/>
                <w:color w:val="auto"/>
              </w:rPr>
              <w:t>November 15, 2018</w:t>
            </w:r>
          </w:p>
        </w:tc>
        <w:tc>
          <w:tcPr>
            <w:tcW w:w="23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December 13, 2018</w:t>
            </w:r>
          </w:p>
        </w:tc>
        <w:tc>
          <w:tcPr>
            <w:tcW w:w="900" w:type="dxa"/>
            <w:vAlign w:val="bottom"/>
            <w:gridSpan w:val="2"/>
            <w:shd w:val="clear" w:color="auto" w:fill="E5E5E5"/>
          </w:tcPr>
          <w:p>
            <w:pPr>
              <w:jc w:val="right"/>
              <w:ind w:right="68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0.46</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189"/>
        </w:trPr>
        <w:tc>
          <w:tcPr>
            <w:tcW w:w="2400" w:type="dxa"/>
            <w:vAlign w:val="bottom"/>
          </w:tcPr>
          <w:p>
            <w:pPr>
              <w:spacing w:after="0" w:line="189" w:lineRule="exact"/>
              <w:rPr>
                <w:sz w:val="20"/>
                <w:szCs w:val="20"/>
                <w:color w:val="auto"/>
              </w:rPr>
            </w:pPr>
            <w:r>
              <w:rPr>
                <w:rFonts w:ascii="Arial" w:cs="Arial" w:eastAsia="Arial" w:hAnsi="Arial"/>
                <w:sz w:val="18"/>
                <w:szCs w:val="18"/>
                <w:color w:val="auto"/>
              </w:rPr>
              <w:t>November 28, 2018</w:t>
            </w:r>
          </w:p>
        </w:tc>
        <w:tc>
          <w:tcPr>
            <w:tcW w:w="2760" w:type="dxa"/>
            <w:vAlign w:val="bottom"/>
          </w:tcPr>
          <w:p>
            <w:pPr>
              <w:jc w:val="right"/>
              <w:ind w:right="313"/>
              <w:spacing w:after="0" w:line="189" w:lineRule="exact"/>
              <w:rPr>
                <w:sz w:val="20"/>
                <w:szCs w:val="20"/>
                <w:color w:val="auto"/>
              </w:rPr>
            </w:pPr>
            <w:r>
              <w:rPr>
                <w:rFonts w:ascii="Arial" w:cs="Arial" w:eastAsia="Arial" w:hAnsi="Arial"/>
                <w:sz w:val="18"/>
                <w:szCs w:val="18"/>
                <w:color w:val="auto"/>
              </w:rPr>
              <w:t>February 21, 2019</w:t>
            </w:r>
          </w:p>
        </w:tc>
        <w:tc>
          <w:tcPr>
            <w:tcW w:w="2300" w:type="dxa"/>
            <w:vAlign w:val="bottom"/>
          </w:tcPr>
          <w:p>
            <w:pPr>
              <w:jc w:val="right"/>
              <w:ind w:right="14"/>
              <w:spacing w:after="0" w:line="189" w:lineRule="exact"/>
              <w:rPr>
                <w:sz w:val="20"/>
                <w:szCs w:val="20"/>
                <w:color w:val="auto"/>
              </w:rPr>
            </w:pPr>
            <w:r>
              <w:rPr>
                <w:rFonts w:ascii="Arial" w:cs="Arial" w:eastAsia="Arial" w:hAnsi="Arial"/>
                <w:sz w:val="18"/>
                <w:szCs w:val="18"/>
                <w:color w:val="auto"/>
              </w:rPr>
              <w:t>March 14, 2019</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0.46</w:t>
            </w:r>
          </w:p>
        </w:tc>
        <w:tc>
          <w:tcPr>
            <w:tcW w:w="440" w:type="dxa"/>
            <w:vAlign w:val="bottom"/>
          </w:tcPr>
          <w:p>
            <w:pPr>
              <w:spacing w:after="0"/>
              <w:rPr>
                <w:sz w:val="16"/>
                <w:szCs w:val="16"/>
                <w:color w:val="auto"/>
              </w:rPr>
            </w:pPr>
          </w:p>
        </w:tc>
        <w:tc>
          <w:tcPr>
            <w:tcW w:w="12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189"/>
        </w:trPr>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11, 2019</w:t>
            </w:r>
          </w:p>
        </w:tc>
        <w:tc>
          <w:tcPr>
            <w:tcW w:w="2760" w:type="dxa"/>
            <w:vAlign w:val="bottom"/>
            <w:shd w:val="clear" w:color="auto" w:fill="E5E5E5"/>
          </w:tcPr>
          <w:p>
            <w:pPr>
              <w:jc w:val="right"/>
              <w:ind w:right="313"/>
              <w:spacing w:after="0" w:line="189" w:lineRule="exact"/>
              <w:rPr>
                <w:sz w:val="20"/>
                <w:szCs w:val="20"/>
                <w:color w:val="auto"/>
              </w:rPr>
            </w:pPr>
            <w:r>
              <w:rPr>
                <w:rFonts w:ascii="Arial" w:cs="Arial" w:eastAsia="Arial" w:hAnsi="Arial"/>
                <w:sz w:val="18"/>
                <w:szCs w:val="18"/>
                <w:color w:val="auto"/>
              </w:rPr>
              <w:t>May 16, 2019</w:t>
            </w:r>
          </w:p>
        </w:tc>
        <w:tc>
          <w:tcPr>
            <w:tcW w:w="230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June 13, 2019</w:t>
            </w: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0.46</w:t>
            </w:r>
          </w:p>
        </w:tc>
        <w:tc>
          <w:tcPr>
            <w:tcW w:w="4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20"/>
                <w:szCs w:val="20"/>
                <w:color w:val="auto"/>
              </w:rPr>
            </w:pPr>
            <w:r>
              <w:rPr>
                <w:rFonts w:ascii="Arial" w:cs="Arial" w:eastAsia="Arial" w:hAnsi="Arial"/>
                <w:sz w:val="18"/>
                <w:szCs w:val="18"/>
                <w:color w:val="auto"/>
              </w:rPr>
              <w:t>June 12, 2019</w:t>
            </w:r>
          </w:p>
        </w:tc>
        <w:tc>
          <w:tcPr>
            <w:tcW w:w="2760" w:type="dxa"/>
            <w:vAlign w:val="bottom"/>
          </w:tcPr>
          <w:p>
            <w:pPr>
              <w:jc w:val="right"/>
              <w:ind w:right="313"/>
              <w:spacing w:after="0"/>
              <w:rPr>
                <w:sz w:val="20"/>
                <w:szCs w:val="20"/>
                <w:color w:val="auto"/>
              </w:rPr>
            </w:pPr>
            <w:r>
              <w:rPr>
                <w:rFonts w:ascii="Arial" w:cs="Arial" w:eastAsia="Arial" w:hAnsi="Arial"/>
                <w:sz w:val="18"/>
                <w:szCs w:val="18"/>
                <w:color w:val="auto"/>
              </w:rPr>
              <w:t>August 15, 2019</w:t>
            </w:r>
          </w:p>
        </w:tc>
        <w:tc>
          <w:tcPr>
            <w:tcW w:w="2300" w:type="dxa"/>
            <w:vAlign w:val="bottom"/>
          </w:tcPr>
          <w:p>
            <w:pPr>
              <w:jc w:val="right"/>
              <w:ind w:right="14"/>
              <w:spacing w:after="0"/>
              <w:rPr>
                <w:sz w:val="20"/>
                <w:szCs w:val="20"/>
                <w:color w:val="auto"/>
              </w:rPr>
            </w:pPr>
            <w:r>
              <w:rPr>
                <w:rFonts w:ascii="Arial" w:cs="Arial" w:eastAsia="Arial" w:hAnsi="Arial"/>
                <w:sz w:val="18"/>
                <w:szCs w:val="18"/>
                <w:color w:val="auto"/>
              </w:rPr>
              <w:t>September 12, 2019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40"/>
        </w:trPr>
        <w:tc>
          <w:tcPr>
            <w:tcW w:w="24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40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w:t>
            </w:r>
          </w:p>
        </w:tc>
        <w:tc>
          <w:tcPr>
            <w:tcW w:w="2760" w:type="dxa"/>
            <w:vAlign w:val="bottom"/>
            <w:shd w:val="clear" w:color="auto" w:fill="E5E5E5"/>
          </w:tcPr>
          <w:p>
            <w:pPr>
              <w:spacing w:after="0"/>
              <w:rPr>
                <w:sz w:val="16"/>
                <w:szCs w:val="16"/>
                <w:color w:val="auto"/>
              </w:rPr>
            </w:pPr>
          </w:p>
        </w:tc>
        <w:tc>
          <w:tcPr>
            <w:tcW w:w="2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8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1.84</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14,101</w:t>
            </w:r>
          </w:p>
        </w:tc>
        <w:tc>
          <w:tcPr>
            <w:tcW w:w="0" w:type="dxa"/>
            <w:vAlign w:val="bottom"/>
          </w:tcPr>
          <w:p>
            <w:pPr>
              <w:spacing w:after="0"/>
              <w:rPr>
                <w:sz w:val="1"/>
                <w:szCs w:val="1"/>
                <w:color w:val="auto"/>
              </w:rPr>
            </w:pPr>
          </w:p>
        </w:tc>
      </w:tr>
      <w:tr>
        <w:trPr>
          <w:trHeight w:val="75"/>
        </w:trPr>
        <w:tc>
          <w:tcPr>
            <w:tcW w:w="7580" w:type="dxa"/>
            <w:vAlign w:val="bottom"/>
            <w:gridSpan w:val="4"/>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8360" w:type="dxa"/>
            <w:vAlign w:val="bottom"/>
            <w:gridSpan w:val="5"/>
          </w:tcPr>
          <w:p>
            <w:pPr>
              <w:spacing w:after="0"/>
              <w:rPr>
                <w:sz w:val="20"/>
                <w:szCs w:val="20"/>
                <w:color w:val="auto"/>
              </w:rPr>
            </w:pPr>
            <w:r>
              <w:rPr>
                <w:rFonts w:ascii="Arial" w:cs="Arial" w:eastAsia="Arial" w:hAnsi="Arial"/>
                <w:sz w:val="18"/>
                <w:szCs w:val="18"/>
                <w:color w:val="auto"/>
              </w:rPr>
              <w:t>The dividend declared on June 17, 2020 was included in other current liabilities as of June 30, 2020.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4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tcPr>
          <w:p>
            <w:pPr>
              <w:jc w:val="right"/>
              <w:ind w:right="1674"/>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40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7" w:name="page88"/>
    <w:bookmarkEnd w:id="87"/>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77"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17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r>
      <w:tr>
        <w:trPr>
          <w:trHeight w:val="216"/>
        </w:trPr>
        <w:tc>
          <w:tcPr>
            <w:tcW w:w="800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9"/>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173</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134</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$(10)</w:t>
            </w:r>
            <w:r>
              <w:rPr>
                <w:rFonts w:ascii="Arial" w:cs="Arial" w:eastAsia="Arial" w:hAnsi="Arial"/>
                <w:sz w:val="18"/>
                <w:szCs w:val="18"/>
                <w:color w:val="auto"/>
              </w:rPr>
              <w:t>, $2, and $11</w:t>
            </w:r>
          </w:p>
        </w:tc>
        <w:tc>
          <w:tcPr>
            <w:tcW w:w="2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160</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218</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included in revenue</w:t>
            </w: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(341)</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(185)</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2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68"/>
        </w:trPr>
        <w:tc>
          <w:tcPr>
            <w:tcW w:w="80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(333)</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(179)</w:t>
            </w: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$(10)</w:t>
            </w:r>
            <w:r>
              <w:rPr>
                <w:rFonts w:ascii="Arial" w:cs="Arial" w:eastAsia="Arial" w:hAnsi="Arial"/>
                <w:sz w:val="18"/>
                <w:szCs w:val="18"/>
                <w:color w:val="auto"/>
              </w:rPr>
              <w:t>, $(6), and $5</w:t>
            </w:r>
          </w:p>
        </w:tc>
        <w:tc>
          <w:tcPr>
            <w:tcW w:w="2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54"/>
        </w:trPr>
        <w:tc>
          <w:tcPr>
            <w:tcW w:w="8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173</w:t>
            </w: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49"/>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1,488</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(850)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1,825</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$1,057</w:t>
            </w:r>
            <w:r>
              <w:rPr>
                <w:rFonts w:ascii="Arial" w:cs="Arial" w:eastAsia="Arial" w:hAnsi="Arial"/>
                <w:sz w:val="18"/>
                <w:szCs w:val="18"/>
                <w:color w:val="auto"/>
              </w:rPr>
              <w:t>, $616, and $(427)</w:t>
            </w:r>
          </w:p>
        </w:tc>
        <w:tc>
          <w:tcPr>
            <w:tcW w:w="2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3,987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2,331</w:t>
            </w:r>
          </w:p>
        </w:tc>
        <w:tc>
          <w:tcPr>
            <w:tcW w:w="24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(1,146)</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93</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(2,309)</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2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68"/>
        </w:trPr>
        <w:tc>
          <w:tcPr>
            <w:tcW w:w="80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74</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(1,571)</w:t>
            </w: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$1,058</w:t>
            </w:r>
            <w:r>
              <w:rPr>
                <w:rFonts w:ascii="Arial" w:cs="Arial" w:eastAsia="Arial" w:hAnsi="Arial"/>
                <w:sz w:val="18"/>
                <w:szCs w:val="18"/>
                <w:color w:val="auto"/>
              </w:rPr>
              <w:t>, $635, and $(1,165)</w:t>
            </w:r>
          </w:p>
        </w:tc>
        <w:tc>
          <w:tcPr>
            <w:tcW w:w="2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2,405</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(2,717)</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(67)</w:t>
            </w:r>
          </w:p>
        </w:tc>
        <w:tc>
          <w:tcPr>
            <w:tcW w:w="2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42</w:t>
            </w: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5,478</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r>
      <w:tr>
        <w:trPr>
          <w:trHeight w:val="54"/>
        </w:trPr>
        <w:tc>
          <w:tcPr>
            <w:tcW w:w="8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49"/>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(1,828)</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(1,510)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(1,332)</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effects of </w:t>
            </w:r>
            <w:r>
              <w:rPr>
                <w:rFonts w:ascii="Arial" w:cs="Arial" w:eastAsia="Arial" w:hAnsi="Arial"/>
                <w:sz w:val="18"/>
                <w:szCs w:val="18"/>
                <w:b w:val="1"/>
                <w:bCs w:val="1"/>
                <w:color w:val="auto"/>
              </w:rPr>
              <w:t>$1</w:t>
            </w:r>
            <w:r>
              <w:rPr>
                <w:rFonts w:ascii="Arial" w:cs="Arial" w:eastAsia="Arial" w:hAnsi="Arial"/>
                <w:sz w:val="18"/>
                <w:szCs w:val="18"/>
                <w:color w:val="auto"/>
              </w:rPr>
              <w:t>, $(1), and $0</w:t>
            </w:r>
          </w:p>
        </w:tc>
        <w:tc>
          <w:tcPr>
            <w:tcW w:w="2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68"/>
        </w:trPr>
        <w:tc>
          <w:tcPr>
            <w:tcW w:w="80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(2,254)</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(1,828)</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(1,510)</w:t>
            </w: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8"/>
                <w:szCs w:val="18"/>
                <w:color w:val="auto"/>
              </w:rPr>
              <w:t>Accumulated other comprehensive income (loss), end of period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3,186</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(2,187)</w:t>
            </w:r>
          </w:p>
        </w:tc>
      </w:tr>
      <w:tr>
        <w:trPr>
          <w:trHeight w:val="61"/>
        </w:trPr>
        <w:tc>
          <w:tcPr>
            <w:tcW w:w="80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18 — EMPLOYEE STOCK AND SAVINGS PLANS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grant stock-based compensation to employees and directors. As of June 30, 2020, an aggregate of 283 million shares were authorized for future grant under our stock plans.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income tax benefits were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000" w:type="dxa"/>
            <w:vAlign w:val="bottom"/>
          </w:tcPr>
          <w:p>
            <w:pPr>
              <w:spacing w:after="0"/>
              <w:rPr>
                <w:sz w:val="15"/>
                <w:szCs w:val="15"/>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5"/>
                <w:szCs w:val="15"/>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r>
      <w:tr>
        <w:trPr>
          <w:trHeight w:val="55"/>
        </w:trPr>
        <w:tc>
          <w:tcPr>
            <w:tcW w:w="6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6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0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b w:val="1"/>
                <w:bCs w:val="1"/>
                <w:color w:val="auto"/>
              </w:rPr>
              <w:t>5,289</w:t>
            </w:r>
          </w:p>
        </w:tc>
        <w:tc>
          <w:tcPr>
            <w:tcW w:w="3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color w:val="auto"/>
              </w:rPr>
              <w:t>4,652</w:t>
            </w:r>
          </w:p>
        </w:tc>
        <w:tc>
          <w:tcPr>
            <w:tcW w:w="3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3,940</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Income tax benefits related to stock-based compensation</w:t>
            </w:r>
          </w:p>
        </w:tc>
        <w:tc>
          <w:tcPr>
            <w:tcW w:w="2000" w:type="dxa"/>
            <w:vAlign w:val="bottom"/>
          </w:tcPr>
          <w:p>
            <w:pPr>
              <w:spacing w:after="0"/>
              <w:rPr>
                <w:sz w:val="21"/>
                <w:szCs w:val="21"/>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b w:val="1"/>
                <w:bCs w:val="1"/>
                <w:color w:val="auto"/>
              </w:rPr>
              <w:t>938</w:t>
            </w:r>
          </w:p>
        </w:tc>
        <w:tc>
          <w:tcPr>
            <w:tcW w:w="380" w:type="dxa"/>
            <w:vAlign w:val="bottom"/>
          </w:tcPr>
          <w:p>
            <w:pPr>
              <w:spacing w:after="0"/>
              <w:rPr>
                <w:sz w:val="21"/>
                <w:szCs w:val="21"/>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816</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r>
      <w:tr>
        <w:trPr>
          <w:trHeight w:val="54"/>
        </w:trPr>
        <w:tc>
          <w:tcPr>
            <w:tcW w:w="62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Stock awards entitle the holder to receive shares of Microsoft common stock as the award vests. Stock awards generally vest over a service period of four years or five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8" w:name="page89"/>
    <w:bookmarkEnd w:id="88"/>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Executive Incentive Plan, the Compensation Committee approves stock awards to executive officers and certain senior executives. RSUs generally vest ratably over a service period of four years. PSUs generally vest over a performance period of three years. The number of shares the PSU holder receives is based on the extent to which the corresponding performance goals have been achieved.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for All Stock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was estimated on the date of grant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0980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580" w:type="dxa"/>
            <w:vAlign w:val="bottom"/>
          </w:tcPr>
          <w:p>
            <w:pPr>
              <w:spacing w:after="0"/>
              <w:rPr>
                <w:sz w:val="15"/>
                <w:szCs w:val="15"/>
                <w:color w:val="auto"/>
              </w:rPr>
            </w:pPr>
          </w:p>
        </w:tc>
        <w:tc>
          <w:tcPr>
            <w:tcW w:w="1200" w:type="dxa"/>
            <w:vAlign w:val="bottom"/>
          </w:tcPr>
          <w:p>
            <w:pPr>
              <w:jc w:val="right"/>
              <w:ind w:right="98"/>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5"/>
                <w:szCs w:val="15"/>
                <w:color w:val="auto"/>
              </w:rPr>
            </w:pPr>
          </w:p>
        </w:tc>
      </w:tr>
      <w:tr>
        <w:trPr>
          <w:trHeight w:val="54"/>
        </w:trPr>
        <w:tc>
          <w:tcPr>
            <w:tcW w:w="6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6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Dividends per share (quarterly amounts)</w:t>
            </w:r>
          </w:p>
        </w:tc>
        <w:tc>
          <w:tcPr>
            <w:tcW w:w="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E5E5E5"/>
          </w:tcPr>
          <w:p>
            <w:pPr>
              <w:jc w:val="center"/>
              <w:spacing w:after="0" w:line="189" w:lineRule="exact"/>
              <w:rPr>
                <w:sz w:val="20"/>
                <w:szCs w:val="20"/>
                <w:color w:val="auto"/>
              </w:rPr>
            </w:pPr>
            <w:r>
              <w:rPr>
                <w:rFonts w:ascii="Arial" w:cs="Arial" w:eastAsia="Arial" w:hAnsi="Arial"/>
                <w:sz w:val="18"/>
                <w:szCs w:val="18"/>
                <w:b w:val="1"/>
                <w:bCs w:val="1"/>
                <w:color w:val="auto"/>
              </w:rPr>
              <w:t>0.46–0.51</w:t>
            </w:r>
          </w:p>
        </w:tc>
        <w:tc>
          <w:tcPr>
            <w:tcW w:w="3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center"/>
              <w:ind w:right="120"/>
              <w:spacing w:after="0" w:line="189" w:lineRule="exact"/>
              <w:rPr>
                <w:sz w:val="20"/>
                <w:szCs w:val="20"/>
                <w:color w:val="auto"/>
              </w:rPr>
            </w:pPr>
            <w:r>
              <w:rPr>
                <w:rFonts w:ascii="Arial" w:cs="Arial" w:eastAsia="Arial" w:hAnsi="Arial"/>
                <w:sz w:val="18"/>
                <w:szCs w:val="18"/>
                <w:color w:val="auto"/>
              </w:rPr>
              <w:t>0.42–0.46</w:t>
            </w:r>
          </w:p>
        </w:tc>
        <w:tc>
          <w:tcPr>
            <w:tcW w:w="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E5E5E5"/>
          </w:tcPr>
          <w:p>
            <w:pPr>
              <w:jc w:val="center"/>
              <w:ind w:right="80"/>
              <w:spacing w:after="0" w:line="189" w:lineRule="exact"/>
              <w:rPr>
                <w:sz w:val="20"/>
                <w:szCs w:val="20"/>
                <w:color w:val="auto"/>
              </w:rPr>
            </w:pPr>
            <w:r>
              <w:rPr>
                <w:rFonts w:ascii="Arial" w:cs="Arial" w:eastAsia="Arial" w:hAnsi="Arial"/>
                <w:sz w:val="18"/>
                <w:szCs w:val="18"/>
                <w:color w:val="auto"/>
              </w:rPr>
              <w:t>0.39–0.42</w:t>
            </w:r>
          </w:p>
        </w:tc>
      </w:tr>
      <w:tr>
        <w:trPr>
          <w:trHeight w:val="250"/>
        </w:trPr>
        <w:tc>
          <w:tcPr>
            <w:tcW w:w="6540" w:type="dxa"/>
            <w:vAlign w:val="bottom"/>
          </w:tcPr>
          <w:p>
            <w:pPr>
              <w:spacing w:after="0"/>
              <w:rPr>
                <w:sz w:val="20"/>
                <w:szCs w:val="20"/>
                <w:color w:val="auto"/>
              </w:rPr>
            </w:pPr>
            <w:r>
              <w:rPr>
                <w:rFonts w:ascii="Arial" w:cs="Arial" w:eastAsia="Arial" w:hAnsi="Arial"/>
                <w:sz w:val="18"/>
                <w:szCs w:val="18"/>
                <w:color w:val="auto"/>
              </w:rPr>
              <w:t>Interest rates</w:t>
            </w:r>
          </w:p>
        </w:tc>
        <w:tc>
          <w:tcPr>
            <w:tcW w:w="5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rPr>
              <w:t>0.1%–2.2%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21"/>
                <w:szCs w:val="21"/>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rPr>
              <w:t>1.7%–2.9%</w:t>
            </w:r>
          </w:p>
        </w:tc>
      </w:tr>
      <w:tr>
        <w:trPr>
          <w:trHeight w:val="486"/>
        </w:trPr>
        <w:tc>
          <w:tcPr>
            <w:tcW w:w="6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During fiscal year 2020, the following activity occurred under our stock plans:</w:t>
            </w:r>
          </w:p>
        </w:tc>
        <w:tc>
          <w:tcPr>
            <w:tcW w:w="5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7"/>
        </w:trPr>
        <w:tc>
          <w:tcPr>
            <w:tcW w:w="6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Weighted</w:t>
            </w:r>
          </w:p>
        </w:tc>
      </w:tr>
      <w:tr>
        <w:trPr>
          <w:trHeight w:val="148"/>
        </w:trPr>
        <w:tc>
          <w:tcPr>
            <w:tcW w:w="6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Average</w:t>
            </w:r>
          </w:p>
        </w:tc>
      </w:tr>
      <w:tr>
        <w:trPr>
          <w:trHeight w:val="148"/>
        </w:trPr>
        <w:tc>
          <w:tcPr>
            <w:tcW w:w="6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Grant-Date</w:t>
            </w:r>
          </w:p>
        </w:tc>
      </w:tr>
      <w:tr>
        <w:trPr>
          <w:trHeight w:val="178"/>
        </w:trPr>
        <w:tc>
          <w:tcPr>
            <w:tcW w:w="6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Fair Value</w:t>
            </w:r>
          </w:p>
        </w:tc>
      </w:tr>
      <w:tr>
        <w:trPr>
          <w:trHeight w:val="54"/>
        </w:trPr>
        <w:tc>
          <w:tcPr>
            <w:tcW w:w="6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6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3"/>
                <w:szCs w:val="13"/>
                <w:b w:val="1"/>
                <w:bCs w:val="1"/>
                <w:color w:val="auto"/>
              </w:rPr>
              <w:t>Stock Awards</w:t>
            </w: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5"/>
        </w:trPr>
        <w:tc>
          <w:tcPr>
            <w:tcW w:w="6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6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Nonvested balance, beginning of year</w:t>
            </w:r>
          </w:p>
        </w:tc>
        <w:tc>
          <w:tcPr>
            <w:tcW w:w="58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147</w:t>
            </w:r>
          </w:p>
        </w:tc>
        <w:tc>
          <w:tcPr>
            <w:tcW w:w="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78.49</w:t>
            </w:r>
          </w:p>
        </w:tc>
        <w:tc>
          <w:tcPr>
            <w:tcW w:w="60" w:type="dxa"/>
            <w:vAlign w:val="bottom"/>
            <w:shd w:val="clear" w:color="auto" w:fill="E5E5E5"/>
          </w:tcPr>
          <w:p>
            <w:pPr>
              <w:spacing w:after="0"/>
              <w:rPr>
                <w:sz w:val="17"/>
                <w:szCs w:val="17"/>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(a)</w:t>
            </w: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140.49</w:t>
            </w:r>
          </w:p>
        </w:tc>
        <w:tc>
          <w:tcPr>
            <w:tcW w:w="60" w:type="dxa"/>
            <w:vAlign w:val="bottom"/>
          </w:tcPr>
          <w:p>
            <w:pPr>
              <w:spacing w:after="0"/>
              <w:rPr>
                <w:sz w:val="19"/>
                <w:szCs w:val="19"/>
                <w:color w:val="auto"/>
              </w:rPr>
            </w:pPr>
          </w:p>
        </w:tc>
      </w:tr>
      <w:tr>
        <w:trPr>
          <w:trHeight w:val="229"/>
        </w:trPr>
        <w:tc>
          <w:tcPr>
            <w:tcW w:w="65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Vested</w:t>
            </w:r>
          </w:p>
        </w:tc>
        <w:tc>
          <w:tcPr>
            <w:tcW w:w="58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75.35</w:t>
            </w:r>
          </w:p>
        </w:tc>
        <w:tc>
          <w:tcPr>
            <w:tcW w:w="60" w:type="dxa"/>
            <w:vAlign w:val="bottom"/>
            <w:shd w:val="clear" w:color="auto" w:fill="E5E5E5"/>
          </w:tcPr>
          <w:p>
            <w:pPr>
              <w:spacing w:after="0"/>
              <w:rPr>
                <w:sz w:val="19"/>
                <w:szCs w:val="19"/>
                <w:color w:val="auto"/>
              </w:rPr>
            </w:pPr>
          </w:p>
        </w:tc>
      </w:tr>
      <w:tr>
        <w:trPr>
          <w:trHeight w:val="243"/>
        </w:trPr>
        <w:tc>
          <w:tcPr>
            <w:tcW w:w="65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90.30</w:t>
            </w:r>
          </w:p>
        </w:tc>
        <w:tc>
          <w:tcPr>
            <w:tcW w:w="60" w:type="dxa"/>
            <w:vAlign w:val="bottom"/>
          </w:tcPr>
          <w:p>
            <w:pPr>
              <w:spacing w:after="0"/>
              <w:rPr>
                <w:sz w:val="21"/>
                <w:szCs w:val="21"/>
                <w:color w:val="auto"/>
              </w:rPr>
            </w:pPr>
          </w:p>
        </w:tc>
      </w:tr>
      <w:tr>
        <w:trPr>
          <w:trHeight w:val="54"/>
        </w:trPr>
        <w:tc>
          <w:tcPr>
            <w:tcW w:w="6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61"/>
        </w:trPr>
        <w:tc>
          <w:tcPr>
            <w:tcW w:w="6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6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Nonvested balance, end of year</w:t>
            </w:r>
          </w:p>
        </w:tc>
        <w:tc>
          <w:tcPr>
            <w:tcW w:w="58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126</w:t>
            </w:r>
          </w:p>
        </w:tc>
        <w:tc>
          <w:tcPr>
            <w:tcW w:w="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105.23</w:t>
            </w:r>
          </w:p>
        </w:tc>
        <w:tc>
          <w:tcPr>
            <w:tcW w:w="60" w:type="dxa"/>
            <w:vAlign w:val="bottom"/>
            <w:shd w:val="clear" w:color="auto" w:fill="E5E5E5"/>
          </w:tcPr>
          <w:p>
            <w:pPr>
              <w:spacing w:after="0"/>
              <w:rPr>
                <w:sz w:val="17"/>
                <w:szCs w:val="17"/>
                <w:color w:val="auto"/>
              </w:rPr>
            </w:pPr>
          </w:p>
        </w:tc>
      </w:tr>
      <w:tr>
        <w:trPr>
          <w:trHeight w:val="75"/>
        </w:trPr>
        <w:tc>
          <w:tcPr>
            <w:tcW w:w="6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62" w:lineRule="exact"/>
        <w:rPr>
          <w:sz w:val="20"/>
          <w:szCs w:val="20"/>
          <w:color w:val="auto"/>
        </w:rPr>
      </w:pPr>
    </w:p>
    <w:p>
      <w:pPr>
        <w:ind w:left="540" w:right="20" w:hanging="532"/>
        <w:spacing w:after="0" w:line="26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Includes 2 million, 2 million, and 3 million of PSUs granted at target and performance adjustments above target levels for fiscal years 2020, 2019, and 2018, respectively.</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June 30, 2020, there was approximately $10.2 billion of total unrecognized compensation costs related to stock awards. These costs are expected to be recognized over a weighted average period of three years. The weighted average grant-date fair value of stock awards granted was $140.49, $107.02, and $75.88 for fiscal years 2020, 2019, and 2018, respectively. The fair value of stock awards vested was $10.1 billion, $8.7 billion, and $6.6 billion, for fiscal years 2020, 2019, and 2018,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 Employees purchased the following shares during the periods presented:</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060" w:type="dxa"/>
            <w:vAlign w:val="bottom"/>
          </w:tcPr>
          <w:p>
            <w:pPr>
              <w:jc w:val="right"/>
              <w:ind w:right="18"/>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5"/>
                <w:szCs w:val="15"/>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r>
      <w:tr>
        <w:trPr>
          <w:trHeight w:val="55"/>
        </w:trPr>
        <w:tc>
          <w:tcPr>
            <w:tcW w:w="49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Shares purchased</w:t>
            </w:r>
          </w:p>
        </w:tc>
        <w:tc>
          <w:tcPr>
            <w:tcW w:w="406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color w:val="auto"/>
              </w:rPr>
              <w:t>11</w:t>
            </w:r>
          </w:p>
        </w:tc>
        <w:tc>
          <w:tcPr>
            <w:tcW w:w="380" w:type="dxa"/>
            <w:vAlign w:val="bottom"/>
            <w:shd w:val="clear" w:color="auto" w:fill="E5E5E5"/>
          </w:tcPr>
          <w:p>
            <w:pPr>
              <w:spacing w:after="0"/>
              <w:rPr>
                <w:sz w:val="16"/>
                <w:szCs w:val="16"/>
                <w:color w:val="auto"/>
              </w:rPr>
            </w:pPr>
          </w:p>
        </w:tc>
        <w:tc>
          <w:tcPr>
            <w:tcW w:w="6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w:t>
            </w:r>
          </w:p>
        </w:tc>
        <w:tc>
          <w:tcPr>
            <w:tcW w:w="100" w:type="dxa"/>
            <w:vAlign w:val="bottom"/>
            <w:shd w:val="clear" w:color="auto" w:fill="E5E5E5"/>
          </w:tcPr>
          <w:p>
            <w:pPr>
              <w:spacing w:after="0"/>
              <w:rPr>
                <w:sz w:val="16"/>
                <w:szCs w:val="16"/>
                <w:color w:val="auto"/>
              </w:rPr>
            </w:pPr>
          </w:p>
        </w:tc>
      </w:tr>
      <w:tr>
        <w:trPr>
          <w:trHeight w:val="250"/>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price per share</w:t>
            </w:r>
          </w:p>
        </w:tc>
        <w:tc>
          <w:tcPr>
            <w:tcW w:w="4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   142.22</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104.85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ind w:left="5540" w:right="2220" w:hanging="5535"/>
        <w:spacing w:after="0" w:line="451" w:lineRule="auto"/>
        <w:rPr>
          <w:sz w:val="20"/>
          <w:szCs w:val="20"/>
          <w:color w:val="auto"/>
        </w:rPr>
      </w:pPr>
      <w:r>
        <w:rPr>
          <w:rFonts w:ascii="Arial" w:cs="Arial" w:eastAsia="Arial" w:hAnsi="Arial"/>
          <w:sz w:val="18"/>
          <w:szCs w:val="18"/>
          <w:color w:val="auto"/>
        </w:rPr>
        <w:t xml:space="preserve">As of June 30, 2020, 96 million shares of our common stock were reserved for future issuance through the ESPP. </w:t>
      </w: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9" w:name="page90"/>
    <w:bookmarkEnd w:id="89"/>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savings plans in the U.S. that qualify under Section 401(k) of the Internal Revenue Code, and a number of savings plans in international locations. Eligible U.S. employees may contribute a portion of their salary into the savings plans, subject to certain limitations. We contribute fifty cents for each dollar a participant contributes into the plans, with a maximum employer contribution of 50% of the IRS contribution limit for the calendar year. Employer-funded retirement benefits for all plans were $1.0 billion, $877 million, and $807 million in fiscal years 2020, 2019, and 2018, respectively, and were expensed as contributed.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19 — SEGMENT INFORMATION AND GEOGRAPHIC DATA</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8" w:lineRule="exact"/>
        <w:rPr>
          <w:sz w:val="20"/>
          <w:szCs w:val="20"/>
          <w:color w:val="auto"/>
        </w:rPr>
      </w:pPr>
    </w:p>
    <w:p>
      <w:pPr>
        <w:jc w:val="both"/>
        <w:ind w:left="1060" w:hanging="391"/>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the Office portion of Microsoft 365 Commercial subscriptions, and Office licensed on-premises, comprising Office, Exchange, SharePoint, Microsoft Teams, Office 365 Security and Compliance, and Skype for Business, and related Client Access Licenses (“CALs”).</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Office Consumer, including Microsoft 365 Consumer (formerly Office 365 Consumer) subscriptions and Office licensed on-premises, and Office Consumer Services, including Skype, Outlook.com, and OneDrive.</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LinkedIn, including Talent Solutions, Learning Solutions, Marketing Solutions, Sales Solutions, and Premium Subscriptions.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a set of cloud-based applications across ERP and CRM, Dynamics ERP on-premises, and Dynamics CRM on-premises.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62" w:lineRule="exact"/>
        <w:rPr>
          <w:sz w:val="20"/>
          <w:szCs w:val="20"/>
          <w:color w:val="auto"/>
        </w:rPr>
      </w:pPr>
    </w:p>
    <w:p>
      <w:pPr>
        <w:ind w:left="1060" w:hanging="391"/>
        <w:spacing w:after="0" w:line="246"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SQL Server, Windows Server, Visual Studio, System Center, and related CALs; and GitHub.</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48" w:lineRule="exact"/>
        <w:rPr>
          <w:sz w:val="20"/>
          <w:szCs w:val="20"/>
          <w:color w:val="auto"/>
        </w:rPr>
      </w:pPr>
    </w:p>
    <w:p>
      <w:pPr>
        <w:jc w:val="both"/>
        <w:ind w:left="1060" w:hanging="391"/>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Windows Internet of Things; and MSN advertising.</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0" w:name="page91"/>
    <w:bookmarkEnd w:id="90"/>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9" w:lineRule="exact"/>
        <w:rPr>
          <w:sz w:val="20"/>
          <w:szCs w:val="20"/>
          <w:color w:val="auto"/>
        </w:rPr>
      </w:pPr>
    </w:p>
    <w:p>
      <w:pPr>
        <w:ind w:left="1060" w:hanging="391"/>
        <w:spacing w:after="0" w:line="246"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Xbox Live (transactions, subscriptions, cloud services, and advertising), video games, and third-party video game royalties.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Search.</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costs of: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46,398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41,160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35,865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48,366</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38,985</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32,219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48,251</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45,698</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42,276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143,015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125,843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110,360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32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18,724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16,219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12,924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18,324</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13,920</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11,524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15,911</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12,820</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10,610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52,959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42,959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35,058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73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fiscal years 2020, 2019, or 2018. Revenue, classified by the major geographic areas in which our customers were located, was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r>
      <w:tr>
        <w:trPr>
          <w:trHeight w:val="55"/>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73,160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64,199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55,926</w:t>
            </w:r>
          </w:p>
        </w:tc>
      </w:tr>
      <w:tr>
        <w:trPr>
          <w:trHeight w:val="250"/>
        </w:trPr>
        <w:tc>
          <w:tcPr>
            <w:tcW w:w="7320" w:type="dxa"/>
            <w:vAlign w:val="bottom"/>
          </w:tcPr>
          <w:p>
            <w:pPr>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69,855</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61,644</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54,434</w:t>
            </w:r>
          </w:p>
        </w:tc>
      </w:tr>
      <w:tr>
        <w:trPr>
          <w:trHeight w:val="68"/>
        </w:trPr>
        <w:tc>
          <w:tcPr>
            <w:tcW w:w="73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73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143,015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125,843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110,360</w:t>
            </w:r>
          </w:p>
        </w:tc>
      </w:tr>
      <w:tr>
        <w:trPr>
          <w:trHeight w:val="75"/>
        </w:trPr>
        <w:tc>
          <w:tcPr>
            <w:tcW w:w="73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2" w:lineRule="exact"/>
        <w:rPr>
          <w:sz w:val="20"/>
          <w:szCs w:val="20"/>
          <w:color w:val="auto"/>
        </w:rPr>
      </w:pPr>
    </w:p>
    <w:p>
      <w:pPr>
        <w:ind w:left="540" w:right="20" w:hanging="532"/>
        <w:spacing w:after="0" w:line="26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1" w:name="page92"/>
    <w:bookmarkEnd w:id="91"/>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r>
      <w:tr>
        <w:trPr>
          <w:trHeight w:val="54"/>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41,379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32,622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26,129</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35,316</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31,769</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28,316</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22,294</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20,395</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19,518</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11,575</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11,386</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10,353</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LinkedIn</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8,077</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6,754</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5,259</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Search advertising</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7,740</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7,628</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7,012</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Devices</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6,457</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6,095</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5,134</w:t>
            </w: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Enterprise Services</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6,409</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6,124</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5,846</w:t>
            </w:r>
          </w:p>
        </w:tc>
      </w:tr>
      <w:tr>
        <w:trPr>
          <w:trHeight w:val="189"/>
        </w:trPr>
        <w:tc>
          <w:tcPr>
            <w:tcW w:w="7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3,768</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3,070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2,793</w:t>
            </w:r>
          </w:p>
        </w:tc>
      </w:tr>
      <w:tr>
        <w:trPr>
          <w:trHeight w:val="68"/>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73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143,015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125,843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110,360</w:t>
            </w:r>
          </w:p>
        </w:tc>
        <w:tc>
          <w:tcPr>
            <w:tcW w:w="100" w:type="dxa"/>
            <w:vAlign w:val="bottom"/>
          </w:tcPr>
          <w:p>
            <w:pPr>
              <w:spacing w:after="0"/>
              <w:rPr>
                <w:sz w:val="22"/>
                <w:szCs w:val="22"/>
                <w:color w:val="auto"/>
              </w:rPr>
            </w:pPr>
          </w:p>
        </w:tc>
      </w:tr>
      <w:tr>
        <w:trPr>
          <w:trHeight w:val="61"/>
        </w:trPr>
        <w:tc>
          <w:tcPr>
            <w:tcW w:w="73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cloud revenue, which includes Office 365 Commercial, Azure, the commercial portion of LinkedIn, Dynamics 365, and other commercial cloud properties, was $51.7 billion, $38.1 billion and $ 26.6 billion in fiscal years 2020, 2019, and 2018, respectively. These amounts are primarily included in Office products and cloud services, Server products and cloud services, and LinkedIn in the table above.</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Long-lived assets, excluding financial instruments and tax assets, classified by the location of the controlling statutory company and with countries over 10% of the total shown separately, were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4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United States</w:t>
            </w:r>
          </w:p>
        </w:tc>
        <w:tc>
          <w:tcPr>
            <w:tcW w:w="4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60,789</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55,252</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44,501</w:t>
            </w:r>
          </w:p>
        </w:tc>
        <w:tc>
          <w:tcPr>
            <w:tcW w:w="0" w:type="dxa"/>
            <w:vAlign w:val="bottom"/>
          </w:tcPr>
          <w:p>
            <w:pPr>
              <w:spacing w:after="0"/>
              <w:rPr>
                <w:sz w:val="1"/>
                <w:szCs w:val="1"/>
                <w:color w:val="auto"/>
              </w:rPr>
            </w:pP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8"/>
                <w:szCs w:val="18"/>
                <w:color w:val="auto"/>
              </w:rPr>
              <w:t>Ireland</w:t>
            </w:r>
          </w:p>
        </w:tc>
        <w:tc>
          <w:tcPr>
            <w:tcW w:w="3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12,734</w:t>
            </w:r>
          </w:p>
        </w:tc>
        <w:tc>
          <w:tcPr>
            <w:tcW w:w="34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12,958</w:t>
            </w: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12,843</w:t>
            </w:r>
          </w:p>
        </w:tc>
        <w:tc>
          <w:tcPr>
            <w:tcW w:w="0" w:type="dxa"/>
            <w:vAlign w:val="bottom"/>
          </w:tcPr>
          <w:p>
            <w:pPr>
              <w:spacing w:after="0"/>
              <w:rPr>
                <w:sz w:val="1"/>
                <w:szCs w:val="1"/>
                <w:color w:val="auto"/>
              </w:rPr>
            </w:pPr>
          </w:p>
        </w:tc>
      </w:tr>
      <w:tr>
        <w:trPr>
          <w:trHeight w:val="189"/>
        </w:trPr>
        <w:tc>
          <w:tcPr>
            <w:tcW w:w="3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countries</w:t>
            </w:r>
          </w:p>
        </w:tc>
        <w:tc>
          <w:tcPr>
            <w:tcW w:w="39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29,770</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25,422</w:t>
            </w: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22,538</w:t>
            </w:r>
          </w:p>
        </w:tc>
        <w:tc>
          <w:tcPr>
            <w:tcW w:w="0" w:type="dxa"/>
            <w:vAlign w:val="bottom"/>
          </w:tcPr>
          <w:p>
            <w:pPr>
              <w:spacing w:after="0"/>
              <w:rPr>
                <w:sz w:val="1"/>
                <w:szCs w:val="1"/>
                <w:color w:val="auto"/>
              </w:rPr>
            </w:pPr>
          </w:p>
        </w:tc>
      </w:tr>
      <w:tr>
        <w:trPr>
          <w:trHeight w:val="68"/>
        </w:trPr>
        <w:tc>
          <w:tcPr>
            <w:tcW w:w="340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400" w:type="dxa"/>
            <w:vAlign w:val="bottom"/>
          </w:tcPr>
          <w:p>
            <w:pPr>
              <w:ind w:left="220"/>
              <w:spacing w:after="0"/>
              <w:rPr>
                <w:sz w:val="20"/>
                <w:szCs w:val="20"/>
                <w:color w:val="auto"/>
              </w:rPr>
            </w:pPr>
            <w:r>
              <w:rPr>
                <w:rFonts w:ascii="Arial" w:cs="Arial" w:eastAsia="Arial" w:hAnsi="Arial"/>
                <w:sz w:val="18"/>
                <w:szCs w:val="18"/>
                <w:color w:val="auto"/>
              </w:rPr>
              <w:t>Total</w:t>
            </w:r>
          </w:p>
        </w:tc>
        <w:tc>
          <w:tcPr>
            <w:tcW w:w="4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103,293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93,632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79,882</w:t>
            </w:r>
          </w:p>
        </w:tc>
        <w:tc>
          <w:tcPr>
            <w:tcW w:w="0" w:type="dxa"/>
            <w:vAlign w:val="bottom"/>
          </w:tcPr>
          <w:p>
            <w:pPr>
              <w:spacing w:after="0"/>
              <w:rPr>
                <w:sz w:val="1"/>
                <w:szCs w:val="1"/>
                <w:color w:val="auto"/>
              </w:rPr>
            </w:pPr>
          </w:p>
        </w:tc>
      </w:tr>
      <w:tr>
        <w:trPr>
          <w:trHeight w:val="61"/>
        </w:trPr>
        <w:tc>
          <w:tcPr>
            <w:tcW w:w="3400" w:type="dxa"/>
            <w:vAlign w:val="bottom"/>
          </w:tcPr>
          <w:p>
            <w:pPr>
              <w:spacing w:after="0"/>
              <w:rPr>
                <w:sz w:val="5"/>
                <w:szCs w:val="5"/>
                <w:color w:val="auto"/>
              </w:rPr>
            </w:pPr>
          </w:p>
        </w:tc>
        <w:tc>
          <w:tcPr>
            <w:tcW w:w="3920" w:type="dxa"/>
            <w:vAlign w:val="bottom"/>
            <w:vMerge w:val="restart"/>
          </w:tcPr>
          <w:p>
            <w:pPr>
              <w:jc w:val="right"/>
              <w:ind w:right="1536"/>
              <w:spacing w:after="0"/>
              <w:rPr>
                <w:sz w:val="20"/>
                <w:szCs w:val="20"/>
                <w:color w:val="auto"/>
              </w:rPr>
            </w:pPr>
            <w:r>
              <w:rPr>
                <w:rFonts w:ascii="Arial" w:cs="Arial" w:eastAsia="Arial" w:hAnsi="Arial"/>
                <w:sz w:val="14"/>
                <w:szCs w:val="14"/>
                <w:color w:val="auto"/>
              </w:rPr>
              <w:t>92</w:t>
            </w: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6"/>
        </w:trPr>
        <w:tc>
          <w:tcPr>
            <w:tcW w:w="34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0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2" w:name="page93"/>
    <w:bookmarkEnd w:id="92"/>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8</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20 — QUARTERLY INFORMATION (UNAUDITED)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891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20"/>
                <w:szCs w:val="20"/>
                <w:color w:val="auto"/>
              </w:rPr>
            </w:pPr>
            <w:r>
              <w:rPr>
                <w:rFonts w:ascii="Arial" w:cs="Arial" w:eastAsia="Arial" w:hAnsi="Arial"/>
                <w:sz w:val="13"/>
                <w:szCs w:val="13"/>
                <w:b w:val="1"/>
                <w:bCs w:val="1"/>
                <w:color w:val="auto"/>
              </w:rPr>
              <w:t>Quarter Ended</w:t>
            </w:r>
          </w:p>
        </w:tc>
        <w:tc>
          <w:tcPr>
            <w:tcW w:w="132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3"/>
                <w:szCs w:val="13"/>
                <w:b w:val="1"/>
                <w:bCs w:val="1"/>
                <w:color w:val="auto"/>
              </w:rPr>
              <w:t>March 31</w:t>
            </w:r>
          </w:p>
        </w:tc>
        <w:tc>
          <w:tcPr>
            <w:tcW w:w="4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5"/>
                <w:szCs w:val="15"/>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b w:val="1"/>
                <w:bCs w:val="1"/>
                <w:color w:val="auto"/>
              </w:rPr>
              <w:t>Total</w:t>
            </w:r>
          </w:p>
        </w:tc>
      </w:tr>
      <w:tr>
        <w:trPr>
          <w:trHeight w:val="216"/>
        </w:trPr>
        <w:tc>
          <w:tcPr>
            <w:tcW w:w="3500" w:type="dxa"/>
            <w:vAlign w:val="bottom"/>
          </w:tcPr>
          <w:p>
            <w:pPr>
              <w:spacing w:after="0"/>
              <w:rPr>
                <w:sz w:val="20"/>
                <w:szCs w:val="20"/>
                <w:color w:val="auto"/>
              </w:rPr>
            </w:pPr>
            <w:r>
              <w:rPr>
                <w:rFonts w:ascii="Arial" w:cs="Arial" w:eastAsia="Arial" w:hAnsi="Arial"/>
                <w:sz w:val="13"/>
                <w:szCs w:val="13"/>
                <w:b w:val="1"/>
                <w:bCs w:val="1"/>
                <w:color w:val="auto"/>
              </w:rPr>
              <w:t>Fiscal Year 2020</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4"/>
        </w:trPr>
        <w:tc>
          <w:tcPr>
            <w:tcW w:w="3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3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b w:val="1"/>
                <w:bCs w:val="1"/>
                <w:color w:val="auto"/>
              </w:rPr>
              <w:t>33,055</w:t>
            </w:r>
          </w:p>
        </w:tc>
        <w:tc>
          <w:tcPr>
            <w:tcW w:w="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36,906</w:t>
            </w:r>
          </w:p>
        </w:tc>
        <w:tc>
          <w:tcPr>
            <w:tcW w:w="4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35,021</w:t>
            </w:r>
          </w:p>
        </w:tc>
        <w:tc>
          <w:tcPr>
            <w:tcW w:w="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38,033</w:t>
            </w:r>
          </w:p>
        </w:tc>
        <w:tc>
          <w:tcPr>
            <w:tcW w:w="38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143,015</w:t>
            </w:r>
          </w:p>
        </w:tc>
        <w:tc>
          <w:tcPr>
            <w:tcW w:w="60" w:type="dxa"/>
            <w:vAlign w:val="bottom"/>
            <w:shd w:val="clear" w:color="auto" w:fill="E5E5E5"/>
          </w:tcPr>
          <w:p>
            <w:pPr>
              <w:spacing w:after="0"/>
              <w:rPr>
                <w:sz w:val="16"/>
                <w:szCs w:val="16"/>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1320" w:type="dxa"/>
            <w:vAlign w:val="bottom"/>
          </w:tcPr>
          <w:p>
            <w:pPr>
              <w:spacing w:after="0"/>
              <w:rPr>
                <w:sz w:val="16"/>
                <w:szCs w:val="16"/>
                <w:color w:val="auto"/>
              </w:rPr>
            </w:pPr>
          </w:p>
        </w:tc>
        <w:tc>
          <w:tcPr>
            <w:tcW w:w="1080" w:type="dxa"/>
            <w:vAlign w:val="bottom"/>
          </w:tcPr>
          <w:p>
            <w:pPr>
              <w:jc w:val="right"/>
              <w:ind w:right="52"/>
              <w:spacing w:after="0" w:line="189" w:lineRule="exact"/>
              <w:rPr>
                <w:sz w:val="20"/>
                <w:szCs w:val="20"/>
                <w:color w:val="auto"/>
              </w:rPr>
            </w:pPr>
            <w:r>
              <w:rPr>
                <w:rFonts w:ascii="Arial" w:cs="Arial" w:eastAsia="Arial" w:hAnsi="Arial"/>
                <w:sz w:val="18"/>
                <w:szCs w:val="18"/>
                <w:b w:val="1"/>
                <w:bCs w:val="1"/>
                <w:color w:val="auto"/>
              </w:rPr>
              <w:t>22,649</w:t>
            </w:r>
          </w:p>
        </w:tc>
        <w:tc>
          <w:tcPr>
            <w:tcW w:w="300" w:type="dxa"/>
            <w:vAlign w:val="bottom"/>
          </w:tcPr>
          <w:p>
            <w:pPr>
              <w:spacing w:after="0"/>
              <w:rPr>
                <w:sz w:val="16"/>
                <w:szCs w:val="16"/>
                <w:color w:val="auto"/>
              </w:rPr>
            </w:pPr>
          </w:p>
        </w:tc>
        <w:tc>
          <w:tcPr>
            <w:tcW w:w="10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24,548</w:t>
            </w:r>
          </w:p>
        </w:tc>
        <w:tc>
          <w:tcPr>
            <w:tcW w:w="4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24,046</w:t>
            </w:r>
          </w:p>
        </w:tc>
        <w:tc>
          <w:tcPr>
            <w:tcW w:w="44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25,694</w:t>
            </w:r>
          </w:p>
        </w:tc>
        <w:tc>
          <w:tcPr>
            <w:tcW w:w="3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96,937</w:t>
            </w:r>
          </w:p>
        </w:tc>
        <w:tc>
          <w:tcPr>
            <w:tcW w:w="60" w:type="dxa"/>
            <w:vAlign w:val="bottom"/>
          </w:tcPr>
          <w:p>
            <w:pPr>
              <w:spacing w:after="0"/>
              <w:rPr>
                <w:sz w:val="16"/>
                <w:szCs w:val="16"/>
                <w:color w:val="auto"/>
              </w:rPr>
            </w:pPr>
          </w:p>
        </w:tc>
      </w:tr>
      <w:tr>
        <w:trPr>
          <w:trHeight w:val="189"/>
        </w:trPr>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32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b w:val="1"/>
                <w:bCs w:val="1"/>
                <w:color w:val="auto"/>
              </w:rPr>
              <w:t>12,686</w:t>
            </w:r>
          </w:p>
        </w:tc>
        <w:tc>
          <w:tcPr>
            <w:tcW w:w="30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13,891</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12,975</w:t>
            </w:r>
          </w:p>
        </w:tc>
        <w:tc>
          <w:tcPr>
            <w:tcW w:w="44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13,407</w:t>
            </w: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52,959</w:t>
            </w:r>
          </w:p>
        </w:tc>
        <w:tc>
          <w:tcPr>
            <w:tcW w:w="60" w:type="dxa"/>
            <w:vAlign w:val="bottom"/>
            <w:shd w:val="clear" w:color="auto" w:fill="E5E5E5"/>
          </w:tcPr>
          <w:p>
            <w:pPr>
              <w:spacing w:after="0"/>
              <w:rPr>
                <w:sz w:val="16"/>
                <w:szCs w:val="16"/>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6"/>
                <w:szCs w:val="16"/>
                <w:color w:val="auto"/>
              </w:rPr>
            </w:pPr>
          </w:p>
        </w:tc>
        <w:tc>
          <w:tcPr>
            <w:tcW w:w="1080" w:type="dxa"/>
            <w:vAlign w:val="bottom"/>
          </w:tcPr>
          <w:p>
            <w:pPr>
              <w:jc w:val="right"/>
              <w:ind w:right="52"/>
              <w:spacing w:after="0" w:line="189" w:lineRule="exact"/>
              <w:rPr>
                <w:sz w:val="20"/>
                <w:szCs w:val="20"/>
                <w:color w:val="auto"/>
              </w:rPr>
            </w:pPr>
            <w:r>
              <w:rPr>
                <w:rFonts w:ascii="Arial" w:cs="Arial" w:eastAsia="Arial" w:hAnsi="Arial"/>
                <w:sz w:val="18"/>
                <w:szCs w:val="18"/>
                <w:b w:val="1"/>
                <w:bCs w:val="1"/>
                <w:color w:val="auto"/>
              </w:rPr>
              <w:t>10,678</w:t>
            </w:r>
          </w:p>
        </w:tc>
        <w:tc>
          <w:tcPr>
            <w:tcW w:w="300" w:type="dxa"/>
            <w:vAlign w:val="bottom"/>
          </w:tcPr>
          <w:p>
            <w:pPr>
              <w:spacing w:after="0"/>
              <w:rPr>
                <w:sz w:val="16"/>
                <w:szCs w:val="16"/>
                <w:color w:val="auto"/>
              </w:rPr>
            </w:pPr>
          </w:p>
        </w:tc>
        <w:tc>
          <w:tcPr>
            <w:tcW w:w="10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11,649</w:t>
            </w:r>
          </w:p>
        </w:tc>
        <w:tc>
          <w:tcPr>
            <w:tcW w:w="4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10,752</w:t>
            </w:r>
          </w:p>
        </w:tc>
        <w:tc>
          <w:tcPr>
            <w:tcW w:w="44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11,202</w:t>
            </w:r>
          </w:p>
        </w:tc>
        <w:tc>
          <w:tcPr>
            <w:tcW w:w="3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44,281</w:t>
            </w:r>
          </w:p>
        </w:tc>
        <w:tc>
          <w:tcPr>
            <w:tcW w:w="60" w:type="dxa"/>
            <w:vAlign w:val="bottom"/>
          </w:tcPr>
          <w:p>
            <w:pPr>
              <w:spacing w:after="0"/>
              <w:rPr>
                <w:sz w:val="16"/>
                <w:szCs w:val="16"/>
                <w:color w:val="auto"/>
              </w:rPr>
            </w:pPr>
          </w:p>
        </w:tc>
      </w:tr>
      <w:tr>
        <w:trPr>
          <w:trHeight w:val="189"/>
        </w:trPr>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earnings per share</w:t>
            </w:r>
          </w:p>
        </w:tc>
        <w:tc>
          <w:tcPr>
            <w:tcW w:w="132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b w:val="1"/>
                <w:bCs w:val="1"/>
                <w:color w:val="auto"/>
              </w:rPr>
              <w:t>1.40</w:t>
            </w:r>
          </w:p>
        </w:tc>
        <w:tc>
          <w:tcPr>
            <w:tcW w:w="30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1.53</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1.41</w:t>
            </w:r>
          </w:p>
        </w:tc>
        <w:tc>
          <w:tcPr>
            <w:tcW w:w="44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1.48</w:t>
            </w: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5.82</w:t>
            </w:r>
          </w:p>
        </w:tc>
        <w:tc>
          <w:tcPr>
            <w:tcW w:w="60" w:type="dxa"/>
            <w:vAlign w:val="bottom"/>
            <w:shd w:val="clear" w:color="auto" w:fill="E5E5E5"/>
          </w:tcPr>
          <w:p>
            <w:pPr>
              <w:spacing w:after="0"/>
              <w:rPr>
                <w:sz w:val="16"/>
                <w:szCs w:val="16"/>
                <w:color w:val="auto"/>
              </w:rPr>
            </w:pPr>
          </w:p>
        </w:tc>
      </w:tr>
      <w:tr>
        <w:trPr>
          <w:trHeight w:val="239"/>
        </w:trPr>
        <w:tc>
          <w:tcPr>
            <w:tcW w:w="35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32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1.38</w:t>
            </w:r>
          </w:p>
        </w:tc>
        <w:tc>
          <w:tcPr>
            <w:tcW w:w="3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1.51</w:t>
            </w:r>
          </w:p>
        </w:tc>
        <w:tc>
          <w:tcPr>
            <w:tcW w:w="4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1.40</w:t>
            </w:r>
          </w:p>
        </w:tc>
        <w:tc>
          <w:tcPr>
            <w:tcW w:w="4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1.46</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5.76</w:t>
            </w:r>
          </w:p>
        </w:tc>
        <w:tc>
          <w:tcPr>
            <w:tcW w:w="60" w:type="dxa"/>
            <w:vAlign w:val="bottom"/>
          </w:tcPr>
          <w:p>
            <w:pPr>
              <w:spacing w:after="0"/>
              <w:rPr>
                <w:sz w:val="20"/>
                <w:szCs w:val="20"/>
                <w:color w:val="auto"/>
              </w:rPr>
            </w:pPr>
          </w:p>
        </w:tc>
      </w:tr>
      <w:tr>
        <w:trPr>
          <w:trHeight w:val="179"/>
        </w:trPr>
        <w:tc>
          <w:tcPr>
            <w:tcW w:w="3500" w:type="dxa"/>
            <w:vAlign w:val="bottom"/>
          </w:tcPr>
          <w:p>
            <w:pPr>
              <w:spacing w:after="0"/>
              <w:rPr>
                <w:sz w:val="20"/>
                <w:szCs w:val="20"/>
                <w:color w:val="auto"/>
              </w:rPr>
            </w:pPr>
            <w:r>
              <w:rPr>
                <w:rFonts w:ascii="Arial" w:cs="Arial" w:eastAsia="Arial" w:hAnsi="Arial"/>
                <w:sz w:val="13"/>
                <w:szCs w:val="13"/>
                <w:b w:val="1"/>
                <w:bCs w:val="1"/>
                <w:color w:val="auto"/>
              </w:rPr>
              <w:t>Fiscal Year 2019</w:t>
            </w: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55"/>
        </w:trPr>
        <w:tc>
          <w:tcPr>
            <w:tcW w:w="3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32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color w:val="auto"/>
              </w:rPr>
              <w:t>29,084</w:t>
            </w:r>
          </w:p>
        </w:tc>
        <w:tc>
          <w:tcPr>
            <w:tcW w:w="30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32,471</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30,571</w:t>
            </w:r>
          </w:p>
        </w:tc>
        <w:tc>
          <w:tcPr>
            <w:tcW w:w="44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33,717</w:t>
            </w: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125,843</w:t>
            </w:r>
          </w:p>
        </w:tc>
        <w:tc>
          <w:tcPr>
            <w:tcW w:w="60" w:type="dxa"/>
            <w:vAlign w:val="bottom"/>
            <w:shd w:val="clear" w:color="auto" w:fill="E5E5E5"/>
          </w:tcPr>
          <w:p>
            <w:pPr>
              <w:spacing w:after="0"/>
              <w:rPr>
                <w:sz w:val="16"/>
                <w:szCs w:val="16"/>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1320" w:type="dxa"/>
            <w:vAlign w:val="bottom"/>
          </w:tcPr>
          <w:p>
            <w:pPr>
              <w:spacing w:after="0"/>
              <w:rPr>
                <w:sz w:val="16"/>
                <w:szCs w:val="16"/>
                <w:color w:val="auto"/>
              </w:rPr>
            </w:pPr>
          </w:p>
        </w:tc>
        <w:tc>
          <w:tcPr>
            <w:tcW w:w="10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19,179</w:t>
            </w:r>
          </w:p>
        </w:tc>
        <w:tc>
          <w:tcPr>
            <w:tcW w:w="300" w:type="dxa"/>
            <w:vAlign w:val="bottom"/>
          </w:tcPr>
          <w:p>
            <w:pPr>
              <w:spacing w:after="0"/>
              <w:rPr>
                <w:sz w:val="16"/>
                <w:szCs w:val="16"/>
                <w:color w:val="auto"/>
              </w:rPr>
            </w:pPr>
          </w:p>
        </w:tc>
        <w:tc>
          <w:tcPr>
            <w:tcW w:w="1060" w:type="dxa"/>
            <w:vAlign w:val="bottom"/>
          </w:tcPr>
          <w:p>
            <w:pPr>
              <w:jc w:val="right"/>
              <w:ind w:right="32"/>
              <w:spacing w:after="0" w:line="189" w:lineRule="exact"/>
              <w:rPr>
                <w:sz w:val="20"/>
                <w:szCs w:val="20"/>
                <w:color w:val="auto"/>
              </w:rPr>
            </w:pPr>
            <w:r>
              <w:rPr>
                <w:rFonts w:ascii="Arial" w:cs="Arial" w:eastAsia="Arial" w:hAnsi="Arial"/>
                <w:sz w:val="18"/>
                <w:szCs w:val="18"/>
                <w:color w:val="auto"/>
              </w:rPr>
              <w:t>20,048</w:t>
            </w:r>
          </w:p>
        </w:tc>
        <w:tc>
          <w:tcPr>
            <w:tcW w:w="4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20,401</w:t>
            </w:r>
          </w:p>
        </w:tc>
        <w:tc>
          <w:tcPr>
            <w:tcW w:w="44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Arial" w:cs="Arial" w:eastAsia="Arial" w:hAnsi="Arial"/>
                <w:sz w:val="18"/>
                <w:szCs w:val="18"/>
                <w:color w:val="auto"/>
              </w:rPr>
              <w:t>23,305</w:t>
            </w:r>
          </w:p>
        </w:tc>
        <w:tc>
          <w:tcPr>
            <w:tcW w:w="3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82,933</w:t>
            </w:r>
          </w:p>
        </w:tc>
        <w:tc>
          <w:tcPr>
            <w:tcW w:w="60" w:type="dxa"/>
            <w:vAlign w:val="bottom"/>
          </w:tcPr>
          <w:p>
            <w:pPr>
              <w:spacing w:after="0"/>
              <w:rPr>
                <w:sz w:val="16"/>
                <w:szCs w:val="16"/>
                <w:color w:val="auto"/>
              </w:rPr>
            </w:pPr>
          </w:p>
        </w:tc>
      </w:tr>
      <w:tr>
        <w:trPr>
          <w:trHeight w:val="189"/>
        </w:trPr>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32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color w:val="auto"/>
              </w:rPr>
              <w:t>9,955</w:t>
            </w:r>
          </w:p>
        </w:tc>
        <w:tc>
          <w:tcPr>
            <w:tcW w:w="30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10,258</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10,341</w:t>
            </w:r>
          </w:p>
        </w:tc>
        <w:tc>
          <w:tcPr>
            <w:tcW w:w="44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12,405</w:t>
            </w: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42,959</w:t>
            </w:r>
          </w:p>
        </w:tc>
        <w:tc>
          <w:tcPr>
            <w:tcW w:w="60" w:type="dxa"/>
            <w:vAlign w:val="bottom"/>
            <w:shd w:val="clear" w:color="auto" w:fill="E5E5E5"/>
          </w:tcPr>
          <w:p>
            <w:pPr>
              <w:spacing w:after="0"/>
              <w:rPr>
                <w:sz w:val="16"/>
                <w:szCs w:val="16"/>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(a)</w:t>
            </w:r>
          </w:p>
        </w:tc>
        <w:tc>
          <w:tcPr>
            <w:tcW w:w="1320" w:type="dxa"/>
            <w:vAlign w:val="bottom"/>
          </w:tcPr>
          <w:p>
            <w:pPr>
              <w:spacing w:after="0"/>
              <w:rPr>
                <w:sz w:val="16"/>
                <w:szCs w:val="16"/>
                <w:color w:val="auto"/>
              </w:rPr>
            </w:pPr>
          </w:p>
        </w:tc>
        <w:tc>
          <w:tcPr>
            <w:tcW w:w="1080" w:type="dxa"/>
            <w:vAlign w:val="bottom"/>
          </w:tcPr>
          <w:p>
            <w:pPr>
              <w:jc w:val="right"/>
              <w:ind w:right="52"/>
              <w:spacing w:after="0" w:line="189" w:lineRule="exact"/>
              <w:rPr>
                <w:sz w:val="20"/>
                <w:szCs w:val="20"/>
                <w:color w:val="auto"/>
              </w:rPr>
            </w:pPr>
            <w:r>
              <w:rPr>
                <w:rFonts w:ascii="Arial" w:cs="Arial" w:eastAsia="Arial" w:hAnsi="Arial"/>
                <w:sz w:val="18"/>
                <w:szCs w:val="18"/>
                <w:color w:val="auto"/>
              </w:rPr>
              <w:t>8,824</w:t>
            </w:r>
          </w:p>
        </w:tc>
        <w:tc>
          <w:tcPr>
            <w:tcW w:w="300" w:type="dxa"/>
            <w:vAlign w:val="bottom"/>
          </w:tcPr>
          <w:p>
            <w:pPr>
              <w:spacing w:after="0"/>
              <w:rPr>
                <w:sz w:val="16"/>
                <w:szCs w:val="16"/>
                <w:color w:val="auto"/>
              </w:rPr>
            </w:pPr>
          </w:p>
        </w:tc>
        <w:tc>
          <w:tcPr>
            <w:tcW w:w="1060" w:type="dxa"/>
            <w:vAlign w:val="bottom"/>
          </w:tcPr>
          <w:p>
            <w:pPr>
              <w:jc w:val="right"/>
              <w:ind w:right="32"/>
              <w:spacing w:after="0" w:line="189" w:lineRule="exact"/>
              <w:rPr>
                <w:sz w:val="20"/>
                <w:szCs w:val="20"/>
                <w:color w:val="auto"/>
              </w:rPr>
            </w:pPr>
            <w:r>
              <w:rPr>
                <w:rFonts w:ascii="Arial" w:cs="Arial" w:eastAsia="Arial" w:hAnsi="Arial"/>
                <w:sz w:val="18"/>
                <w:szCs w:val="18"/>
                <w:color w:val="auto"/>
              </w:rPr>
              <w:t>8,420</w:t>
            </w:r>
          </w:p>
        </w:tc>
        <w:tc>
          <w:tcPr>
            <w:tcW w:w="4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8,809</w:t>
            </w:r>
          </w:p>
        </w:tc>
        <w:tc>
          <w:tcPr>
            <w:tcW w:w="44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13,187</w:t>
            </w:r>
          </w:p>
        </w:tc>
        <w:tc>
          <w:tcPr>
            <w:tcW w:w="3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39,240</w:t>
            </w:r>
          </w:p>
        </w:tc>
        <w:tc>
          <w:tcPr>
            <w:tcW w:w="60" w:type="dxa"/>
            <w:vAlign w:val="bottom"/>
          </w:tcPr>
          <w:p>
            <w:pPr>
              <w:spacing w:after="0"/>
              <w:rPr>
                <w:sz w:val="16"/>
                <w:szCs w:val="16"/>
                <w:color w:val="auto"/>
              </w:rPr>
            </w:pPr>
          </w:p>
        </w:tc>
      </w:tr>
      <w:tr>
        <w:trPr>
          <w:trHeight w:val="189"/>
        </w:trPr>
        <w:tc>
          <w:tcPr>
            <w:tcW w:w="3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earnings per share</w:t>
            </w:r>
          </w:p>
        </w:tc>
        <w:tc>
          <w:tcPr>
            <w:tcW w:w="132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color w:val="auto"/>
              </w:rPr>
              <w:t>1.15</w:t>
            </w:r>
          </w:p>
        </w:tc>
        <w:tc>
          <w:tcPr>
            <w:tcW w:w="30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1.09</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1.15</w:t>
            </w:r>
          </w:p>
        </w:tc>
        <w:tc>
          <w:tcPr>
            <w:tcW w:w="44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1.72</w:t>
            </w:r>
          </w:p>
        </w:tc>
        <w:tc>
          <w:tcPr>
            <w:tcW w:w="3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5.11</w:t>
            </w:r>
          </w:p>
        </w:tc>
        <w:tc>
          <w:tcPr>
            <w:tcW w:w="60" w:type="dxa"/>
            <w:vAlign w:val="bottom"/>
            <w:shd w:val="clear" w:color="auto" w:fill="E5E5E5"/>
          </w:tcPr>
          <w:p>
            <w:pPr>
              <w:spacing w:after="0"/>
              <w:rPr>
                <w:sz w:val="16"/>
                <w:szCs w:val="16"/>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5"/>
                <w:szCs w:val="15"/>
                <w:color w:val="auto"/>
              </w:rPr>
              <w:t>(b)</w:t>
            </w:r>
          </w:p>
        </w:tc>
        <w:tc>
          <w:tcPr>
            <w:tcW w:w="13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18"/>
                <w:szCs w:val="18"/>
                <w:color w:val="auto"/>
              </w:rPr>
            </w:pPr>
          </w:p>
        </w:tc>
      </w:tr>
      <w:tr>
        <w:trPr>
          <w:trHeight w:val="40"/>
        </w:trPr>
        <w:tc>
          <w:tcPr>
            <w:tcW w:w="35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bl>
    <w:p>
      <w:pPr>
        <w:spacing w:after="0" w:line="130" w:lineRule="exact"/>
        <w:rPr>
          <w:sz w:val="20"/>
          <w:szCs w:val="20"/>
          <w:color w:val="auto"/>
        </w:rPr>
      </w:pPr>
    </w:p>
    <w:p>
      <w:pPr>
        <w:jc w:val="both"/>
        <w:ind w:left="540" w:hanging="532"/>
        <w:spacing w:after="0" w:line="241"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Reflects the $157 million net charge related to the enactment of the TCJA for the second quarter and the $2.6 billion net income tax benefit related to the intangible property transfers for the fourth quarter, which together increased net income by $2.4 billion for fiscal year 2019. See Note 12 – Income Taxes for further information.</w:t>
      </w:r>
    </w:p>
    <w:p>
      <w:pPr>
        <w:spacing w:after="0" w:line="1" w:lineRule="exact"/>
        <w:rPr>
          <w:rFonts w:ascii="Arial" w:cs="Arial" w:eastAsia="Arial" w:hAnsi="Arial"/>
          <w:sz w:val="18"/>
          <w:szCs w:val="18"/>
          <w:color w:val="auto"/>
        </w:rPr>
      </w:pPr>
    </w:p>
    <w:p>
      <w:pPr>
        <w:jc w:val="both"/>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Reflects the net charge related to the enactment of the TCJA and the net income tax benefit related to the intangible property transfers, which decreased (increased) diluted EPS $0.02 for the second quarter, $(0.34) for the fourth quarter, and $(0.31) for fiscal year 2019</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3" w:name="page94"/>
    <w:bookmarkEnd w:id="93"/>
    <w:p>
      <w:pPr>
        <w:ind w:left="5200"/>
        <w:spacing w:after="0"/>
        <w:rPr>
          <w:sz w:val="20"/>
          <w:szCs w:val="20"/>
          <w:color w:val="auto"/>
        </w:rPr>
      </w:pPr>
      <w:r>
        <w:rPr>
          <w:rFonts w:ascii="Arial" w:cs="Arial" w:eastAsia="Arial" w:hAnsi="Arial"/>
          <w:sz w:val="13"/>
          <w:szCs w:val="13"/>
          <w:u w:val="single" w:color="auto"/>
          <w:color w:val="auto"/>
        </w:rPr>
        <w:t>PART II</w:t>
      </w:r>
    </w:p>
    <w:p>
      <w:pPr>
        <w:ind w:left="5240"/>
        <w:spacing w:after="0"/>
        <w:rPr>
          <w:sz w:val="20"/>
          <w:szCs w:val="20"/>
          <w:color w:val="auto"/>
        </w:rPr>
      </w:pPr>
      <w:r>
        <w:rPr>
          <w:rFonts w:ascii="Arial" w:cs="Arial" w:eastAsia="Arial" w:hAnsi="Arial"/>
          <w:sz w:val="13"/>
          <w:szCs w:val="13"/>
          <w:color w:val="auto"/>
        </w:rPr>
        <w:t>Item 8</w:t>
      </w:r>
    </w:p>
    <w:p>
      <w:pPr>
        <w:spacing w:after="0" w:line="179" w:lineRule="exact"/>
        <w:rPr>
          <w:sz w:val="20"/>
          <w:szCs w:val="20"/>
          <w:color w:val="auto"/>
        </w:rPr>
      </w:pPr>
    </w:p>
    <w:p>
      <w:pPr>
        <w:ind w:right="4600"/>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the Financial Statements</w:t>
      </w:r>
    </w:p>
    <w:p>
      <w:pPr>
        <w:jc w:val="both"/>
        <w:ind w:right="20"/>
        <w:spacing w:after="0" w:line="237" w:lineRule="auto"/>
        <w:rPr>
          <w:sz w:val="20"/>
          <w:szCs w:val="20"/>
          <w:color w:val="auto"/>
        </w:rPr>
      </w:pPr>
      <w:r>
        <w:rPr>
          <w:rFonts w:ascii="Arial" w:cs="Arial" w:eastAsia="Arial" w:hAnsi="Arial"/>
          <w:sz w:val="18"/>
          <w:szCs w:val="18"/>
          <w:color w:val="auto"/>
        </w:rPr>
        <w:t>We have audited the accompanying consolidated balance sheets of Microsoft Corporation and subsidiaries (the "Company") as of June 30, 2020 and 2019, the related consolidated statements of income, comprehensive income, cash flows, and stockholders' equity, for each of the three years in the period ended June 30, 2020, and the related notes (collectively referred to as the "financial statements"). In our opinion, the financial statements present fairly, in all material respects, the financial position of the Company as of June 30, 2020 and 2019, and the results of its operations and its cash flows for each of the three years in the period ended June 30, 2020, in conformity with accounting principles generally accepted in the United States of America.</w:t>
      </w:r>
    </w:p>
    <w:p>
      <w:pPr>
        <w:spacing w:after="0" w:line="15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June 30, 2020, based on criteria established in </w:t>
      </w:r>
      <w:r>
        <w:rPr>
          <w:rFonts w:ascii="Arial" w:cs="Arial" w:eastAsia="Arial" w:hAnsi="Arial"/>
          <w:sz w:val="18"/>
          <w:szCs w:val="18"/>
          <w:i w:val="1"/>
          <w:iCs w:val="1"/>
          <w:color w:val="auto"/>
        </w:rPr>
        <w:t>Internal Control</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i w:val="1"/>
          <w:iCs w:val="1"/>
          <w:color w:val="auto"/>
        </w:rPr>
        <w:t xml:space="preserve">— Integrated Framework (2013) </w:t>
      </w:r>
      <w:r>
        <w:rPr>
          <w:rFonts w:ascii="Arial" w:cs="Arial" w:eastAsia="Arial" w:hAnsi="Arial"/>
          <w:sz w:val="18"/>
          <w:szCs w:val="18"/>
          <w:color w:val="auto"/>
        </w:rPr>
        <w:t>issued by the Committee of Sponsoring Organizations of the Treadway Commission and our report</w:t>
      </w:r>
      <w:r>
        <w:rPr>
          <w:rFonts w:ascii="Arial" w:cs="Arial" w:eastAsia="Arial" w:hAnsi="Arial"/>
          <w:sz w:val="18"/>
          <w:szCs w:val="18"/>
          <w:i w:val="1"/>
          <w:iCs w:val="1"/>
          <w:color w:val="auto"/>
        </w:rPr>
        <w:t xml:space="preserve"> </w:t>
      </w:r>
      <w:r>
        <w:rPr>
          <w:rFonts w:ascii="Arial" w:cs="Arial" w:eastAsia="Arial" w:hAnsi="Arial"/>
          <w:sz w:val="18"/>
          <w:szCs w:val="18"/>
          <w:color w:val="auto"/>
        </w:rPr>
        <w:t>dated July 30, 2020, expressed an unqualified opinion on the Company's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66040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520" w:top="138" w:right="679" w:bottom="1440" w:gutter="0" w:footer="0" w:header="0"/>
        </w:sectPr>
      </w:pPr>
    </w:p>
    <w:bookmarkStart w:id="94" w:name="page95"/>
    <w:bookmarkEnd w:id="94"/>
    <w:p>
      <w:pPr>
        <w:ind w:left="5203"/>
        <w:spacing w:after="0"/>
        <w:rPr>
          <w:sz w:val="20"/>
          <w:szCs w:val="20"/>
          <w:color w:val="auto"/>
        </w:rPr>
      </w:pPr>
      <w:r>
        <w:rPr>
          <w:rFonts w:ascii="Arial" w:cs="Arial" w:eastAsia="Arial" w:hAnsi="Arial"/>
          <w:sz w:val="13"/>
          <w:szCs w:val="13"/>
          <w:u w:val="single" w:color="auto"/>
          <w:color w:val="auto"/>
        </w:rPr>
        <w:t>PART II</w:t>
      </w:r>
    </w:p>
    <w:p>
      <w:pPr>
        <w:ind w:left="5243"/>
        <w:spacing w:after="0"/>
        <w:rPr>
          <w:sz w:val="20"/>
          <w:szCs w:val="20"/>
          <w:color w:val="auto"/>
        </w:rPr>
      </w:pPr>
      <w:r>
        <w:rPr>
          <w:rFonts w:ascii="Arial" w:cs="Arial" w:eastAsia="Arial" w:hAnsi="Arial"/>
          <w:sz w:val="13"/>
          <w:szCs w:val="13"/>
          <w:color w:val="auto"/>
        </w:rPr>
        <w:t>Item 8</w:t>
      </w:r>
    </w:p>
    <w:p>
      <w:pPr>
        <w:spacing w:after="0" w:line="287" w:lineRule="exact"/>
        <w:rPr>
          <w:sz w:val="20"/>
          <w:szCs w:val="20"/>
          <w:color w:val="auto"/>
        </w:rPr>
      </w:pPr>
    </w:p>
    <w:p>
      <w:pPr>
        <w:ind w:left="3" w:right="5060"/>
        <w:spacing w:after="0" w:line="435" w:lineRule="auto"/>
        <w:rPr>
          <w:sz w:val="20"/>
          <w:szCs w:val="20"/>
          <w:color w:val="auto"/>
        </w:rPr>
      </w:pPr>
      <w:r>
        <w:rPr>
          <w:rFonts w:ascii="Arial" w:cs="Arial" w:eastAsia="Arial" w:hAnsi="Arial"/>
          <w:sz w:val="18"/>
          <w:szCs w:val="18"/>
          <w:b w:val="1"/>
          <w:bCs w:val="1"/>
          <w:i w:val="1"/>
          <w:iCs w:val="1"/>
          <w:color w:val="auto"/>
        </w:rPr>
        <w:t xml:space="preserve">Revenue Recognition – 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ind w:left="3" w:right="20"/>
        <w:spacing w:after="0" w:line="238" w:lineRule="auto"/>
        <w:rPr>
          <w:sz w:val="20"/>
          <w:szCs w:val="20"/>
          <w:color w:val="auto"/>
        </w:rPr>
      </w:pPr>
      <w:r>
        <w:rPr>
          <w:rFonts w:ascii="Arial" w:cs="Arial" w:eastAsia="Arial" w:hAnsi="Arial"/>
          <w:sz w:val="18"/>
          <w:szCs w:val="18"/>
          <w:color w:val="auto"/>
        </w:rPr>
        <w:t>The Company recognizes revenue upon transfer of control of promised products or services to customers in an amount that reflects the consideration the Company expects to receive in exchange for those products or services. The Company offers customers the ability to acquire multiple licenses of software products and services, including cloud-based services, in its customer agreements through its volume licensing programs.</w:t>
      </w:r>
    </w:p>
    <w:p>
      <w:pPr>
        <w:spacing w:after="0" w:line="151" w:lineRule="exact"/>
        <w:rPr>
          <w:sz w:val="20"/>
          <w:szCs w:val="20"/>
          <w:color w:val="auto"/>
        </w:rPr>
      </w:pPr>
    </w:p>
    <w:p>
      <w:pPr>
        <w:jc w:val="both"/>
        <w:ind w:left="3" w:right="20"/>
        <w:spacing w:after="0" w:line="246" w:lineRule="auto"/>
        <w:rPr>
          <w:sz w:val="20"/>
          <w:szCs w:val="20"/>
          <w:color w:val="auto"/>
        </w:rPr>
      </w:pPr>
      <w:r>
        <w:rPr>
          <w:rFonts w:ascii="Arial" w:cs="Arial" w:eastAsia="Arial" w:hAnsi="Arial"/>
          <w:sz w:val="18"/>
          <w:szCs w:val="18"/>
          <w:color w:val="auto"/>
        </w:rPr>
        <w:t>Significant judgment is exercised by the Company in determining revenue recognition for these customer agreements, and includes the following:</w:t>
      </w:r>
    </w:p>
    <w:p>
      <w:pPr>
        <w:spacing w:after="0" w:line="251" w:lineRule="exact"/>
        <w:rPr>
          <w:sz w:val="20"/>
          <w:szCs w:val="20"/>
          <w:color w:val="auto"/>
        </w:rPr>
      </w:pPr>
    </w:p>
    <w:p>
      <w:pPr>
        <w:ind w:left="383" w:hanging="383"/>
        <w:spacing w:after="0" w:line="246" w:lineRule="auto"/>
        <w:tabs>
          <w:tab w:leader="none" w:pos="3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Determination of whether products and services are considered distinct performance obligations that should be accounted for separately versus together, such as software licenses and related services that are sold with cloud-based services.</w:t>
      </w:r>
    </w:p>
    <w:p>
      <w:pPr>
        <w:spacing w:after="0" w:line="250" w:lineRule="exact"/>
        <w:rPr>
          <w:rFonts w:ascii="Arial" w:cs="Arial" w:eastAsia="Arial" w:hAnsi="Arial"/>
          <w:sz w:val="18"/>
          <w:szCs w:val="18"/>
          <w:color w:val="auto"/>
        </w:rPr>
      </w:pPr>
    </w:p>
    <w:p>
      <w:pPr>
        <w:ind w:left="383" w:hanging="383"/>
        <w:spacing w:after="0"/>
        <w:tabs>
          <w:tab w:leader="none" w:pos="3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pattern of delivery (i.e., timing of when revenue is recognized) for each distinct performance obligation.</w:t>
      </w:r>
    </w:p>
    <w:p>
      <w:pPr>
        <w:spacing w:after="0" w:line="279" w:lineRule="exact"/>
        <w:rPr>
          <w:rFonts w:ascii="Arial" w:cs="Arial" w:eastAsia="Arial" w:hAnsi="Arial"/>
          <w:sz w:val="18"/>
          <w:szCs w:val="18"/>
          <w:color w:val="auto"/>
        </w:rPr>
      </w:pPr>
    </w:p>
    <w:p>
      <w:pPr>
        <w:ind w:left="383" w:hanging="383"/>
        <w:spacing w:after="0" w:line="246" w:lineRule="auto"/>
        <w:tabs>
          <w:tab w:leader="none" w:pos="3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Identification and treatment of contract terms that may impact the timing and amount of revenue recognized (e.g., variable consideration, optional purchases, and free services).</w:t>
      </w:r>
    </w:p>
    <w:p>
      <w:pPr>
        <w:spacing w:after="0" w:line="250" w:lineRule="exact"/>
        <w:rPr>
          <w:rFonts w:ascii="Arial" w:cs="Arial" w:eastAsia="Arial" w:hAnsi="Arial"/>
          <w:sz w:val="18"/>
          <w:szCs w:val="18"/>
          <w:color w:val="auto"/>
        </w:rPr>
      </w:pPr>
    </w:p>
    <w:p>
      <w:pPr>
        <w:ind w:left="383" w:hanging="383"/>
        <w:spacing w:after="0" w:line="246" w:lineRule="auto"/>
        <w:tabs>
          <w:tab w:leader="none" w:pos="3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Determination of stand-alone selling prices for each distinct performance obligation and for products and services that are not sold separately.</w:t>
      </w:r>
    </w:p>
    <w:p>
      <w:pPr>
        <w:spacing w:after="0" w:line="251" w:lineRule="exact"/>
        <w:rPr>
          <w:sz w:val="20"/>
          <w:szCs w:val="20"/>
          <w:color w:val="auto"/>
        </w:rPr>
      </w:pPr>
    </w:p>
    <w:p>
      <w:pPr>
        <w:ind w:left="3" w:right="20"/>
        <w:spacing w:after="0" w:line="246" w:lineRule="auto"/>
        <w:rPr>
          <w:sz w:val="20"/>
          <w:szCs w:val="20"/>
          <w:color w:val="auto"/>
        </w:rPr>
      </w:pPr>
      <w:r>
        <w:rPr>
          <w:rFonts w:ascii="Arial" w:cs="Arial" w:eastAsia="Arial" w:hAnsi="Arial"/>
          <w:sz w:val="18"/>
          <w:szCs w:val="18"/>
          <w:color w:val="auto"/>
        </w:rPr>
        <w:t>Given these factors and due to the volume of transactions, the related audit effort in evaluating management's judgments in determining revenue recognition for these customer agreements was extensive and required a high degree of auditor judgment.</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6" w:lineRule="exact"/>
        <w:rPr>
          <w:sz w:val="20"/>
          <w:szCs w:val="20"/>
          <w:color w:val="auto"/>
        </w:rPr>
      </w:pPr>
    </w:p>
    <w:p>
      <w:pPr>
        <w:ind w:left="3"/>
        <w:spacing w:after="0"/>
        <w:rPr>
          <w:sz w:val="20"/>
          <w:szCs w:val="20"/>
          <w:color w:val="auto"/>
        </w:rPr>
      </w:pPr>
      <w:r>
        <w:rPr>
          <w:rFonts w:ascii="Arial" w:cs="Arial" w:eastAsia="Arial" w:hAnsi="Arial"/>
          <w:sz w:val="18"/>
          <w:szCs w:val="18"/>
          <w:color w:val="auto"/>
        </w:rPr>
        <w:t>Our principal audit procedures related to the Company's revenue recognition for these customer agreements included the following:</w:t>
      </w:r>
    </w:p>
    <w:p>
      <w:pPr>
        <w:spacing w:after="0" w:line="266" w:lineRule="exact"/>
        <w:rPr>
          <w:sz w:val="20"/>
          <w:szCs w:val="20"/>
          <w:color w:val="auto"/>
        </w:rPr>
      </w:pPr>
    </w:p>
    <w:p>
      <w:pPr>
        <w:ind w:left="383" w:hanging="383"/>
        <w:spacing w:after="0" w:line="246" w:lineRule="auto"/>
        <w:tabs>
          <w:tab w:leader="none" w:pos="3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identification of distinct performance obligations, the determination of the timing of revenue recognition, and the estimation of variable consideration.</w:t>
      </w:r>
    </w:p>
    <w:p>
      <w:pPr>
        <w:spacing w:after="0" w:line="250" w:lineRule="exact"/>
        <w:rPr>
          <w:rFonts w:ascii="Arial" w:cs="Arial" w:eastAsia="Arial" w:hAnsi="Arial"/>
          <w:sz w:val="18"/>
          <w:szCs w:val="18"/>
          <w:color w:val="auto"/>
        </w:rPr>
      </w:pPr>
    </w:p>
    <w:p>
      <w:pPr>
        <w:ind w:left="383" w:hanging="383"/>
        <w:spacing w:after="0"/>
        <w:tabs>
          <w:tab w:leader="none" w:pos="3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 related to these customer agreements for reasonableness.</w:t>
      </w:r>
    </w:p>
    <w:p>
      <w:pPr>
        <w:spacing w:after="0" w:line="279" w:lineRule="exact"/>
        <w:rPr>
          <w:rFonts w:ascii="Arial" w:cs="Arial" w:eastAsia="Arial" w:hAnsi="Arial"/>
          <w:sz w:val="18"/>
          <w:szCs w:val="18"/>
          <w:color w:val="auto"/>
        </w:rPr>
      </w:pPr>
    </w:p>
    <w:p>
      <w:pPr>
        <w:ind w:left="383" w:hanging="383"/>
        <w:spacing w:after="0"/>
        <w:tabs>
          <w:tab w:leader="none" w:pos="3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selected a sample of customer agreements and performed the following procedures:</w:t>
      </w:r>
    </w:p>
    <w:p>
      <w:pPr>
        <w:spacing w:after="0" w:line="279" w:lineRule="exact"/>
        <w:rPr>
          <w:sz w:val="20"/>
          <w:szCs w:val="20"/>
          <w:color w:val="auto"/>
        </w:rPr>
      </w:pPr>
    </w:p>
    <w:p>
      <w:pPr>
        <w:ind w:left="383" w:hanging="378"/>
        <w:spacing w:after="0" w:line="246" w:lineRule="auto"/>
        <w:rPr>
          <w:sz w:val="20"/>
          <w:szCs w:val="20"/>
          <w:color w:val="auto"/>
        </w:rPr>
      </w:pPr>
      <w:r>
        <w:rPr>
          <w:rFonts w:ascii="Arial" w:cs="Arial" w:eastAsia="Arial" w:hAnsi="Arial"/>
          <w:sz w:val="18"/>
          <w:szCs w:val="18"/>
          <w:color w:val="auto"/>
        </w:rPr>
        <w:t>– Obtained and read contract source documents for each selection, including master agreements, and other documents that were part of the agreement.</w:t>
      </w:r>
    </w:p>
    <w:p>
      <w:pPr>
        <w:spacing w:after="0" w:line="250" w:lineRule="exact"/>
        <w:rPr>
          <w:sz w:val="20"/>
          <w:szCs w:val="20"/>
          <w:color w:val="auto"/>
        </w:rPr>
      </w:pPr>
    </w:p>
    <w:p>
      <w:pPr>
        <w:ind w:left="3"/>
        <w:spacing w:after="0"/>
        <w:rPr>
          <w:sz w:val="20"/>
          <w:szCs w:val="20"/>
          <w:color w:val="auto"/>
        </w:rPr>
      </w:pPr>
      <w:r>
        <w:rPr>
          <w:rFonts w:ascii="Arial" w:cs="Arial" w:eastAsia="Arial" w:hAnsi="Arial"/>
          <w:sz w:val="18"/>
          <w:szCs w:val="18"/>
          <w:color w:val="auto"/>
        </w:rPr>
        <w:t>–   Tested management's identification and treatment of contract terms.</w:t>
      </w:r>
    </w:p>
    <w:p>
      <w:pPr>
        <w:spacing w:after="0" w:line="279" w:lineRule="exact"/>
        <w:rPr>
          <w:sz w:val="20"/>
          <w:szCs w:val="20"/>
          <w:color w:val="auto"/>
        </w:rPr>
      </w:pPr>
    </w:p>
    <w:p>
      <w:pPr>
        <w:ind w:left="383" w:hanging="378"/>
        <w:spacing w:after="0" w:line="246" w:lineRule="auto"/>
        <w:rPr>
          <w:sz w:val="20"/>
          <w:szCs w:val="20"/>
          <w:color w:val="auto"/>
        </w:rPr>
      </w:pPr>
      <w:r>
        <w:rPr>
          <w:rFonts w:ascii="Arial" w:cs="Arial" w:eastAsia="Arial" w:hAnsi="Arial"/>
          <w:sz w:val="18"/>
          <w:szCs w:val="18"/>
          <w:color w:val="auto"/>
        </w:rPr>
        <w:t>– Assessed the terms in the customer agreement and evaluated the appropriateness of management's application of their accounting policies, along with their use of estimates, in the determination of revenue recognition conclusions.</w:t>
      </w:r>
    </w:p>
    <w:p>
      <w:pPr>
        <w:spacing w:after="0" w:line="251" w:lineRule="exact"/>
        <w:rPr>
          <w:sz w:val="20"/>
          <w:szCs w:val="20"/>
          <w:color w:val="auto"/>
        </w:rPr>
      </w:pPr>
    </w:p>
    <w:p>
      <w:pPr>
        <w:ind w:left="383" w:hanging="383"/>
        <w:spacing w:after="0" w:line="246" w:lineRule="auto"/>
        <w:tabs>
          <w:tab w:leader="none" w:pos="383"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 of stand-alone selling prices for products and services that are not sold separately.</w:t>
      </w:r>
    </w:p>
    <w:p>
      <w:pPr>
        <w:spacing w:after="0" w:line="250" w:lineRule="exact"/>
        <w:rPr>
          <w:rFonts w:ascii="Arial" w:cs="Arial" w:eastAsia="Arial" w:hAnsi="Arial"/>
          <w:sz w:val="18"/>
          <w:szCs w:val="18"/>
          <w:color w:val="auto"/>
        </w:rPr>
      </w:pPr>
    </w:p>
    <w:p>
      <w:pPr>
        <w:ind w:left="383" w:hanging="383"/>
        <w:spacing w:after="0" w:line="246" w:lineRule="auto"/>
        <w:tabs>
          <w:tab w:leader="none" w:pos="383"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 of revenue and the associated timing of revenue recognized in the financial statements.</w:t>
      </w:r>
    </w:p>
    <w:p>
      <w:pPr>
        <w:spacing w:after="0" w:line="364" w:lineRule="exact"/>
        <w:rPr>
          <w:sz w:val="20"/>
          <w:szCs w:val="20"/>
          <w:color w:val="auto"/>
        </w:rPr>
      </w:pPr>
    </w:p>
    <w:p>
      <w:pPr>
        <w:jc w:val="center"/>
        <w:ind w:right="-142"/>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66040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3"/>
          </w:cols>
          <w:pgMar w:left="517" w:top="138" w:right="679" w:bottom="1440" w:gutter="0" w:footer="0" w:header="0"/>
        </w:sectPr>
      </w:pPr>
    </w:p>
    <w:bookmarkStart w:id="95" w:name="page96"/>
    <w:bookmarkEnd w:id="95"/>
    <w:p>
      <w:pPr>
        <w:ind w:left="5203"/>
        <w:spacing w:after="0"/>
        <w:rPr>
          <w:sz w:val="20"/>
          <w:szCs w:val="20"/>
          <w:color w:val="auto"/>
        </w:rPr>
      </w:pPr>
      <w:r>
        <w:rPr>
          <w:rFonts w:ascii="Arial" w:cs="Arial" w:eastAsia="Arial" w:hAnsi="Arial"/>
          <w:sz w:val="13"/>
          <w:szCs w:val="13"/>
          <w:u w:val="single" w:color="auto"/>
          <w:color w:val="auto"/>
        </w:rPr>
        <w:t>PART II</w:t>
      </w:r>
    </w:p>
    <w:p>
      <w:pPr>
        <w:ind w:left="5243"/>
        <w:spacing w:after="0"/>
        <w:rPr>
          <w:sz w:val="20"/>
          <w:szCs w:val="20"/>
          <w:color w:val="auto"/>
        </w:rPr>
      </w:pPr>
      <w:r>
        <w:rPr>
          <w:rFonts w:ascii="Arial" w:cs="Arial" w:eastAsia="Arial" w:hAnsi="Arial"/>
          <w:sz w:val="13"/>
          <w:szCs w:val="13"/>
          <w:color w:val="auto"/>
        </w:rPr>
        <w:t>Item 8</w:t>
      </w:r>
    </w:p>
    <w:p>
      <w:pPr>
        <w:spacing w:after="0" w:line="179" w:lineRule="exact"/>
        <w:rPr>
          <w:sz w:val="20"/>
          <w:szCs w:val="20"/>
          <w:color w:val="auto"/>
        </w:rPr>
      </w:pPr>
    </w:p>
    <w:p>
      <w:pPr>
        <w:ind w:left="3" w:right="3380"/>
        <w:spacing w:after="0" w:line="435" w:lineRule="auto"/>
        <w:rPr>
          <w:sz w:val="20"/>
          <w:szCs w:val="20"/>
          <w:color w:val="auto"/>
        </w:rPr>
      </w:pPr>
      <w:r>
        <w:rPr>
          <w:rFonts w:ascii="Arial" w:cs="Arial" w:eastAsia="Arial" w:hAnsi="Arial"/>
          <w:sz w:val="18"/>
          <w:szCs w:val="18"/>
          <w:b w:val="1"/>
          <w:bCs w:val="1"/>
          <w:i w:val="1"/>
          <w:iCs w:val="1"/>
          <w:color w:val="auto"/>
        </w:rPr>
        <w:t xml:space="preserve">Income Taxes – Uncertain Tax Positions – Refer to Note 12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ind w:left="3"/>
        <w:spacing w:after="0" w:line="238" w:lineRule="auto"/>
        <w:rPr>
          <w:sz w:val="20"/>
          <w:szCs w:val="20"/>
          <w:color w:val="auto"/>
        </w:rPr>
      </w:pPr>
      <w:r>
        <w:rPr>
          <w:rFonts w:ascii="Arial" w:cs="Arial" w:eastAsia="Arial" w:hAnsi="Arial"/>
          <w:sz w:val="18"/>
          <w:szCs w:val="18"/>
          <w:color w:val="auto"/>
        </w:rPr>
        <w:t>The Company's long-term income taxes liability includes uncertain tax positions related to transfer pricing issues that remain unresolved with the Internal Revenue Service ("IRS"). The Company remains under IRS audit, or subject to IRS audit, for tax years subsequent to 2003. While the Company has settled a portion of the IRS audits, resolution of the remaining matters could have a material impact on the Company's financial statements.</w:t>
      </w:r>
    </w:p>
    <w:p>
      <w:pPr>
        <w:spacing w:after="0" w:line="151" w:lineRule="exact"/>
        <w:rPr>
          <w:sz w:val="20"/>
          <w:szCs w:val="20"/>
          <w:color w:val="auto"/>
        </w:rPr>
      </w:pPr>
    </w:p>
    <w:p>
      <w:pPr>
        <w:jc w:val="both"/>
        <w:ind w:left="3"/>
        <w:spacing w:after="0" w:line="238" w:lineRule="auto"/>
        <w:rPr>
          <w:sz w:val="20"/>
          <w:szCs w:val="20"/>
          <w:color w:val="auto"/>
        </w:rPr>
      </w:pPr>
      <w:r>
        <w:rPr>
          <w:rFonts w:ascii="Arial" w:cs="Arial" w:eastAsia="Arial" w:hAnsi="Arial"/>
          <w:sz w:val="18"/>
          <w:szCs w:val="18"/>
          <w:color w:val="auto"/>
        </w:rPr>
        <w:t>Conclusions on recognizing and measuring uncertain tax positions involve significant estimates and management judgment and include complex considerations of the Internal Revenue Code, related regulations, tax case laws, and prior-year audit settlements. Given the complexity and the subjective nature of the transfer pricing issues that remain unresolved with the IRS, evaluating management's estimates relating to their determination of uncertain tax positions required extensive audit effort and a high degree of auditor judgment, including involvement of our tax specialists.</w:t>
      </w:r>
    </w:p>
    <w:p>
      <w:pPr>
        <w:spacing w:after="0" w:line="130"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6" w:lineRule="exact"/>
        <w:rPr>
          <w:sz w:val="20"/>
          <w:szCs w:val="20"/>
          <w:color w:val="auto"/>
        </w:rPr>
      </w:pPr>
    </w:p>
    <w:p>
      <w:pPr>
        <w:jc w:val="both"/>
        <w:ind w:left="3" w:right="20"/>
        <w:spacing w:after="0" w:line="246" w:lineRule="auto"/>
        <w:rPr>
          <w:sz w:val="20"/>
          <w:szCs w:val="20"/>
          <w:color w:val="auto"/>
        </w:rPr>
      </w:pPr>
      <w:r>
        <w:rPr>
          <w:rFonts w:ascii="Arial" w:cs="Arial" w:eastAsia="Arial" w:hAnsi="Arial"/>
          <w:sz w:val="18"/>
          <w:szCs w:val="18"/>
          <w:color w:val="auto"/>
        </w:rPr>
        <w:t>Our principal audit procedures to evaluate management's estimates of uncertain tax positions related to unresolved transfer pricing issues included the following:</w:t>
      </w:r>
    </w:p>
    <w:p>
      <w:pPr>
        <w:spacing w:after="0" w:line="251" w:lineRule="exact"/>
        <w:rPr>
          <w:sz w:val="20"/>
          <w:szCs w:val="20"/>
          <w:color w:val="auto"/>
        </w:rPr>
      </w:pPr>
    </w:p>
    <w:p>
      <w:pPr>
        <w:jc w:val="both"/>
        <w:ind w:left="383" w:hanging="383"/>
        <w:spacing w:after="0"/>
        <w:tabs>
          <w:tab w:leader="none" w:pos="3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management's methods and assumptions used in the identification, recognition, measurement, and disclosure of uncertain tax positions, which included testing the effectiveness of the related internal controls.</w:t>
      </w:r>
    </w:p>
    <w:p>
      <w:pPr>
        <w:spacing w:after="0" w:line="256" w:lineRule="exact"/>
        <w:rPr>
          <w:rFonts w:ascii="Arial" w:cs="Arial" w:eastAsia="Arial" w:hAnsi="Arial"/>
          <w:sz w:val="18"/>
          <w:szCs w:val="18"/>
          <w:color w:val="auto"/>
        </w:rPr>
      </w:pPr>
    </w:p>
    <w:p>
      <w:pPr>
        <w:ind w:left="383" w:hanging="383"/>
        <w:spacing w:after="0" w:line="246" w:lineRule="auto"/>
        <w:tabs>
          <w:tab w:leader="none" w:pos="3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read and evaluated management's documentation, including relevant accounting policies and information obtained by management from outside tax specialists, that detailed the basis of the uncertain tax positions.</w:t>
      </w:r>
    </w:p>
    <w:p>
      <w:pPr>
        <w:spacing w:after="0" w:line="250" w:lineRule="exact"/>
        <w:rPr>
          <w:rFonts w:ascii="Arial" w:cs="Arial" w:eastAsia="Arial" w:hAnsi="Arial"/>
          <w:sz w:val="18"/>
          <w:szCs w:val="18"/>
          <w:color w:val="auto"/>
        </w:rPr>
      </w:pPr>
    </w:p>
    <w:p>
      <w:pPr>
        <w:ind w:left="383" w:hanging="383"/>
        <w:spacing w:after="0" w:line="246" w:lineRule="auto"/>
        <w:tabs>
          <w:tab w:leader="none" w:pos="3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tested the reasonableness of management's judgments regarding the future resolution of the uncertain tax positions, including an evaluation of the technical merits of the uncertain tax positions.</w:t>
      </w:r>
    </w:p>
    <w:p>
      <w:pPr>
        <w:spacing w:after="0" w:line="250" w:lineRule="exact"/>
        <w:rPr>
          <w:rFonts w:ascii="Arial" w:cs="Arial" w:eastAsia="Arial" w:hAnsi="Arial"/>
          <w:sz w:val="18"/>
          <w:szCs w:val="18"/>
          <w:color w:val="auto"/>
        </w:rPr>
      </w:pPr>
    </w:p>
    <w:p>
      <w:pPr>
        <w:jc w:val="both"/>
        <w:ind w:left="383" w:hanging="383"/>
        <w:spacing w:after="0"/>
        <w:tabs>
          <w:tab w:leader="none" w:pos="3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those uncertain tax positions that had not been effectively settled, we evaluated whether management had appropriately considered new information that could significantly change the recognition, measurement or disclosure of the uncertain tax positions.</w:t>
      </w:r>
    </w:p>
    <w:p>
      <w:pPr>
        <w:spacing w:after="0" w:line="256" w:lineRule="exact"/>
        <w:rPr>
          <w:rFonts w:ascii="Arial" w:cs="Arial" w:eastAsia="Arial" w:hAnsi="Arial"/>
          <w:sz w:val="18"/>
          <w:szCs w:val="18"/>
          <w:color w:val="auto"/>
        </w:rPr>
      </w:pPr>
    </w:p>
    <w:p>
      <w:pPr>
        <w:ind w:left="383" w:hanging="383"/>
        <w:spacing w:after="0" w:line="246" w:lineRule="auto"/>
        <w:tabs>
          <w:tab w:leader="none" w:pos="3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estimates by considering how tax law, including statutes, regulations and case law, impacted management's judgments.</w:t>
      </w:r>
    </w:p>
    <w:p>
      <w:pPr>
        <w:spacing w:after="0" w:line="359" w:lineRule="exact"/>
        <w:rPr>
          <w:sz w:val="20"/>
          <w:szCs w:val="20"/>
          <w:color w:val="auto"/>
        </w:rPr>
      </w:pPr>
    </w:p>
    <w:p>
      <w:pPr>
        <w:ind w:left="3"/>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8"/>
          <w:szCs w:val="18"/>
          <w:color w:val="auto"/>
        </w:rPr>
        <w:t>Seattle, Washington</w:t>
      </w:r>
    </w:p>
    <w:p>
      <w:pPr>
        <w:ind w:left="3"/>
        <w:spacing w:after="0"/>
        <w:rPr>
          <w:sz w:val="20"/>
          <w:szCs w:val="20"/>
          <w:color w:val="auto"/>
        </w:rPr>
      </w:pPr>
      <w:r>
        <w:rPr>
          <w:rFonts w:ascii="Arial" w:cs="Arial" w:eastAsia="Arial" w:hAnsi="Arial"/>
          <w:sz w:val="18"/>
          <w:szCs w:val="18"/>
          <w:color w:val="auto"/>
        </w:rPr>
        <w:t>July 30, 2020</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color w:val="auto"/>
        </w:rPr>
        <w:t>We have served as the Company's auditor since 1983.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42"/>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66040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3"/>
          </w:cols>
          <w:pgMar w:left="517" w:top="138" w:right="679" w:bottom="1440" w:gutter="0" w:footer="0" w:header="0"/>
        </w:sectPr>
      </w:pPr>
    </w:p>
    <w:bookmarkStart w:id="96" w:name="page97"/>
    <w:bookmarkEnd w:id="96"/>
    <w:p>
      <w:pPr>
        <w:jc w:val="center"/>
        <w:spacing w:after="0"/>
        <w:rPr>
          <w:sz w:val="20"/>
          <w:szCs w:val="20"/>
          <w:color w:val="auto"/>
        </w:rPr>
      </w:pPr>
      <w:r>
        <w:rPr>
          <w:rFonts w:ascii="Arial" w:cs="Arial" w:eastAsia="Arial" w:hAnsi="Arial"/>
          <w:sz w:val="13"/>
          <w:szCs w:val="13"/>
          <w:u w:val="single" w:color="auto"/>
          <w:color w:val="auto"/>
        </w:rPr>
        <w:t>PART II</w:t>
      </w:r>
    </w:p>
    <w:p>
      <w:pPr>
        <w:jc w:val="center"/>
        <w:spacing w:after="0"/>
        <w:rPr>
          <w:sz w:val="20"/>
          <w:szCs w:val="20"/>
          <w:color w:val="auto"/>
        </w:rPr>
      </w:pPr>
      <w:r>
        <w:rPr>
          <w:rFonts w:ascii="Arial" w:cs="Arial" w:eastAsia="Arial" w:hAnsi="Arial"/>
          <w:sz w:val="13"/>
          <w:szCs w:val="13"/>
          <w:color w:val="auto"/>
        </w:rPr>
        <w:t>Item 9, 9A</w:t>
      </w:r>
    </w:p>
    <w:p>
      <w:pPr>
        <w:spacing w:after="0" w:line="170" w:lineRule="exact"/>
        <w:rPr>
          <w:sz w:val="20"/>
          <w:szCs w:val="20"/>
          <w:color w:val="auto"/>
        </w:rPr>
      </w:pPr>
    </w:p>
    <w:p>
      <w:pPr>
        <w:jc w:val="center"/>
        <w:ind w:left="340" w:right="300"/>
        <w:spacing w:after="0" w:line="261"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9A. CONTROLS AND PROCEDURES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the Company’s internal control over financial reporting was effective as of June 30, 2020. There were no changes in our internal control over financial reporting during the quarter ended June 30, 2020 that have materially affected, or are reasonably likely to materially affect, our internal control over financial reporting. Deloitte &amp; Touche LLP has audited our internal control over financial reporting as of June 30, 2020; their report is included in Item 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7" w:name="page98"/>
    <w:bookmarkEnd w:id="97"/>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9A</w:t>
      </w:r>
    </w:p>
    <w:p>
      <w:pPr>
        <w:spacing w:after="0" w:line="179" w:lineRule="exact"/>
        <w:rPr>
          <w:sz w:val="20"/>
          <w:szCs w:val="20"/>
          <w:color w:val="auto"/>
        </w:rPr>
      </w:pPr>
    </w:p>
    <w:p>
      <w:pPr>
        <w:ind w:right="5140"/>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Internal Control over Financial Reporting</w:t>
      </w:r>
    </w:p>
    <w:p>
      <w:pPr>
        <w:jc w:val="both"/>
        <w:spacing w:after="0" w:line="238" w:lineRule="auto"/>
        <w:rPr>
          <w:sz w:val="20"/>
          <w:szCs w:val="20"/>
          <w:color w:val="auto"/>
        </w:rPr>
      </w:pPr>
      <w:r>
        <w:rPr>
          <w:rFonts w:ascii="Arial" w:cs="Arial" w:eastAsia="Arial" w:hAnsi="Arial"/>
          <w:sz w:val="18"/>
          <w:szCs w:val="18"/>
          <w:color w:val="auto"/>
        </w:rPr>
        <w:t xml:space="preserve">We have audited the internal control over financial reporting of Microsoft Corporation and subsidiaries (the "Company") as of June 30,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2020,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the related notes (collectively referred to as the "financial statements") as of and for the year ended June 30, 2020, of the Company and our report dated July 30, 2020, expressed an unqualified opinion on those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3"/>
          <w:szCs w:val="13"/>
          <w:u w:val="single" w:color="auto"/>
          <w:color w:val="auto"/>
        </w:rPr>
        <w:t>PART II, III</w:t>
      </w:r>
    </w:p>
    <w:p>
      <w:pPr>
        <w:jc w:val="center"/>
        <w:spacing w:after="0"/>
        <w:rPr>
          <w:sz w:val="20"/>
          <w:szCs w:val="20"/>
          <w:color w:val="auto"/>
        </w:rPr>
      </w:pPr>
      <w:r>
        <w:rPr>
          <w:rFonts w:ascii="Arial" w:cs="Arial" w:eastAsia="Arial" w:hAnsi="Arial"/>
          <w:sz w:val="13"/>
          <w:szCs w:val="13"/>
          <w:color w:val="auto"/>
        </w:rPr>
        <w:t>Item 9B, 10, 11, 12, 13, 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9B.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list of our executive officers and biographical information appears in Part I, Item 1 of this Form 10-K. Information about our directors may be found under the caption “Our director nominees” in our Proxy Statement for the Annual Meeting of Shareholders to be held December 2, 2020 (the “Proxy Statement”). Information about our Audit Committee may be found under the caption “Board committees” in the Proxy Statement. That information is incorporated herein by reference.</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https://aka.ms/FinanceCodeProfessionalConduct.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11. EXECUTIVE COMPENSATION</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in the Proxy Statement set forth under the captions “Director compensation,” “Named executive officer compensation,” “Compensation Committee interlocks and insider participation,” and “Compensation Committee report” is incorporated herein by reference.</w:t>
      </w:r>
    </w:p>
    <w:p>
      <w:pPr>
        <w:spacing w:after="0" w:line="179"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in the Proxy Statement set forth under the captions “Stock ownership information,” “Principal shareholders” and “Equity compensation plan information” is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8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information set forth in the Proxy Statement under the captions “Director independence” and “Certain relationships and related transactions” is incorporated herein by reference.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Information concerning principal accountant fees and services appears in the Proxy Statement under the headings “Fees billed by Deloitte &amp; Touche” and “Policy on Audit Committee pre-approval of audit and permissible non-audit services of independent auditor”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9" w:name="page100"/>
    <w:bookmarkEnd w:id="99"/>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62"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Schedules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financial statements are set forth under Item 8 of this Form 10-K, as indexed below. Financial statement schedules have been omitted since they either are not required, not applicable, or the information is otherwise included.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40" w:type="dxa"/>
            <w:vAlign w:val="bottom"/>
          </w:tcPr>
          <w:p>
            <w:pPr>
              <w:spacing w:after="0"/>
              <w:rPr>
                <w:sz w:val="20"/>
                <w:szCs w:val="20"/>
                <w:color w:val="auto"/>
              </w:rPr>
            </w:pPr>
            <w:r>
              <w:rPr>
                <w:rFonts w:ascii="Arial" w:cs="Arial" w:eastAsia="Arial" w:hAnsi="Arial"/>
                <w:sz w:val="13"/>
                <w:szCs w:val="13"/>
                <w:b w:val="1"/>
                <w:bCs w:val="1"/>
                <w:color w:val="auto"/>
              </w:rPr>
              <w:t>Index to Financial Statements</w:t>
            </w:r>
          </w:p>
        </w:tc>
        <w:tc>
          <w:tcPr>
            <w:tcW w:w="350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55"/>
        </w:trPr>
        <w:tc>
          <w:tcPr>
            <w:tcW w:w="77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77"/>
        </w:trPr>
        <w:tc>
          <w:tcPr>
            <w:tcW w:w="774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Income Statements</w:t>
              </w:r>
            </w:hyperlink>
          </w:p>
        </w:tc>
        <w:tc>
          <w:tcPr>
            <w:tcW w:w="3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3"/>
        </w:trPr>
        <w:tc>
          <w:tcPr>
            <w:tcW w:w="77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Comprehensive Income Statements</w:t>
              </w:r>
            </w:hyperlink>
          </w:p>
        </w:tc>
        <w:tc>
          <w:tcPr>
            <w:tcW w:w="3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83"/>
        </w:trPr>
        <w:tc>
          <w:tcPr>
            <w:tcW w:w="77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Balance Sheets</w:t>
              </w:r>
            </w:hyperlink>
          </w:p>
        </w:tc>
        <w:tc>
          <w:tcPr>
            <w:tcW w:w="3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774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Cash Flows Statements</w:t>
              </w:r>
            </w:hyperlink>
          </w:p>
        </w:tc>
        <w:tc>
          <w:tcPr>
            <w:tcW w:w="3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3"/>
        </w:trPr>
        <w:tc>
          <w:tcPr>
            <w:tcW w:w="774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Stockholders’ Equity Statements</w:t>
              </w:r>
            </w:hyperlink>
          </w:p>
        </w:tc>
        <w:tc>
          <w:tcPr>
            <w:tcW w:w="3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3"/>
        </w:trPr>
        <w:tc>
          <w:tcPr>
            <w:tcW w:w="774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Notes to Financial Statements</w:t>
              </w:r>
            </w:hyperlink>
          </w:p>
        </w:tc>
        <w:tc>
          <w:tcPr>
            <w:tcW w:w="3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3"/>
        </w:trPr>
        <w:tc>
          <w:tcPr>
            <w:tcW w:w="774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Report of Independent Registered Public Accounting Firm</w:t>
              </w:r>
            </w:hyperlink>
          </w:p>
        </w:tc>
        <w:tc>
          <w:tcPr>
            <w:tcW w:w="350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126"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jc w:val="right"/>
              <w:ind w:right="213"/>
              <w:spacing w:after="0" w:line="126"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180" w:type="dxa"/>
            <w:vAlign w:val="bottom"/>
            <w:tcBorders>
              <w:bottom w:val="single" w:sz="8" w:color="auto"/>
            </w:tcBorders>
            <w:gridSpan w:val="15"/>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4040" w:type="dxa"/>
            <w:vAlign w:val="bottom"/>
            <w:tcBorders>
              <w:bottom w:val="single" w:sz="8" w:color="0000EE"/>
            </w:tcBorders>
            <w:gridSpan w:val="14"/>
          </w:tcPr>
          <w:p>
            <w:pPr>
              <w:spacing w:after="0"/>
              <w:rPr>
                <w:rFonts w:ascii="Arial" w:cs="Arial" w:eastAsia="Arial" w:hAnsi="Arial"/>
                <w:sz w:val="18"/>
                <w:szCs w:val="18"/>
                <w:color w:val="0000EE"/>
                <w:w w:val="99"/>
              </w:rPr>
            </w:pPr>
            <w:hyperlink r:id="rId205">
              <w:r>
                <w:rPr>
                  <w:rFonts w:ascii="Arial" w:cs="Arial" w:eastAsia="Arial" w:hAnsi="Arial"/>
                  <w:sz w:val="18"/>
                  <w:szCs w:val="18"/>
                  <w:color w:val="0000EE"/>
                  <w:w w:val="99"/>
                </w:rPr>
                <w:t>Amended and Restated Articles of Incorporation of</w:t>
              </w:r>
            </w:hyperlink>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274"/>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180" w:type="dxa"/>
            <w:vAlign w:val="bottom"/>
            <w:gridSpan w:val="15"/>
          </w:tcPr>
          <w:p>
            <w:pPr>
              <w:spacing w:after="0" w:line="182" w:lineRule="exact"/>
              <w:rPr>
                <w:rFonts w:ascii="Arial" w:cs="Arial" w:eastAsia="Arial" w:hAnsi="Arial"/>
                <w:sz w:val="18"/>
                <w:szCs w:val="18"/>
                <w:color w:val="0000EE"/>
              </w:rPr>
            </w:pPr>
            <w:hyperlink r:id="rId205">
              <w:r>
                <w:rPr>
                  <w:rFonts w:ascii="Arial" w:cs="Arial" w:eastAsia="Arial" w:hAnsi="Arial"/>
                  <w:sz w:val="18"/>
                  <w:szCs w:val="18"/>
                  <w:color w:val="0000EE"/>
                </w:rPr>
                <w:t>Microsoft Corporation</w:t>
              </w:r>
            </w:hyperlink>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4180" w:type="dxa"/>
            <w:vAlign w:val="bottom"/>
            <w:gridSpan w:val="15"/>
          </w:tcPr>
          <w:p>
            <w:pPr>
              <w:spacing w:after="0"/>
              <w:rPr>
                <w:rFonts w:ascii="Arial" w:cs="Arial" w:eastAsia="Arial" w:hAnsi="Arial"/>
                <w:sz w:val="18"/>
                <w:szCs w:val="18"/>
                <w:u w:val="single" w:color="auto"/>
                <w:color w:val="0000EE"/>
              </w:rPr>
            </w:pPr>
            <w:hyperlink r:id="rId206">
              <w:r>
                <w:rPr>
                  <w:rFonts w:ascii="Arial" w:cs="Arial" w:eastAsia="Arial" w:hAnsi="Arial"/>
                  <w:sz w:val="18"/>
                  <w:szCs w:val="18"/>
                  <w:u w:val="single" w:color="auto"/>
                  <w:color w:val="0000EE"/>
                </w:rPr>
                <w:t>Bylaws of Microsoft Corporation</w:t>
              </w:r>
            </w:hyperlink>
          </w:p>
        </w:tc>
        <w:tc>
          <w:tcPr>
            <w:tcW w:w="860" w:type="dxa"/>
            <w:vAlign w:val="bottom"/>
          </w:tcPr>
          <w:p>
            <w:pPr>
              <w:spacing w:after="0"/>
              <w:rPr>
                <w:sz w:val="24"/>
                <w:szCs w:val="24"/>
                <w:color w:val="auto"/>
              </w:rPr>
            </w:pPr>
          </w:p>
        </w:tc>
        <w:tc>
          <w:tcPr>
            <w:tcW w:w="1300" w:type="dxa"/>
            <w:vAlign w:val="bottom"/>
          </w:tcPr>
          <w:p>
            <w:pPr>
              <w:jc w:val="right"/>
              <w:ind w:right="274"/>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3.2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6/14/17</w:t>
            </w:r>
          </w:p>
        </w:tc>
        <w:tc>
          <w:tcPr>
            <w:tcW w:w="0" w:type="dxa"/>
            <w:vAlign w:val="bottom"/>
          </w:tcPr>
          <w:p>
            <w:pPr>
              <w:spacing w:after="0"/>
              <w:rPr>
                <w:sz w:val="1"/>
                <w:szCs w:val="1"/>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4.1</w:t>
            </w:r>
          </w:p>
        </w:tc>
        <w:tc>
          <w:tcPr>
            <w:tcW w:w="3680" w:type="dxa"/>
            <w:vAlign w:val="bottom"/>
            <w:tcBorders>
              <w:bottom w:val="single" w:sz="8" w:color="0000EE"/>
            </w:tcBorders>
            <w:gridSpan w:val="6"/>
          </w:tcPr>
          <w:p>
            <w:pPr>
              <w:spacing w:after="0"/>
              <w:rPr>
                <w:rFonts w:ascii="Arial" w:cs="Arial" w:eastAsia="Arial" w:hAnsi="Arial"/>
                <w:sz w:val="18"/>
                <w:szCs w:val="18"/>
                <w:color w:val="0000EE"/>
                <w:w w:val="99"/>
              </w:rPr>
            </w:pPr>
            <w:hyperlink r:id="rId207">
              <w:r>
                <w:rPr>
                  <w:rFonts w:ascii="Arial" w:cs="Arial" w:eastAsia="Arial" w:hAnsi="Arial"/>
                  <w:sz w:val="18"/>
                  <w:szCs w:val="18"/>
                  <w:color w:val="0000EE"/>
                  <w:w w:val="99"/>
                </w:rPr>
                <w:t>Indenture, dated as of May 18, 2009, between</w:t>
              </w:r>
            </w:hyperlink>
          </w:p>
        </w:tc>
        <w:tc>
          <w:tcPr>
            <w:tcW w:w="50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274"/>
              <w:spacing w:after="0"/>
              <w:rPr>
                <w:sz w:val="20"/>
                <w:szCs w:val="20"/>
                <w:color w:val="auto"/>
              </w:rPr>
            </w:pPr>
            <w:r>
              <w:rPr>
                <w:rFonts w:ascii="Arial" w:cs="Arial" w:eastAsia="Arial" w:hAnsi="Arial"/>
                <w:sz w:val="18"/>
                <w:szCs w:val="18"/>
                <w:color w:val="auto"/>
              </w:rPr>
              <w:t>S-3ASR</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10/29/15</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207">
              <w:r>
                <w:rPr>
                  <w:rFonts w:ascii="Arial" w:cs="Arial" w:eastAsia="Arial" w:hAnsi="Arial"/>
                  <w:sz w:val="18"/>
                  <w:szCs w:val="18"/>
                  <w:color w:val="0000EE"/>
                  <w:w w:val="99"/>
                </w:rPr>
                <w:t>Microsoft Corporation and The Bank of New York</w:t>
              </w:r>
            </w:hyperlink>
          </w:p>
        </w:tc>
        <w:tc>
          <w:tcPr>
            <w:tcW w:w="2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7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207">
              <w:r>
                <w:rPr>
                  <w:rFonts w:ascii="Arial" w:cs="Arial" w:eastAsia="Arial" w:hAnsi="Arial"/>
                  <w:sz w:val="18"/>
                  <w:szCs w:val="18"/>
                  <w:color w:val="0000EE"/>
                  <w:w w:val="99"/>
                </w:rPr>
                <w:t>Mellon Trust Company, N.A., as Trustee (“Base</w:t>
              </w:r>
            </w:hyperlink>
          </w:p>
        </w:tc>
        <w:tc>
          <w:tcPr>
            <w:tcW w:w="400" w:type="dxa"/>
            <w:vAlign w:val="bottom"/>
            <w:gridSpan w:val="7"/>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180" w:type="dxa"/>
            <w:vAlign w:val="bottom"/>
            <w:gridSpan w:val="15"/>
          </w:tcPr>
          <w:p>
            <w:pPr>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Indenture”)</w:t>
              </w:r>
            </w:hyperlink>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4.2</w:t>
            </w:r>
          </w:p>
        </w:tc>
        <w:tc>
          <w:tcPr>
            <w:tcW w:w="4180" w:type="dxa"/>
            <w:vAlign w:val="bottom"/>
            <w:gridSpan w:val="15"/>
          </w:tcPr>
          <w:p>
            <w:pPr>
              <w:spacing w:after="0"/>
              <w:rPr>
                <w:rFonts w:ascii="Arial" w:cs="Arial" w:eastAsia="Arial" w:hAnsi="Arial"/>
                <w:sz w:val="18"/>
                <w:szCs w:val="18"/>
                <w:color w:val="0000EE"/>
              </w:rPr>
            </w:pPr>
            <w:hyperlink r:id="rId208">
              <w:r>
                <w:rPr>
                  <w:rFonts w:ascii="Arial" w:cs="Arial" w:eastAsia="Arial" w:hAnsi="Arial"/>
                  <w:sz w:val="18"/>
                  <w:szCs w:val="18"/>
                  <w:color w:val="0000EE"/>
                </w:rPr>
                <w:t>Form of First Supplemental Indenture for 2.95%</w:t>
              </w:r>
            </w:hyperlink>
          </w:p>
        </w:tc>
        <w:tc>
          <w:tcPr>
            <w:tcW w:w="860" w:type="dxa"/>
            <w:vAlign w:val="bottom"/>
          </w:tcPr>
          <w:p>
            <w:pPr>
              <w:spacing w:after="0"/>
              <w:rPr>
                <w:sz w:val="24"/>
                <w:szCs w:val="24"/>
                <w:color w:val="auto"/>
              </w:rPr>
            </w:pPr>
          </w:p>
        </w:tc>
        <w:tc>
          <w:tcPr>
            <w:tcW w:w="1300" w:type="dxa"/>
            <w:vAlign w:val="bottom"/>
          </w:tcPr>
          <w:p>
            <w:pPr>
              <w:jc w:val="right"/>
              <w:ind w:right="274"/>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5/15/09</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208">
              <w:r>
                <w:rPr>
                  <w:rFonts w:ascii="Arial" w:cs="Arial" w:eastAsia="Arial" w:hAnsi="Arial"/>
                  <w:sz w:val="18"/>
                  <w:szCs w:val="18"/>
                  <w:color w:val="0000EE"/>
                </w:rPr>
                <w:t>Notes due 2014, 4.20% Notes due 2019, and</w:t>
              </w:r>
            </w:hyperlink>
          </w:p>
        </w:tc>
        <w:tc>
          <w:tcPr>
            <w:tcW w:w="380" w:type="dxa"/>
            <w:vAlign w:val="bottom"/>
            <w:gridSpan w:val="6"/>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0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208">
              <w:r>
                <w:rPr>
                  <w:rFonts w:ascii="Arial" w:cs="Arial" w:eastAsia="Arial" w:hAnsi="Arial"/>
                  <w:sz w:val="18"/>
                  <w:szCs w:val="18"/>
                  <w:color w:val="0000EE"/>
                  <w:w w:val="99"/>
                </w:rPr>
                <w:t>5.</w:t>
              </w:r>
              <w:r>
                <w:rPr>
                  <w:rFonts w:ascii="Arial" w:cs="Arial" w:eastAsia="Arial" w:hAnsi="Arial"/>
                  <w:sz w:val="18"/>
                  <w:szCs w:val="18"/>
                  <w:u w:val="single" w:color="auto"/>
                  <w:color w:val="0000EE"/>
                  <w:w w:val="99"/>
                </w:rPr>
                <w:t>20%</w:t>
              </w:r>
              <w:r>
                <w:rPr>
                  <w:rFonts w:ascii="Arial" w:cs="Arial" w:eastAsia="Arial" w:hAnsi="Arial"/>
                  <w:sz w:val="18"/>
                  <w:szCs w:val="18"/>
                  <w:color w:val="0000EE"/>
                  <w:w w:val="99"/>
                </w:rPr>
                <w:t xml:space="preserve"> Notes due 2039, dated as of May 18, 2009,</w:t>
              </w:r>
            </w:hyperlink>
          </w:p>
        </w:tc>
        <w:tc>
          <w:tcPr>
            <w:tcW w:w="16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180" w:type="dxa"/>
            <w:vAlign w:val="bottom"/>
            <w:gridSpan w:val="15"/>
          </w:tcPr>
          <w:p>
            <w:pPr>
              <w:spacing w:after="0" w:line="182" w:lineRule="exact"/>
              <w:rPr>
                <w:rFonts w:ascii="Arial" w:cs="Arial" w:eastAsia="Arial" w:hAnsi="Arial"/>
                <w:sz w:val="18"/>
                <w:szCs w:val="18"/>
                <w:color w:val="0000EE"/>
              </w:rPr>
            </w:pPr>
            <w:hyperlink r:id="rId208">
              <w:r>
                <w:rPr>
                  <w:rFonts w:ascii="Arial" w:cs="Arial" w:eastAsia="Arial" w:hAnsi="Arial"/>
                  <w:sz w:val="18"/>
                  <w:szCs w:val="18"/>
                  <w:color w:val="0000EE"/>
                </w:rPr>
                <w:t>between Microsoft Corporation and The Bank of</w:t>
              </w:r>
            </w:hyperlink>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180" w:type="dxa"/>
            <w:vAlign w:val="bottom"/>
            <w:gridSpan w:val="15"/>
          </w:tcPr>
          <w:p>
            <w:pPr>
              <w:spacing w:after="0"/>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New York Mellon Trust Company, N.A., as Trustee,</w:t>
              </w:r>
            </w:hyperlink>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180" w:type="dxa"/>
            <w:vAlign w:val="bottom"/>
            <w:gridSpan w:val="15"/>
          </w:tcPr>
          <w:p>
            <w:pPr>
              <w:spacing w:after="0"/>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to the Base Indenture</w:t>
              </w:r>
            </w:hyperlink>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4.5</w:t>
            </w:r>
          </w:p>
        </w:tc>
        <w:tc>
          <w:tcPr>
            <w:tcW w:w="4180" w:type="dxa"/>
            <w:vAlign w:val="bottom"/>
            <w:gridSpan w:val="15"/>
          </w:tcPr>
          <w:p>
            <w:pPr>
              <w:spacing w:after="0"/>
              <w:rPr>
                <w:rFonts w:ascii="Arial" w:cs="Arial" w:eastAsia="Arial" w:hAnsi="Arial"/>
                <w:sz w:val="18"/>
                <w:szCs w:val="18"/>
                <w:color w:val="0000EE"/>
              </w:rPr>
            </w:pPr>
            <w:hyperlink r:id="rId209">
              <w:r>
                <w:rPr>
                  <w:rFonts w:ascii="Arial" w:cs="Arial" w:eastAsia="Arial" w:hAnsi="Arial"/>
                  <w:sz w:val="18"/>
                  <w:szCs w:val="18"/>
                  <w:color w:val="0000EE"/>
                </w:rPr>
                <w:t>Form of Second Supplemental Indenture for</w:t>
              </w:r>
            </w:hyperlink>
          </w:p>
        </w:tc>
        <w:tc>
          <w:tcPr>
            <w:tcW w:w="860" w:type="dxa"/>
            <w:vAlign w:val="bottom"/>
          </w:tcPr>
          <w:p>
            <w:pPr>
              <w:spacing w:after="0"/>
              <w:rPr>
                <w:sz w:val="24"/>
                <w:szCs w:val="24"/>
                <w:color w:val="auto"/>
              </w:rPr>
            </w:pPr>
          </w:p>
        </w:tc>
        <w:tc>
          <w:tcPr>
            <w:tcW w:w="1300" w:type="dxa"/>
            <w:vAlign w:val="bottom"/>
          </w:tcPr>
          <w:p>
            <w:pPr>
              <w:jc w:val="right"/>
              <w:ind w:right="274"/>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9/27/10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0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0.</w:t>
              </w:r>
              <w:r>
                <w:rPr>
                  <w:rFonts w:ascii="Arial" w:cs="Arial" w:eastAsia="Arial" w:hAnsi="Arial"/>
                  <w:sz w:val="18"/>
                  <w:szCs w:val="18"/>
                  <w:u w:val="single" w:color="auto"/>
                  <w:color w:val="0000EE"/>
                  <w:w w:val="99"/>
                </w:rPr>
                <w:t>875%</w:t>
              </w:r>
              <w:r>
                <w:rPr>
                  <w:rFonts w:ascii="Arial" w:cs="Arial" w:eastAsia="Arial" w:hAnsi="Arial"/>
                  <w:sz w:val="18"/>
                  <w:szCs w:val="18"/>
                  <w:color w:val="0000EE"/>
                  <w:w w:val="99"/>
                </w:rPr>
                <w:t xml:space="preserve"> Notes due 2013, 1.625% Notes due 2015,</w:t>
              </w:r>
            </w:hyperlink>
          </w:p>
        </w:tc>
        <w:tc>
          <w:tcPr>
            <w:tcW w:w="16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180" w:type="dxa"/>
            <w:vAlign w:val="bottom"/>
            <w:gridSpan w:val="15"/>
          </w:tcPr>
          <w:p>
            <w:pPr>
              <w:spacing w:after="0" w:line="182" w:lineRule="exact"/>
              <w:rPr>
                <w:rFonts w:ascii="Arial" w:cs="Arial" w:eastAsia="Arial" w:hAnsi="Arial"/>
                <w:sz w:val="18"/>
                <w:szCs w:val="18"/>
                <w:color w:val="0000EE"/>
              </w:rPr>
            </w:pPr>
            <w:hyperlink r:id="rId209">
              <w:r>
                <w:rPr>
                  <w:rFonts w:ascii="Arial" w:cs="Arial" w:eastAsia="Arial" w:hAnsi="Arial"/>
                  <w:sz w:val="18"/>
                  <w:szCs w:val="18"/>
                  <w:color w:val="0000EE"/>
                </w:rPr>
                <w:t>3.</w:t>
              </w:r>
              <w:r>
                <w:rPr>
                  <w:rFonts w:ascii="Arial" w:cs="Arial" w:eastAsia="Arial" w:hAnsi="Arial"/>
                  <w:sz w:val="18"/>
                  <w:szCs w:val="18"/>
                  <w:u w:val="single" w:color="auto"/>
                  <w:color w:val="0000EE"/>
                </w:rPr>
                <w:t>00%</w:t>
              </w:r>
              <w:r>
                <w:rPr>
                  <w:rFonts w:ascii="Arial" w:cs="Arial" w:eastAsia="Arial" w:hAnsi="Arial"/>
                  <w:sz w:val="18"/>
                  <w:szCs w:val="18"/>
                  <w:color w:val="0000EE"/>
                </w:rPr>
                <w:t xml:space="preserve"> Notes due 2020, and 4.50% Notes due</w:t>
              </w:r>
            </w:hyperlink>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38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2040, dated as of September 27, 2010, between</w:t>
              </w:r>
            </w:hyperlink>
          </w:p>
        </w:tc>
        <w:tc>
          <w:tcPr>
            <w:tcW w:w="32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Microsoft Corporation and The Bank of New York</w:t>
              </w:r>
            </w:hyperlink>
          </w:p>
        </w:tc>
        <w:tc>
          <w:tcPr>
            <w:tcW w:w="2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180" w:type="dxa"/>
            <w:vAlign w:val="bottom"/>
            <w:gridSpan w:val="15"/>
          </w:tcPr>
          <w:p>
            <w:pPr>
              <w:spacing w:after="0" w:line="182" w:lineRule="exact"/>
              <w:rPr>
                <w:rFonts w:ascii="Arial" w:cs="Arial" w:eastAsia="Arial" w:hAnsi="Arial"/>
                <w:sz w:val="18"/>
                <w:szCs w:val="18"/>
                <w:color w:val="0000EE"/>
              </w:rPr>
            </w:pPr>
            <w:hyperlink r:id="rId209">
              <w:r>
                <w:rPr>
                  <w:rFonts w:ascii="Arial" w:cs="Arial" w:eastAsia="Arial" w:hAnsi="Arial"/>
                  <w:sz w:val="18"/>
                  <w:szCs w:val="18"/>
                  <w:color w:val="0000EE"/>
                </w:rPr>
                <w:t>Mellon Trust Company, N.A., as Trustee, to the</w:t>
              </w:r>
            </w:hyperlink>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74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Indenture, dated as of May 18, 2009, between</w:t>
              </w:r>
            </w:hyperlink>
          </w:p>
        </w:tc>
        <w:tc>
          <w:tcPr>
            <w:tcW w:w="440" w:type="dxa"/>
            <w:vAlign w:val="bottom"/>
            <w:gridSpan w:val="8"/>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180" w:type="dxa"/>
            <w:vAlign w:val="bottom"/>
            <w:gridSpan w:val="15"/>
          </w:tcPr>
          <w:p>
            <w:pPr>
              <w:spacing w:after="0" w:line="202" w:lineRule="exact"/>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Microsoft Corporation and The Bank of New York</w:t>
              </w:r>
            </w:hyperlink>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180" w:type="dxa"/>
            <w:vAlign w:val="bottom"/>
            <w:gridSpan w:val="15"/>
          </w:tcPr>
          <w:p>
            <w:pPr>
              <w:spacing w:after="0"/>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Mellon Trust Company, N.A., as Trustee</w:t>
              </w:r>
            </w:hyperlink>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51"/>
              <w:spacing w:after="0"/>
              <w:rPr>
                <w:sz w:val="20"/>
                <w:szCs w:val="20"/>
                <w:color w:val="auto"/>
              </w:rPr>
            </w:pPr>
            <w:r>
              <w:rPr>
                <w:rFonts w:ascii="Arial" w:cs="Arial" w:eastAsia="Arial" w:hAnsi="Arial"/>
                <w:sz w:val="14"/>
                <w:szCs w:val="14"/>
                <w:color w:val="auto"/>
              </w:rPr>
              <w:t>100</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0" w:name="page101"/>
    <w:bookmarkEnd w:id="100"/>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jc w:val="right"/>
              <w:ind w:right="213"/>
              <w:spacing w:after="0" w:line="126"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220" w:type="dxa"/>
            <w:vAlign w:val="bottom"/>
            <w:tcBorders>
              <w:bottom w:val="single" w:sz="8" w:color="auto"/>
            </w:tcBorders>
            <w:gridSpan w:val="17"/>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4.6</w:t>
            </w:r>
          </w:p>
        </w:tc>
        <w:tc>
          <w:tcPr>
            <w:tcW w:w="3800" w:type="dxa"/>
            <w:vAlign w:val="bottom"/>
            <w:tcBorders>
              <w:bottom w:val="single" w:sz="8" w:color="0000EE"/>
            </w:tcBorders>
            <w:gridSpan w:val="5"/>
          </w:tcPr>
          <w:p>
            <w:pPr>
              <w:spacing w:after="0"/>
              <w:rPr>
                <w:rFonts w:ascii="Arial" w:cs="Arial" w:eastAsia="Arial" w:hAnsi="Arial"/>
                <w:sz w:val="18"/>
                <w:szCs w:val="18"/>
                <w:color w:val="0000EE"/>
                <w:w w:val="98"/>
              </w:rPr>
            </w:pPr>
            <w:hyperlink r:id="rId212">
              <w:r>
                <w:rPr>
                  <w:rFonts w:ascii="Arial" w:cs="Arial" w:eastAsia="Arial" w:hAnsi="Arial"/>
                  <w:sz w:val="18"/>
                  <w:szCs w:val="18"/>
                  <w:color w:val="0000EE"/>
                  <w:w w:val="98"/>
                </w:rPr>
                <w:t>Third Supplemental Indenture for 2.500% Notes</w:t>
              </w:r>
            </w:hyperlink>
          </w:p>
        </w:tc>
        <w:tc>
          <w:tcPr>
            <w:tcW w:w="420" w:type="dxa"/>
            <w:vAlign w:val="bottom"/>
            <w:gridSpan w:val="12"/>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212">
              <w:r>
                <w:rPr>
                  <w:rFonts w:ascii="Arial" w:cs="Arial" w:eastAsia="Arial" w:hAnsi="Arial"/>
                  <w:sz w:val="18"/>
                  <w:szCs w:val="18"/>
                  <w:color w:val="0000EE"/>
                  <w:w w:val="99"/>
                </w:rPr>
                <w:t>due 2016, 4.000% Notes due 2021, and 5.300%</w:t>
              </w:r>
            </w:hyperlink>
          </w:p>
        </w:tc>
        <w:tc>
          <w:tcPr>
            <w:tcW w:w="360" w:type="dxa"/>
            <w:vAlign w:val="bottom"/>
            <w:gridSpan w:val="10"/>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0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Notes due 2041, dated as of February 8, 2011,</w:t>
              </w:r>
            </w:hyperlink>
          </w:p>
        </w:tc>
        <w:tc>
          <w:tcPr>
            <w:tcW w:w="420" w:type="dxa"/>
            <w:vAlign w:val="bottom"/>
            <w:gridSpan w:val="12"/>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7"/>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between Microsoft Corporation and The Bank of</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06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r:id="rId212">
              <w:r>
                <w:rPr>
                  <w:rFonts w:ascii="Arial" w:cs="Arial" w:eastAsia="Arial" w:hAnsi="Arial"/>
                  <w:sz w:val="18"/>
                  <w:szCs w:val="18"/>
                  <w:color w:val="0000EE"/>
                  <w:w w:val="98"/>
                </w:rPr>
                <w:t>New York Mellon Trust Company, N.A., as Trustee,</w:t>
              </w:r>
            </w:hyperlink>
          </w:p>
        </w:tc>
        <w:tc>
          <w:tcPr>
            <w:tcW w:w="16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7"/>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to the Indenture, dated as of May 18, 2009,</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between Microsoft Corporation and The Bank of</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New York Mellon Trust Company, N.A., as 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4.7</w:t>
            </w:r>
          </w:p>
        </w:tc>
        <w:tc>
          <w:tcPr>
            <w:tcW w:w="3940" w:type="dxa"/>
            <w:vAlign w:val="bottom"/>
            <w:tcBorders>
              <w:bottom w:val="single" w:sz="8" w:color="0000EE"/>
            </w:tcBorders>
            <w:gridSpan w:val="9"/>
          </w:tcPr>
          <w:p>
            <w:pPr>
              <w:spacing w:after="0"/>
              <w:rPr>
                <w:rFonts w:ascii="Arial" w:cs="Arial" w:eastAsia="Arial" w:hAnsi="Arial"/>
                <w:sz w:val="18"/>
                <w:szCs w:val="18"/>
                <w:color w:val="0000EE"/>
                <w:w w:val="99"/>
              </w:rPr>
            </w:pPr>
            <w:hyperlink r:id="rId213">
              <w:r>
                <w:rPr>
                  <w:rFonts w:ascii="Arial" w:cs="Arial" w:eastAsia="Arial" w:hAnsi="Arial"/>
                  <w:sz w:val="18"/>
                  <w:szCs w:val="18"/>
                  <w:color w:val="0000EE"/>
                  <w:w w:val="99"/>
                </w:rPr>
                <w:t>Fourth Supplemental Indenture for 0.875% Notes</w:t>
              </w:r>
            </w:hyperlink>
          </w:p>
        </w:tc>
        <w:tc>
          <w:tcPr>
            <w:tcW w:w="28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213">
              <w:r>
                <w:rPr>
                  <w:rFonts w:ascii="Arial" w:cs="Arial" w:eastAsia="Arial" w:hAnsi="Arial"/>
                  <w:sz w:val="18"/>
                  <w:szCs w:val="18"/>
                  <w:color w:val="0000EE"/>
                  <w:w w:val="99"/>
                </w:rPr>
                <w:t>due 2017, 2.125% Notes due 2022, and 3.500%</w:t>
              </w:r>
            </w:hyperlink>
          </w:p>
        </w:tc>
        <w:tc>
          <w:tcPr>
            <w:tcW w:w="360" w:type="dxa"/>
            <w:vAlign w:val="bottom"/>
            <w:gridSpan w:val="10"/>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7"/>
          </w:tcPr>
          <w:p>
            <w:pPr>
              <w:spacing w:after="0" w:line="182" w:lineRule="exact"/>
              <w:rPr>
                <w:rFonts w:ascii="Arial" w:cs="Arial" w:eastAsia="Arial" w:hAnsi="Arial"/>
                <w:sz w:val="18"/>
                <w:szCs w:val="18"/>
                <w:color w:val="0000EE"/>
              </w:rPr>
            </w:pPr>
            <w:hyperlink r:id="rId213">
              <w:r>
                <w:rPr>
                  <w:rFonts w:ascii="Arial" w:cs="Arial" w:eastAsia="Arial" w:hAnsi="Arial"/>
                  <w:sz w:val="18"/>
                  <w:szCs w:val="18"/>
                  <w:color w:val="0000EE"/>
                </w:rPr>
                <w:t>Notes due 2042, dated as of November 7, 2012,</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840" w:type="dxa"/>
            <w:vAlign w:val="bottom"/>
            <w:tcBorders>
              <w:top w:val="single" w:sz="8" w:color="0000EE"/>
            </w:tcBorders>
            <w:gridSpan w:val="6"/>
          </w:tcPr>
          <w:p>
            <w:pPr>
              <w:spacing w:after="0" w:line="182" w:lineRule="exact"/>
              <w:rPr>
                <w:rFonts w:ascii="Arial" w:cs="Arial" w:eastAsia="Arial" w:hAnsi="Arial"/>
                <w:sz w:val="18"/>
                <w:szCs w:val="18"/>
                <w:color w:val="0000EE"/>
                <w:w w:val="99"/>
              </w:rPr>
            </w:pPr>
            <w:hyperlink r:id="rId213">
              <w:r>
                <w:rPr>
                  <w:rFonts w:ascii="Arial" w:cs="Arial" w:eastAsia="Arial" w:hAnsi="Arial"/>
                  <w:sz w:val="18"/>
                  <w:szCs w:val="18"/>
                  <w:color w:val="0000EE"/>
                  <w:w w:val="99"/>
                </w:rPr>
                <w:t>between Microsoft Corporation and The Bank of</w:t>
              </w:r>
            </w:hyperlink>
          </w:p>
        </w:tc>
        <w:tc>
          <w:tcPr>
            <w:tcW w:w="38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06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r:id="rId213">
              <w:r>
                <w:rPr>
                  <w:rFonts w:ascii="Arial" w:cs="Arial" w:eastAsia="Arial" w:hAnsi="Arial"/>
                  <w:sz w:val="18"/>
                  <w:szCs w:val="18"/>
                  <w:color w:val="0000EE"/>
                  <w:w w:val="98"/>
                </w:rPr>
                <w:t>New York Mellon Trust Company, N.A., as Trustee,</w:t>
              </w:r>
            </w:hyperlink>
          </w:p>
        </w:tc>
        <w:tc>
          <w:tcPr>
            <w:tcW w:w="16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7"/>
          </w:tcPr>
          <w:p>
            <w:pPr>
              <w:spacing w:after="0" w:line="182" w:lineRule="exact"/>
              <w:rPr>
                <w:rFonts w:ascii="Arial" w:cs="Arial" w:eastAsia="Arial" w:hAnsi="Arial"/>
                <w:sz w:val="18"/>
                <w:szCs w:val="18"/>
                <w:color w:val="0000EE"/>
              </w:rPr>
            </w:pPr>
            <w:hyperlink r:id="rId213">
              <w:r>
                <w:rPr>
                  <w:rFonts w:ascii="Arial" w:cs="Arial" w:eastAsia="Arial" w:hAnsi="Arial"/>
                  <w:sz w:val="18"/>
                  <w:szCs w:val="18"/>
                  <w:color w:val="0000EE"/>
                </w:rPr>
                <w:t>to the Indenture, dated as of May 18, 2009,</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between Microsoft Corporation and The Bank of</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New York Mellon Trust Company, N.A., as 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4.8</w:t>
            </w:r>
          </w:p>
        </w:tc>
        <w:tc>
          <w:tcPr>
            <w:tcW w:w="4120" w:type="dxa"/>
            <w:vAlign w:val="bottom"/>
            <w:tcBorders>
              <w:bottom w:val="single" w:sz="8" w:color="0000EE"/>
            </w:tcBorders>
            <w:gridSpan w:val="16"/>
          </w:tcPr>
          <w:p>
            <w:pPr>
              <w:spacing w:after="0"/>
              <w:rPr>
                <w:rFonts w:ascii="Arial" w:cs="Arial" w:eastAsia="Arial" w:hAnsi="Arial"/>
                <w:sz w:val="18"/>
                <w:szCs w:val="18"/>
                <w:color w:val="0000EE"/>
                <w:w w:val="99"/>
              </w:rPr>
            </w:pPr>
            <w:hyperlink r:id="rId214">
              <w:r>
                <w:rPr>
                  <w:rFonts w:ascii="Arial" w:cs="Arial" w:eastAsia="Arial" w:hAnsi="Arial"/>
                  <w:sz w:val="18"/>
                  <w:szCs w:val="18"/>
                  <w:color w:val="0000EE"/>
                  <w:w w:val="99"/>
                </w:rPr>
                <w:t>Fifth Supplemental Indenture for 2.625% Notes due</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214">
              <w:r>
                <w:rPr>
                  <w:rFonts w:ascii="Arial" w:cs="Arial" w:eastAsia="Arial" w:hAnsi="Arial"/>
                  <w:sz w:val="18"/>
                  <w:szCs w:val="18"/>
                  <w:color w:val="0000EE"/>
                  <w:w w:val="99"/>
                </w:rPr>
                <w:t>2033, dated as of May 2, 2013, between Microsoft</w:t>
              </w:r>
            </w:hyperlink>
          </w:p>
        </w:tc>
        <w:tc>
          <w:tcPr>
            <w:tcW w:w="22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72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214">
              <w:r>
                <w:rPr>
                  <w:rFonts w:ascii="Arial" w:cs="Arial" w:eastAsia="Arial" w:hAnsi="Arial"/>
                  <w:sz w:val="18"/>
                  <w:szCs w:val="18"/>
                  <w:color w:val="0000EE"/>
                  <w:w w:val="99"/>
                </w:rPr>
                <w:t>Corporation and The Bank of New York Mellon</w:t>
              </w:r>
            </w:hyperlink>
          </w:p>
        </w:tc>
        <w:tc>
          <w:tcPr>
            <w:tcW w:w="50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7"/>
          </w:tcPr>
          <w:p>
            <w:pPr>
              <w:spacing w:after="0" w:line="182" w:lineRule="exact"/>
              <w:rPr>
                <w:rFonts w:ascii="Arial" w:cs="Arial" w:eastAsia="Arial" w:hAnsi="Arial"/>
                <w:sz w:val="18"/>
                <w:szCs w:val="18"/>
                <w:color w:val="0000EE"/>
              </w:rPr>
            </w:pPr>
            <w:hyperlink r:id="rId214">
              <w:r>
                <w:rPr>
                  <w:rFonts w:ascii="Arial" w:cs="Arial" w:eastAsia="Arial" w:hAnsi="Arial"/>
                  <w:sz w:val="18"/>
                  <w:szCs w:val="18"/>
                  <w:color w:val="0000EE"/>
                </w:rPr>
                <w:t>Trust Company, N.A., as Trustee, to the Indenture,</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214">
              <w:r>
                <w:rPr>
                  <w:rFonts w:ascii="Arial" w:cs="Arial" w:eastAsia="Arial" w:hAnsi="Arial"/>
                  <w:sz w:val="18"/>
                  <w:szCs w:val="18"/>
                  <w:color w:val="0000EE"/>
                  <w:w w:val="99"/>
                </w:rPr>
                <w:t>dated as of May 18, 2009, between Microsoft</w:t>
              </w:r>
            </w:hyperlink>
          </w:p>
        </w:tc>
        <w:tc>
          <w:tcPr>
            <w:tcW w:w="420" w:type="dxa"/>
            <w:vAlign w:val="bottom"/>
            <w:tcBorders>
              <w:top w:val="single" w:sz="8" w:color="0000EE"/>
            </w:tcBorders>
            <w:gridSpan w:val="10"/>
          </w:tcPr>
          <w:p>
            <w:pPr>
              <w:spacing w:after="0"/>
              <w:rPr>
                <w:sz w:val="15"/>
                <w:szCs w:val="15"/>
                <w:color w:val="auto"/>
              </w:rPr>
            </w:pPr>
          </w:p>
        </w:tc>
        <w:tc>
          <w:tcPr>
            <w:tcW w:w="200" w:type="dxa"/>
            <w:vAlign w:val="bottom"/>
            <w:gridSpan w:val="5"/>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Corporation and The Bank of New York Mellon</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Trust Company, N.A., as 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4.9</w:t>
            </w:r>
          </w:p>
        </w:tc>
        <w:tc>
          <w:tcPr>
            <w:tcW w:w="4220" w:type="dxa"/>
            <w:vAlign w:val="bottom"/>
            <w:gridSpan w:val="17"/>
          </w:tcPr>
          <w:p>
            <w:pPr>
              <w:spacing w:after="0"/>
              <w:rPr>
                <w:rFonts w:ascii="Arial" w:cs="Arial" w:eastAsia="Arial" w:hAnsi="Arial"/>
                <w:sz w:val="18"/>
                <w:szCs w:val="18"/>
                <w:color w:val="0000EE"/>
              </w:rPr>
            </w:pPr>
            <w:hyperlink r:id="rId215">
              <w:r>
                <w:rPr>
                  <w:rFonts w:ascii="Arial" w:cs="Arial" w:eastAsia="Arial" w:hAnsi="Arial"/>
                  <w:sz w:val="18"/>
                  <w:szCs w:val="18"/>
                  <w:color w:val="0000EE"/>
                </w:rPr>
                <w:t>Sixth Supplemental Indenture for 1.000% Notes</w:t>
              </w:r>
            </w:hyperlink>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38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215">
              <w:r>
                <w:rPr>
                  <w:rFonts w:ascii="Arial" w:cs="Arial" w:eastAsia="Arial" w:hAnsi="Arial"/>
                  <w:sz w:val="18"/>
                  <w:szCs w:val="18"/>
                  <w:color w:val="0000EE"/>
                  <w:w w:val="99"/>
                </w:rPr>
                <w:t>due 2018, 2.375% Notes due 2023, and 3.750%</w:t>
              </w:r>
            </w:hyperlink>
          </w:p>
        </w:tc>
        <w:tc>
          <w:tcPr>
            <w:tcW w:w="360" w:type="dxa"/>
            <w:vAlign w:val="bottom"/>
            <w:gridSpan w:val="10"/>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1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215">
              <w:r>
                <w:rPr>
                  <w:rFonts w:ascii="Arial" w:cs="Arial" w:eastAsia="Arial" w:hAnsi="Arial"/>
                  <w:sz w:val="18"/>
                  <w:szCs w:val="18"/>
                  <w:color w:val="0000EE"/>
                  <w:w w:val="99"/>
                </w:rPr>
                <w:t>Notes due 2043, dated as of May 2, 2013, between</w:t>
              </w:r>
            </w:hyperlink>
          </w:p>
        </w:tc>
        <w:tc>
          <w:tcPr>
            <w:tcW w:w="1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215">
              <w:r>
                <w:rPr>
                  <w:rFonts w:ascii="Arial" w:cs="Arial" w:eastAsia="Arial" w:hAnsi="Arial"/>
                  <w:sz w:val="18"/>
                  <w:szCs w:val="18"/>
                  <w:color w:val="0000EE"/>
                  <w:w w:val="99"/>
                </w:rPr>
                <w:t>Microsoft Corporation and The Bank of New York</w:t>
              </w:r>
            </w:hyperlink>
          </w:p>
        </w:tc>
        <w:tc>
          <w:tcPr>
            <w:tcW w:w="300" w:type="dxa"/>
            <w:vAlign w:val="bottom"/>
            <w:gridSpan w:val="9"/>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7"/>
          </w:tcPr>
          <w:p>
            <w:pPr>
              <w:spacing w:after="0" w:line="182" w:lineRule="exact"/>
              <w:rPr>
                <w:rFonts w:ascii="Arial" w:cs="Arial" w:eastAsia="Arial" w:hAnsi="Arial"/>
                <w:sz w:val="18"/>
                <w:szCs w:val="18"/>
                <w:color w:val="0000EE"/>
              </w:rPr>
            </w:pPr>
            <w:hyperlink r:id="rId215">
              <w:r>
                <w:rPr>
                  <w:rFonts w:ascii="Arial" w:cs="Arial" w:eastAsia="Arial" w:hAnsi="Arial"/>
                  <w:sz w:val="18"/>
                  <w:szCs w:val="18"/>
                  <w:color w:val="0000EE"/>
                </w:rPr>
                <w:t>Mellon Trust Company, N.A., as Trustee, to the</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215">
              <w:r>
                <w:rPr>
                  <w:rFonts w:ascii="Arial" w:cs="Arial" w:eastAsia="Arial" w:hAnsi="Arial"/>
                  <w:sz w:val="18"/>
                  <w:szCs w:val="18"/>
                  <w:color w:val="0000EE"/>
                  <w:w w:val="99"/>
                </w:rPr>
                <w:t>Indenture, dated as of May 18, 2009, between</w:t>
              </w:r>
            </w:hyperlink>
          </w:p>
        </w:tc>
        <w:tc>
          <w:tcPr>
            <w:tcW w:w="120" w:type="dxa"/>
            <w:vAlign w:val="bottom"/>
            <w:tcBorders>
              <w:top w:val="single" w:sz="8" w:color="0000EE"/>
            </w:tcBorders>
            <w:gridSpan w:val="2"/>
          </w:tcPr>
          <w:p>
            <w:pPr>
              <w:spacing w:after="0"/>
              <w:rPr>
                <w:sz w:val="15"/>
                <w:szCs w:val="15"/>
                <w:color w:val="auto"/>
              </w:rPr>
            </w:pPr>
          </w:p>
        </w:tc>
        <w:tc>
          <w:tcPr>
            <w:tcW w:w="420" w:type="dxa"/>
            <w:vAlign w:val="bottom"/>
            <w:gridSpan w:val="12"/>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Microsoft Corporation and The Bank of New York</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Mellon Trust Company, N.A., as 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4.10</w:t>
            </w:r>
          </w:p>
        </w:tc>
        <w:tc>
          <w:tcPr>
            <w:tcW w:w="4220" w:type="dxa"/>
            <w:vAlign w:val="bottom"/>
            <w:gridSpan w:val="17"/>
          </w:tcPr>
          <w:p>
            <w:pPr>
              <w:spacing w:after="0"/>
              <w:rPr>
                <w:rFonts w:ascii="Arial" w:cs="Arial" w:eastAsia="Arial" w:hAnsi="Arial"/>
                <w:sz w:val="18"/>
                <w:szCs w:val="18"/>
                <w:color w:val="0000EE"/>
              </w:rPr>
            </w:pPr>
            <w:hyperlink r:id="rId216">
              <w:r>
                <w:rPr>
                  <w:rFonts w:ascii="Arial" w:cs="Arial" w:eastAsia="Arial" w:hAnsi="Arial"/>
                  <w:sz w:val="18"/>
                  <w:szCs w:val="18"/>
                  <w:color w:val="0000EE"/>
                </w:rPr>
                <w:t>Seventh Supplemental Indenture for 2.125% Notes</w:t>
              </w:r>
            </w:hyperlink>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60" w:type="dxa"/>
            <w:vAlign w:val="bottom"/>
            <w:gridSpan w:val="10"/>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7"/>
          </w:tcPr>
          <w:p>
            <w:pPr>
              <w:spacing w:after="0" w:line="182" w:lineRule="exact"/>
              <w:rPr>
                <w:rFonts w:ascii="Arial" w:cs="Arial" w:eastAsia="Arial" w:hAnsi="Arial"/>
                <w:sz w:val="18"/>
                <w:szCs w:val="18"/>
                <w:color w:val="0000EE"/>
              </w:rPr>
            </w:pPr>
            <w:hyperlink r:id="rId216">
              <w:r>
                <w:rPr>
                  <w:rFonts w:ascii="Arial" w:cs="Arial" w:eastAsia="Arial" w:hAnsi="Arial"/>
                  <w:sz w:val="18"/>
                  <w:szCs w:val="18"/>
                  <w:color w:val="0000EE"/>
                </w:rPr>
                <w:t>due 2021 and 3.125% Notes due 2028, dated as of</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216">
              <w:r>
                <w:rPr>
                  <w:rFonts w:ascii="Arial" w:cs="Arial" w:eastAsia="Arial" w:hAnsi="Arial"/>
                  <w:sz w:val="18"/>
                  <w:szCs w:val="18"/>
                  <w:color w:val="0000EE"/>
                  <w:w w:val="99"/>
                </w:rPr>
                <w:t>December 6, 2013, between Microsoft Corporation</w:t>
              </w:r>
            </w:hyperlink>
          </w:p>
        </w:tc>
        <w:tc>
          <w:tcPr>
            <w:tcW w:w="20" w:type="dxa"/>
            <w:vAlign w:val="bottom"/>
            <w:tcBorders>
              <w:top w:val="single" w:sz="8" w:color="0000EE"/>
            </w:tcBorders>
          </w:tcPr>
          <w:p>
            <w:pPr>
              <w:spacing w:after="0"/>
              <w:rPr>
                <w:sz w:val="15"/>
                <w:szCs w:val="15"/>
                <w:color w:val="auto"/>
              </w:rPr>
            </w:pPr>
          </w:p>
        </w:tc>
        <w:tc>
          <w:tcPr>
            <w:tcW w:w="1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6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r:id="rId216">
              <w:r>
                <w:rPr>
                  <w:rFonts w:ascii="Arial" w:cs="Arial" w:eastAsia="Arial" w:hAnsi="Arial"/>
                  <w:sz w:val="18"/>
                  <w:szCs w:val="18"/>
                  <w:color w:val="0000EE"/>
                  <w:w w:val="98"/>
                </w:rPr>
                <w:t>and The Bank of New York Mellon Trust Company,</w:t>
              </w:r>
            </w:hyperlink>
          </w:p>
        </w:tc>
        <w:tc>
          <w:tcPr>
            <w:tcW w:w="16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7"/>
          </w:tcPr>
          <w:p>
            <w:pPr>
              <w:spacing w:after="0" w:line="182" w:lineRule="exact"/>
              <w:rPr>
                <w:rFonts w:ascii="Arial" w:cs="Arial" w:eastAsia="Arial" w:hAnsi="Arial"/>
                <w:sz w:val="18"/>
                <w:szCs w:val="18"/>
                <w:color w:val="0000EE"/>
              </w:rPr>
            </w:pPr>
            <w:hyperlink r:id="rId216">
              <w:r>
                <w:rPr>
                  <w:rFonts w:ascii="Arial" w:cs="Arial" w:eastAsia="Arial" w:hAnsi="Arial"/>
                  <w:sz w:val="18"/>
                  <w:szCs w:val="18"/>
                  <w:color w:val="0000EE"/>
                </w:rPr>
                <w:t>N.A., as Trustee, to the Indenture, dated as of May</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216">
              <w:r>
                <w:rPr>
                  <w:rFonts w:ascii="Arial" w:cs="Arial" w:eastAsia="Arial" w:hAnsi="Arial"/>
                  <w:sz w:val="18"/>
                  <w:szCs w:val="18"/>
                  <w:color w:val="0000EE"/>
                </w:rPr>
                <w:t>18, 2009, between Microsoft Corporation and The</w:t>
              </w:r>
            </w:hyperlink>
          </w:p>
        </w:tc>
        <w:tc>
          <w:tcPr>
            <w:tcW w:w="16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60" w:type="dxa"/>
            <w:vAlign w:val="bottom"/>
            <w:gridSpan w:val="10"/>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Bank of New York Mellon Trust Company, N.A., as</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17"/>
          </w:tcPr>
          <w:p>
            <w:pPr>
              <w:spacing w:after="0"/>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51"/>
              <w:spacing w:after="0"/>
              <w:rPr>
                <w:sz w:val="20"/>
                <w:szCs w:val="20"/>
                <w:color w:val="auto"/>
              </w:rPr>
            </w:pPr>
            <w:r>
              <w:rPr>
                <w:rFonts w:ascii="Arial" w:cs="Arial" w:eastAsia="Arial" w:hAnsi="Arial"/>
                <w:sz w:val="14"/>
                <w:szCs w:val="14"/>
                <w:color w:val="auto"/>
              </w:rPr>
              <w:t>101</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2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1" w:name="page102"/>
    <w:bookmarkEnd w:id="101"/>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3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jc w:val="right"/>
              <w:ind w:right="213"/>
              <w:spacing w:after="0" w:line="126"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220" w:type="dxa"/>
            <w:vAlign w:val="bottom"/>
            <w:tcBorders>
              <w:bottom w:val="single" w:sz="8" w:color="auto"/>
            </w:tcBorders>
            <w:gridSpan w:val="20"/>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4.11</w:t>
            </w:r>
          </w:p>
        </w:tc>
        <w:tc>
          <w:tcPr>
            <w:tcW w:w="3920" w:type="dxa"/>
            <w:vAlign w:val="bottom"/>
            <w:tcBorders>
              <w:bottom w:val="single" w:sz="8" w:color="0000EE"/>
            </w:tcBorders>
            <w:gridSpan w:val="13"/>
          </w:tcPr>
          <w:p>
            <w:pPr>
              <w:spacing w:after="0"/>
              <w:rPr>
                <w:rFonts w:ascii="Arial" w:cs="Arial" w:eastAsia="Arial" w:hAnsi="Arial"/>
                <w:sz w:val="18"/>
                <w:szCs w:val="18"/>
                <w:color w:val="0000EE"/>
                <w:w w:val="99"/>
              </w:rPr>
            </w:pPr>
            <w:hyperlink r:id="rId219">
              <w:r>
                <w:rPr>
                  <w:rFonts w:ascii="Arial" w:cs="Arial" w:eastAsia="Arial" w:hAnsi="Arial"/>
                  <w:sz w:val="18"/>
                  <w:szCs w:val="18"/>
                  <w:color w:val="0000EE"/>
                  <w:w w:val="99"/>
                </w:rPr>
                <w:t>Eighth Supplemental Indenture for 1.625% Notes</w:t>
              </w:r>
            </w:hyperlink>
          </w:p>
        </w:tc>
        <w:tc>
          <w:tcPr>
            <w:tcW w:w="30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5"/>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219">
              <w:r>
                <w:rPr>
                  <w:rFonts w:ascii="Arial" w:cs="Arial" w:eastAsia="Arial" w:hAnsi="Arial"/>
                  <w:sz w:val="18"/>
                  <w:szCs w:val="18"/>
                  <w:color w:val="0000EE"/>
                  <w:w w:val="99"/>
                </w:rPr>
                <w:t>due 2018, 3.625% Notes due 2023, and 4.875%</w:t>
              </w:r>
            </w:hyperlink>
          </w:p>
        </w:tc>
        <w:tc>
          <w:tcPr>
            <w:tcW w:w="360" w:type="dxa"/>
            <w:vAlign w:val="bottom"/>
            <w:gridSpan w:val="10"/>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20"/>
          </w:tcPr>
          <w:p>
            <w:pPr>
              <w:spacing w:after="0" w:line="182" w:lineRule="exact"/>
              <w:rPr>
                <w:rFonts w:ascii="Arial" w:cs="Arial" w:eastAsia="Arial" w:hAnsi="Arial"/>
                <w:sz w:val="18"/>
                <w:szCs w:val="18"/>
                <w:color w:val="0000EE"/>
              </w:rPr>
            </w:pPr>
            <w:hyperlink r:id="rId219">
              <w:r>
                <w:rPr>
                  <w:rFonts w:ascii="Arial" w:cs="Arial" w:eastAsia="Arial" w:hAnsi="Arial"/>
                  <w:sz w:val="18"/>
                  <w:szCs w:val="18"/>
                  <w:color w:val="0000EE"/>
                </w:rPr>
                <w:t>Notes due 2043, dated as of December 6, 2013,</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40" w:type="dxa"/>
            <w:vAlign w:val="bottom"/>
            <w:tcBorders>
              <w:top w:val="single" w:sz="8" w:color="0000EE"/>
            </w:tcBorders>
            <w:gridSpan w:val="9"/>
          </w:tcPr>
          <w:p>
            <w:pPr>
              <w:spacing w:after="0" w:line="182" w:lineRule="exact"/>
              <w:rPr>
                <w:rFonts w:ascii="Arial" w:cs="Arial" w:eastAsia="Arial" w:hAnsi="Arial"/>
                <w:sz w:val="18"/>
                <w:szCs w:val="18"/>
                <w:color w:val="0000EE"/>
                <w:w w:val="99"/>
              </w:rPr>
            </w:pPr>
            <w:hyperlink r:id="rId219">
              <w:r>
                <w:rPr>
                  <w:rFonts w:ascii="Arial" w:cs="Arial" w:eastAsia="Arial" w:hAnsi="Arial"/>
                  <w:sz w:val="18"/>
                  <w:szCs w:val="18"/>
                  <w:color w:val="0000EE"/>
                  <w:w w:val="99"/>
                </w:rPr>
                <w:t>between Microsoft Corporation and The Bank of</w:t>
              </w:r>
            </w:hyperlink>
          </w:p>
        </w:tc>
        <w:tc>
          <w:tcPr>
            <w:tcW w:w="38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06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r:id="rId219">
              <w:r>
                <w:rPr>
                  <w:rFonts w:ascii="Arial" w:cs="Arial" w:eastAsia="Arial" w:hAnsi="Arial"/>
                  <w:sz w:val="18"/>
                  <w:szCs w:val="18"/>
                  <w:color w:val="0000EE"/>
                  <w:w w:val="98"/>
                </w:rPr>
                <w:t>New York Mellon Trust Company, N.A., as Trustee,</w:t>
              </w:r>
            </w:hyperlink>
          </w:p>
        </w:tc>
        <w:tc>
          <w:tcPr>
            <w:tcW w:w="16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20"/>
          </w:tcPr>
          <w:p>
            <w:pPr>
              <w:spacing w:after="0" w:line="182" w:lineRule="exact"/>
              <w:rPr>
                <w:rFonts w:ascii="Arial" w:cs="Arial" w:eastAsia="Arial" w:hAnsi="Arial"/>
                <w:sz w:val="18"/>
                <w:szCs w:val="18"/>
                <w:color w:val="0000EE"/>
              </w:rPr>
            </w:pPr>
            <w:hyperlink r:id="rId219">
              <w:r>
                <w:rPr>
                  <w:rFonts w:ascii="Arial" w:cs="Arial" w:eastAsia="Arial" w:hAnsi="Arial"/>
                  <w:sz w:val="18"/>
                  <w:szCs w:val="18"/>
                  <w:color w:val="0000EE"/>
                </w:rPr>
                <w:t>to the Indenture, dated as of May 18, 2009,</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20"/>
          </w:tcPr>
          <w:p>
            <w:pPr>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between Microsoft Corporation and The Bank of</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20"/>
          </w:tcPr>
          <w:p>
            <w:pPr>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New York Mellon Trust Company, N.A., as 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4.12</w:t>
            </w:r>
          </w:p>
        </w:tc>
        <w:tc>
          <w:tcPr>
            <w:tcW w:w="4220" w:type="dxa"/>
            <w:vAlign w:val="bottom"/>
            <w:gridSpan w:val="20"/>
          </w:tcPr>
          <w:p>
            <w:pPr>
              <w:spacing w:after="0"/>
              <w:rPr>
                <w:rFonts w:ascii="Arial" w:cs="Arial" w:eastAsia="Arial" w:hAnsi="Arial"/>
                <w:sz w:val="18"/>
                <w:szCs w:val="18"/>
                <w:color w:val="0000EE"/>
              </w:rPr>
            </w:pPr>
            <w:hyperlink r:id="rId220">
              <w:r>
                <w:rPr>
                  <w:rFonts w:ascii="Arial" w:cs="Arial" w:eastAsia="Arial" w:hAnsi="Arial"/>
                  <w:sz w:val="18"/>
                  <w:szCs w:val="18"/>
                  <w:color w:val="0000EE"/>
                </w:rPr>
                <w:t>Ninth Supplemental Indenture for 1.850% Notes</w:t>
              </w:r>
            </w:hyperlink>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5"/>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2/12/15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02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220">
              <w:r>
                <w:rPr>
                  <w:rFonts w:ascii="Arial" w:cs="Arial" w:eastAsia="Arial" w:hAnsi="Arial"/>
                  <w:sz w:val="18"/>
                  <w:szCs w:val="18"/>
                  <w:color w:val="0000EE"/>
                  <w:w w:val="99"/>
                </w:rPr>
                <w:t>due 2020, 2.375% Notes due 2022, 2.700% Notes</w:t>
              </w:r>
            </w:hyperlink>
          </w:p>
        </w:tc>
        <w:tc>
          <w:tcPr>
            <w:tcW w:w="2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2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220">
              <w:r>
                <w:rPr>
                  <w:rFonts w:ascii="Arial" w:cs="Arial" w:eastAsia="Arial" w:hAnsi="Arial"/>
                  <w:sz w:val="18"/>
                  <w:szCs w:val="18"/>
                  <w:color w:val="0000EE"/>
                  <w:w w:val="99"/>
                </w:rPr>
                <w:t>due 2025, 3.500% Notes due 2035, 3.750% Notes</w:t>
              </w:r>
            </w:hyperlink>
          </w:p>
        </w:tc>
        <w:tc>
          <w:tcPr>
            <w:tcW w:w="2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220">
              <w:r>
                <w:rPr>
                  <w:rFonts w:ascii="Arial" w:cs="Arial" w:eastAsia="Arial" w:hAnsi="Arial"/>
                  <w:sz w:val="18"/>
                  <w:szCs w:val="18"/>
                  <w:color w:val="0000EE"/>
                  <w:w w:val="99"/>
                </w:rPr>
                <w:t>due 2045, and 4.000% Notes due 2055, dated as</w:t>
              </w:r>
            </w:hyperlink>
          </w:p>
        </w:tc>
        <w:tc>
          <w:tcPr>
            <w:tcW w:w="28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2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220">
              <w:r>
                <w:rPr>
                  <w:rFonts w:ascii="Arial" w:cs="Arial" w:eastAsia="Arial" w:hAnsi="Arial"/>
                  <w:sz w:val="18"/>
                  <w:szCs w:val="18"/>
                  <w:color w:val="0000EE"/>
                  <w:w w:val="99"/>
                </w:rPr>
                <w:t>of February 12, 2015, between Microsoft</w:t>
              </w:r>
            </w:hyperlink>
          </w:p>
        </w:tc>
        <w:tc>
          <w:tcPr>
            <w:tcW w:w="980" w:type="dxa"/>
            <w:vAlign w:val="bottom"/>
            <w:gridSpan w:val="18"/>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20"/>
          </w:tcPr>
          <w:p>
            <w:pPr>
              <w:spacing w:after="0" w:line="182" w:lineRule="exact"/>
              <w:rPr>
                <w:rFonts w:ascii="Arial" w:cs="Arial" w:eastAsia="Arial" w:hAnsi="Arial"/>
                <w:sz w:val="18"/>
                <w:szCs w:val="18"/>
                <w:color w:val="0000EE"/>
              </w:rPr>
            </w:pPr>
            <w:hyperlink r:id="rId220">
              <w:r>
                <w:rPr>
                  <w:rFonts w:ascii="Arial" w:cs="Arial" w:eastAsia="Arial" w:hAnsi="Arial"/>
                  <w:sz w:val="18"/>
                  <w:szCs w:val="18"/>
                  <w:color w:val="0000EE"/>
                </w:rPr>
                <w:t>Corporation and U.S. Bank National Association,</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39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220">
              <w:r>
                <w:rPr>
                  <w:rFonts w:ascii="Arial" w:cs="Arial" w:eastAsia="Arial" w:hAnsi="Arial"/>
                  <w:sz w:val="18"/>
                  <w:szCs w:val="18"/>
                  <w:color w:val="0000EE"/>
                  <w:w w:val="99"/>
                </w:rPr>
                <w:t>as Trustee, to the Indenture, dated as of May 18,</w:t>
              </w:r>
            </w:hyperlink>
          </w:p>
        </w:tc>
        <w:tc>
          <w:tcPr>
            <w:tcW w:w="32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20"/>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2009, between Microsoft Corporation and The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20" w:type="dxa"/>
            <w:vAlign w:val="bottom"/>
            <w:gridSpan w:val="20"/>
          </w:tcPr>
          <w:p>
            <w:pPr>
              <w:spacing w:after="0" w:line="202" w:lineRule="exact"/>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Bank of New York Mellon Trust Company, N.A., as</w:t>
              </w:r>
            </w:hyperlink>
          </w:p>
        </w:tc>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20"/>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4.13</w:t>
            </w:r>
          </w:p>
        </w:tc>
        <w:tc>
          <w:tcPr>
            <w:tcW w:w="4120" w:type="dxa"/>
            <w:vAlign w:val="bottom"/>
            <w:tcBorders>
              <w:bottom w:val="single" w:sz="8" w:color="0000EE"/>
            </w:tcBorders>
            <w:gridSpan w:val="19"/>
          </w:tcPr>
          <w:p>
            <w:pPr>
              <w:spacing w:after="0"/>
              <w:rPr>
                <w:rFonts w:ascii="Arial" w:cs="Arial" w:eastAsia="Arial" w:hAnsi="Arial"/>
                <w:sz w:val="18"/>
                <w:szCs w:val="18"/>
                <w:color w:val="0000EE"/>
                <w:w w:val="97"/>
              </w:rPr>
            </w:pPr>
            <w:hyperlink r:id="rId221">
              <w:r>
                <w:rPr>
                  <w:rFonts w:ascii="Arial" w:cs="Arial" w:eastAsia="Arial" w:hAnsi="Arial"/>
                  <w:sz w:val="18"/>
                  <w:szCs w:val="18"/>
                  <w:color w:val="0000EE"/>
                  <w:w w:val="97"/>
                </w:rPr>
                <w:t>Tenth Supplemental Indenture for 1.300% Notes due</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5"/>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6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r:id="rId221">
              <w:r>
                <w:rPr>
                  <w:rFonts w:ascii="Arial" w:cs="Arial" w:eastAsia="Arial" w:hAnsi="Arial"/>
                  <w:sz w:val="18"/>
                  <w:szCs w:val="18"/>
                  <w:color w:val="0000EE"/>
                  <w:w w:val="98"/>
                </w:rPr>
                <w:t>2018, 2.000% Notes due 2020, 2.650% Notes due</w:t>
              </w:r>
            </w:hyperlink>
          </w:p>
        </w:tc>
        <w:tc>
          <w:tcPr>
            <w:tcW w:w="260" w:type="dxa"/>
            <w:vAlign w:val="bottom"/>
            <w:gridSpan w:val="5"/>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6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r:id="rId221">
              <w:r>
                <w:rPr>
                  <w:rFonts w:ascii="Arial" w:cs="Arial" w:eastAsia="Arial" w:hAnsi="Arial"/>
                  <w:sz w:val="18"/>
                  <w:szCs w:val="18"/>
                  <w:color w:val="0000EE"/>
                  <w:w w:val="98"/>
                </w:rPr>
                <w:t>2022, 3.125% Notes due 2025, 4.200% Notes due</w:t>
              </w:r>
            </w:hyperlink>
          </w:p>
        </w:tc>
        <w:tc>
          <w:tcPr>
            <w:tcW w:w="260" w:type="dxa"/>
            <w:vAlign w:val="bottom"/>
            <w:gridSpan w:val="5"/>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6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r:id="rId221">
              <w:r>
                <w:rPr>
                  <w:rFonts w:ascii="Arial" w:cs="Arial" w:eastAsia="Arial" w:hAnsi="Arial"/>
                  <w:sz w:val="18"/>
                  <w:szCs w:val="18"/>
                  <w:color w:val="0000EE"/>
                  <w:w w:val="98"/>
                </w:rPr>
                <w:t>2035, 4.450% Notes due 2045, and 4.750% Notes</w:t>
              </w:r>
            </w:hyperlink>
          </w:p>
        </w:tc>
        <w:tc>
          <w:tcPr>
            <w:tcW w:w="260" w:type="dxa"/>
            <w:vAlign w:val="bottom"/>
            <w:gridSpan w:val="5"/>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8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r:id="rId221">
              <w:r>
                <w:rPr>
                  <w:rFonts w:ascii="Arial" w:cs="Arial" w:eastAsia="Arial" w:hAnsi="Arial"/>
                  <w:sz w:val="18"/>
                  <w:szCs w:val="18"/>
                  <w:color w:val="0000EE"/>
                  <w:w w:val="97"/>
                </w:rPr>
                <w:t>due 2055, dated as of November 3, 2015, between</w:t>
              </w:r>
            </w:hyperlink>
          </w:p>
        </w:tc>
        <w:tc>
          <w:tcPr>
            <w:tcW w:w="24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58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r:id="rId221">
              <w:r>
                <w:rPr>
                  <w:rFonts w:ascii="Arial" w:cs="Arial" w:eastAsia="Arial" w:hAnsi="Arial"/>
                  <w:sz w:val="18"/>
                  <w:szCs w:val="18"/>
                  <w:color w:val="0000EE"/>
                  <w:w w:val="97"/>
                </w:rPr>
                <w:t>Microsoft Corporation and U.S. Bank National</w:t>
              </w:r>
            </w:hyperlink>
          </w:p>
        </w:tc>
        <w:tc>
          <w:tcPr>
            <w:tcW w:w="640" w:type="dxa"/>
            <w:vAlign w:val="bottom"/>
            <w:gridSpan w:val="15"/>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4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r:id="rId221">
              <w:r>
                <w:rPr>
                  <w:rFonts w:ascii="Arial" w:cs="Arial" w:eastAsia="Arial" w:hAnsi="Arial"/>
                  <w:sz w:val="18"/>
                  <w:szCs w:val="18"/>
                  <w:color w:val="0000EE"/>
                  <w:w w:val="97"/>
                </w:rPr>
                <w:t>Association, as Trustee, to the Indenture, dated as</w:t>
              </w:r>
            </w:hyperlink>
          </w:p>
        </w:tc>
        <w:tc>
          <w:tcPr>
            <w:tcW w:w="28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20"/>
          </w:tcPr>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of May 18, 2009, between Microsoft Corporation and</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20" w:type="dxa"/>
            <w:vAlign w:val="bottom"/>
            <w:gridSpan w:val="20"/>
          </w:tcPr>
          <w:p>
            <w:pPr>
              <w:spacing w:after="0" w:line="202" w:lineRule="exact"/>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The Bank of New York Mellon Trust Company, N.A.,</w:t>
              </w:r>
            </w:hyperlink>
          </w:p>
        </w:tc>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20"/>
          </w:tcPr>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as 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4.14</w:t>
            </w:r>
          </w:p>
        </w:tc>
        <w:tc>
          <w:tcPr>
            <w:tcW w:w="4220" w:type="dxa"/>
            <w:vAlign w:val="bottom"/>
            <w:gridSpan w:val="20"/>
          </w:tcPr>
          <w:p>
            <w:pPr>
              <w:spacing w:after="0"/>
              <w:rPr>
                <w:rFonts w:ascii="Arial" w:cs="Arial" w:eastAsia="Arial" w:hAnsi="Arial"/>
                <w:sz w:val="18"/>
                <w:szCs w:val="18"/>
                <w:color w:val="0000EE"/>
              </w:rPr>
            </w:pPr>
            <w:hyperlink r:id="rId222">
              <w:r>
                <w:rPr>
                  <w:rFonts w:ascii="Arial" w:cs="Arial" w:eastAsia="Arial" w:hAnsi="Arial"/>
                  <w:sz w:val="18"/>
                  <w:szCs w:val="18"/>
                  <w:color w:val="0000EE"/>
                </w:rPr>
                <w:t>Eleventh Supplemental Indenture for 1.100% Notes</w:t>
              </w:r>
            </w:hyperlink>
          </w:p>
        </w:tc>
        <w:tc>
          <w:tcPr>
            <w:tcW w:w="82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8-K</w:t>
            </w:r>
          </w:p>
        </w:tc>
        <w:tc>
          <w:tcPr>
            <w:tcW w:w="1100" w:type="dxa"/>
            <w:vAlign w:val="bottom"/>
          </w:tcPr>
          <w:p>
            <w:pPr>
              <w:spacing w:after="0"/>
              <w:rPr>
                <w:sz w:val="24"/>
                <w:szCs w:val="24"/>
                <w:color w:val="auto"/>
              </w:rPr>
            </w:pPr>
          </w:p>
        </w:tc>
        <w:tc>
          <w:tcPr>
            <w:tcW w:w="1440" w:type="dxa"/>
            <w:vAlign w:val="bottom"/>
          </w:tcPr>
          <w:p>
            <w:pPr>
              <w:jc w:val="right"/>
              <w:ind w:right="615"/>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8"/>
              </w:rPr>
            </w:pPr>
            <w:hyperlink r:id="rId222">
              <w:r>
                <w:rPr>
                  <w:rFonts w:ascii="Arial" w:cs="Arial" w:eastAsia="Arial" w:hAnsi="Arial"/>
                  <w:sz w:val="18"/>
                  <w:szCs w:val="18"/>
                  <w:color w:val="0000EE"/>
                  <w:w w:val="98"/>
                </w:rPr>
                <w:t>due 2019, 1.550% Notes due 2021, 2.000% Notes</w:t>
              </w:r>
            </w:hyperlink>
          </w:p>
        </w:tc>
        <w:tc>
          <w:tcPr>
            <w:tcW w:w="60" w:type="dxa"/>
            <w:vAlign w:val="bottom"/>
            <w:tcBorders>
              <w:top w:val="single" w:sz="8" w:color="0000EE"/>
            </w:tcBorders>
            <w:gridSpan w:val="2"/>
          </w:tcPr>
          <w:p>
            <w:pPr>
              <w:spacing w:after="0"/>
              <w:rPr>
                <w:sz w:val="15"/>
                <w:szCs w:val="15"/>
                <w:color w:val="auto"/>
              </w:rPr>
            </w:pPr>
          </w:p>
        </w:tc>
        <w:tc>
          <w:tcPr>
            <w:tcW w:w="2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220" w:type="dxa"/>
            <w:vAlign w:val="bottom"/>
            <w:gridSpan w:val="20"/>
          </w:tcPr>
          <w:p>
            <w:pPr>
              <w:spacing w:after="0" w:line="182" w:lineRule="exact"/>
              <w:rPr>
                <w:rFonts w:ascii="Arial" w:cs="Arial" w:eastAsia="Arial" w:hAnsi="Arial"/>
                <w:sz w:val="18"/>
                <w:szCs w:val="18"/>
                <w:color w:val="0000EE"/>
              </w:rPr>
            </w:pPr>
            <w:hyperlink r:id="rId222">
              <w:r>
                <w:rPr>
                  <w:rFonts w:ascii="Arial" w:cs="Arial" w:eastAsia="Arial" w:hAnsi="Arial"/>
                  <w:sz w:val="18"/>
                  <w:szCs w:val="18"/>
                  <w:color w:val="0000EE"/>
                </w:rPr>
                <w:t>due 2023, 2.400% Notes due 2026, 3.450% Notes</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222">
              <w:r>
                <w:rPr>
                  <w:rFonts w:ascii="Arial" w:cs="Arial" w:eastAsia="Arial" w:hAnsi="Arial"/>
                  <w:sz w:val="18"/>
                  <w:szCs w:val="18"/>
                  <w:color w:val="0000EE"/>
                </w:rPr>
                <w:t>due 2036, 3.700% Notes due 2046, and</w:t>
              </w:r>
            </w:hyperlink>
          </w:p>
        </w:tc>
        <w:tc>
          <w:tcPr>
            <w:tcW w:w="28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20"/>
          </w:tcPr>
          <w:p>
            <w:pPr>
              <w:spacing w:after="0" w:line="182" w:lineRule="exact"/>
              <w:rPr>
                <w:rFonts w:ascii="Arial" w:cs="Arial" w:eastAsia="Arial" w:hAnsi="Arial"/>
                <w:sz w:val="18"/>
                <w:szCs w:val="18"/>
                <w:color w:val="0000EE"/>
              </w:rPr>
            </w:pPr>
            <w:hyperlink r:id="rId222">
              <w:r>
                <w:rPr>
                  <w:rFonts w:ascii="Arial" w:cs="Arial" w:eastAsia="Arial" w:hAnsi="Arial"/>
                  <w:sz w:val="18"/>
                  <w:szCs w:val="18"/>
                  <w:color w:val="0000EE"/>
                </w:rPr>
                <w:t>3.</w:t>
              </w:r>
              <w:r>
                <w:rPr>
                  <w:rFonts w:ascii="Arial" w:cs="Arial" w:eastAsia="Arial" w:hAnsi="Arial"/>
                  <w:sz w:val="18"/>
                  <w:szCs w:val="18"/>
                  <w:u w:val="single" w:color="auto"/>
                  <w:color w:val="0000EE"/>
                </w:rPr>
                <w:t>950%</w:t>
              </w:r>
              <w:r>
                <w:rPr>
                  <w:rFonts w:ascii="Arial" w:cs="Arial" w:eastAsia="Arial" w:hAnsi="Arial"/>
                  <w:sz w:val="18"/>
                  <w:szCs w:val="18"/>
                  <w:color w:val="0000EE"/>
                </w:rPr>
                <w:t xml:space="preserve"> Notes due 2056, dated as of August 8,</w:t>
              </w:r>
            </w:hyperlink>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660" w:type="dxa"/>
            <w:vAlign w:val="bottom"/>
            <w:tcBorders>
              <w:top w:val="single" w:sz="8" w:color="0000EE"/>
            </w:tcBorders>
            <w:gridSpan w:val="7"/>
          </w:tcPr>
          <w:p>
            <w:pPr>
              <w:spacing w:after="0" w:line="182" w:lineRule="exact"/>
              <w:rPr>
                <w:rFonts w:ascii="Arial" w:cs="Arial" w:eastAsia="Arial" w:hAnsi="Arial"/>
                <w:sz w:val="18"/>
                <w:szCs w:val="18"/>
                <w:color w:val="0000EE"/>
                <w:w w:val="98"/>
              </w:rPr>
            </w:pPr>
            <w:hyperlink r:id="rId222">
              <w:r>
                <w:rPr>
                  <w:rFonts w:ascii="Arial" w:cs="Arial" w:eastAsia="Arial" w:hAnsi="Arial"/>
                  <w:sz w:val="18"/>
                  <w:szCs w:val="18"/>
                  <w:color w:val="0000EE"/>
                  <w:w w:val="98"/>
                </w:rPr>
                <w:t>2016, between Microsoft Corporation and U.S.</w:t>
              </w:r>
            </w:hyperlink>
          </w:p>
        </w:tc>
        <w:tc>
          <w:tcPr>
            <w:tcW w:w="56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6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222">
              <w:r>
                <w:rPr>
                  <w:rFonts w:ascii="Arial" w:cs="Arial" w:eastAsia="Arial" w:hAnsi="Arial"/>
                  <w:sz w:val="18"/>
                  <w:szCs w:val="18"/>
                  <w:color w:val="0000EE"/>
                </w:rPr>
                <w:t>Bank, National Association, as trustee, to the</w:t>
              </w:r>
            </w:hyperlink>
          </w:p>
        </w:tc>
        <w:tc>
          <w:tcPr>
            <w:tcW w:w="600" w:type="dxa"/>
            <w:vAlign w:val="bottom"/>
            <w:gridSpan w:val="14"/>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72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20"/>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Indenture, dated as of May 18, 2009, between</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20" w:type="dxa"/>
            <w:vAlign w:val="bottom"/>
            <w:gridSpan w:val="20"/>
          </w:tcPr>
          <w:p>
            <w:pPr>
              <w:spacing w:after="0" w:line="202" w:lineRule="exact"/>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Microsoft Corporation and The Bank of New York</w:t>
              </w:r>
            </w:hyperlink>
          </w:p>
        </w:tc>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20"/>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Mellon Trust Company, N.A., as Trustee</w:t>
              </w:r>
            </w:hyperlink>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51"/>
              <w:spacing w:after="0"/>
              <w:rPr>
                <w:sz w:val="20"/>
                <w:szCs w:val="20"/>
                <w:color w:val="auto"/>
              </w:rPr>
            </w:pPr>
            <w:r>
              <w:rPr>
                <w:rFonts w:ascii="Arial" w:cs="Arial" w:eastAsia="Arial" w:hAnsi="Arial"/>
                <w:sz w:val="14"/>
                <w:szCs w:val="14"/>
                <w:color w:val="auto"/>
              </w:rPr>
              <w:t>102</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2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2" w:name="page103"/>
    <w:bookmarkEnd w:id="102"/>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160" w:type="dxa"/>
            <w:vAlign w:val="bottom"/>
          </w:tcPr>
          <w:p>
            <w:pPr>
              <w:jc w:val="right"/>
              <w:ind w:right="96"/>
              <w:spacing w:after="0" w:line="126" w:lineRule="exact"/>
              <w:rPr>
                <w:sz w:val="20"/>
                <w:szCs w:val="20"/>
                <w:color w:val="auto"/>
              </w:rPr>
            </w:pPr>
            <w:r>
              <w:rPr>
                <w:rFonts w:ascii="Arial" w:cs="Arial" w:eastAsia="Arial" w:hAnsi="Arial"/>
                <w:sz w:val="13"/>
                <w:szCs w:val="13"/>
                <w:b w:val="1"/>
                <w:bCs w:val="1"/>
                <w:color w:val="auto"/>
              </w:rPr>
              <w:t>Period</w:t>
            </w:r>
          </w:p>
        </w:tc>
        <w:tc>
          <w:tcPr>
            <w:tcW w:w="1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220" w:type="dxa"/>
            <w:vAlign w:val="bottom"/>
            <w:tcBorders>
              <w:bottom w:val="single" w:sz="8" w:color="auto"/>
            </w:tcBorders>
            <w:gridSpan w:val="24"/>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Form</w:t>
            </w: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Ending</w:t>
            </w:r>
          </w:p>
        </w:tc>
        <w:tc>
          <w:tcPr>
            <w:tcW w:w="1540" w:type="dxa"/>
            <w:vAlign w:val="bottom"/>
            <w:tcBorders>
              <w:bottom w:val="single" w:sz="8" w:color="auto"/>
            </w:tcBorders>
          </w:tcPr>
          <w:p>
            <w:pPr>
              <w:jc w:val="right"/>
              <w:ind w:right="632"/>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4.15</w:t>
            </w:r>
          </w:p>
        </w:tc>
        <w:tc>
          <w:tcPr>
            <w:tcW w:w="3900" w:type="dxa"/>
            <w:vAlign w:val="bottom"/>
            <w:tcBorders>
              <w:bottom w:val="single" w:sz="8" w:color="0000EE"/>
            </w:tcBorders>
            <w:gridSpan w:val="13"/>
          </w:tcPr>
          <w:p>
            <w:pPr>
              <w:spacing w:after="0"/>
              <w:rPr>
                <w:rFonts w:ascii="Arial" w:cs="Arial" w:eastAsia="Arial" w:hAnsi="Arial"/>
                <w:sz w:val="18"/>
                <w:szCs w:val="18"/>
                <w:color w:val="0000EE"/>
                <w:w w:val="97"/>
              </w:rPr>
            </w:pPr>
            <w:hyperlink r:id="rId225">
              <w:r>
                <w:rPr>
                  <w:rFonts w:ascii="Arial" w:cs="Arial" w:eastAsia="Arial" w:hAnsi="Arial"/>
                  <w:sz w:val="18"/>
                  <w:szCs w:val="18"/>
                  <w:color w:val="0000EE"/>
                  <w:w w:val="97"/>
                </w:rPr>
                <w:t>Twelfth Supplemental Indenture for 1.850% Notes</w:t>
              </w:r>
            </w:hyperlink>
          </w:p>
        </w:tc>
        <w:tc>
          <w:tcPr>
            <w:tcW w:w="32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8-K</w:t>
            </w:r>
          </w:p>
        </w:tc>
        <w:tc>
          <w:tcPr>
            <w:tcW w:w="1160" w:type="dxa"/>
            <w:vAlign w:val="bottom"/>
          </w:tcPr>
          <w:p>
            <w:pPr>
              <w:spacing w:after="0"/>
              <w:rPr>
                <w:sz w:val="24"/>
                <w:szCs w:val="24"/>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6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r:id="rId225">
              <w:r>
                <w:rPr>
                  <w:rFonts w:ascii="Arial" w:cs="Arial" w:eastAsia="Arial" w:hAnsi="Arial"/>
                  <w:sz w:val="18"/>
                  <w:szCs w:val="18"/>
                  <w:color w:val="0000EE"/>
                  <w:w w:val="98"/>
                </w:rPr>
                <w:t>due 2020, 2.400% Notes due 2022, 2.875% Notes</w:t>
              </w:r>
            </w:hyperlink>
          </w:p>
        </w:tc>
        <w:tc>
          <w:tcPr>
            <w:tcW w:w="260" w:type="dxa"/>
            <w:vAlign w:val="bottom"/>
            <w:gridSpan w:val="9"/>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24"/>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due 2024, 3.300% Notes due 2027, 4.100% Notes</w:t>
              </w:r>
            </w:hyperlink>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r:id="rId225">
              <w:r>
                <w:rPr>
                  <w:rFonts w:ascii="Arial" w:cs="Arial" w:eastAsia="Arial" w:hAnsi="Arial"/>
                  <w:sz w:val="18"/>
                  <w:szCs w:val="18"/>
                  <w:color w:val="0000EE"/>
                  <w:w w:val="97"/>
                </w:rPr>
                <w:t>due 2037, 4.250% Notes due 2047, and 4.500%</w:t>
              </w:r>
            </w:hyperlink>
          </w:p>
        </w:tc>
        <w:tc>
          <w:tcPr>
            <w:tcW w:w="160" w:type="dxa"/>
            <w:vAlign w:val="bottom"/>
            <w:tcBorders>
              <w:top w:val="single" w:sz="8" w:color="0000EE"/>
            </w:tcBorders>
            <w:gridSpan w:val="5"/>
          </w:tcPr>
          <w:p>
            <w:pPr>
              <w:spacing w:after="0"/>
              <w:rPr>
                <w:sz w:val="15"/>
                <w:szCs w:val="15"/>
                <w:color w:val="auto"/>
              </w:rPr>
            </w:pPr>
          </w:p>
        </w:tc>
        <w:tc>
          <w:tcPr>
            <w:tcW w:w="280" w:type="dxa"/>
            <w:vAlign w:val="bottom"/>
            <w:gridSpan w:val="10"/>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24"/>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Notes due 2057, dated as of February 6, 2017,</w:t>
              </w:r>
            </w:hyperlink>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376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r:id="rId225">
              <w:r>
                <w:rPr>
                  <w:rFonts w:ascii="Arial" w:cs="Arial" w:eastAsia="Arial" w:hAnsi="Arial"/>
                  <w:sz w:val="18"/>
                  <w:szCs w:val="18"/>
                  <w:color w:val="0000EE"/>
                  <w:w w:val="97"/>
                </w:rPr>
                <w:t>between Microsoft Corporation and The Bank of</w:t>
              </w:r>
            </w:hyperlink>
          </w:p>
        </w:tc>
        <w:tc>
          <w:tcPr>
            <w:tcW w:w="460" w:type="dxa"/>
            <w:vAlign w:val="bottom"/>
            <w:gridSpan w:val="16"/>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16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r:id="rId225">
              <w:r>
                <w:rPr>
                  <w:rFonts w:ascii="Arial" w:cs="Arial" w:eastAsia="Arial" w:hAnsi="Arial"/>
                  <w:sz w:val="18"/>
                  <w:szCs w:val="18"/>
                  <w:color w:val="0000EE"/>
                  <w:w w:val="97"/>
                </w:rPr>
                <w:t>New York Mellon Trust Company, N.A., as trustee, to</w:t>
              </w:r>
            </w:hyperlink>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24"/>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the Indenture, dated as of May 18, 2009, between</w:t>
              </w:r>
            </w:hyperlink>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20" w:type="dxa"/>
            <w:vAlign w:val="bottom"/>
            <w:gridSpan w:val="24"/>
          </w:tcPr>
          <w:p>
            <w:pPr>
              <w:spacing w:after="0" w:line="202" w:lineRule="exact"/>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Microsoft Corporation and The Bank of New York</w:t>
              </w:r>
            </w:hyperlink>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24"/>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Mellon Trust Company, N.A., as trustee</w:t>
              </w:r>
            </w:hyperlink>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4.16</w:t>
            </w:r>
          </w:p>
        </w:tc>
        <w:tc>
          <w:tcPr>
            <w:tcW w:w="3660" w:type="dxa"/>
            <w:vAlign w:val="bottom"/>
            <w:tcBorders>
              <w:bottom w:val="single" w:sz="8" w:color="0000EE"/>
            </w:tcBorders>
            <w:gridSpan w:val="6"/>
          </w:tcPr>
          <w:p>
            <w:pPr>
              <w:spacing w:after="0"/>
              <w:rPr>
                <w:rFonts w:ascii="Arial" w:cs="Arial" w:eastAsia="Arial" w:hAnsi="Arial"/>
                <w:sz w:val="18"/>
                <w:szCs w:val="18"/>
                <w:color w:val="0000EE"/>
                <w:w w:val="98"/>
              </w:rPr>
            </w:pPr>
            <w:hyperlink r:id="rId226">
              <w:r>
                <w:rPr>
                  <w:rFonts w:ascii="Arial" w:cs="Arial" w:eastAsia="Arial" w:hAnsi="Arial"/>
                  <w:sz w:val="18"/>
                  <w:szCs w:val="18"/>
                  <w:color w:val="0000EE"/>
                  <w:w w:val="98"/>
                </w:rPr>
                <w:t>Thirteenth Supplemental Indenture for 2.525%</w:t>
              </w:r>
            </w:hyperlink>
          </w:p>
        </w:tc>
        <w:tc>
          <w:tcPr>
            <w:tcW w:w="560" w:type="dxa"/>
            <w:vAlign w:val="bottom"/>
            <w:gridSpan w:val="18"/>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8-K</w:t>
            </w:r>
          </w:p>
        </w:tc>
        <w:tc>
          <w:tcPr>
            <w:tcW w:w="1160" w:type="dxa"/>
            <w:vAlign w:val="bottom"/>
          </w:tcPr>
          <w:p>
            <w:pPr>
              <w:spacing w:after="0"/>
              <w:rPr>
                <w:sz w:val="24"/>
                <w:szCs w:val="24"/>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8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r:id="rId226">
              <w:r>
                <w:rPr>
                  <w:rFonts w:ascii="Arial" w:cs="Arial" w:eastAsia="Arial" w:hAnsi="Arial"/>
                  <w:sz w:val="18"/>
                  <w:szCs w:val="18"/>
                  <w:color w:val="0000EE"/>
                  <w:w w:val="97"/>
                </w:rPr>
                <w:t>Notes due 2050 and 2.675% Notes due 2060, dated</w:t>
              </w:r>
            </w:hyperlink>
          </w:p>
        </w:tc>
        <w:tc>
          <w:tcPr>
            <w:tcW w:w="140" w:type="dxa"/>
            <w:vAlign w:val="bottom"/>
            <w:gridSpan w:val="5"/>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24"/>
          </w:tcPr>
          <w:p>
            <w:pPr>
              <w:spacing w:after="0" w:line="182" w:lineRule="exact"/>
              <w:rPr>
                <w:rFonts w:ascii="Arial" w:cs="Arial" w:eastAsia="Arial" w:hAnsi="Arial"/>
                <w:sz w:val="18"/>
                <w:szCs w:val="18"/>
                <w:color w:val="0000EE"/>
              </w:rPr>
            </w:pPr>
            <w:hyperlink r:id="rId226">
              <w:r>
                <w:rPr>
                  <w:rFonts w:ascii="Arial" w:cs="Arial" w:eastAsia="Arial" w:hAnsi="Arial"/>
                  <w:sz w:val="18"/>
                  <w:szCs w:val="18"/>
                  <w:color w:val="0000EE"/>
                </w:rPr>
                <w:t>June 1, 2020, between Microsoft Corporation and</w:t>
              </w:r>
            </w:hyperlink>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60" w:type="dxa"/>
            <w:vAlign w:val="bottom"/>
            <w:tcBorders>
              <w:top w:val="single" w:sz="8" w:color="0000EE"/>
            </w:tcBorders>
            <w:gridSpan w:val="11"/>
          </w:tcPr>
          <w:p>
            <w:pPr>
              <w:spacing w:after="0" w:line="182" w:lineRule="exact"/>
              <w:rPr>
                <w:rFonts w:ascii="Arial" w:cs="Arial" w:eastAsia="Arial" w:hAnsi="Arial"/>
                <w:sz w:val="18"/>
                <w:szCs w:val="18"/>
                <w:color w:val="0000EE"/>
                <w:w w:val="97"/>
              </w:rPr>
            </w:pPr>
            <w:hyperlink r:id="rId226">
              <w:r>
                <w:rPr>
                  <w:rFonts w:ascii="Arial" w:cs="Arial" w:eastAsia="Arial" w:hAnsi="Arial"/>
                  <w:sz w:val="18"/>
                  <w:szCs w:val="18"/>
                  <w:color w:val="0000EE"/>
                  <w:w w:val="97"/>
                </w:rPr>
                <w:t>U.S. Bank National Association, as trustee, to the</w:t>
              </w:r>
            </w:hyperlink>
          </w:p>
        </w:tc>
        <w:tc>
          <w:tcPr>
            <w:tcW w:w="36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226">
              <w:r>
                <w:rPr>
                  <w:rFonts w:ascii="Arial" w:cs="Arial" w:eastAsia="Arial" w:hAnsi="Arial"/>
                  <w:sz w:val="18"/>
                  <w:szCs w:val="18"/>
                  <w:color w:val="0000EE"/>
                  <w:w w:val="98"/>
                </w:rPr>
                <w:t>Indenture, dated as of May 18, 2009, between</w:t>
              </w:r>
            </w:hyperlink>
          </w:p>
        </w:tc>
        <w:tc>
          <w:tcPr>
            <w:tcW w:w="220" w:type="dxa"/>
            <w:vAlign w:val="bottom"/>
            <w:tcBorders>
              <w:top w:val="single" w:sz="8" w:color="0000EE"/>
            </w:tcBorders>
            <w:gridSpan w:val="5"/>
          </w:tcPr>
          <w:p>
            <w:pPr>
              <w:spacing w:after="0"/>
              <w:rPr>
                <w:sz w:val="15"/>
                <w:szCs w:val="15"/>
                <w:color w:val="auto"/>
              </w:rPr>
            </w:pPr>
          </w:p>
        </w:tc>
        <w:tc>
          <w:tcPr>
            <w:tcW w:w="380" w:type="dxa"/>
            <w:vAlign w:val="bottom"/>
            <w:gridSpan w:val="14"/>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24"/>
          </w:tcPr>
          <w:p>
            <w:pPr>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Microsoft Corporation and The Bank of New York</w:t>
              </w:r>
            </w:hyperlink>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24"/>
          </w:tcPr>
          <w:p>
            <w:pPr>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Mellon Trust Company, N.A., as trustee.</w:t>
              </w:r>
            </w:hyperlink>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4.17</w:t>
            </w:r>
          </w:p>
        </w:tc>
        <w:tc>
          <w:tcPr>
            <w:tcW w:w="4220" w:type="dxa"/>
            <w:vAlign w:val="bottom"/>
            <w:gridSpan w:val="24"/>
          </w:tcPr>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Description of Securities</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6/30/19</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4.16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4220" w:type="dxa"/>
            <w:vAlign w:val="bottom"/>
            <w:gridSpan w:val="24"/>
          </w:tcPr>
          <w:p>
            <w:pPr>
              <w:spacing w:after="0"/>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Microsoft Corporation 2001 Stock Plan</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9/30/16</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11"/>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4220" w:type="dxa"/>
            <w:vAlign w:val="bottom"/>
            <w:gridSpan w:val="24"/>
          </w:tcPr>
          <w:p>
            <w:pPr>
              <w:spacing w:after="0"/>
              <w:rPr>
                <w:rFonts w:ascii="Arial" w:cs="Arial" w:eastAsia="Arial" w:hAnsi="Arial"/>
                <w:sz w:val="18"/>
                <w:szCs w:val="18"/>
                <w:color w:val="0000EE"/>
              </w:rPr>
            </w:pPr>
            <w:hyperlink r:id="rId229">
              <w:r>
                <w:rPr>
                  <w:rFonts w:ascii="Arial" w:cs="Arial" w:eastAsia="Arial" w:hAnsi="Arial"/>
                  <w:sz w:val="18"/>
                  <w:szCs w:val="18"/>
                  <w:color w:val="0000EE"/>
                </w:rPr>
                <w:t>Microsoft Corporation Employee Stock Purchase</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6/30/12</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7/26/12</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229">
              <w:r>
                <w:rPr>
                  <w:rFonts w:ascii="Arial" w:cs="Arial" w:eastAsia="Arial" w:hAnsi="Arial"/>
                  <w:sz w:val="18"/>
                  <w:szCs w:val="18"/>
                  <w:color w:val="0000EE"/>
                </w:rPr>
                <w:t>Plan</w:t>
              </w:r>
            </w:hyperlink>
          </w:p>
        </w:tc>
        <w:tc>
          <w:tcPr>
            <w:tcW w:w="340" w:type="dxa"/>
            <w:vAlign w:val="bottom"/>
            <w:gridSpan w:val="12"/>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4220" w:type="dxa"/>
            <w:vAlign w:val="bottom"/>
            <w:gridSpan w:val="24"/>
          </w:tcPr>
          <w:p>
            <w:pPr>
              <w:spacing w:after="0"/>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Microsoft Corporation Deferred Compensation Plan</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6/30/18</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4220" w:type="dxa"/>
            <w:vAlign w:val="bottom"/>
            <w:gridSpan w:val="24"/>
          </w:tcPr>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Microsoft Corporation 2017 Stock Plan</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DEF14A</w:t>
            </w:r>
          </w:p>
        </w:tc>
        <w:tc>
          <w:tcPr>
            <w:tcW w:w="1160" w:type="dxa"/>
            <w:vAlign w:val="bottom"/>
          </w:tcPr>
          <w:p>
            <w:pPr>
              <w:spacing w:after="0"/>
              <w:rPr>
                <w:sz w:val="24"/>
                <w:szCs w:val="24"/>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Annex C</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10/16/17</w:t>
            </w:r>
          </w:p>
        </w:tc>
        <w:tc>
          <w:tcPr>
            <w:tcW w:w="0" w:type="dxa"/>
            <w:vAlign w:val="bottom"/>
          </w:tcPr>
          <w:p>
            <w:pPr>
              <w:spacing w:after="0"/>
              <w:rPr>
                <w:sz w:val="1"/>
                <w:szCs w:val="1"/>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4220" w:type="dxa"/>
            <w:vAlign w:val="bottom"/>
            <w:gridSpan w:val="24"/>
          </w:tcPr>
          <w:p>
            <w:pPr>
              <w:spacing w:after="0"/>
              <w:rPr>
                <w:rFonts w:ascii="Arial" w:cs="Arial" w:eastAsia="Arial" w:hAnsi="Arial"/>
                <w:sz w:val="18"/>
                <w:szCs w:val="18"/>
                <w:color w:val="0000EE"/>
                <w:w w:val="99"/>
              </w:rPr>
            </w:pPr>
            <w:hyperlink r:id="rId232">
              <w:r>
                <w:rPr>
                  <w:rFonts w:ascii="Arial" w:cs="Arial" w:eastAsia="Arial" w:hAnsi="Arial"/>
                  <w:sz w:val="18"/>
                  <w:szCs w:val="18"/>
                  <w:color w:val="0000EE"/>
                  <w:w w:val="99"/>
                </w:rPr>
                <w:t>Form of Stock Award Agreement Under the Microsoft</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3/31/2018</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10.26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5"/>
              </w:rPr>
            </w:pPr>
            <w:hyperlink r:id="rId232">
              <w:r>
                <w:rPr>
                  <w:rFonts w:ascii="Arial" w:cs="Arial" w:eastAsia="Arial" w:hAnsi="Arial"/>
                  <w:sz w:val="18"/>
                  <w:szCs w:val="18"/>
                  <w:color w:val="0000EE"/>
                  <w:w w:val="95"/>
                </w:rPr>
                <w:t>Corporation 2017 Stock Plan</w:t>
              </w:r>
            </w:hyperlink>
          </w:p>
        </w:tc>
        <w:tc>
          <w:tcPr>
            <w:tcW w:w="1840" w:type="dxa"/>
            <w:vAlign w:val="bottom"/>
            <w:tcBorders>
              <w:top w:val="single" w:sz="8" w:color="0000EE"/>
            </w:tcBorders>
            <w:gridSpan w:val="15"/>
          </w:tcPr>
          <w:p>
            <w:pPr>
              <w:spacing w:after="0"/>
              <w:rPr>
                <w:sz w:val="15"/>
                <w:szCs w:val="15"/>
                <w:color w:val="auto"/>
              </w:rPr>
            </w:pPr>
          </w:p>
        </w:tc>
        <w:tc>
          <w:tcPr>
            <w:tcW w:w="16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3700" w:type="dxa"/>
            <w:vAlign w:val="bottom"/>
            <w:tcBorders>
              <w:bottom w:val="single" w:sz="8" w:color="0000EE"/>
            </w:tcBorders>
            <w:gridSpan w:val="7"/>
          </w:tcPr>
          <w:p>
            <w:pPr>
              <w:spacing w:after="0"/>
              <w:rPr>
                <w:rFonts w:ascii="Arial" w:cs="Arial" w:eastAsia="Arial" w:hAnsi="Arial"/>
                <w:sz w:val="18"/>
                <w:szCs w:val="18"/>
                <w:color w:val="0000EE"/>
                <w:w w:val="99"/>
              </w:rPr>
            </w:pPr>
            <w:hyperlink r:id="rId233">
              <w:r>
                <w:rPr>
                  <w:rFonts w:ascii="Arial" w:cs="Arial" w:eastAsia="Arial" w:hAnsi="Arial"/>
                  <w:sz w:val="18"/>
                  <w:szCs w:val="18"/>
                  <w:color w:val="0000EE"/>
                  <w:w w:val="99"/>
                </w:rPr>
                <w:t>Form of Performance Stock Award Agreement</w:t>
              </w:r>
            </w:hyperlink>
          </w:p>
        </w:tc>
        <w:tc>
          <w:tcPr>
            <w:tcW w:w="520" w:type="dxa"/>
            <w:vAlign w:val="bottom"/>
            <w:gridSpan w:val="17"/>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3/31/2018</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10.27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20" w:type="dxa"/>
            <w:vAlign w:val="bottom"/>
            <w:gridSpan w:val="24"/>
          </w:tcPr>
          <w:p>
            <w:pPr>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Under the Microsoft Corporation 2017 Stock Plan</w:t>
              </w:r>
            </w:hyperlink>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4220" w:type="dxa"/>
            <w:vAlign w:val="bottom"/>
            <w:gridSpan w:val="24"/>
          </w:tcPr>
          <w:p>
            <w:pPr>
              <w:spacing w:after="0"/>
              <w:rPr>
                <w:rFonts w:ascii="Arial" w:cs="Arial" w:eastAsia="Arial" w:hAnsi="Arial"/>
                <w:sz w:val="18"/>
                <w:szCs w:val="18"/>
                <w:color w:val="0000EE"/>
              </w:rPr>
            </w:pPr>
            <w:hyperlink r:id="rId234">
              <w:r>
                <w:rPr>
                  <w:rFonts w:ascii="Arial" w:cs="Arial" w:eastAsia="Arial" w:hAnsi="Arial"/>
                  <w:sz w:val="18"/>
                  <w:szCs w:val="18"/>
                  <w:color w:val="0000EE"/>
                </w:rPr>
                <w:t>Amended and Restated Officers’ Indemnification</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9/30/16</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10.12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140" w:type="dxa"/>
            <w:vAlign w:val="bottom"/>
            <w:tcBorders>
              <w:bottom w:val="single" w:sz="8" w:color="0000EE"/>
            </w:tcBorders>
            <w:gridSpan w:val="22"/>
          </w:tcPr>
          <w:p>
            <w:pPr>
              <w:spacing w:after="0" w:line="182" w:lineRule="exact"/>
              <w:rPr>
                <w:rFonts w:ascii="Arial" w:cs="Arial" w:eastAsia="Arial" w:hAnsi="Arial"/>
                <w:sz w:val="18"/>
                <w:szCs w:val="18"/>
                <w:color w:val="0000EE"/>
                <w:w w:val="98"/>
              </w:rPr>
            </w:pPr>
            <w:hyperlink r:id="rId234">
              <w:r>
                <w:rPr>
                  <w:rFonts w:ascii="Arial" w:cs="Arial" w:eastAsia="Arial" w:hAnsi="Arial"/>
                  <w:sz w:val="18"/>
                  <w:szCs w:val="18"/>
                  <w:color w:val="0000EE"/>
                  <w:w w:val="98"/>
                </w:rPr>
                <w:t>Trust Agreement between Microsoft Corporation and</w:t>
              </w:r>
            </w:hyperlink>
          </w:p>
        </w:tc>
        <w:tc>
          <w:tcPr>
            <w:tcW w:w="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24"/>
          </w:tcPr>
          <w:p>
            <w:pPr>
              <w:spacing w:after="0" w:line="182" w:lineRule="exact"/>
              <w:rPr>
                <w:rFonts w:ascii="Arial" w:cs="Arial" w:eastAsia="Arial" w:hAnsi="Arial"/>
                <w:sz w:val="18"/>
                <w:szCs w:val="18"/>
                <w:color w:val="0000EE"/>
              </w:rPr>
            </w:pPr>
            <w:hyperlink r:id="rId234">
              <w:r>
                <w:rPr>
                  <w:rFonts w:ascii="Arial" w:cs="Arial" w:eastAsia="Arial" w:hAnsi="Arial"/>
                  <w:sz w:val="18"/>
                  <w:szCs w:val="18"/>
                  <w:color w:val="0000EE"/>
                </w:rPr>
                <w:t>The Bank of New York Mellon Trust Company, N.A.,</w:t>
              </w:r>
            </w:hyperlink>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234">
              <w:r>
                <w:rPr>
                  <w:rFonts w:ascii="Arial" w:cs="Arial" w:eastAsia="Arial" w:hAnsi="Arial"/>
                  <w:sz w:val="18"/>
                  <w:szCs w:val="18"/>
                  <w:color w:val="0000EE"/>
                </w:rPr>
                <w:t>as trustee</w:t>
              </w:r>
            </w:hyperlink>
          </w:p>
        </w:tc>
        <w:tc>
          <w:tcPr>
            <w:tcW w:w="180" w:type="dxa"/>
            <w:vAlign w:val="bottom"/>
            <w:gridSpan w:val="7"/>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4220" w:type="dxa"/>
            <w:vAlign w:val="bottom"/>
            <w:gridSpan w:val="24"/>
          </w:tcPr>
          <w:p>
            <w:pPr>
              <w:spacing w:after="0"/>
              <w:rPr>
                <w:rFonts w:ascii="Arial" w:cs="Arial" w:eastAsia="Arial" w:hAnsi="Arial"/>
                <w:sz w:val="18"/>
                <w:szCs w:val="18"/>
                <w:color w:val="0000EE"/>
              </w:rPr>
            </w:pPr>
            <w:hyperlink r:id="rId235">
              <w:r>
                <w:rPr>
                  <w:rFonts w:ascii="Arial" w:cs="Arial" w:eastAsia="Arial" w:hAnsi="Arial"/>
                  <w:sz w:val="18"/>
                  <w:szCs w:val="18"/>
                  <w:color w:val="0000EE"/>
                </w:rPr>
                <w:t>Form of Indemnification Agreement and Amended</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10-K</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6/30/19</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10.13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35">
              <w:r>
                <w:rPr>
                  <w:rFonts w:ascii="Arial" w:cs="Arial" w:eastAsia="Arial" w:hAnsi="Arial"/>
                  <w:sz w:val="18"/>
                  <w:szCs w:val="18"/>
                  <w:color w:val="0000EE"/>
                </w:rPr>
                <w:t>and Restated Directors’ Indemnification Trust</w:t>
              </w:r>
            </w:hyperlink>
          </w:p>
        </w:tc>
        <w:tc>
          <w:tcPr>
            <w:tcW w:w="2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12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r:id="rId235">
              <w:r>
                <w:rPr>
                  <w:rFonts w:ascii="Arial" w:cs="Arial" w:eastAsia="Arial" w:hAnsi="Arial"/>
                  <w:sz w:val="18"/>
                  <w:szCs w:val="18"/>
                  <w:color w:val="0000EE"/>
                </w:rPr>
                <w:t>Agreement between Microsoft Corporation and The</w:t>
              </w:r>
            </w:hyperlink>
          </w:p>
        </w:tc>
        <w:tc>
          <w:tcPr>
            <w:tcW w:w="1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220" w:type="dxa"/>
            <w:vAlign w:val="bottom"/>
            <w:gridSpan w:val="24"/>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Bank of New York Mellon Trust Company, N.A., as</w:t>
              </w:r>
            </w:hyperlink>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24"/>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trustee</w:t>
              </w:r>
            </w:hyperlink>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4100" w:type="dxa"/>
            <w:vAlign w:val="bottom"/>
            <w:tcBorders>
              <w:bottom w:val="single" w:sz="8" w:color="0000EE"/>
            </w:tcBorders>
            <w:gridSpan w:val="20"/>
          </w:tcPr>
          <w:p>
            <w:pPr>
              <w:spacing w:after="0"/>
              <w:rPr>
                <w:rFonts w:ascii="Arial" w:cs="Arial" w:eastAsia="Arial" w:hAnsi="Arial"/>
                <w:sz w:val="18"/>
                <w:szCs w:val="18"/>
                <w:color w:val="0000EE"/>
                <w:w w:val="99"/>
              </w:rPr>
            </w:pPr>
            <w:hyperlink r:id="rId236">
              <w:r>
                <w:rPr>
                  <w:rFonts w:ascii="Arial" w:cs="Arial" w:eastAsia="Arial" w:hAnsi="Arial"/>
                  <w:sz w:val="18"/>
                  <w:szCs w:val="18"/>
                  <w:color w:val="0000EE"/>
                  <w:w w:val="99"/>
                </w:rPr>
                <w:t>Microsoft Corporation Deferred Compensation Plan</w:t>
              </w:r>
            </w:hyperlink>
          </w:p>
        </w:tc>
        <w:tc>
          <w:tcPr>
            <w:tcW w:w="1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10-Q</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12/31/17</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10.14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24"/>
          </w:tcPr>
          <w:p>
            <w:pPr>
              <w:spacing w:after="0" w:line="182" w:lineRule="exact"/>
              <w:rPr>
                <w:rFonts w:ascii="Arial" w:cs="Arial" w:eastAsia="Arial" w:hAnsi="Arial"/>
                <w:sz w:val="18"/>
                <w:szCs w:val="18"/>
                <w:color w:val="0000EE"/>
              </w:rPr>
            </w:pPr>
            <w:hyperlink r:id="rId236">
              <w:r>
                <w:rPr>
                  <w:rFonts w:ascii="Arial" w:cs="Arial" w:eastAsia="Arial" w:hAnsi="Arial"/>
                  <w:sz w:val="18"/>
                  <w:szCs w:val="18"/>
                  <w:color w:val="0000EE"/>
                </w:rPr>
                <w:t>for Non-Employee Directors</w:t>
              </w:r>
            </w:hyperlink>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000" w:type="dxa"/>
            <w:vAlign w:val="bottom"/>
            <w:gridSpan w:val="2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4220" w:type="dxa"/>
            <w:vAlign w:val="bottom"/>
            <w:gridSpan w:val="24"/>
          </w:tcPr>
          <w:p>
            <w:pPr>
              <w:spacing w:after="0"/>
              <w:rPr>
                <w:rFonts w:ascii="Arial" w:cs="Arial" w:eastAsia="Arial" w:hAnsi="Arial"/>
                <w:sz w:val="18"/>
                <w:szCs w:val="18"/>
                <w:u w:val="single" w:color="auto"/>
                <w:color w:val="0000EE"/>
              </w:rPr>
            </w:pPr>
            <w:hyperlink r:id="rId237">
              <w:r>
                <w:rPr>
                  <w:rFonts w:ascii="Arial" w:cs="Arial" w:eastAsia="Arial" w:hAnsi="Arial"/>
                  <w:sz w:val="18"/>
                  <w:szCs w:val="18"/>
                  <w:u w:val="single" w:color="auto"/>
                  <w:color w:val="0000EE"/>
                </w:rPr>
                <w:t>Microsoft Corporation Executive Incentive Plan</w:t>
              </w:r>
            </w:hyperlink>
          </w:p>
        </w:tc>
        <w:tc>
          <w:tcPr>
            <w:tcW w:w="8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8-K</w:t>
            </w:r>
          </w:p>
        </w:tc>
        <w:tc>
          <w:tcPr>
            <w:tcW w:w="1160" w:type="dxa"/>
            <w:vAlign w:val="bottom"/>
          </w:tcPr>
          <w:p>
            <w:pPr>
              <w:spacing w:after="0"/>
              <w:rPr>
                <w:sz w:val="24"/>
                <w:szCs w:val="24"/>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10.1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9/19/18</w:t>
            </w:r>
          </w:p>
        </w:tc>
        <w:tc>
          <w:tcPr>
            <w:tcW w:w="0" w:type="dxa"/>
            <w:vAlign w:val="bottom"/>
          </w:tcPr>
          <w:p>
            <w:pPr>
              <w:spacing w:after="0"/>
              <w:rPr>
                <w:sz w:val="1"/>
                <w:szCs w:val="1"/>
                <w:color w:val="auto"/>
              </w:rPr>
            </w:pPr>
          </w:p>
        </w:tc>
      </w:tr>
      <w:tr>
        <w:trPr>
          <w:trHeight w:val="420"/>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351"/>
              <w:spacing w:after="0"/>
              <w:rPr>
                <w:sz w:val="20"/>
                <w:szCs w:val="20"/>
                <w:color w:val="auto"/>
              </w:rPr>
            </w:pPr>
            <w:r>
              <w:rPr>
                <w:rFonts w:ascii="Arial" w:cs="Arial" w:eastAsia="Arial" w:hAnsi="Arial"/>
                <w:sz w:val="14"/>
                <w:szCs w:val="14"/>
                <w:color w:val="auto"/>
              </w:rPr>
              <w:t>103</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3" w:name="page104"/>
    <w:bookmarkEnd w:id="103"/>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20" w:type="dxa"/>
            <w:vAlign w:val="bottom"/>
          </w:tcPr>
          <w:p>
            <w:pPr>
              <w:jc w:val="right"/>
              <w:ind w:right="198"/>
              <w:spacing w:after="0" w:line="126"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220" w:type="dxa"/>
            <w:vAlign w:val="bottom"/>
            <w:tcBorders>
              <w:bottom w:val="single" w:sz="8" w:color="auto"/>
            </w:tcBorders>
            <w:gridSpan w:val="15"/>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Form</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Exhibit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4220" w:type="dxa"/>
            <w:vAlign w:val="bottom"/>
            <w:gridSpan w:val="15"/>
          </w:tcPr>
          <w:p>
            <w:pPr>
              <w:spacing w:after="0"/>
              <w:rPr>
                <w:rFonts w:ascii="Arial" w:cs="Arial" w:eastAsia="Arial" w:hAnsi="Arial"/>
                <w:sz w:val="18"/>
                <w:szCs w:val="18"/>
                <w:u w:val="single" w:color="auto"/>
                <w:color w:val="0000EE"/>
              </w:rPr>
            </w:pPr>
            <w:hyperlink r:id="rId240">
              <w:r>
                <w:rPr>
                  <w:rFonts w:ascii="Arial" w:cs="Arial" w:eastAsia="Arial" w:hAnsi="Arial"/>
                  <w:sz w:val="18"/>
                  <w:szCs w:val="18"/>
                  <w:u w:val="single" w:color="auto"/>
                  <w:color w:val="0000EE"/>
                </w:rPr>
                <w:t>Microsoft Corporation Executive Incentive Plan</w:t>
              </w:r>
            </w:hyperlink>
          </w:p>
        </w:tc>
        <w:tc>
          <w:tcPr>
            <w:tcW w:w="820" w:type="dxa"/>
            <w:vAlign w:val="bottom"/>
          </w:tcPr>
          <w:p>
            <w:pPr>
              <w:spacing w:after="0"/>
              <w:rPr>
                <w:sz w:val="24"/>
                <w:szCs w:val="24"/>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10-Q</w:t>
            </w: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9/30/16</w:t>
            </w:r>
          </w:p>
        </w:tc>
        <w:tc>
          <w:tcPr>
            <w:tcW w:w="1440" w:type="dxa"/>
            <w:vAlign w:val="bottom"/>
          </w:tcPr>
          <w:p>
            <w:pPr>
              <w:jc w:val="right"/>
              <w:ind w:right="613"/>
              <w:spacing w:after="0"/>
              <w:rPr>
                <w:sz w:val="20"/>
                <w:szCs w:val="20"/>
                <w:color w:val="auto"/>
              </w:rPr>
            </w:pPr>
            <w:r>
              <w:rPr>
                <w:rFonts w:ascii="Arial" w:cs="Arial" w:eastAsia="Arial" w:hAnsi="Arial"/>
                <w:sz w:val="18"/>
                <w:szCs w:val="18"/>
                <w:color w:val="auto"/>
              </w:rPr>
              <w:t>10.17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4120" w:type="dxa"/>
            <w:vAlign w:val="bottom"/>
            <w:tcBorders>
              <w:bottom w:val="single" w:sz="8" w:color="0000EE"/>
            </w:tcBorders>
            <w:gridSpan w:val="14"/>
          </w:tcPr>
          <w:p>
            <w:pPr>
              <w:spacing w:after="0"/>
              <w:rPr>
                <w:rFonts w:ascii="Arial" w:cs="Arial" w:eastAsia="Arial" w:hAnsi="Arial"/>
                <w:sz w:val="18"/>
                <w:szCs w:val="18"/>
                <w:color w:val="0000EE"/>
                <w:w w:val="99"/>
              </w:rPr>
            </w:pPr>
            <w:hyperlink r:id="rId241">
              <w:r>
                <w:rPr>
                  <w:rFonts w:ascii="Arial" w:cs="Arial" w:eastAsia="Arial" w:hAnsi="Arial"/>
                  <w:sz w:val="18"/>
                  <w:szCs w:val="18"/>
                  <w:color w:val="0000EE"/>
                  <w:w w:val="99"/>
                </w:rPr>
                <w:t>Form of Executive Incentive Plan (Executive Officer</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10-Q</w:t>
            </w: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9/30/16</w:t>
            </w:r>
          </w:p>
        </w:tc>
        <w:tc>
          <w:tcPr>
            <w:tcW w:w="1440" w:type="dxa"/>
            <w:vAlign w:val="bottom"/>
          </w:tcPr>
          <w:p>
            <w:pPr>
              <w:jc w:val="right"/>
              <w:ind w:right="613"/>
              <w:spacing w:after="0"/>
              <w:rPr>
                <w:sz w:val="20"/>
                <w:szCs w:val="20"/>
                <w:color w:val="auto"/>
              </w:rPr>
            </w:pPr>
            <w:r>
              <w:rPr>
                <w:rFonts w:ascii="Arial" w:cs="Arial" w:eastAsia="Arial" w:hAnsi="Arial"/>
                <w:sz w:val="18"/>
                <w:szCs w:val="18"/>
                <w:color w:val="auto"/>
              </w:rPr>
              <w:t>10.18</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9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241">
              <w:r>
                <w:rPr>
                  <w:rFonts w:ascii="Arial" w:cs="Arial" w:eastAsia="Arial" w:hAnsi="Arial"/>
                  <w:sz w:val="18"/>
                  <w:szCs w:val="18"/>
                  <w:color w:val="0000EE"/>
                  <w:w w:val="99"/>
                </w:rPr>
                <w:t>SAs) Stock Award Agreement under the Microsoft</w:t>
              </w:r>
            </w:hyperlink>
          </w:p>
        </w:tc>
        <w:tc>
          <w:tcPr>
            <w:tcW w:w="240" w:type="dxa"/>
            <w:vAlign w:val="bottom"/>
            <w:gridSpan w:val="5"/>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5"/>
          </w:tcPr>
          <w:p>
            <w:pPr>
              <w:spacing w:after="0" w:line="182" w:lineRule="exact"/>
              <w:rPr>
                <w:rFonts w:ascii="Arial" w:cs="Arial" w:eastAsia="Arial" w:hAnsi="Arial"/>
                <w:sz w:val="18"/>
                <w:szCs w:val="18"/>
                <w:color w:val="0000EE"/>
              </w:rPr>
            </w:pPr>
            <w:hyperlink r:id="rId241">
              <w:r>
                <w:rPr>
                  <w:rFonts w:ascii="Arial" w:cs="Arial" w:eastAsia="Arial" w:hAnsi="Arial"/>
                  <w:sz w:val="18"/>
                  <w:szCs w:val="18"/>
                  <w:color w:val="0000EE"/>
                </w:rPr>
                <w:t>Corporation 2001 Stock Plan</w:t>
              </w:r>
            </w:hyperlink>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3720" w:type="dxa"/>
            <w:vAlign w:val="bottom"/>
            <w:tcBorders>
              <w:bottom w:val="single" w:sz="8" w:color="0000EE"/>
            </w:tcBorders>
            <w:gridSpan w:val="8"/>
          </w:tcPr>
          <w:p>
            <w:pPr>
              <w:spacing w:after="0"/>
              <w:rPr>
                <w:rFonts w:ascii="Arial" w:cs="Arial" w:eastAsia="Arial" w:hAnsi="Arial"/>
                <w:sz w:val="18"/>
                <w:szCs w:val="18"/>
                <w:color w:val="0000EE"/>
                <w:w w:val="99"/>
              </w:rPr>
            </w:pPr>
            <w:hyperlink r:id="rId242">
              <w:r>
                <w:rPr>
                  <w:rFonts w:ascii="Arial" w:cs="Arial" w:eastAsia="Arial" w:hAnsi="Arial"/>
                  <w:sz w:val="18"/>
                  <w:szCs w:val="18"/>
                  <w:color w:val="0000EE"/>
                  <w:w w:val="99"/>
                </w:rPr>
                <w:t>Form of Executive Incentive Plan Performance</w:t>
              </w:r>
            </w:hyperlink>
          </w:p>
        </w:tc>
        <w:tc>
          <w:tcPr>
            <w:tcW w:w="50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10-Q</w:t>
            </w: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9/30/16</w:t>
            </w:r>
          </w:p>
        </w:tc>
        <w:tc>
          <w:tcPr>
            <w:tcW w:w="1440" w:type="dxa"/>
            <w:vAlign w:val="bottom"/>
          </w:tcPr>
          <w:p>
            <w:pPr>
              <w:jc w:val="right"/>
              <w:ind w:right="613"/>
              <w:spacing w:after="0"/>
              <w:rPr>
                <w:sz w:val="20"/>
                <w:szCs w:val="20"/>
                <w:color w:val="auto"/>
              </w:rPr>
            </w:pPr>
            <w:r>
              <w:rPr>
                <w:rFonts w:ascii="Arial" w:cs="Arial" w:eastAsia="Arial" w:hAnsi="Arial"/>
                <w:sz w:val="18"/>
                <w:szCs w:val="18"/>
                <w:color w:val="auto"/>
              </w:rPr>
              <w:t>10.25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54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242">
              <w:r>
                <w:rPr>
                  <w:rFonts w:ascii="Arial" w:cs="Arial" w:eastAsia="Arial" w:hAnsi="Arial"/>
                  <w:sz w:val="18"/>
                  <w:szCs w:val="18"/>
                  <w:color w:val="0000EE"/>
                  <w:w w:val="99"/>
                </w:rPr>
                <w:t>Stock Award Agreement under the Microsoft</w:t>
              </w:r>
            </w:hyperlink>
          </w:p>
        </w:tc>
        <w:tc>
          <w:tcPr>
            <w:tcW w:w="68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5"/>
          </w:tcPr>
          <w:p>
            <w:pPr>
              <w:spacing w:after="0" w:line="182" w:lineRule="exact"/>
              <w:rPr>
                <w:rFonts w:ascii="Arial" w:cs="Arial" w:eastAsia="Arial" w:hAnsi="Arial"/>
                <w:sz w:val="18"/>
                <w:szCs w:val="18"/>
                <w:color w:val="0000EE"/>
              </w:rPr>
            </w:pPr>
            <w:hyperlink r:id="rId242">
              <w:r>
                <w:rPr>
                  <w:rFonts w:ascii="Arial" w:cs="Arial" w:eastAsia="Arial" w:hAnsi="Arial"/>
                  <w:sz w:val="18"/>
                  <w:szCs w:val="18"/>
                  <w:color w:val="0000EE"/>
                </w:rPr>
                <w:t>Corporation 2001 Stock Plan</w:t>
              </w:r>
            </w:hyperlink>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4220" w:type="dxa"/>
            <w:vAlign w:val="bottom"/>
            <w:gridSpan w:val="15"/>
          </w:tcPr>
          <w:p>
            <w:pPr>
              <w:spacing w:after="0"/>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Senior Executive Severance Benefit Plan</w:t>
              </w:r>
            </w:hyperlink>
          </w:p>
        </w:tc>
        <w:tc>
          <w:tcPr>
            <w:tcW w:w="820" w:type="dxa"/>
            <w:vAlign w:val="bottom"/>
          </w:tcPr>
          <w:p>
            <w:pPr>
              <w:spacing w:after="0"/>
              <w:rPr>
                <w:sz w:val="24"/>
                <w:szCs w:val="24"/>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10-Q</w:t>
            </w: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9/30/16</w:t>
            </w:r>
          </w:p>
        </w:tc>
        <w:tc>
          <w:tcPr>
            <w:tcW w:w="1440" w:type="dxa"/>
            <w:vAlign w:val="bottom"/>
          </w:tcPr>
          <w:p>
            <w:pPr>
              <w:jc w:val="right"/>
              <w:ind w:right="613"/>
              <w:spacing w:after="0"/>
              <w:rPr>
                <w:sz w:val="20"/>
                <w:szCs w:val="20"/>
                <w:color w:val="auto"/>
              </w:rPr>
            </w:pPr>
            <w:r>
              <w:rPr>
                <w:rFonts w:ascii="Arial" w:cs="Arial" w:eastAsia="Arial" w:hAnsi="Arial"/>
                <w:sz w:val="18"/>
                <w:szCs w:val="18"/>
                <w:color w:val="auto"/>
              </w:rPr>
              <w:t>10.22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3500" w:type="dxa"/>
            <w:vAlign w:val="bottom"/>
            <w:tcBorders>
              <w:bottom w:val="single" w:sz="8" w:color="0000EE"/>
            </w:tcBorders>
            <w:gridSpan w:val="5"/>
          </w:tcPr>
          <w:p>
            <w:pPr>
              <w:spacing w:after="0"/>
              <w:rPr>
                <w:rFonts w:ascii="Arial" w:cs="Arial" w:eastAsia="Arial" w:hAnsi="Arial"/>
                <w:sz w:val="18"/>
                <w:szCs w:val="18"/>
                <w:color w:val="0000EE"/>
                <w:w w:val="95"/>
              </w:rPr>
            </w:pPr>
            <w:hyperlink r:id="rId244">
              <w:r>
                <w:rPr>
                  <w:rFonts w:ascii="Arial" w:cs="Arial" w:eastAsia="Arial" w:hAnsi="Arial"/>
                  <w:sz w:val="18"/>
                  <w:szCs w:val="18"/>
                  <w:color w:val="0000EE"/>
                  <w:w w:val="95"/>
                </w:rPr>
                <w:t>Offer Letter, dated February 3, 2014, between</w:t>
              </w:r>
            </w:hyperlink>
          </w:p>
        </w:tc>
        <w:tc>
          <w:tcPr>
            <w:tcW w:w="72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8-K</w:t>
            </w:r>
          </w:p>
        </w:tc>
        <w:tc>
          <w:tcPr>
            <w:tcW w:w="1220" w:type="dxa"/>
            <w:vAlign w:val="bottom"/>
          </w:tcPr>
          <w:p>
            <w:pPr>
              <w:spacing w:after="0"/>
              <w:rPr>
                <w:sz w:val="24"/>
                <w:szCs w:val="24"/>
                <w:color w:val="auto"/>
              </w:rPr>
            </w:pPr>
          </w:p>
        </w:tc>
        <w:tc>
          <w:tcPr>
            <w:tcW w:w="1440" w:type="dxa"/>
            <w:vAlign w:val="bottom"/>
          </w:tcPr>
          <w:p>
            <w:pPr>
              <w:jc w:val="right"/>
              <w:ind w:right="613"/>
              <w:spacing w:after="0"/>
              <w:rPr>
                <w:sz w:val="20"/>
                <w:szCs w:val="20"/>
                <w:color w:val="auto"/>
              </w:rPr>
            </w:pPr>
            <w:r>
              <w:rPr>
                <w:rFonts w:ascii="Arial" w:cs="Arial" w:eastAsia="Arial" w:hAnsi="Arial"/>
                <w:sz w:val="18"/>
                <w:szCs w:val="18"/>
                <w:color w:val="auto"/>
              </w:rPr>
              <w:t>10.1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20" w:type="dxa"/>
            <w:vAlign w:val="bottom"/>
            <w:gridSpan w:val="15"/>
          </w:tcPr>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Microsoft Corporation and Satya Nadella</w:t>
              </w:r>
            </w:hyperlink>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3940" w:type="dxa"/>
            <w:vAlign w:val="bottom"/>
            <w:tcBorders>
              <w:bottom w:val="single" w:sz="8" w:color="0000EE"/>
            </w:tcBorders>
            <w:gridSpan w:val="9"/>
          </w:tcPr>
          <w:p>
            <w:pPr>
              <w:spacing w:after="0"/>
              <w:rPr>
                <w:rFonts w:ascii="Arial" w:cs="Arial" w:eastAsia="Arial" w:hAnsi="Arial"/>
                <w:sz w:val="18"/>
                <w:szCs w:val="18"/>
                <w:color w:val="0000EE"/>
                <w:w w:val="99"/>
              </w:rPr>
            </w:pPr>
            <w:hyperlink r:id="rId245">
              <w:r>
                <w:rPr>
                  <w:rFonts w:ascii="Arial" w:cs="Arial" w:eastAsia="Arial" w:hAnsi="Arial"/>
                  <w:sz w:val="18"/>
                  <w:szCs w:val="18"/>
                  <w:color w:val="0000EE"/>
                  <w:w w:val="99"/>
                </w:rPr>
                <w:t>Long-Term Performance Stock Award Agreement</w:t>
              </w:r>
            </w:hyperlink>
          </w:p>
        </w:tc>
        <w:tc>
          <w:tcPr>
            <w:tcW w:w="28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10-Q</w:t>
            </w: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12/31/14</w:t>
            </w:r>
          </w:p>
        </w:tc>
        <w:tc>
          <w:tcPr>
            <w:tcW w:w="1440" w:type="dxa"/>
            <w:vAlign w:val="bottom"/>
          </w:tcPr>
          <w:p>
            <w:pPr>
              <w:jc w:val="right"/>
              <w:ind w:right="613"/>
              <w:spacing w:after="0"/>
              <w:rPr>
                <w:sz w:val="20"/>
                <w:szCs w:val="20"/>
                <w:color w:val="auto"/>
              </w:rPr>
            </w:pPr>
            <w:r>
              <w:rPr>
                <w:rFonts w:ascii="Arial" w:cs="Arial" w:eastAsia="Arial" w:hAnsi="Arial"/>
                <w:sz w:val="18"/>
                <w:szCs w:val="18"/>
                <w:color w:val="auto"/>
              </w:rPr>
              <w:t>10.24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20" w:type="dxa"/>
            <w:vAlign w:val="bottom"/>
            <w:gridSpan w:val="15"/>
          </w:tcPr>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between Microsoft Corporation and Satya Nadella</w:t>
              </w:r>
            </w:hyperlink>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10.25</w:t>
            </w:r>
          </w:p>
        </w:tc>
        <w:tc>
          <w:tcPr>
            <w:tcW w:w="4220" w:type="dxa"/>
            <w:vAlign w:val="bottom"/>
            <w:gridSpan w:val="15"/>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Assumption of Beneficiaries’ Representative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220" w:type="dxa"/>
            <w:vAlign w:val="bottom"/>
            <w:gridSpan w:val="15"/>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Obligation Under Amended and Restated Officers’</w:t>
              </w:r>
            </w:hyperlink>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109">
              <w:r>
                <w:rPr>
                  <w:rFonts w:ascii="Arial" w:cs="Arial" w:eastAsia="Arial" w:hAnsi="Arial"/>
                  <w:sz w:val="18"/>
                  <w:szCs w:val="18"/>
                  <w:color w:val="0000EE"/>
                  <w:w w:val="99"/>
                </w:rPr>
                <w:t>Indemnification Trust</w:t>
              </w:r>
            </w:hyperlink>
          </w:p>
        </w:tc>
        <w:tc>
          <w:tcPr>
            <w:tcW w:w="2320" w:type="dxa"/>
            <w:vAlign w:val="bottom"/>
            <w:tcBorders>
              <w:top w:val="single" w:sz="8" w:color="0000EE"/>
            </w:tcBorders>
            <w:gridSpan w:val="9"/>
          </w:tcPr>
          <w:p>
            <w:pPr>
              <w:spacing w:after="0"/>
              <w:rPr>
                <w:sz w:val="15"/>
                <w:szCs w:val="15"/>
                <w:color w:val="auto"/>
              </w:rPr>
            </w:pPr>
          </w:p>
        </w:tc>
        <w:tc>
          <w:tcPr>
            <w:tcW w:w="22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10.26</w:t>
            </w:r>
          </w:p>
        </w:tc>
        <w:tc>
          <w:tcPr>
            <w:tcW w:w="4220" w:type="dxa"/>
            <w:vAlign w:val="bottom"/>
            <w:gridSpan w:val="15"/>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Assumption of Beneficiaries’ Representative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1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11">
              <w:r>
                <w:rPr>
                  <w:rFonts w:ascii="Arial" w:cs="Arial" w:eastAsia="Arial" w:hAnsi="Arial"/>
                  <w:sz w:val="18"/>
                  <w:szCs w:val="18"/>
                  <w:color w:val="0000EE"/>
                  <w:w w:val="99"/>
                </w:rPr>
                <w:t>Obligation Under Amended and Restated Directors’</w:t>
              </w:r>
            </w:hyperlink>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6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111">
              <w:r>
                <w:rPr>
                  <w:rFonts w:ascii="Arial" w:cs="Arial" w:eastAsia="Arial" w:hAnsi="Arial"/>
                  <w:sz w:val="18"/>
                  <w:szCs w:val="18"/>
                  <w:color w:val="0000EE"/>
                  <w:w w:val="99"/>
                </w:rPr>
                <w:t>Indemnification Trust</w:t>
              </w:r>
            </w:hyperlink>
          </w:p>
        </w:tc>
        <w:tc>
          <w:tcPr>
            <w:tcW w:w="254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4220" w:type="dxa"/>
            <w:vAlign w:val="bottom"/>
            <w:gridSpan w:val="15"/>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Subsidiaries of Registrant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4220" w:type="dxa"/>
            <w:vAlign w:val="bottom"/>
            <w:gridSpan w:val="1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Consent of Independent Registered Public</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3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14">
              <w:r>
                <w:rPr>
                  <w:rFonts w:ascii="Arial" w:cs="Arial" w:eastAsia="Arial" w:hAnsi="Arial"/>
                  <w:sz w:val="18"/>
                  <w:szCs w:val="18"/>
                  <w:color w:val="0000EE"/>
                </w:rPr>
                <w:t>Accounting Firm</w:t>
              </w:r>
            </w:hyperlink>
          </w:p>
        </w:tc>
        <w:tc>
          <w:tcPr>
            <w:tcW w:w="84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74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15">
              <w:r>
                <w:rPr>
                  <w:rFonts w:ascii="Arial" w:cs="Arial" w:eastAsia="Arial" w:hAnsi="Arial"/>
                  <w:sz w:val="18"/>
                  <w:szCs w:val="18"/>
                  <w:color w:val="0000EE"/>
                  <w:w w:val="99"/>
                </w:rPr>
                <w:t>Certifications of Chief Executive Officer Pursuant to</w:t>
              </w:r>
            </w:hyperlink>
          </w:p>
        </w:tc>
        <w:tc>
          <w:tcPr>
            <w:tcW w:w="12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20" w:type="dxa"/>
            <w:vAlign w:val="bottom"/>
            <w:gridSpan w:val="15"/>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Section 302 of the Sarbanes-Oxley Act of 2002</w:t>
              </w:r>
            </w:hyperlink>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404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16">
              <w:r>
                <w:rPr>
                  <w:rFonts w:ascii="Arial" w:cs="Arial" w:eastAsia="Arial" w:hAnsi="Arial"/>
                  <w:sz w:val="18"/>
                  <w:szCs w:val="18"/>
                  <w:color w:val="0000EE"/>
                  <w:w w:val="99"/>
                </w:rPr>
                <w:t>Certifications of Chief Financial Officer Pursuant to</w:t>
              </w:r>
            </w:hyperlink>
          </w:p>
        </w:tc>
        <w:tc>
          <w:tcPr>
            <w:tcW w:w="180" w:type="dxa"/>
            <w:vAlign w:val="bottom"/>
            <w:gridSpan w:val="3"/>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20" w:type="dxa"/>
            <w:vAlign w:val="bottom"/>
            <w:gridSpan w:val="15"/>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Section 302 of the Sarbanes-Oxley Act of 2002</w:t>
              </w:r>
            </w:hyperlink>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17">
              <w:r>
                <w:rPr>
                  <w:rFonts w:ascii="Arial" w:cs="Arial" w:eastAsia="Arial" w:hAnsi="Arial"/>
                  <w:sz w:val="18"/>
                  <w:szCs w:val="18"/>
                  <w:color w:val="0000EE"/>
                  <w:w w:val="99"/>
                </w:rPr>
                <w:t>Certifications of Chief Executive Officer Pursuant to</w:t>
              </w:r>
            </w:hyperlink>
          </w:p>
        </w:tc>
        <w:tc>
          <w:tcPr>
            <w:tcW w:w="12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20" w:type="dxa"/>
            <w:vAlign w:val="bottom"/>
            <w:gridSpan w:val="15"/>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Section 906 of the Sarbanes-Oxley Act of 2002</w:t>
              </w:r>
            </w:hyperlink>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404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18">
              <w:r>
                <w:rPr>
                  <w:rFonts w:ascii="Arial" w:cs="Arial" w:eastAsia="Arial" w:hAnsi="Arial"/>
                  <w:sz w:val="18"/>
                  <w:szCs w:val="18"/>
                  <w:color w:val="0000EE"/>
                  <w:w w:val="99"/>
                </w:rPr>
                <w:t>Certifications of Chief Financial Officer Pursuant to</w:t>
              </w:r>
            </w:hyperlink>
          </w:p>
        </w:tc>
        <w:tc>
          <w:tcPr>
            <w:tcW w:w="180" w:type="dxa"/>
            <w:vAlign w:val="bottom"/>
            <w:gridSpan w:val="3"/>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220" w:type="dxa"/>
            <w:vAlign w:val="bottom"/>
            <w:gridSpan w:val="15"/>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Section 906 of the Sarbanes-Oxley Act of 2002</w:t>
              </w:r>
            </w:hyperlink>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422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r>
              <w:rPr>
                <w:rFonts w:ascii="Arial" w:cs="Arial" w:eastAsia="Arial" w:hAnsi="Arial"/>
                <w:sz w:val="18"/>
                <w:szCs w:val="18"/>
                <w:color w:val="212529"/>
              </w:rPr>
              <w:t>—the instance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20" w:type="dxa"/>
            <w:vAlign w:val="bottom"/>
            <w:gridSpan w:val="15"/>
          </w:tcPr>
          <w:p>
            <w:pPr>
              <w:spacing w:after="0" w:line="202" w:lineRule="exact"/>
              <w:rPr>
                <w:sz w:val="20"/>
                <w:szCs w:val="20"/>
                <w:color w:val="auto"/>
              </w:rPr>
            </w:pPr>
            <w:r>
              <w:rPr>
                <w:rFonts w:ascii="Arial" w:cs="Arial" w:eastAsia="Arial" w:hAnsi="Arial"/>
                <w:sz w:val="18"/>
                <w:szCs w:val="18"/>
                <w:color w:val="212529"/>
              </w:rPr>
              <w:t>document does not appear in the Interactive Data</w:t>
            </w: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20" w:type="dxa"/>
            <w:vAlign w:val="bottom"/>
            <w:gridSpan w:val="15"/>
          </w:tcPr>
          <w:p>
            <w:pPr>
              <w:spacing w:after="0" w:line="202" w:lineRule="exact"/>
              <w:rPr>
                <w:sz w:val="20"/>
                <w:szCs w:val="20"/>
                <w:color w:val="auto"/>
              </w:rPr>
            </w:pPr>
            <w:r>
              <w:rPr>
                <w:rFonts w:ascii="Arial" w:cs="Arial" w:eastAsia="Arial" w:hAnsi="Arial"/>
                <w:sz w:val="18"/>
                <w:szCs w:val="18"/>
                <w:color w:val="212529"/>
              </w:rPr>
              <w:t>File as its XBRL tags are embedded within the</w:t>
            </w: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220" w:type="dxa"/>
            <w:vAlign w:val="bottom"/>
            <w:gridSpan w:val="15"/>
          </w:tcPr>
          <w:p>
            <w:pPr>
              <w:spacing w:after="0"/>
              <w:rPr>
                <w:sz w:val="20"/>
                <w:szCs w:val="20"/>
                <w:color w:val="auto"/>
              </w:rPr>
            </w:pPr>
            <w:r>
              <w:rPr>
                <w:rFonts w:ascii="Arial" w:cs="Arial" w:eastAsia="Arial" w:hAnsi="Arial"/>
                <w:sz w:val="18"/>
                <w:szCs w:val="18"/>
                <w:color w:val="212529"/>
              </w:rPr>
              <w:t>Inline XBRL document</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42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color w:val="auto"/>
              </w:rPr>
              <w:t>104</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4" w:name="page105"/>
    <w:bookmarkEnd w:id="104"/>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43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1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920" w:type="dxa"/>
            <w:vAlign w:val="bottom"/>
            <w:vMerge w:val="continue"/>
          </w:tcPr>
          <w:p>
            <w:pPr>
              <w:spacing w:after="0"/>
              <w:rPr>
                <w:sz w:val="10"/>
                <w:szCs w:val="10"/>
                <w:color w:val="auto"/>
              </w:rPr>
            </w:pPr>
          </w:p>
        </w:tc>
        <w:tc>
          <w:tcPr>
            <w:tcW w:w="43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jc w:val="right"/>
              <w:ind w:right="213"/>
              <w:spacing w:after="0" w:line="126" w:lineRule="exact"/>
              <w:rPr>
                <w:sz w:val="20"/>
                <w:szCs w:val="20"/>
                <w:color w:val="auto"/>
              </w:rPr>
            </w:pPr>
            <w:r>
              <w:rPr>
                <w:rFonts w:ascii="Arial" w:cs="Arial" w:eastAsia="Arial" w:hAnsi="Arial"/>
                <w:sz w:val="13"/>
                <w:szCs w:val="13"/>
                <w:b w:val="1"/>
                <w:bCs w:val="1"/>
                <w:color w:val="auto"/>
              </w:rPr>
              <w:t>Period</w:t>
            </w: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Exhibit Description</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3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Ending</w:t>
            </w: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Exhibit</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32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Linkbase</w:t>
            </w: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32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Linkbase</w:t>
            </w: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32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32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Linkbase</w:t>
            </w: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4320" w:type="dxa"/>
            <w:vAlign w:val="bottom"/>
          </w:tcPr>
          <w:p>
            <w:pPr>
              <w:ind w:left="200"/>
              <w:spacing w:after="0"/>
              <w:rPr>
                <w:sz w:val="20"/>
                <w:szCs w:val="20"/>
                <w:color w:val="auto"/>
              </w:rPr>
            </w:pPr>
            <w:r>
              <w:rPr>
                <w:rFonts w:ascii="Arial" w:cs="Arial" w:eastAsia="Arial" w:hAnsi="Arial"/>
                <w:sz w:val="18"/>
                <w:szCs w:val="18"/>
                <w:color w:val="auto"/>
              </w:rPr>
              <w:t>Cover page formatted as Inline XBRL and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contained in Exhibit 101</w:t>
            </w: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or arrangement.</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8" w:right="399" w:bottom="1440" w:gutter="0" w:footer="0" w:header="0"/>
        </w:sectPr>
      </w:pPr>
    </w:p>
    <w:bookmarkStart w:id="105" w:name="page106"/>
    <w:bookmarkEnd w:id="105"/>
    <w:p>
      <w:pPr>
        <w:ind w:left="5360"/>
        <w:spacing w:after="0"/>
        <w:rPr>
          <w:sz w:val="20"/>
          <w:szCs w:val="20"/>
          <w:color w:val="auto"/>
        </w:rPr>
      </w:pPr>
      <w:r>
        <w:rPr>
          <w:rFonts w:ascii="Arial" w:cs="Arial" w:eastAsia="Arial" w:hAnsi="Arial"/>
          <w:sz w:val="13"/>
          <w:szCs w:val="13"/>
          <w:u w:val="single" w:color="auto"/>
          <w:color w:val="auto"/>
        </w:rPr>
        <w:t>PART IV</w:t>
      </w:r>
    </w:p>
    <w:p>
      <w:pPr>
        <w:ind w:left="5400"/>
        <w:spacing w:after="0"/>
        <w:rPr>
          <w:sz w:val="20"/>
          <w:szCs w:val="20"/>
          <w:color w:val="auto"/>
        </w:rPr>
      </w:pPr>
      <w:r>
        <w:rPr>
          <w:rFonts w:ascii="Arial" w:cs="Arial" w:eastAsia="Arial" w:hAnsi="Arial"/>
          <w:sz w:val="13"/>
          <w:szCs w:val="13"/>
          <w:color w:val="auto"/>
        </w:rPr>
        <w:t>Item 16</w:t>
      </w:r>
    </w:p>
    <w:p>
      <w:pPr>
        <w:spacing w:after="0" w:line="170" w:lineRule="exact"/>
        <w:rPr>
          <w:sz w:val="20"/>
          <w:szCs w:val="20"/>
          <w:color w:val="auto"/>
        </w:rPr>
      </w:pPr>
    </w:p>
    <w:p>
      <w:pPr>
        <w:jc w:val="right"/>
        <w:ind w:right="2879"/>
        <w:spacing w:after="0"/>
        <w:rPr>
          <w:sz w:val="20"/>
          <w:szCs w:val="20"/>
          <w:color w:val="auto"/>
        </w:rPr>
      </w:pPr>
      <w:r>
        <w:rPr>
          <w:rFonts w:ascii="Arial" w:cs="Arial" w:eastAsia="Arial" w:hAnsi="Arial"/>
          <w:sz w:val="22"/>
          <w:szCs w:val="22"/>
          <w:b w:val="1"/>
          <w:bCs w:val="1"/>
          <w:color w:val="auto"/>
        </w:rPr>
        <w:t>ITEM 16. FORM 10-K SUMMARY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8"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Redmond, State of Washington, on July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17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Frank H. Brod</w:t>
      </w:r>
    </w:p>
    <w:p>
      <w:pPr>
        <w:spacing w:after="0" w:line="234" w:lineRule="auto"/>
        <w:rPr>
          <w:sz w:val="20"/>
          <w:szCs w:val="20"/>
          <w:color w:val="auto"/>
        </w:rPr>
      </w:pPr>
      <w:r>
        <w:rPr>
          <w:rFonts w:ascii="Arial" w:cs="Arial" w:eastAsia="Arial" w:hAnsi="Arial"/>
          <w:sz w:val="18"/>
          <w:szCs w:val="18"/>
          <w:color w:val="auto"/>
        </w:rPr>
        <w:t>Corporate Vice President, Finance and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 (Principal Accounting Officer)</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7" w:name="page108"/>
    <w:bookmarkEnd w:id="107"/>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July 30,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60" w:type="dxa"/>
            <w:vAlign w:val="bottom"/>
            <w:gridSpan w:val="2"/>
          </w:tcPr>
          <w:p>
            <w:pPr>
              <w:spacing w:after="0"/>
              <w:rPr>
                <w:sz w:val="20"/>
                <w:szCs w:val="20"/>
                <w:color w:val="auto"/>
              </w:rPr>
            </w:pPr>
            <w:r>
              <w:rPr>
                <w:rFonts w:ascii="Arial" w:cs="Arial" w:eastAsia="Arial" w:hAnsi="Arial"/>
                <w:sz w:val="13"/>
                <w:szCs w:val="13"/>
                <w:b w:val="1"/>
                <w:bCs w:val="1"/>
                <w:color w:val="auto"/>
              </w:rPr>
              <w:t>Signature</w:t>
            </w:r>
          </w:p>
        </w:tc>
        <w:tc>
          <w:tcPr>
            <w:tcW w:w="1760" w:type="dxa"/>
            <w:vAlign w:val="bottom"/>
          </w:tcPr>
          <w:p>
            <w:pPr>
              <w:spacing w:after="0"/>
              <w:rPr>
                <w:sz w:val="15"/>
                <w:szCs w:val="15"/>
                <w:color w:val="auto"/>
              </w:rPr>
            </w:pPr>
          </w:p>
        </w:tc>
        <w:tc>
          <w:tcPr>
            <w:tcW w:w="5720" w:type="dxa"/>
            <w:vAlign w:val="bottom"/>
          </w:tcPr>
          <w:p>
            <w:pPr>
              <w:ind w:left="120"/>
              <w:spacing w:after="0"/>
              <w:rPr>
                <w:sz w:val="20"/>
                <w:szCs w:val="20"/>
                <w:color w:val="auto"/>
              </w:rPr>
            </w:pPr>
            <w:r>
              <w:rPr>
                <w:rFonts w:ascii="Arial" w:cs="Arial" w:eastAsia="Arial" w:hAnsi="Arial"/>
                <w:sz w:val="13"/>
                <w:szCs w:val="13"/>
                <w:b w:val="1"/>
                <w:bCs w:val="1"/>
                <w:color w:val="auto"/>
              </w:rPr>
              <w:t>Title</w:t>
            </w:r>
          </w:p>
        </w:tc>
      </w:tr>
      <w:tr>
        <w:trPr>
          <w:trHeight w:val="55"/>
        </w:trPr>
        <w:tc>
          <w:tcPr>
            <w:tcW w:w="3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r>
      <w:tr>
        <w:trPr>
          <w:trHeight w:val="277"/>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3"/>
                <w:szCs w:val="13"/>
                <w:color w:val="auto"/>
              </w:rPr>
              <w:t>OHN</w:t>
            </w:r>
            <w:r>
              <w:rPr>
                <w:rFonts w:ascii="Arial" w:cs="Arial" w:eastAsia="Arial" w:hAnsi="Arial"/>
                <w:sz w:val="18"/>
                <w:szCs w:val="18"/>
                <w:color w:val="auto"/>
              </w:rPr>
              <w:t xml:space="preserve"> W. T</w:t>
            </w:r>
            <w:r>
              <w:rPr>
                <w:rFonts w:ascii="Arial" w:cs="Arial" w:eastAsia="Arial" w:hAnsi="Arial"/>
                <w:sz w:val="13"/>
                <w:szCs w:val="13"/>
                <w:color w:val="auto"/>
              </w:rPr>
              <w:t>HOMPSON</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Chairman</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John W. Thompson</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Satya Nadella</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3"/>
                <w:szCs w:val="13"/>
                <w:color w:val="auto"/>
              </w:rPr>
              <w:t>EID</w:t>
            </w:r>
            <w:r>
              <w:rPr>
                <w:rFonts w:ascii="Arial" w:cs="Arial" w:eastAsia="Arial" w:hAnsi="Arial"/>
                <w:sz w:val="18"/>
                <w:szCs w:val="18"/>
                <w:color w:val="auto"/>
              </w:rPr>
              <w:t xml:space="preserve"> H</w:t>
            </w:r>
            <w:r>
              <w:rPr>
                <w:rFonts w:ascii="Arial" w:cs="Arial" w:eastAsia="Arial" w:hAnsi="Arial"/>
                <w:sz w:val="13"/>
                <w:szCs w:val="13"/>
                <w:color w:val="auto"/>
              </w:rPr>
              <w:t>OFFMAN</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Reid Hoffman</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w:t>
            </w:r>
            <w:r>
              <w:rPr>
                <w:rFonts w:ascii="Arial" w:cs="Arial" w:eastAsia="Arial" w:hAnsi="Arial"/>
                <w:sz w:val="13"/>
                <w:szCs w:val="13"/>
                <w:color w:val="auto"/>
              </w:rPr>
              <w:t>UGH</w:t>
            </w:r>
            <w:r>
              <w:rPr>
                <w:rFonts w:ascii="Arial" w:cs="Arial" w:eastAsia="Arial" w:hAnsi="Arial"/>
                <w:sz w:val="18"/>
                <w:szCs w:val="18"/>
                <w:color w:val="auto"/>
              </w:rPr>
              <w:t xml:space="preserve"> F. J</w:t>
            </w:r>
            <w:r>
              <w:rPr>
                <w:rFonts w:ascii="Arial" w:cs="Arial" w:eastAsia="Arial" w:hAnsi="Arial"/>
                <w:sz w:val="13"/>
                <w:szCs w:val="13"/>
                <w:color w:val="auto"/>
              </w:rPr>
              <w:t>OHNSTON</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Hugh F. Johnston</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3"/>
                <w:szCs w:val="13"/>
                <w:color w:val="auto"/>
              </w:rPr>
              <w:t>ERI</w:t>
            </w:r>
            <w:r>
              <w:rPr>
                <w:rFonts w:ascii="Arial" w:cs="Arial" w:eastAsia="Arial" w:hAnsi="Arial"/>
                <w:sz w:val="18"/>
                <w:szCs w:val="18"/>
                <w:color w:val="auto"/>
              </w:rPr>
              <w:t xml:space="preserve"> L. L</w:t>
            </w:r>
            <w:r>
              <w:rPr>
                <w:rFonts w:ascii="Arial" w:cs="Arial" w:eastAsia="Arial" w:hAnsi="Arial"/>
                <w:sz w:val="13"/>
                <w:szCs w:val="13"/>
                <w:color w:val="auto"/>
              </w:rPr>
              <w:t>IST</w:t>
            </w:r>
            <w:r>
              <w:rPr>
                <w:rFonts w:ascii="Arial" w:cs="Arial" w:eastAsia="Arial" w:hAnsi="Arial"/>
                <w:sz w:val="18"/>
                <w:szCs w:val="18"/>
                <w:color w:val="auto"/>
              </w:rPr>
              <w:t>-S</w:t>
            </w:r>
            <w:r>
              <w:rPr>
                <w:rFonts w:ascii="Arial" w:cs="Arial" w:eastAsia="Arial" w:hAnsi="Arial"/>
                <w:sz w:val="13"/>
                <w:szCs w:val="13"/>
                <w:color w:val="auto"/>
              </w:rPr>
              <w:t>TOLL</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Teri L. List-Stoll</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ANDRA</w:t>
            </w:r>
            <w:r>
              <w:rPr>
                <w:rFonts w:ascii="Arial" w:cs="Arial" w:eastAsia="Arial" w:hAnsi="Arial"/>
                <w:sz w:val="18"/>
                <w:szCs w:val="18"/>
                <w:color w:val="auto"/>
              </w:rPr>
              <w:t xml:space="preserve"> E. P</w:t>
            </w:r>
            <w:r>
              <w:rPr>
                <w:rFonts w:ascii="Arial" w:cs="Arial" w:eastAsia="Arial" w:hAnsi="Arial"/>
                <w:sz w:val="13"/>
                <w:szCs w:val="13"/>
                <w:color w:val="auto"/>
              </w:rPr>
              <w:t>ETERSON</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Sandra E. Peterson</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ENNY</w:t>
            </w:r>
            <w:r>
              <w:rPr>
                <w:rFonts w:ascii="Arial" w:cs="Arial" w:eastAsia="Arial" w:hAnsi="Arial"/>
                <w:sz w:val="18"/>
                <w:szCs w:val="18"/>
                <w:color w:val="auto"/>
              </w:rPr>
              <w:t xml:space="preserve"> S. P</w:t>
            </w:r>
            <w:r>
              <w:rPr>
                <w:rFonts w:ascii="Arial" w:cs="Arial" w:eastAsia="Arial" w:hAnsi="Arial"/>
                <w:sz w:val="13"/>
                <w:szCs w:val="13"/>
                <w:color w:val="auto"/>
              </w:rPr>
              <w:t>RITZKER</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Penny S. Pritzker</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3"/>
                <w:szCs w:val="13"/>
                <w:color w:val="auto"/>
              </w:rPr>
              <w:t>HARLES</w:t>
            </w:r>
            <w:r>
              <w:rPr>
                <w:rFonts w:ascii="Arial" w:cs="Arial" w:eastAsia="Arial" w:hAnsi="Arial"/>
                <w:sz w:val="18"/>
                <w:szCs w:val="18"/>
                <w:color w:val="auto"/>
              </w:rPr>
              <w:t xml:space="preserve"> W. S</w:t>
            </w:r>
            <w:r>
              <w:rPr>
                <w:rFonts w:ascii="Arial" w:cs="Arial" w:eastAsia="Arial" w:hAnsi="Arial"/>
                <w:sz w:val="13"/>
                <w:szCs w:val="13"/>
                <w:color w:val="auto"/>
              </w:rPr>
              <w:t>CHARF</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Charles W. Scharf</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RNE</w:t>
            </w:r>
            <w:r>
              <w:rPr>
                <w:rFonts w:ascii="Arial" w:cs="Arial" w:eastAsia="Arial" w:hAnsi="Arial"/>
                <w:sz w:val="18"/>
                <w:szCs w:val="18"/>
                <w:color w:val="auto"/>
              </w:rPr>
              <w:t xml:space="preserve"> M. S</w:t>
            </w:r>
            <w:r>
              <w:rPr>
                <w:rFonts w:ascii="Arial" w:cs="Arial" w:eastAsia="Arial" w:hAnsi="Arial"/>
                <w:sz w:val="13"/>
                <w:szCs w:val="13"/>
                <w:color w:val="auto"/>
              </w:rPr>
              <w:t>ORENSON</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Arne M. Sorenson</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3"/>
                <w:szCs w:val="13"/>
                <w:color w:val="auto"/>
              </w:rPr>
              <w:t>OHN</w:t>
            </w:r>
            <w:r>
              <w:rPr>
                <w:rFonts w:ascii="Arial" w:cs="Arial" w:eastAsia="Arial" w:hAnsi="Arial"/>
                <w:sz w:val="18"/>
                <w:szCs w:val="18"/>
                <w:color w:val="auto"/>
              </w:rPr>
              <w:t xml:space="preserve"> W. S</w:t>
            </w:r>
            <w:r>
              <w:rPr>
                <w:rFonts w:ascii="Arial" w:cs="Arial" w:eastAsia="Arial" w:hAnsi="Arial"/>
                <w:sz w:val="13"/>
                <w:szCs w:val="13"/>
                <w:color w:val="auto"/>
              </w:rPr>
              <w:t>TANTON</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John W. Stanton</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3"/>
                <w:szCs w:val="13"/>
                <w:color w:val="auto"/>
              </w:rPr>
              <w:t>MMA</w:t>
            </w:r>
            <w:r>
              <w:rPr>
                <w:rFonts w:ascii="Arial" w:cs="Arial" w:eastAsia="Arial" w:hAnsi="Arial"/>
                <w:sz w:val="18"/>
                <w:szCs w:val="18"/>
                <w:color w:val="auto"/>
              </w:rPr>
              <w:t xml:space="preserve"> N. W</w:t>
            </w:r>
            <w:r>
              <w:rPr>
                <w:rFonts w:ascii="Arial" w:cs="Arial" w:eastAsia="Arial" w:hAnsi="Arial"/>
                <w:sz w:val="13"/>
                <w:szCs w:val="13"/>
                <w:color w:val="auto"/>
              </w:rPr>
              <w:t>ALMSLEY</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Emma N. Walmsley</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24"/>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ADMASREE</w:t>
            </w:r>
            <w:r>
              <w:rPr>
                <w:rFonts w:ascii="Arial" w:cs="Arial" w:eastAsia="Arial" w:hAnsi="Arial"/>
                <w:sz w:val="18"/>
                <w:szCs w:val="18"/>
                <w:color w:val="auto"/>
              </w:rPr>
              <w:t xml:space="preserve"> W</w:t>
            </w:r>
            <w:r>
              <w:rPr>
                <w:rFonts w:ascii="Arial" w:cs="Arial" w:eastAsia="Arial" w:hAnsi="Arial"/>
                <w:sz w:val="13"/>
                <w:szCs w:val="13"/>
                <w:color w:val="auto"/>
              </w:rPr>
              <w:t>ARRIOR</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Padmasree Warrior</w:t>
            </w:r>
          </w:p>
        </w:tc>
        <w:tc>
          <w:tcPr>
            <w:tcW w:w="176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18"/>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Amy E. Hood</w:t>
            </w:r>
          </w:p>
        </w:tc>
        <w:tc>
          <w:tcPr>
            <w:tcW w:w="1760" w:type="dxa"/>
            <w:vAlign w:val="bottom"/>
          </w:tcPr>
          <w:p>
            <w:pPr>
              <w:spacing w:after="0"/>
              <w:rPr>
                <w:sz w:val="19"/>
                <w:szCs w:val="19"/>
                <w:color w:val="auto"/>
              </w:rPr>
            </w:pPr>
          </w:p>
        </w:tc>
        <w:tc>
          <w:tcPr>
            <w:tcW w:w="5720" w:type="dxa"/>
            <w:vAlign w:val="bottom"/>
          </w:tcPr>
          <w:p>
            <w:pPr>
              <w:ind w:left="100"/>
              <w:spacing w:after="0" w:line="189" w:lineRule="exact"/>
              <w:rPr>
                <w:sz w:val="20"/>
                <w:szCs w:val="20"/>
                <w:color w:val="auto"/>
              </w:rPr>
            </w:pPr>
            <w:r>
              <w:rPr>
                <w:rFonts w:ascii="Arial" w:cs="Arial" w:eastAsia="Arial" w:hAnsi="Arial"/>
                <w:sz w:val="18"/>
                <w:szCs w:val="18"/>
                <w:color w:val="auto"/>
              </w:rPr>
              <w:t>(Principal Financial Officer)</w:t>
            </w:r>
          </w:p>
        </w:tc>
      </w:tr>
      <w:tr>
        <w:trPr>
          <w:trHeight w:val="318"/>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tc>
        <w:tc>
          <w:tcPr>
            <w:tcW w:w="1760" w:type="dxa"/>
            <w:vAlign w:val="bottom"/>
            <w:tcBorders>
              <w:bottom w:val="single" w:sz="8" w:color="auto"/>
            </w:tcBorders>
          </w:tcPr>
          <w:p>
            <w:pPr>
              <w:spacing w:after="0"/>
              <w:rPr>
                <w:sz w:val="24"/>
                <w:szCs w:val="24"/>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Corporate Vice President, Finance and Administration;</w:t>
            </w:r>
          </w:p>
        </w:tc>
      </w:tr>
      <w:tr>
        <w:trPr>
          <w:trHeight w:val="175"/>
        </w:trPr>
        <w:tc>
          <w:tcPr>
            <w:tcW w:w="3760" w:type="dxa"/>
            <w:vAlign w:val="bottom"/>
            <w:gridSpan w:val="2"/>
          </w:tcPr>
          <w:p>
            <w:pPr>
              <w:spacing w:after="0" w:line="175" w:lineRule="exact"/>
              <w:rPr>
                <w:sz w:val="20"/>
                <w:szCs w:val="20"/>
                <w:color w:val="auto"/>
              </w:rPr>
            </w:pPr>
            <w:r>
              <w:rPr>
                <w:rFonts w:ascii="Arial" w:cs="Arial" w:eastAsia="Arial" w:hAnsi="Arial"/>
                <w:sz w:val="18"/>
                <w:szCs w:val="18"/>
                <w:color w:val="auto"/>
              </w:rPr>
              <w:t>Frank H. Brod</w:t>
            </w:r>
          </w:p>
        </w:tc>
        <w:tc>
          <w:tcPr>
            <w:tcW w:w="1760" w:type="dxa"/>
            <w:vAlign w:val="bottom"/>
          </w:tcPr>
          <w:p>
            <w:pPr>
              <w:spacing w:after="0"/>
              <w:rPr>
                <w:sz w:val="15"/>
                <w:szCs w:val="15"/>
                <w:color w:val="auto"/>
              </w:rPr>
            </w:pPr>
          </w:p>
        </w:tc>
        <w:tc>
          <w:tcPr>
            <w:tcW w:w="5720" w:type="dxa"/>
            <w:vAlign w:val="bottom"/>
          </w:tcPr>
          <w:p>
            <w:pPr>
              <w:ind w:left="100"/>
              <w:spacing w:after="0" w:line="175" w:lineRule="exact"/>
              <w:rPr>
                <w:sz w:val="20"/>
                <w:szCs w:val="20"/>
                <w:color w:val="auto"/>
              </w:rPr>
            </w:pPr>
            <w:r>
              <w:rPr>
                <w:rFonts w:ascii="Arial" w:cs="Arial" w:eastAsia="Arial" w:hAnsi="Arial"/>
                <w:sz w:val="18"/>
                <w:szCs w:val="18"/>
                <w:color w:val="auto"/>
              </w:rPr>
              <w:t>Chief Accounting Officer</w:t>
            </w:r>
          </w:p>
        </w:tc>
      </w:tr>
      <w:tr>
        <w:trPr>
          <w:trHeight w:val="217"/>
        </w:trPr>
        <w:tc>
          <w:tcPr>
            <w:tcW w:w="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541"/>
        </w:trPr>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80" w:type="dxa"/>
            <w:vAlign w:val="bottom"/>
            <w:gridSpan w:val="2"/>
          </w:tcPr>
          <w:p>
            <w:pPr>
              <w:jc w:val="right"/>
              <w:ind w:right="5411"/>
              <w:spacing w:after="0"/>
              <w:rPr>
                <w:sz w:val="20"/>
                <w:szCs w:val="20"/>
                <w:color w:val="auto"/>
              </w:rPr>
            </w:pPr>
            <w:r>
              <w:rPr>
                <w:rFonts w:ascii="Arial" w:cs="Arial" w:eastAsia="Arial" w:hAnsi="Arial"/>
                <w:sz w:val="14"/>
                <w:szCs w:val="14"/>
                <w:color w:val="auto"/>
              </w:rPr>
              <w:t>108</w:t>
            </w:r>
          </w:p>
        </w:tc>
      </w:tr>
    </w:tbl>
    <w:p>
      <w:pPr>
        <w:sectPr>
          <w:pgSz w:w="11900" w:h="16838" w:orient="portrait"/>
          <w:cols w:equalWidth="0" w:num="1">
            <w:col w:w="11240"/>
          </w:cols>
          <w:pgMar w:left="320" w:top="36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ASSUMPTION OF BENEFICIARIES’ REPRESENTATIVE</w:t>
      </w:r>
    </w:p>
    <w:p>
      <w:pPr>
        <w:jc w:val="center"/>
        <w:spacing w:after="0"/>
        <w:rPr>
          <w:sz w:val="20"/>
          <w:szCs w:val="20"/>
          <w:color w:val="auto"/>
        </w:rPr>
      </w:pPr>
      <w:r>
        <w:rPr>
          <w:rFonts w:ascii="Arial" w:cs="Arial" w:eastAsia="Arial" w:hAnsi="Arial"/>
          <w:sz w:val="22"/>
          <w:szCs w:val="22"/>
          <w:b w:val="1"/>
          <w:bCs w:val="1"/>
          <w:color w:val="auto"/>
        </w:rPr>
        <w:t>OBLIGATIONS UNDER AMENDED AND RESTATED OFFICERS’ INDEMNIFICATION TRUST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300" w:firstLine="872"/>
        <w:spacing w:after="0" w:line="287" w:lineRule="auto"/>
        <w:tabs>
          <w:tab w:leader="none" w:pos="1721" w:val="left"/>
        </w:tabs>
        <w:numPr>
          <w:ilvl w:val="0"/>
          <w:numId w:val="62"/>
        </w:numPr>
        <w:rPr>
          <w:rFonts w:ascii="Arial" w:cs="Arial" w:eastAsia="Arial" w:hAnsi="Arial"/>
          <w:sz w:val="19"/>
          <w:szCs w:val="19"/>
          <w:color w:val="auto"/>
        </w:rPr>
      </w:pPr>
      <w:r>
        <w:rPr>
          <w:rFonts w:ascii="Arial" w:cs="Arial" w:eastAsia="Arial" w:hAnsi="Arial"/>
          <w:sz w:val="19"/>
          <w:szCs w:val="19"/>
          <w:color w:val="auto"/>
        </w:rPr>
        <w:t>Microsoft Corporation (the “Company”) is a party to that certain Amended and Restated Officers’ Indemnification Trust Agreement dated as of June 30, 2016 (the “Officers’ Trust Agreement”), by and between Microsoft, as Grantor, and The Bank of New York Mellon Trust Company, N.A., as Trustee, and as an additional party, Charles H. Noski, as the Beneficiaries’ Representative pertaining to certain officer indemnification obligations of the Company.</w:t>
      </w:r>
    </w:p>
    <w:p>
      <w:pPr>
        <w:spacing w:after="0" w:line="142" w:lineRule="exact"/>
        <w:rPr>
          <w:rFonts w:ascii="Arial" w:cs="Arial" w:eastAsia="Arial" w:hAnsi="Arial"/>
          <w:sz w:val="19"/>
          <w:szCs w:val="19"/>
          <w:color w:val="auto"/>
        </w:rPr>
      </w:pPr>
    </w:p>
    <w:p>
      <w:pPr>
        <w:ind w:right="340" w:firstLine="872"/>
        <w:spacing w:after="0" w:line="250" w:lineRule="auto"/>
        <w:tabs>
          <w:tab w:leader="none" w:pos="171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Charles H. Noski retired from the Company’s Board of Directors effective December 4, 2019 and has also resigned as the Beneficiaries Representative effective with his retirement.</w:t>
      </w:r>
    </w:p>
    <w:p>
      <w:pPr>
        <w:spacing w:after="0" w:line="174" w:lineRule="exact"/>
        <w:rPr>
          <w:rFonts w:ascii="Arial" w:cs="Arial" w:eastAsia="Arial" w:hAnsi="Arial"/>
          <w:sz w:val="22"/>
          <w:szCs w:val="22"/>
          <w:color w:val="auto"/>
        </w:rPr>
      </w:pPr>
    </w:p>
    <w:p>
      <w:pPr>
        <w:ind w:left="1720" w:hanging="848"/>
        <w:spacing w:after="0"/>
        <w:tabs>
          <w:tab w:leader="none" w:pos="17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Hugh F. Johnston has agreed to serve as the successor Beneficiaries’ Representative under the Officers’ Trust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rFonts w:ascii="Arial" w:cs="Arial" w:eastAsia="Arial" w:hAnsi="Arial"/>
          <w:sz w:val="19"/>
          <w:szCs w:val="19"/>
          <w:color w:val="auto"/>
        </w:rPr>
      </w:pPr>
    </w:p>
    <w:p>
      <w:pPr>
        <w:ind w:right="1020" w:firstLine="872"/>
        <w:spacing w:after="0" w:line="250" w:lineRule="auto"/>
        <w:tabs>
          <w:tab w:leader="none" w:pos="1721"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Company’s Board of Directors has appointed Hugh F. Johnston as the successor Beneficiaries Representative under the Officers’ Trust Agreement effective December 4,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Hugh F. Johnston, as successor Beneficiaries Representative under the Officers’ Trust Agreement, agrees to assume and become bound by all of the duties and responsibilities of a Beneficiaries’ Representative under the Officer’s Trust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ind w:left="880"/>
        <w:spacing w:after="0"/>
        <w:rPr>
          <w:sz w:val="20"/>
          <w:szCs w:val="20"/>
          <w:color w:val="auto"/>
        </w:rPr>
      </w:pPr>
      <w:r>
        <w:rPr>
          <w:rFonts w:ascii="Arial" w:cs="Arial" w:eastAsia="Arial" w:hAnsi="Arial"/>
          <w:sz w:val="19"/>
          <w:szCs w:val="19"/>
          <w:color w:val="auto"/>
        </w:rPr>
        <w:t>IN WITNESS WHEREOF, the Additional Party has executed this Joinder as of the 4th day of December, 2019.</w:t>
      </w:r>
    </w:p>
    <w:p>
      <w:pPr>
        <w:spacing w:after="0" w:line="24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ADDITIONAL PARTY</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(“Beneficiaries’ Representative”)</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auto"/>
        </w:rPr>
        <w:t>/s/ Hugh F. Johnston</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HUGH F. JOHNSTON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Accepted: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MICROSOFT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(“Grantor”)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Keith R. Dolliver</w:t>
      </w:r>
    </w:p>
    <w:p>
      <w:pPr>
        <w:spacing w:after="0" w:line="238" w:lineRule="auto"/>
        <w:rPr>
          <w:sz w:val="20"/>
          <w:szCs w:val="20"/>
          <w:color w:val="auto"/>
        </w:rPr>
      </w:pPr>
      <w:r>
        <w:rPr>
          <w:rFonts w:ascii="Arial" w:cs="Arial" w:eastAsia="Arial" w:hAnsi="Arial"/>
          <w:sz w:val="22"/>
          <w:szCs w:val="22"/>
          <w:color w:val="auto"/>
        </w:rPr>
        <w:t>Name: Keith R. Dolliver</w:t>
      </w:r>
    </w:p>
    <w:p>
      <w:pPr>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00"/>
          </w:cols>
          <w:pgMar w:left="320" w:top="334" w:right="107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color w:val="auto"/>
        </w:rPr>
        <w:t>Exhibit 10.26</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ASSUMPTION OF BENEFICIARIES’ REPRESENTATIVE</w:t>
      </w:r>
    </w:p>
    <w:p>
      <w:pPr>
        <w:jc w:val="center"/>
        <w:spacing w:after="0"/>
        <w:rPr>
          <w:sz w:val="20"/>
          <w:szCs w:val="20"/>
          <w:color w:val="auto"/>
        </w:rPr>
      </w:pPr>
      <w:r>
        <w:rPr>
          <w:rFonts w:ascii="Arial" w:cs="Arial" w:eastAsia="Arial" w:hAnsi="Arial"/>
          <w:sz w:val="22"/>
          <w:szCs w:val="22"/>
          <w:b w:val="1"/>
          <w:bCs w:val="1"/>
          <w:color w:val="auto"/>
        </w:rPr>
        <w:t>OBLIGATIONS UNDER AMENDED AND RESTATED DIRECTORS’ INDEMNIFICATION TRUST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300" w:firstLine="872"/>
        <w:spacing w:after="0" w:line="287" w:lineRule="auto"/>
        <w:tabs>
          <w:tab w:leader="none" w:pos="1721" w:val="left"/>
        </w:tabs>
        <w:numPr>
          <w:ilvl w:val="0"/>
          <w:numId w:val="63"/>
        </w:numPr>
        <w:rPr>
          <w:rFonts w:ascii="Arial" w:cs="Arial" w:eastAsia="Arial" w:hAnsi="Arial"/>
          <w:sz w:val="19"/>
          <w:szCs w:val="19"/>
          <w:color w:val="auto"/>
        </w:rPr>
      </w:pPr>
      <w:r>
        <w:rPr>
          <w:rFonts w:ascii="Arial" w:cs="Arial" w:eastAsia="Arial" w:hAnsi="Arial"/>
          <w:sz w:val="19"/>
          <w:szCs w:val="19"/>
          <w:color w:val="auto"/>
        </w:rPr>
        <w:t>Microsoft Corporation (the “Company”) is a party to that certain Amended and Restated Directors’ Indemnification Trust Agreement dated as of June 30, 2016 (the “Directors’ Trust Agreement”), by and between Microsoft, as Grantor, and The Bank of New York Mellon Trust Company, N.A., as Trustee, and as an additional party, Charles H. Noski, as the Beneficiaries’ Representative pertaining to certain director indemnification obligations of the Company.</w:t>
      </w:r>
    </w:p>
    <w:p>
      <w:pPr>
        <w:spacing w:after="0" w:line="142" w:lineRule="exact"/>
        <w:rPr>
          <w:rFonts w:ascii="Arial" w:cs="Arial" w:eastAsia="Arial" w:hAnsi="Arial"/>
          <w:sz w:val="19"/>
          <w:szCs w:val="19"/>
          <w:color w:val="auto"/>
        </w:rPr>
      </w:pPr>
    </w:p>
    <w:p>
      <w:pPr>
        <w:ind w:right="340" w:firstLine="872"/>
        <w:spacing w:after="0" w:line="250" w:lineRule="auto"/>
        <w:tabs>
          <w:tab w:leader="none" w:pos="171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Charles H. Noski retired from the Company’s Board of Directors effective December 4, 2019 and has also resigned as the Beneficiaries Representative effective with his retirement.</w:t>
      </w:r>
    </w:p>
    <w:p>
      <w:pPr>
        <w:spacing w:after="0" w:line="174" w:lineRule="exact"/>
        <w:rPr>
          <w:rFonts w:ascii="Arial" w:cs="Arial" w:eastAsia="Arial" w:hAnsi="Arial"/>
          <w:sz w:val="22"/>
          <w:szCs w:val="22"/>
          <w:color w:val="auto"/>
        </w:rPr>
      </w:pPr>
    </w:p>
    <w:p>
      <w:pPr>
        <w:ind w:left="1720" w:hanging="848"/>
        <w:spacing w:after="0"/>
        <w:tabs>
          <w:tab w:leader="none" w:pos="17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Hugh F. Johnston has agreed to serve as the successor Beneficiaries’ Representative under the Directors’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 Agreement.</w:t>
      </w:r>
    </w:p>
    <w:p>
      <w:pPr>
        <w:spacing w:after="0" w:line="188" w:lineRule="exact"/>
        <w:rPr>
          <w:rFonts w:ascii="Arial" w:cs="Arial" w:eastAsia="Arial" w:hAnsi="Arial"/>
          <w:sz w:val="19"/>
          <w:szCs w:val="19"/>
          <w:color w:val="auto"/>
        </w:rPr>
      </w:pPr>
    </w:p>
    <w:p>
      <w:pPr>
        <w:ind w:right="1020" w:firstLine="872"/>
        <w:spacing w:after="0" w:line="250" w:lineRule="auto"/>
        <w:tabs>
          <w:tab w:leader="none" w:pos="1721"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Company’s Board of Directors has appointed Hugh F. Johnston as the successor Beneficiaries Representative under the Directors’ Trust Agreement effective December 4,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Hugh F. Johnston, as successor Beneficiaries Representative under the Directors’ Trust Agreement, agrees to assume and become bound by all of the duties and responsibilities of a Beneficiaries’ Representative under the Director’s Trust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ind w:left="880"/>
        <w:spacing w:after="0"/>
        <w:rPr>
          <w:sz w:val="20"/>
          <w:szCs w:val="20"/>
          <w:color w:val="auto"/>
        </w:rPr>
      </w:pPr>
      <w:r>
        <w:rPr>
          <w:rFonts w:ascii="Arial" w:cs="Arial" w:eastAsia="Arial" w:hAnsi="Arial"/>
          <w:sz w:val="19"/>
          <w:szCs w:val="19"/>
          <w:color w:val="auto"/>
        </w:rPr>
        <w:t>IN WITNESS WHEREOF, the Additional Party has executed this Joinder as of the 4th day of December, 2019.</w:t>
      </w:r>
    </w:p>
    <w:p>
      <w:pPr>
        <w:spacing w:after="0" w:line="24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ADDITIONAL PARTY</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(“Beneficiaries’ Representative”)</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auto"/>
        </w:rPr>
        <w:t>/s/ Hugh F. Johnston</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HUGH F. JOHNSTON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Accepted: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MICROSOFT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(“Grantor”)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Keith R. Dolliver</w:t>
      </w:r>
    </w:p>
    <w:p>
      <w:pPr>
        <w:spacing w:after="0" w:line="238" w:lineRule="auto"/>
        <w:rPr>
          <w:sz w:val="20"/>
          <w:szCs w:val="20"/>
          <w:color w:val="auto"/>
        </w:rPr>
      </w:pPr>
      <w:r>
        <w:rPr>
          <w:rFonts w:ascii="Arial" w:cs="Arial" w:eastAsia="Arial" w:hAnsi="Arial"/>
          <w:sz w:val="22"/>
          <w:szCs w:val="22"/>
          <w:color w:val="auto"/>
        </w:rPr>
        <w:t>Name: Keith R. Dolliver</w:t>
      </w:r>
    </w:p>
    <w:p>
      <w:pPr>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00"/>
          </w:cols>
          <w:pgMar w:left="320" w:top="334" w:right="10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is a list of subsidiaries of Microsoft Corporation as of June 30, 2020, omitting subsidiaries which, considered in the aggregate, would not constitute a significant subsidiary.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800" w:type="dxa"/>
            <w:vAlign w:val="bottom"/>
          </w:tcPr>
          <w:p>
            <w:pPr>
              <w:ind w:left="1560"/>
              <w:spacing w:after="0"/>
              <w:rPr>
                <w:sz w:val="20"/>
                <w:szCs w:val="20"/>
                <w:color w:val="auto"/>
              </w:rPr>
            </w:pPr>
            <w:r>
              <w:rPr>
                <w:rFonts w:ascii="Arial" w:cs="Arial" w:eastAsia="Arial" w:hAnsi="Arial"/>
                <w:sz w:val="13"/>
                <w:szCs w:val="13"/>
                <w:b w:val="1"/>
                <w:bCs w:val="1"/>
                <w:color w:val="auto"/>
              </w:rPr>
              <w:t>Where Incorporated</w:t>
            </w:r>
          </w:p>
        </w:tc>
      </w:tr>
      <w:tr>
        <w:trPr>
          <w:trHeight w:val="55"/>
        </w:trPr>
        <w:tc>
          <w:tcPr>
            <w:tcW w:w="444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r>
      <w:tr>
        <w:trPr>
          <w:trHeight w:val="236"/>
        </w:trPr>
        <w:tc>
          <w:tcPr>
            <w:tcW w:w="4440" w:type="dxa"/>
            <w:vAlign w:val="bottom"/>
          </w:tcPr>
          <w:p>
            <w:pPr>
              <w:spacing w:after="0"/>
              <w:rPr>
                <w:sz w:val="20"/>
                <w:szCs w:val="20"/>
                <w:color w:val="auto"/>
              </w:rPr>
            </w:pPr>
            <w:r>
              <w:rPr>
                <w:rFonts w:ascii="Arial" w:cs="Arial" w:eastAsia="Arial" w:hAnsi="Arial"/>
                <w:sz w:val="18"/>
                <w:szCs w:val="18"/>
                <w:color w:val="auto"/>
              </w:rPr>
              <w:t>Microsoft Ireland Research</w:t>
            </w:r>
          </w:p>
        </w:tc>
        <w:tc>
          <w:tcPr>
            <w:tcW w:w="6800" w:type="dxa"/>
            <w:vAlign w:val="bottom"/>
          </w:tcPr>
          <w:p>
            <w:pPr>
              <w:ind w:left="1540"/>
              <w:spacing w:after="0"/>
              <w:rPr>
                <w:sz w:val="20"/>
                <w:szCs w:val="20"/>
                <w:color w:val="auto"/>
              </w:rPr>
            </w:pPr>
            <w:r>
              <w:rPr>
                <w:rFonts w:ascii="Arial" w:cs="Arial" w:eastAsia="Arial" w:hAnsi="Arial"/>
                <w:sz w:val="18"/>
                <w:szCs w:val="18"/>
                <w:color w:val="auto"/>
              </w:rPr>
              <w:t>Ireland</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Microsoft Global Finance</w:t>
            </w:r>
          </w:p>
        </w:tc>
        <w:tc>
          <w:tcPr>
            <w:tcW w:w="6800" w:type="dxa"/>
            <w:vAlign w:val="bottom"/>
          </w:tcPr>
          <w:p>
            <w:pPr>
              <w:ind w:left="1540"/>
              <w:spacing w:after="0" w:line="189" w:lineRule="exact"/>
              <w:rPr>
                <w:sz w:val="20"/>
                <w:szCs w:val="20"/>
                <w:color w:val="auto"/>
              </w:rPr>
            </w:pPr>
            <w:r>
              <w:rPr>
                <w:rFonts w:ascii="Arial" w:cs="Arial" w:eastAsia="Arial" w:hAnsi="Arial"/>
                <w:sz w:val="18"/>
                <w:szCs w:val="18"/>
                <w:color w:val="auto"/>
              </w:rPr>
              <w:t>Ireland</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Microsoft Ireland Operations Limited</w:t>
            </w:r>
          </w:p>
        </w:tc>
        <w:tc>
          <w:tcPr>
            <w:tcW w:w="6800" w:type="dxa"/>
            <w:vAlign w:val="bottom"/>
          </w:tcPr>
          <w:p>
            <w:pPr>
              <w:ind w:left="1540"/>
              <w:spacing w:after="0" w:line="189" w:lineRule="exact"/>
              <w:rPr>
                <w:sz w:val="20"/>
                <w:szCs w:val="20"/>
                <w:color w:val="auto"/>
              </w:rPr>
            </w:pPr>
            <w:r>
              <w:rPr>
                <w:rFonts w:ascii="Arial" w:cs="Arial" w:eastAsia="Arial" w:hAnsi="Arial"/>
                <w:sz w:val="18"/>
                <w:szCs w:val="18"/>
                <w:color w:val="auto"/>
              </w:rPr>
              <w:t>Ireland</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Microsoft Online, Inc.</w:t>
            </w:r>
          </w:p>
        </w:tc>
        <w:tc>
          <w:tcPr>
            <w:tcW w:w="6800" w:type="dxa"/>
            <w:vAlign w:val="bottom"/>
          </w:tcPr>
          <w:p>
            <w:pPr>
              <w:ind w:left="1540"/>
              <w:spacing w:after="0" w:line="189" w:lineRule="exact"/>
              <w:rPr>
                <w:sz w:val="20"/>
                <w:szCs w:val="20"/>
                <w:color w:val="auto"/>
              </w:rPr>
            </w:pPr>
            <w:r>
              <w:rPr>
                <w:rFonts w:ascii="Arial" w:cs="Arial" w:eastAsia="Arial" w:hAnsi="Arial"/>
                <w:sz w:val="18"/>
                <w:szCs w:val="18"/>
                <w:color w:val="auto"/>
              </w:rPr>
              <w:t>United States</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Microsoft Regional Sales Pte Ltd</w:t>
            </w:r>
          </w:p>
        </w:tc>
        <w:tc>
          <w:tcPr>
            <w:tcW w:w="6800" w:type="dxa"/>
            <w:vAlign w:val="bottom"/>
          </w:tcPr>
          <w:p>
            <w:pPr>
              <w:ind w:left="1540"/>
              <w:spacing w:after="0" w:line="189" w:lineRule="exact"/>
              <w:rPr>
                <w:sz w:val="20"/>
                <w:szCs w:val="20"/>
                <w:color w:val="auto"/>
              </w:rPr>
            </w:pPr>
            <w:r>
              <w:rPr>
                <w:rFonts w:ascii="Arial" w:cs="Arial" w:eastAsia="Arial" w:hAnsi="Arial"/>
                <w:sz w:val="18"/>
                <w:szCs w:val="18"/>
                <w:color w:val="auto"/>
              </w:rPr>
              <w:t>Singapore</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LinkedIn Corporation</w:t>
            </w:r>
          </w:p>
        </w:tc>
        <w:tc>
          <w:tcPr>
            <w:tcW w:w="6800" w:type="dxa"/>
            <w:vAlign w:val="bottom"/>
          </w:tcPr>
          <w:p>
            <w:pPr>
              <w:ind w:left="1540"/>
              <w:spacing w:after="0" w:line="189" w:lineRule="exact"/>
              <w:rPr>
                <w:sz w:val="20"/>
                <w:szCs w:val="20"/>
                <w:color w:val="auto"/>
              </w:rPr>
            </w:pPr>
            <w:r>
              <w:rPr>
                <w:rFonts w:ascii="Arial" w:cs="Arial" w:eastAsia="Arial" w:hAnsi="Arial"/>
                <w:sz w:val="18"/>
                <w:szCs w:val="18"/>
                <w:color w:val="auto"/>
              </w:rPr>
              <w:t>United States</w:t>
            </w: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LinkedIn Ireland Unlimited Company</w:t>
            </w:r>
          </w:p>
        </w:tc>
        <w:tc>
          <w:tcPr>
            <w:tcW w:w="6800" w:type="dxa"/>
            <w:vAlign w:val="bottom"/>
          </w:tcPr>
          <w:p>
            <w:pPr>
              <w:ind w:left="154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240"/>
          </w:cols>
          <w:pgMar w:left="320" w:top="36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23.1</w:t>
      </w:r>
    </w:p>
    <w:p>
      <w:pPr>
        <w:spacing w:after="0" w:line="13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42" w:lineRule="exact"/>
        <w:rPr>
          <w:sz w:val="20"/>
          <w:szCs w:val="20"/>
          <w:color w:val="auto"/>
        </w:rPr>
      </w:pPr>
    </w:p>
    <w:p>
      <w:pPr>
        <w:jc w:val="both"/>
        <w:ind w:left="20" w:right="300"/>
        <w:spacing w:after="0" w:line="238" w:lineRule="auto"/>
        <w:rPr>
          <w:sz w:val="20"/>
          <w:szCs w:val="20"/>
          <w:color w:val="auto"/>
        </w:rPr>
      </w:pPr>
      <w:r>
        <w:rPr>
          <w:rFonts w:ascii="Arial" w:cs="Arial" w:eastAsia="Arial" w:hAnsi="Arial"/>
          <w:sz w:val="18"/>
          <w:szCs w:val="18"/>
          <w:color w:val="auto"/>
        </w:rPr>
        <w:t>We consent to the incorporation by reference in Registration Statement Nos. 333-109185, 333-118764, 333-52852, 333-132100, 333-161516, 333-75243, 333-185757, and 333-221833 on Form S-8 and Registration Statement Nos. 333-228062 and 333-228244 on Form S-3 of our reports dated July 30, 2020, relating to the financial statements of Microsoft Corporation and subsidiaries (the "Company"), and the effectiveness of the Company's internal control over financial reporting, appearing in this Annual Report on Form 10-K of Microsoft Corporation for the year ended June 30, 2020.</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040"/>
          </w:cols>
          <w:pgMar w:left="520" w:top="14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240"/>
          </w:cols>
          <w:pgMar w:left="320" w:top="36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240"/>
          </w:cols>
          <w:pgMar w:left="320" w:top="36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2020, as filed with the Securities and Exchange Commission (the “Report”), Satya Nadella, Chief Executive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36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2020, as filed with the Securities and Exchange Commission (the “Report”), Amy E. Hood, Chief Financial Officer of the Company, does hereby certify, pursuant to § 906 of the Sarbanes-Oxley Act of 2002 (18 U.S.C. § 1350), that to her knowledge:</w:t>
      </w:r>
    </w:p>
    <w:p>
      <w:pPr>
        <w:spacing w:after="0" w:line="149" w:lineRule="exact"/>
        <w:rPr>
          <w:sz w:val="20"/>
          <w:szCs w:val="20"/>
          <w:color w:val="auto"/>
        </w:rPr>
      </w:pPr>
    </w:p>
    <w:p>
      <w:pPr>
        <w:ind w:left="280" w:hanging="272"/>
        <w:spacing w:after="0"/>
        <w:tabs>
          <w:tab w:leader="none" w:pos="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lowerLetter"/>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emdash "/>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endash "/>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2"/>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upperLetter"/>
      <w:start w:val="1"/>
    </w:lvl>
  </w:abstractNum>
  <w:abstractNum w:abstractNumId="62">
    <w:nsid w:val="5DB70AE5"/>
    <w:multiLevelType w:val="hybridMultilevel"/>
    <w:lvl w:ilvl="0">
      <w:lvlJc w:val="left"/>
      <w:lvlText w:val="%1."/>
      <w:numFmt w:val="upperLetter"/>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decimal"/>
      <w:start w:val="5"/>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5"/>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05" Type="http://schemas.openxmlformats.org/officeDocument/2006/relationships/hyperlink" Target="http://www.sec.gov/Archives/edgar/data/789019/000119312516782569/d305147dex31.htm" TargetMode="External"/><Relationship Id="rId206" Type="http://schemas.openxmlformats.org/officeDocument/2006/relationships/hyperlink" Target="http://www.sec.gov/Archives/edgar/data/789019/000119312517203579/d347274dex32.htm" TargetMode="External"/><Relationship Id="rId207" Type="http://schemas.openxmlformats.org/officeDocument/2006/relationships/hyperlink" Target="http://www.sec.gov/Archives/edgar/data/789019/000119312515357088/d97665dex41.htm" TargetMode="External"/><Relationship Id="rId208" Type="http://schemas.openxmlformats.org/officeDocument/2006/relationships/hyperlink" Target="http://www.sec.gov/Archives/edgar/data/789019/000119312509113054/dex42.htm" TargetMode="External"/><Relationship Id="rId209" Type="http://schemas.openxmlformats.org/officeDocument/2006/relationships/hyperlink" Target="http://www.sec.gov/Archives/edgar/data/789019/000119312510216531/dex42.htm" TargetMode="External"/><Relationship Id="rId212" Type="http://schemas.openxmlformats.org/officeDocument/2006/relationships/hyperlink" Target="http://www.sec.gov/Archives/edgar/data/789019/000119312511026916/dex42.htm" TargetMode="External"/><Relationship Id="rId213" Type="http://schemas.openxmlformats.org/officeDocument/2006/relationships/hyperlink" Target="http://www.sec.gov/Archives/edgar/data/789019/000119312512456267/d433368dex41.htm" TargetMode="External"/><Relationship Id="rId214" Type="http://schemas.openxmlformats.org/officeDocument/2006/relationships/hyperlink" Target="http://www.sec.gov/Archives/edgar/data/789019/000119312513192843/d531397dex41.htm" TargetMode="External"/><Relationship Id="rId215" Type="http://schemas.openxmlformats.org/officeDocument/2006/relationships/hyperlink" Target="http://www.sec.gov/Archives/edgar/data/789019/000119312513192843/d531397dex42.htm" TargetMode="External"/><Relationship Id="rId216" Type="http://schemas.openxmlformats.org/officeDocument/2006/relationships/hyperlink" Target="http://www.sec.gov/Archives/edgar/data/789019/000119312513464138/d638276dex41.htm" TargetMode="External"/><Relationship Id="rId219" Type="http://schemas.openxmlformats.org/officeDocument/2006/relationships/hyperlink" Target="http://www.sec.gov/Archives/edgar/data/789019/000119312513464138/d638276dex42.htm" TargetMode="External"/><Relationship Id="rId220" Type="http://schemas.openxmlformats.org/officeDocument/2006/relationships/hyperlink" Target="http://www.sec.gov/Archives/edgar/data/789019/000119312515045564/d871136dex41.htm" TargetMode="External"/><Relationship Id="rId221" Type="http://schemas.openxmlformats.org/officeDocument/2006/relationships/hyperlink" Target="http://www.sec.gov/Archives/edgar/data/789019/000119312515363226/d88549dex41.htm" TargetMode="External"/><Relationship Id="rId222" Type="http://schemas.openxmlformats.org/officeDocument/2006/relationships/hyperlink" Target="http://www.sec.gov/Archives/edgar/data/789019/000119312516673577/d236874dex41.htm" TargetMode="External"/><Relationship Id="rId225" Type="http://schemas.openxmlformats.org/officeDocument/2006/relationships/hyperlink" Target="http://www.sec.gov/Archives/edgar/data/789019/000119312517030734/d270302dex41.htm" TargetMode="External"/><Relationship Id="rId226" Type="http://schemas.openxmlformats.org/officeDocument/2006/relationships/hyperlink" Target="http://www.sec.gov/Archives/edgar/data/789019/000119312520157234/d829164dex41.htm" TargetMode="External"/><Relationship Id="rId227" Type="http://schemas.openxmlformats.org/officeDocument/2006/relationships/hyperlink" Target="http://www.sec.gov/Archives/edgar/data/789019/000156459019027952/msft-ex416_464.htm" TargetMode="External"/><Relationship Id="rId228" Type="http://schemas.openxmlformats.org/officeDocument/2006/relationships/hyperlink" Target="http://www.sec.gov/Archives/edgar/data/789019/000119312516662209/d187868dex101.htm" TargetMode="External"/><Relationship Id="rId229" Type="http://schemas.openxmlformats.org/officeDocument/2006/relationships/hyperlink" Target="http://www.sec.gov/Archives/edgar/data/789019/000119312512316848/d347676dex104.htm" TargetMode="External"/><Relationship Id="rId230" Type="http://schemas.openxmlformats.org/officeDocument/2006/relationships/hyperlink" Target="http://www.sec.gov/Archives/edgar/data/789019/000156459018019062/msft-ex105_244.htm" TargetMode="External"/><Relationship Id="rId231" Type="http://schemas.openxmlformats.org/officeDocument/2006/relationships/hyperlink" Target="http://www.sec.gov/Archives/edgar/data/789019/000119312517310951/d461626ddef14a.htm" TargetMode="External"/><Relationship Id="rId232" Type="http://schemas.openxmlformats.org/officeDocument/2006/relationships/hyperlink" Target="http://www.sec.gov/Archives/edgar/data/789019/000156459018009307/msft-ex1026_280.htm" TargetMode="External"/><Relationship Id="rId233" Type="http://schemas.openxmlformats.org/officeDocument/2006/relationships/hyperlink" Target="http://www.sec.gov/Archives/edgar/data/789019/000156459018009307/msft-ex1027_281.htm" TargetMode="External"/><Relationship Id="rId234" Type="http://schemas.openxmlformats.org/officeDocument/2006/relationships/hyperlink" Target="http://www.sec.gov/Archives/edgar/data/789019/000119312516742796/d245252dex1012.htm" TargetMode="External"/><Relationship Id="rId235" Type="http://schemas.openxmlformats.org/officeDocument/2006/relationships/hyperlink" Target="http://www.sec.gov/Archives/edgar/data/789019/000156459019027952/msft-ex1013_465.htm" TargetMode="External"/><Relationship Id="rId236" Type="http://schemas.openxmlformats.org/officeDocument/2006/relationships/hyperlink" Target="http://www.sec.gov/Archives/edgar/data/789019/000119312515272806/d918813dex1014.htm" TargetMode="External"/><Relationship Id="rId237" Type="http://schemas.openxmlformats.org/officeDocument/2006/relationships/hyperlink" Target="http://www.sec.gov/Archives/edgar/data/789019/000119312518277602/d602842dex101.htm" TargetMode="External"/><Relationship Id="rId240" Type="http://schemas.openxmlformats.org/officeDocument/2006/relationships/hyperlink" Target="http://www.sec.gov/Archives/edgar/data/789019/000119312516742796/d245252dex1017.htm" TargetMode="External"/><Relationship Id="rId241" Type="http://schemas.openxmlformats.org/officeDocument/2006/relationships/hyperlink" Target="http://www.sec.gov/Archives/edgar/data/789019/000119312516742796/d245252dex1018.htm" TargetMode="External"/><Relationship Id="rId242" Type="http://schemas.openxmlformats.org/officeDocument/2006/relationships/hyperlink" Target="http://www.sec.gov/Archives/edgar/data/789019/000119312516742796/d245252dex1025.htm" TargetMode="External"/><Relationship Id="rId243" Type="http://schemas.openxmlformats.org/officeDocument/2006/relationships/hyperlink" Target="http://www.sec.gov/Archives/edgar/data/789019/000119312516742796/d245252dex1022.htm" TargetMode="External"/><Relationship Id="rId244" Type="http://schemas.openxmlformats.org/officeDocument/2006/relationships/hyperlink" Target="http://www.sec.gov/Archives/edgar/data/789019/000119312514035080/d669538dex101.htm" TargetMode="External"/><Relationship Id="rId245" Type="http://schemas.openxmlformats.org/officeDocument/2006/relationships/hyperlink" Target="http://www.sec.gov/Archives/edgar/data/789019/000119312515020351/d827041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2020-07-31T05:56:22Z</dcterms:created>
  <dcterms:modified xsi:type="dcterms:W3CDTF">2020-07-31T05:56:22Z</dcterms:modified>
</cp:coreProperties>
</file>