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422910</wp:posOffset>
            </wp:positionH>
            <wp:positionV relativeFrom="page">
              <wp:posOffset>491490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2496185</wp:posOffset>
            </wp:positionH>
            <wp:positionV relativeFrom="paragraph">
              <wp:posOffset>40640</wp:posOffset>
            </wp:positionV>
            <wp:extent cx="17227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22755" cy="7620"/>
                    </a:xfrm>
                    <a:prstGeom prst="rect">
                      <a:avLst/>
                    </a:prstGeom>
                    <a:noFill/>
                  </pic:spPr>
                </pic:pic>
              </a:graphicData>
            </a:graphic>
          </wp:anchor>
        </w:drawing>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2496185</wp:posOffset>
            </wp:positionH>
            <wp:positionV relativeFrom="paragraph">
              <wp:posOffset>52070</wp:posOffset>
            </wp:positionV>
            <wp:extent cx="17227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7620"/>
                    </a:xfrm>
                    <a:prstGeom prst="rect">
                      <a:avLst/>
                    </a:prstGeom>
                    <a:noFill/>
                  </pic:spPr>
                </pic:pic>
              </a:graphicData>
            </a:graphic>
          </wp:anchor>
        </w:drawing>
      </w:r>
    </w:p>
    <w:p>
      <w:pPr>
        <w:spacing w:after="0" w:line="141" w:lineRule="exact"/>
        <w:rPr>
          <w:sz w:val="24"/>
          <w:szCs w:val="24"/>
          <w:color w:val="auto"/>
        </w:rPr>
      </w:pPr>
    </w:p>
    <w:p>
      <w:pPr>
        <w:ind w:left="520" w:hanging="502"/>
        <w:spacing w:after="0"/>
        <w:tabs>
          <w:tab w:leader="none" w:pos="520"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6" w:lineRule="exact"/>
        <w:rPr>
          <w:sz w:val="24"/>
          <w:szCs w:val="24"/>
          <w:color w:val="auto"/>
        </w:rPr>
      </w:pPr>
    </w:p>
    <w:p>
      <w:pPr>
        <w:ind w:left="520"/>
        <w:spacing w:after="0"/>
        <w:rPr>
          <w:sz w:val="20"/>
          <w:szCs w:val="20"/>
          <w:color w:val="auto"/>
        </w:rPr>
      </w:pPr>
      <w:r>
        <w:rPr>
          <w:rFonts w:ascii="Arial" w:cs="Arial" w:eastAsia="Arial" w:hAnsi="Arial"/>
          <w:sz w:val="14"/>
          <w:szCs w:val="14"/>
          <w:b w:val="1"/>
          <w:bCs w:val="1"/>
          <w:color w:val="auto"/>
        </w:rPr>
        <w:t>For the Fiscal Year Ended June 30, 2023</w:t>
      </w:r>
    </w:p>
    <w:p>
      <w:pPr>
        <w:spacing w:after="0" w:line="10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OR</w:t>
      </w:r>
    </w:p>
    <w:p>
      <w:pPr>
        <w:spacing w:after="0" w:line="105" w:lineRule="exact"/>
        <w:rPr>
          <w:sz w:val="24"/>
          <w:szCs w:val="24"/>
          <w:color w:val="auto"/>
        </w:rPr>
      </w:pPr>
    </w:p>
    <w:p>
      <w:pPr>
        <w:ind w:left="520" w:hanging="502"/>
        <w:spacing w:after="0"/>
        <w:tabs>
          <w:tab w:leader="none" w:pos="520" w:val="left"/>
        </w:tabs>
        <w:numPr>
          <w:ilvl w:val="0"/>
          <w:numId w:val="2"/>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6" w:lineRule="exact"/>
        <w:rPr>
          <w:sz w:val="24"/>
          <w:szCs w:val="24"/>
          <w:color w:val="auto"/>
        </w:rPr>
      </w:pPr>
    </w:p>
    <w:tbl>
      <w:tblPr>
        <w:tblLayout w:type="fixed"/>
        <w:tblInd w:w="520" w:type="dxa"/>
        <w:tblCellMar>
          <w:top w:w="0" w:type="dxa"/>
          <w:left w:w="0" w:type="dxa"/>
          <w:bottom w:w="0" w:type="dxa"/>
          <w:right w:w="0" w:type="dxa"/>
        </w:tblCellMar>
      </w:tblPr>
      <w:tr>
        <w:trPr>
          <w:trHeight w:val="202"/>
        </w:trPr>
        <w:tc>
          <w:tcPr>
            <w:tcW w:w="224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to</w:t>
            </w:r>
          </w:p>
        </w:tc>
        <w:tc>
          <w:tcPr>
            <w:tcW w:w="27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4"/>
        </w:trPr>
        <w:tc>
          <w:tcPr>
            <w:tcW w:w="2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0" w:type="dxa"/>
            <w:vAlign w:val="bottom"/>
            <w:gridSpan w:val="2"/>
          </w:tcPr>
          <w:p>
            <w:pPr>
              <w:jc w:val="center"/>
              <w:ind w:right="1637"/>
              <w:spacing w:after="0"/>
              <w:rPr>
                <w:sz w:val="20"/>
                <w:szCs w:val="20"/>
                <w:color w:val="auto"/>
              </w:rPr>
            </w:pPr>
            <w:r>
              <w:rPr>
                <w:rFonts w:ascii="Arial" w:cs="Arial" w:eastAsia="Arial" w:hAnsi="Arial"/>
                <w:sz w:val="14"/>
                <w:szCs w:val="14"/>
                <w:b w:val="1"/>
                <w:bCs w:val="1"/>
                <w:color w:val="auto"/>
              </w:rPr>
              <w:t>Commission File Number 001-37845</w:t>
            </w:r>
          </w:p>
        </w:tc>
      </w:tr>
      <w:tr>
        <w:trPr>
          <w:trHeight w:val="42"/>
        </w:trPr>
        <w:tc>
          <w:tcPr>
            <w:tcW w:w="2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1700" w:type="dxa"/>
            <w:vAlign w:val="bottom"/>
          </w:tcPr>
          <w:p>
            <w:pPr>
              <w:spacing w:after="0"/>
              <w:rPr>
                <w:sz w:val="3"/>
                <w:szCs w:val="3"/>
                <w:color w:val="auto"/>
              </w:rPr>
            </w:pPr>
          </w:p>
        </w:tc>
      </w:tr>
      <w:tr>
        <w:trPr>
          <w:trHeight w:val="483"/>
        </w:trPr>
        <w:tc>
          <w:tcPr>
            <w:tcW w:w="2240" w:type="dxa"/>
            <w:vAlign w:val="bottom"/>
          </w:tcPr>
          <w:p>
            <w:pPr>
              <w:spacing w:after="0"/>
              <w:rPr>
                <w:sz w:val="24"/>
                <w:szCs w:val="24"/>
                <w:color w:val="auto"/>
              </w:rPr>
            </w:pPr>
          </w:p>
        </w:tc>
        <w:tc>
          <w:tcPr>
            <w:tcW w:w="5580" w:type="dxa"/>
            <w:vAlign w:val="bottom"/>
            <w:gridSpan w:val="3"/>
          </w:tcPr>
          <w:p>
            <w:pPr>
              <w:jc w:val="center"/>
              <w:ind w:right="457"/>
              <w:spacing w:after="0"/>
              <w:rPr>
                <w:sz w:val="20"/>
                <w:szCs w:val="20"/>
                <w:color w:val="auto"/>
              </w:rPr>
            </w:pPr>
            <w:r>
              <w:rPr>
                <w:rFonts w:ascii="Arial" w:cs="Arial" w:eastAsia="Arial" w:hAnsi="Arial"/>
                <w:sz w:val="35"/>
                <w:szCs w:val="35"/>
                <w:b w:val="1"/>
                <w:bCs w:val="1"/>
                <w:color w:val="auto"/>
                <w:w w:val="99"/>
              </w:rPr>
              <w:t>MICROSOFT CORPORATION</w:t>
            </w:r>
          </w:p>
        </w:tc>
      </w:tr>
      <w:tr>
        <w:trPr>
          <w:trHeight w:val="258"/>
        </w:trPr>
        <w:tc>
          <w:tcPr>
            <w:tcW w:w="3420" w:type="dxa"/>
            <w:vAlign w:val="bottom"/>
            <w:gridSpan w:val="2"/>
          </w:tcPr>
          <w:p>
            <w:pPr>
              <w:jc w:val="center"/>
              <w:ind w:left="674"/>
              <w:spacing w:after="0"/>
              <w:rPr>
                <w:sz w:val="20"/>
                <w:szCs w:val="20"/>
                <w:color w:val="auto"/>
              </w:rPr>
            </w:pPr>
            <w:r>
              <w:rPr>
                <w:rFonts w:ascii="Arial" w:cs="Arial" w:eastAsia="Arial" w:hAnsi="Arial"/>
                <w:sz w:val="13"/>
                <w:szCs w:val="13"/>
                <w:b w:val="1"/>
                <w:bCs w:val="1"/>
                <w:color w:val="auto"/>
              </w:rPr>
              <w:t>WASHINGTON</w:t>
            </w:r>
          </w:p>
        </w:tc>
        <w:tc>
          <w:tcPr>
            <w:tcW w:w="2700" w:type="dxa"/>
            <w:vAlign w:val="bottom"/>
            <w:tcBorders>
              <w:top w:val="single" w:sz="8" w:color="auto"/>
            </w:tcBorders>
          </w:tcPr>
          <w:p>
            <w:pPr>
              <w:spacing w:after="0"/>
              <w:rPr>
                <w:sz w:val="22"/>
                <w:szCs w:val="22"/>
                <w:color w:val="auto"/>
              </w:rPr>
            </w:pPr>
          </w:p>
        </w:tc>
        <w:tc>
          <w:tcPr>
            <w:tcW w:w="1700" w:type="dxa"/>
            <w:vAlign w:val="bottom"/>
          </w:tcPr>
          <w:p>
            <w:pPr>
              <w:jc w:val="right"/>
              <w:spacing w:after="0"/>
              <w:rPr>
                <w:sz w:val="20"/>
                <w:szCs w:val="20"/>
                <w:color w:val="auto"/>
              </w:rPr>
            </w:pPr>
            <w:r>
              <w:rPr>
                <w:rFonts w:ascii="Arial" w:cs="Arial" w:eastAsia="Arial" w:hAnsi="Arial"/>
                <w:sz w:val="13"/>
                <w:szCs w:val="13"/>
                <w:b w:val="1"/>
                <w:bCs w:val="1"/>
                <w:color w:val="auto"/>
              </w:rPr>
              <w:t>91-1144442</w:t>
            </w:r>
          </w:p>
        </w:tc>
      </w:tr>
      <w:tr>
        <w:trPr>
          <w:trHeight w:val="176"/>
        </w:trPr>
        <w:tc>
          <w:tcPr>
            <w:tcW w:w="3420" w:type="dxa"/>
            <w:vAlign w:val="bottom"/>
            <w:gridSpan w:val="2"/>
          </w:tcPr>
          <w:p>
            <w:pPr>
              <w:jc w:val="center"/>
              <w:ind w:left="674"/>
              <w:spacing w:after="0"/>
              <w:rPr>
                <w:sz w:val="20"/>
                <w:szCs w:val="20"/>
                <w:color w:val="auto"/>
              </w:rPr>
            </w:pPr>
            <w:r>
              <w:rPr>
                <w:rFonts w:ascii="Arial" w:cs="Arial" w:eastAsia="Arial" w:hAnsi="Arial"/>
                <w:sz w:val="12"/>
                <w:szCs w:val="12"/>
                <w:b w:val="1"/>
                <w:bCs w:val="1"/>
                <w:color w:val="auto"/>
                <w:w w:val="99"/>
              </w:rPr>
              <w:t>(STATE OF INCORPORATION)</w:t>
            </w:r>
          </w:p>
        </w:tc>
        <w:tc>
          <w:tcPr>
            <w:tcW w:w="2700" w:type="dxa"/>
            <w:vAlign w:val="bottom"/>
          </w:tcPr>
          <w:p>
            <w:pPr>
              <w:spacing w:after="0"/>
              <w:rPr>
                <w:sz w:val="15"/>
                <w:szCs w:val="15"/>
                <w:color w:val="auto"/>
              </w:rPr>
            </w:pPr>
          </w:p>
        </w:tc>
        <w:tc>
          <w:tcPr>
            <w:tcW w:w="1700" w:type="dxa"/>
            <w:vAlign w:val="bottom"/>
          </w:tcPr>
          <w:p>
            <w:pPr>
              <w:jc w:val="center"/>
              <w:ind w:left="937"/>
              <w:spacing w:after="0"/>
              <w:rPr>
                <w:sz w:val="20"/>
                <w:szCs w:val="20"/>
                <w:color w:val="auto"/>
              </w:rPr>
            </w:pPr>
            <w:r>
              <w:rPr>
                <w:rFonts w:ascii="Arial" w:cs="Arial" w:eastAsia="Arial" w:hAnsi="Arial"/>
                <w:sz w:val="12"/>
                <w:szCs w:val="12"/>
                <w:b w:val="1"/>
                <w:bCs w:val="1"/>
                <w:color w:val="auto"/>
              </w:rPr>
              <w:t>(I.R.S. ID)</w:t>
            </w:r>
          </w:p>
        </w:tc>
      </w:tr>
    </w:tbl>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ONE MICROSOFT WAY, REDMOND, WASHINGTON 98052-6399</w:t>
      </w:r>
    </w:p>
    <w:p>
      <w:pPr>
        <w:spacing w:after="0" w:line="34" w:lineRule="exact"/>
        <w:rPr>
          <w:sz w:val="24"/>
          <w:szCs w:val="24"/>
          <w:color w:val="auto"/>
        </w:rPr>
      </w:pPr>
    </w:p>
    <w:p>
      <w:pPr>
        <w:ind w:left="5180" w:hanging="343"/>
        <w:spacing w:after="0"/>
        <w:tabs>
          <w:tab w:leader="none" w:pos="518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882-8080</w:t>
      </w:r>
    </w:p>
    <w:p>
      <w:pPr>
        <w:spacing w:after="0" w:line="30" w:lineRule="exact"/>
        <w:rPr>
          <w:rFonts w:ascii="Arial" w:cs="Arial" w:eastAsia="Arial" w:hAnsi="Arial"/>
          <w:sz w:val="13"/>
          <w:szCs w:val="13"/>
          <w:b w:val="1"/>
          <w:bCs w:val="1"/>
          <w:color w:val="auto"/>
        </w:rPr>
      </w:pPr>
    </w:p>
    <w:p>
      <w:pPr>
        <w:ind w:left="438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www.microsoft.com/investor</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43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00" w:type="dxa"/>
            <w:vAlign w:val="bottom"/>
          </w:tcPr>
          <w:p>
            <w:pPr>
              <w:spacing w:after="0"/>
              <w:rPr>
                <w:sz w:val="15"/>
                <w:szCs w:val="15"/>
                <w:color w:val="auto"/>
              </w:rPr>
            </w:pPr>
          </w:p>
        </w:tc>
        <w:tc>
          <w:tcPr>
            <w:tcW w:w="3080" w:type="dxa"/>
            <w:vAlign w:val="bottom"/>
          </w:tcPr>
          <w:p>
            <w:pPr>
              <w:spacing w:after="0"/>
              <w:rPr>
                <w:sz w:val="15"/>
                <w:szCs w:val="15"/>
                <w:color w:val="auto"/>
              </w:rPr>
            </w:pPr>
          </w:p>
        </w:tc>
      </w:tr>
      <w:tr>
        <w:trPr>
          <w:trHeight w:val="264"/>
        </w:trPr>
        <w:tc>
          <w:tcPr>
            <w:tcW w:w="4380" w:type="dxa"/>
            <w:vAlign w:val="bottom"/>
          </w:tcPr>
          <w:p>
            <w:pPr>
              <w:ind w:left="1800"/>
              <w:spacing w:after="0"/>
              <w:rPr>
                <w:sz w:val="20"/>
                <w:szCs w:val="20"/>
                <w:color w:val="auto"/>
              </w:rPr>
            </w:pPr>
            <w:r>
              <w:rPr>
                <w:rFonts w:ascii="Arial" w:cs="Arial" w:eastAsia="Arial" w:hAnsi="Arial"/>
                <w:sz w:val="14"/>
                <w:szCs w:val="14"/>
                <w:color w:val="auto"/>
              </w:rPr>
              <w:t>Title of each class</w:t>
            </w:r>
          </w:p>
        </w:tc>
        <w:tc>
          <w:tcPr>
            <w:tcW w:w="2300" w:type="dxa"/>
            <w:vAlign w:val="bottom"/>
          </w:tcPr>
          <w:p>
            <w:pPr>
              <w:jc w:val="center"/>
              <w:ind w:left="112"/>
              <w:spacing w:after="0"/>
              <w:rPr>
                <w:sz w:val="20"/>
                <w:szCs w:val="20"/>
                <w:color w:val="auto"/>
              </w:rPr>
            </w:pPr>
            <w:r>
              <w:rPr>
                <w:rFonts w:ascii="Arial" w:cs="Arial" w:eastAsia="Arial" w:hAnsi="Arial"/>
                <w:sz w:val="14"/>
                <w:szCs w:val="14"/>
                <w:color w:val="auto"/>
              </w:rPr>
              <w:t>Trading Symbol</w:t>
            </w:r>
          </w:p>
        </w:tc>
        <w:tc>
          <w:tcPr>
            <w:tcW w:w="3080" w:type="dxa"/>
            <w:vAlign w:val="bottom"/>
          </w:tcPr>
          <w:p>
            <w:pPr>
              <w:jc w:val="center"/>
              <w:ind w:left="508"/>
              <w:spacing w:after="0"/>
              <w:rPr>
                <w:sz w:val="20"/>
                <w:szCs w:val="20"/>
                <w:color w:val="auto"/>
              </w:rPr>
            </w:pPr>
            <w:r>
              <w:rPr>
                <w:rFonts w:ascii="Arial" w:cs="Arial" w:eastAsia="Arial" w:hAnsi="Arial"/>
                <w:sz w:val="14"/>
                <w:szCs w:val="14"/>
                <w:color w:val="auto"/>
              </w:rPr>
              <w:t>Name of exchange on which registered</w:t>
            </w:r>
          </w:p>
        </w:tc>
      </w:tr>
      <w:tr>
        <w:trPr>
          <w:trHeight w:val="266"/>
        </w:trPr>
        <w:tc>
          <w:tcPr>
            <w:tcW w:w="4380" w:type="dxa"/>
            <w:vAlign w:val="bottom"/>
          </w:tcPr>
          <w:p>
            <w:pPr>
              <w:spacing w:after="0"/>
              <w:rPr>
                <w:sz w:val="20"/>
                <w:szCs w:val="20"/>
                <w:color w:val="auto"/>
              </w:rPr>
            </w:pPr>
            <w:r>
              <w:rPr>
                <w:rFonts w:ascii="Arial" w:cs="Arial" w:eastAsia="Arial" w:hAnsi="Arial"/>
                <w:sz w:val="14"/>
                <w:szCs w:val="14"/>
                <w:b w:val="1"/>
                <w:bCs w:val="1"/>
                <w:color w:val="auto"/>
              </w:rPr>
              <w:t>Common stock, $0.00000625 par value per share</w:t>
            </w:r>
          </w:p>
        </w:tc>
        <w:tc>
          <w:tcPr>
            <w:tcW w:w="2300" w:type="dxa"/>
            <w:vAlign w:val="bottom"/>
          </w:tcPr>
          <w:p>
            <w:pPr>
              <w:jc w:val="center"/>
              <w:ind w:left="112"/>
              <w:spacing w:after="0"/>
              <w:rPr>
                <w:sz w:val="20"/>
                <w:szCs w:val="20"/>
                <w:color w:val="auto"/>
              </w:rPr>
            </w:pPr>
            <w:r>
              <w:rPr>
                <w:rFonts w:ascii="Arial" w:cs="Arial" w:eastAsia="Arial" w:hAnsi="Arial"/>
                <w:sz w:val="13"/>
                <w:szCs w:val="13"/>
                <w:b w:val="1"/>
                <w:bCs w:val="1"/>
                <w:color w:val="auto"/>
              </w:rPr>
              <w:t>MSFT</w:t>
            </w:r>
          </w:p>
        </w:tc>
        <w:tc>
          <w:tcPr>
            <w:tcW w:w="3080" w:type="dxa"/>
            <w:vAlign w:val="bottom"/>
          </w:tcPr>
          <w:p>
            <w:pPr>
              <w:jc w:val="center"/>
              <w:ind w:left="508"/>
              <w:spacing w:after="0"/>
              <w:rPr>
                <w:sz w:val="20"/>
                <w:szCs w:val="20"/>
                <w:color w:val="auto"/>
              </w:rPr>
            </w:pPr>
            <w:r>
              <w:rPr>
                <w:rFonts w:ascii="Arial" w:cs="Arial" w:eastAsia="Arial" w:hAnsi="Arial"/>
                <w:sz w:val="14"/>
                <w:szCs w:val="14"/>
                <w:b w:val="1"/>
                <w:bCs w:val="1"/>
                <w:color w:val="auto"/>
              </w:rPr>
              <w:t>NASDAQ</w:t>
            </w:r>
          </w:p>
        </w:tc>
      </w:tr>
      <w:tr>
        <w:trPr>
          <w:trHeight w:val="192"/>
        </w:trPr>
        <w:tc>
          <w:tcPr>
            <w:tcW w:w="4380" w:type="dxa"/>
            <w:vAlign w:val="bottom"/>
          </w:tcPr>
          <w:p>
            <w:pPr>
              <w:spacing w:after="0"/>
              <w:rPr>
                <w:sz w:val="20"/>
                <w:szCs w:val="20"/>
                <w:color w:val="auto"/>
              </w:rPr>
            </w:pPr>
            <w:r>
              <w:rPr>
                <w:rFonts w:ascii="Arial" w:cs="Arial" w:eastAsia="Arial" w:hAnsi="Arial"/>
                <w:sz w:val="14"/>
                <w:szCs w:val="14"/>
                <w:b w:val="1"/>
                <w:bCs w:val="1"/>
                <w:color w:val="auto"/>
              </w:rPr>
              <w:t>3.125% Notes due 2028</w:t>
            </w:r>
          </w:p>
        </w:tc>
        <w:tc>
          <w:tcPr>
            <w:tcW w:w="2300" w:type="dxa"/>
            <w:vAlign w:val="bottom"/>
          </w:tcPr>
          <w:p>
            <w:pPr>
              <w:jc w:val="center"/>
              <w:ind w:left="112"/>
              <w:spacing w:after="0"/>
              <w:rPr>
                <w:sz w:val="20"/>
                <w:szCs w:val="20"/>
                <w:color w:val="auto"/>
              </w:rPr>
            </w:pPr>
            <w:r>
              <w:rPr>
                <w:rFonts w:ascii="Arial" w:cs="Arial" w:eastAsia="Arial" w:hAnsi="Arial"/>
                <w:sz w:val="13"/>
                <w:szCs w:val="13"/>
                <w:b w:val="1"/>
                <w:bCs w:val="1"/>
                <w:color w:val="auto"/>
              </w:rPr>
              <w:t>MSFT</w:t>
            </w:r>
          </w:p>
        </w:tc>
        <w:tc>
          <w:tcPr>
            <w:tcW w:w="3080" w:type="dxa"/>
            <w:vAlign w:val="bottom"/>
          </w:tcPr>
          <w:p>
            <w:pPr>
              <w:jc w:val="center"/>
              <w:ind w:left="508"/>
              <w:spacing w:after="0"/>
              <w:rPr>
                <w:sz w:val="20"/>
                <w:szCs w:val="20"/>
                <w:color w:val="auto"/>
              </w:rPr>
            </w:pPr>
            <w:r>
              <w:rPr>
                <w:rFonts w:ascii="Arial" w:cs="Arial" w:eastAsia="Arial" w:hAnsi="Arial"/>
                <w:sz w:val="14"/>
                <w:szCs w:val="14"/>
                <w:b w:val="1"/>
                <w:bCs w:val="1"/>
                <w:color w:val="auto"/>
              </w:rPr>
              <w:t>NASDAQ</w:t>
            </w:r>
          </w:p>
        </w:tc>
      </w:tr>
      <w:tr>
        <w:trPr>
          <w:trHeight w:val="202"/>
        </w:trPr>
        <w:tc>
          <w:tcPr>
            <w:tcW w:w="4380" w:type="dxa"/>
            <w:vAlign w:val="bottom"/>
          </w:tcPr>
          <w:p>
            <w:pPr>
              <w:spacing w:after="0"/>
              <w:rPr>
                <w:sz w:val="20"/>
                <w:szCs w:val="20"/>
                <w:color w:val="auto"/>
              </w:rPr>
            </w:pPr>
            <w:r>
              <w:rPr>
                <w:rFonts w:ascii="Arial" w:cs="Arial" w:eastAsia="Arial" w:hAnsi="Arial"/>
                <w:sz w:val="14"/>
                <w:szCs w:val="14"/>
                <w:b w:val="1"/>
                <w:bCs w:val="1"/>
                <w:color w:val="auto"/>
              </w:rPr>
              <w:t>2.625% Notes due 2033</w:t>
            </w:r>
          </w:p>
        </w:tc>
        <w:tc>
          <w:tcPr>
            <w:tcW w:w="2300" w:type="dxa"/>
            <w:vAlign w:val="bottom"/>
          </w:tcPr>
          <w:p>
            <w:pPr>
              <w:jc w:val="center"/>
              <w:ind w:left="112"/>
              <w:spacing w:after="0"/>
              <w:rPr>
                <w:sz w:val="20"/>
                <w:szCs w:val="20"/>
                <w:color w:val="auto"/>
              </w:rPr>
            </w:pPr>
            <w:r>
              <w:rPr>
                <w:rFonts w:ascii="Arial" w:cs="Arial" w:eastAsia="Arial" w:hAnsi="Arial"/>
                <w:sz w:val="13"/>
                <w:szCs w:val="13"/>
                <w:b w:val="1"/>
                <w:bCs w:val="1"/>
                <w:color w:val="auto"/>
              </w:rPr>
              <w:t>MSFT</w:t>
            </w:r>
          </w:p>
        </w:tc>
        <w:tc>
          <w:tcPr>
            <w:tcW w:w="3080" w:type="dxa"/>
            <w:vAlign w:val="bottom"/>
          </w:tcPr>
          <w:p>
            <w:pPr>
              <w:jc w:val="center"/>
              <w:ind w:left="508"/>
              <w:spacing w:after="0"/>
              <w:rPr>
                <w:sz w:val="20"/>
                <w:szCs w:val="20"/>
                <w:color w:val="auto"/>
              </w:rPr>
            </w:pPr>
            <w:r>
              <w:rPr>
                <w:rFonts w:ascii="Arial" w:cs="Arial" w:eastAsia="Arial" w:hAnsi="Arial"/>
                <w:sz w:val="14"/>
                <w:szCs w:val="14"/>
                <w:b w:val="1"/>
                <w:bCs w:val="1"/>
                <w:color w:val="auto"/>
              </w:rPr>
              <w:t>NASDAQ</w:t>
            </w:r>
          </w:p>
        </w:tc>
      </w:tr>
    </w:tbl>
    <w:p>
      <w:pPr>
        <w:spacing w:after="0" w:line="70" w:lineRule="exact"/>
        <w:rPr>
          <w:sz w:val="24"/>
          <w:szCs w:val="24"/>
          <w:color w:val="auto"/>
        </w:rPr>
      </w:pPr>
    </w:p>
    <w:p>
      <w:pPr>
        <w:ind w:left="20"/>
        <w:spacing w:after="0"/>
        <w:rPr>
          <w:sz w:val="20"/>
          <w:szCs w:val="20"/>
          <w:color w:val="auto"/>
        </w:rPr>
      </w:pPr>
      <w:r>
        <w:rPr>
          <w:rFonts w:ascii="Arial" w:cs="Arial" w:eastAsia="Arial" w:hAnsi="Arial"/>
          <w:sz w:val="14"/>
          <w:szCs w:val="14"/>
          <w:color w:val="auto"/>
        </w:rPr>
        <w:t>Securities registered pursuant to Section 12(g)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6940" w:type="dxa"/>
            <w:vAlign w:val="bottom"/>
          </w:tcPr>
          <w:p>
            <w:pPr>
              <w:ind w:left="20"/>
              <w:spacing w:after="0"/>
              <w:rPr>
                <w:sz w:val="20"/>
                <w:szCs w:val="20"/>
                <w:color w:val="auto"/>
              </w:rPr>
            </w:pPr>
            <w:r>
              <w:rPr>
                <w:rFonts w:ascii="Arial" w:cs="Arial" w:eastAsia="Arial" w:hAnsi="Arial"/>
                <w:sz w:val="13"/>
                <w:szCs w:val="13"/>
                <w:b w:val="1"/>
                <w:bCs w:val="1"/>
                <w:color w:val="auto"/>
              </w:rPr>
              <w:t>None</w:t>
            </w:r>
          </w:p>
        </w:tc>
        <w:tc>
          <w:tcPr>
            <w:tcW w:w="320" w:type="dxa"/>
            <w:vAlign w:val="bottom"/>
          </w:tcPr>
          <w:p>
            <w:pPr>
              <w:spacing w:after="0"/>
              <w:rPr>
                <w:sz w:val="15"/>
                <w:szCs w:val="15"/>
                <w:color w:val="auto"/>
              </w:rPr>
            </w:pPr>
          </w:p>
        </w:tc>
        <w:tc>
          <w:tcPr>
            <w:tcW w:w="24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spacing w:after="0"/>
              <w:rPr>
                <w:sz w:val="15"/>
                <w:szCs w:val="15"/>
                <w:color w:val="auto"/>
              </w:rPr>
            </w:pPr>
          </w:p>
        </w:tc>
        <w:tc>
          <w:tcPr>
            <w:tcW w:w="18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320" w:type="dxa"/>
            <w:vAlign w:val="bottom"/>
          </w:tcPr>
          <w:p>
            <w:pPr>
              <w:ind w:left="20"/>
              <w:spacing w:after="0"/>
              <w:rPr>
                <w:sz w:val="20"/>
                <w:szCs w:val="20"/>
                <w:color w:val="auto"/>
              </w:rPr>
            </w:pPr>
            <w:r>
              <w:rPr>
                <w:rFonts w:ascii="Arial" w:cs="Arial" w:eastAsia="Arial" w:hAnsi="Arial"/>
                <w:sz w:val="13"/>
                <w:szCs w:val="13"/>
                <w:color w:val="auto"/>
              </w:rPr>
              <w:t>Yes</w:t>
            </w:r>
          </w:p>
        </w:tc>
        <w:tc>
          <w:tcPr>
            <w:tcW w:w="240" w:type="dxa"/>
            <w:vAlign w:val="bottom"/>
            <w:vMerge w:val="continue"/>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3"/>
                <w:szCs w:val="13"/>
                <w:color w:val="auto"/>
              </w:rPr>
              <w:t>No</w:t>
            </w: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c>
          <w:tcPr>
            <w:tcW w:w="320" w:type="dxa"/>
            <w:vAlign w:val="bottom"/>
          </w:tcPr>
          <w:p>
            <w:pPr>
              <w:ind w:left="100"/>
              <w:spacing w:after="0"/>
              <w:rPr>
                <w:sz w:val="20"/>
                <w:szCs w:val="20"/>
                <w:color w:val="auto"/>
              </w:rPr>
            </w:pPr>
            <w:r>
              <w:rPr>
                <w:rFonts w:ascii="Arial" w:cs="Arial" w:eastAsia="Arial" w:hAnsi="Arial"/>
                <w:sz w:val="13"/>
                <w:szCs w:val="13"/>
                <w:color w:val="auto"/>
                <w:w w:val="89"/>
              </w:rPr>
              <w:t>Yes</w:t>
            </w:r>
          </w:p>
        </w:tc>
        <w:tc>
          <w:tcPr>
            <w:tcW w:w="2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280" w:type="dxa"/>
            <w:vAlign w:val="bottom"/>
          </w:tcPr>
          <w:p>
            <w:pPr>
              <w:ind w:left="100"/>
              <w:spacing w:after="0"/>
              <w:rPr>
                <w:sz w:val="20"/>
                <w:szCs w:val="20"/>
                <w:color w:val="auto"/>
              </w:rPr>
            </w:pPr>
            <w:r>
              <w:rPr>
                <w:rFonts w:ascii="Arial" w:cs="Arial" w:eastAsia="Arial" w:hAnsi="Arial"/>
                <w:sz w:val="13"/>
                <w:szCs w:val="13"/>
                <w:color w:val="auto"/>
                <w:w w:val="96"/>
              </w:rPr>
              <w:t>No</w:t>
            </w:r>
          </w:p>
        </w:tc>
        <w:tc>
          <w:tcPr>
            <w:tcW w:w="180" w:type="dxa"/>
            <w:vAlign w:val="bottom"/>
          </w:tcPr>
          <w:p>
            <w:pPr>
              <w:ind w:left="60"/>
              <w:spacing w:after="0" w:line="131" w:lineRule="exact"/>
              <w:rPr>
                <w:sz w:val="20"/>
                <w:szCs w:val="20"/>
                <w:color w:val="auto"/>
              </w:rPr>
            </w:pPr>
            <w:r>
              <w:rPr>
                <w:rFonts w:ascii="MS PGothic" w:cs="MS PGothic" w:eastAsia="MS PGothic" w:hAnsi="MS PGothic"/>
                <w:sz w:val="13"/>
                <w:szCs w:val="13"/>
                <w:color w:val="auto"/>
                <w:w w:val="76"/>
              </w:rPr>
              <w:t>☒</w:t>
            </w:r>
          </w:p>
        </w:tc>
        <w:tc>
          <w:tcPr>
            <w:tcW w:w="0" w:type="dxa"/>
            <w:vAlign w:val="bottom"/>
          </w:tcPr>
          <w:p>
            <w:pPr>
              <w:spacing w:after="0"/>
              <w:rPr>
                <w:sz w:val="1"/>
                <w:szCs w:val="1"/>
                <w:color w:val="auto"/>
              </w:rPr>
            </w:pPr>
          </w:p>
        </w:tc>
      </w:tr>
    </w:tbl>
    <w:p>
      <w:pPr>
        <w:ind w:right="180"/>
        <w:spacing w:after="0" w:line="168"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40"/>
        <w:spacing w:after="0" w:line="168"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12b-2 of the Exchange Act.</w:t>
      </w:r>
    </w:p>
    <w:p>
      <w:pPr>
        <w:sectPr>
          <w:pgSz w:w="11900" w:h="16840" w:orient="portrait"/>
          <w:cols w:equalWidth="0" w:num="1">
            <w:col w:w="10580"/>
          </w:cols>
          <w:pgMar w:left="660" w:top="802" w:right="660" w:bottom="1440" w:gutter="0" w:footer="0" w:header="0"/>
        </w:sectPr>
      </w:pPr>
    </w:p>
    <w:p>
      <w:pPr>
        <w:spacing w:after="0" w:line="191" w:lineRule="exact"/>
        <w:rPr>
          <w:sz w:val="24"/>
          <w:szCs w:val="24"/>
          <w:color w:val="auto"/>
        </w:rPr>
      </w:pPr>
    </w:p>
    <w:p>
      <w:pPr>
        <w:ind w:left="2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84" w:lineRule="exact"/>
        <w:rPr>
          <w:sz w:val="24"/>
          <w:szCs w:val="24"/>
          <w:color w:val="auto"/>
        </w:rPr>
      </w:pPr>
    </w:p>
    <w:p>
      <w:pPr>
        <w:sectPr>
          <w:pgSz w:w="11900" w:h="16840" w:orient="portrait"/>
          <w:cols w:equalWidth="0" w:num="3">
            <w:col w:w="1380" w:space="40"/>
            <w:col w:w="4760" w:space="720"/>
            <w:col w:w="3680"/>
          </w:cols>
          <w:pgMar w:left="660" w:top="802" w:right="660" w:bottom="1440" w:gutter="0" w:footer="0" w:header="0"/>
          <w:type w:val="continuous"/>
        </w:sectPr>
      </w:pPr>
    </w:p>
    <w:p>
      <w:pPr>
        <w:ind w:left="2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31"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35" w:lineRule="exact"/>
        <w:rPr>
          <w:sz w:val="24"/>
          <w:szCs w:val="24"/>
          <w:color w:val="auto"/>
        </w:rPr>
      </w:pPr>
    </w:p>
    <w:p>
      <w:pPr>
        <w:sectPr>
          <w:pgSz w:w="11900" w:h="16840" w:orient="portrait"/>
          <w:cols w:equalWidth="0" w:num="2">
            <w:col w:w="6180" w:space="720"/>
            <w:col w:w="3680"/>
          </w:cols>
          <w:pgMar w:left="660" w:top="802" w:right="660" w:bottom="1440" w:gutter="0" w:footer="0" w:header="0"/>
          <w:type w:val="continuous"/>
        </w:sectPr>
      </w:pPr>
    </w:p>
    <w:p>
      <w:pPr>
        <w:ind w:right="54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00"/>
        <w:spacing w:after="0" w:line="168"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80"/>
        <w:spacing w:after="0" w:line="168"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 w:lineRule="exact"/>
        <w:rPr>
          <w:sz w:val="24"/>
          <w:szCs w:val="24"/>
          <w:color w:val="auto"/>
        </w:rPr>
      </w:pPr>
    </w:p>
    <w:p>
      <w:pPr>
        <w:ind w:right="20"/>
        <w:spacing w:after="0" w:line="16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spacing w:after="0" w:line="150" w:lineRule="exact"/>
        <w:tabs>
          <w:tab w:leader="none" w:pos="6100" w:val="left"/>
          <w:tab w:leader="none" w:pos="66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300"/>
        <w:spacing w:after="0" w:line="264" w:lineRule="auto"/>
        <w:rPr>
          <w:sz w:val="20"/>
          <w:szCs w:val="20"/>
          <w:color w:val="auto"/>
        </w:rPr>
      </w:pPr>
      <w:r>
        <w:rPr>
          <w:rFonts w:ascii="Arial" w:cs="Arial" w:eastAsia="Arial" w:hAnsi="Arial"/>
          <w:sz w:val="13"/>
          <w:szCs w:val="13"/>
          <w:color w:val="auto"/>
        </w:rPr>
        <w:t>As of December 31, 2022, the aggregate market value of the registrant’s common stock held by non-affiliates of the registrant was $1.8 trillion based on the closing sale price as reported on the NASDAQ National Market System. As of July 24, 2023, there were 7,429,763,722 shares of common stock outstanding.</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39" w:lineRule="exact"/>
        <w:rPr>
          <w:sz w:val="24"/>
          <w:szCs w:val="24"/>
          <w:color w:val="auto"/>
        </w:rPr>
      </w:pPr>
    </w:p>
    <w:p>
      <w:pPr>
        <w:spacing w:after="0" w:line="276" w:lineRule="auto"/>
        <w:rPr>
          <w:sz w:val="20"/>
          <w:szCs w:val="20"/>
          <w:color w:val="auto"/>
        </w:rPr>
      </w:pPr>
      <w:r>
        <w:rPr>
          <w:rFonts w:ascii="Arial" w:cs="Arial" w:eastAsia="Arial" w:hAnsi="Arial"/>
          <w:sz w:val="13"/>
          <w:szCs w:val="13"/>
          <w:color w:val="auto"/>
        </w:rPr>
        <w:t>Portions of the definitive Proxy Statement to be delivered to shareholders in connection with the Annual Meeting of Shareholders to be held on December 7, 2023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398780</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02" w:right="66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MICROSOFT CORPORATION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jc w:val="center"/>
        <w:spacing w:after="0" w:line="234" w:lineRule="auto"/>
        <w:rPr>
          <w:sz w:val="20"/>
          <w:szCs w:val="20"/>
          <w:color w:val="auto"/>
        </w:rPr>
      </w:pPr>
      <w:r>
        <w:rPr>
          <w:rFonts w:ascii="Arial" w:cs="Arial" w:eastAsia="Arial" w:hAnsi="Arial"/>
          <w:sz w:val="16"/>
          <w:szCs w:val="16"/>
          <w:b w:val="1"/>
          <w:bCs w:val="1"/>
          <w:color w:val="auto"/>
        </w:rPr>
        <w:t>For the Fiscal Year Ended June 30, 2023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INDEX</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rPr>
              <w:t>Page</w:t>
            </w:r>
          </w:p>
        </w:tc>
      </w:tr>
      <w:tr>
        <w:trPr>
          <w:trHeight w:val="374"/>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1980" w:type="dxa"/>
            <w:vAlign w:val="bottom"/>
          </w:tcPr>
          <w:p>
            <w:pPr>
              <w:ind w:left="900"/>
              <w:spacing w:after="0"/>
              <w:rPr>
                <w:sz w:val="20"/>
                <w:szCs w:val="20"/>
                <w:color w:val="auto"/>
              </w:rPr>
            </w:pPr>
            <w:r>
              <w:rPr>
                <w:rFonts w:ascii="Arial" w:cs="Arial" w:eastAsia="Arial" w:hAnsi="Arial"/>
                <w:sz w:val="16"/>
                <w:szCs w:val="16"/>
                <w:color w:val="auto"/>
              </w:rPr>
              <w:t>Item 1.</w:t>
            </w:r>
          </w:p>
        </w:tc>
        <w:tc>
          <w:tcPr>
            <w:tcW w:w="640" w:type="dxa"/>
            <w:vAlign w:val="bottom"/>
            <w:tcBorders>
              <w:bottom w:val="single" w:sz="8" w:color="0000EE"/>
            </w:tcBorders>
          </w:tcPr>
          <w:p>
            <w:pPr>
              <w:spacing w:after="0"/>
              <w:rPr>
                <w:rFonts w:ascii="Arial" w:cs="Arial" w:eastAsia="Arial" w:hAnsi="Arial"/>
                <w:sz w:val="16"/>
                <w:szCs w:val="16"/>
                <w:color w:val="auto"/>
                <w:w w:val="95"/>
              </w:rPr>
            </w:pPr>
            <w:hyperlink w:anchor="page4">
              <w:r>
                <w:rPr>
                  <w:rFonts w:ascii="Arial" w:cs="Arial" w:eastAsia="Arial" w:hAnsi="Arial"/>
                  <w:sz w:val="16"/>
                  <w:szCs w:val="16"/>
                  <w:color w:val="auto"/>
                  <w:w w:val="95"/>
                </w:rPr>
                <w:t>Business</w:t>
              </w:r>
            </w:hyperlink>
          </w:p>
        </w:tc>
        <w:tc>
          <w:tcPr>
            <w:tcW w:w="7320" w:type="dxa"/>
            <w:vAlign w:val="bottom"/>
            <w:gridSpan w:val="25"/>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4</w:t>
            </w:r>
          </w:p>
        </w:tc>
      </w:tr>
      <w:tr>
        <w:trPr>
          <w:trHeight w:val="328"/>
        </w:trPr>
        <w:tc>
          <w:tcPr>
            <w:tcW w:w="1980" w:type="dxa"/>
            <w:vAlign w:val="bottom"/>
          </w:tcPr>
          <w:p>
            <w:pPr>
              <w:spacing w:after="0"/>
              <w:rPr>
                <w:sz w:val="24"/>
                <w:szCs w:val="24"/>
                <w:color w:val="auto"/>
              </w:rPr>
            </w:pPr>
          </w:p>
        </w:tc>
        <w:tc>
          <w:tcPr>
            <w:tcW w:w="2780" w:type="dxa"/>
            <w:vAlign w:val="bottom"/>
            <w:tcBorders>
              <w:bottom w:val="single" w:sz="8" w:color="0000EE"/>
            </w:tcBorders>
            <w:gridSpan w:val="13"/>
          </w:tcPr>
          <w:p>
            <w:pPr>
              <w:spacing w:after="0"/>
              <w:rPr>
                <w:rFonts w:ascii="Arial" w:cs="Arial" w:eastAsia="Arial" w:hAnsi="Arial"/>
                <w:sz w:val="16"/>
                <w:szCs w:val="16"/>
                <w:color w:val="auto"/>
                <w:w w:val="96"/>
              </w:rPr>
            </w:pPr>
            <w:hyperlink w:anchor="page20">
              <w:r>
                <w:rPr>
                  <w:rFonts w:ascii="Arial" w:cs="Arial" w:eastAsia="Arial" w:hAnsi="Arial"/>
                  <w:sz w:val="16"/>
                  <w:szCs w:val="16"/>
                  <w:color w:val="auto"/>
                  <w:w w:val="96"/>
                </w:rPr>
                <w:t>Information about our Executive Officers</w:t>
              </w:r>
            </w:hyperlink>
          </w:p>
        </w:tc>
        <w:tc>
          <w:tcPr>
            <w:tcW w:w="5180" w:type="dxa"/>
            <w:vAlign w:val="bottom"/>
            <w:gridSpan w:val="13"/>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20</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1A.</w:t>
            </w:r>
          </w:p>
        </w:tc>
        <w:tc>
          <w:tcPr>
            <w:tcW w:w="7960" w:type="dxa"/>
            <w:vAlign w:val="bottom"/>
            <w:gridSpan w:val="26"/>
          </w:tcPr>
          <w:p>
            <w:pPr>
              <w:spacing w:after="0"/>
              <w:rPr>
                <w:rFonts w:ascii="Arial" w:cs="Arial" w:eastAsia="Arial" w:hAnsi="Arial"/>
                <w:sz w:val="16"/>
                <w:szCs w:val="16"/>
                <w:color w:val="auto"/>
              </w:rPr>
            </w:pPr>
            <w:hyperlink w:anchor="page23">
              <w:r>
                <w:rPr>
                  <w:rFonts w:ascii="Arial" w:cs="Arial" w:eastAsia="Arial" w:hAnsi="Arial"/>
                  <w:sz w:val="16"/>
                  <w:szCs w:val="16"/>
                  <w:color w:val="auto"/>
                </w:rPr>
                <w:t>Risk Factors</w:t>
              </w:r>
            </w:hyperlink>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23</w:t>
            </w:r>
          </w:p>
        </w:tc>
      </w:tr>
      <w:tr>
        <w:trPr>
          <w:trHeight w:val="20"/>
        </w:trPr>
        <w:tc>
          <w:tcPr>
            <w:tcW w:w="19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1B.</w:t>
            </w:r>
          </w:p>
        </w:tc>
        <w:tc>
          <w:tcPr>
            <w:tcW w:w="7960" w:type="dxa"/>
            <w:vAlign w:val="bottom"/>
            <w:gridSpan w:val="26"/>
          </w:tcPr>
          <w:p>
            <w:pPr>
              <w:spacing w:after="0"/>
              <w:rPr>
                <w:rFonts w:ascii="Arial" w:cs="Arial" w:eastAsia="Arial" w:hAnsi="Arial"/>
                <w:sz w:val="16"/>
                <w:szCs w:val="16"/>
                <w:color w:val="auto"/>
              </w:rPr>
            </w:pPr>
            <w:hyperlink w:anchor="page37">
              <w:r>
                <w:rPr>
                  <w:rFonts w:ascii="Arial" w:cs="Arial" w:eastAsia="Arial" w:hAnsi="Arial"/>
                  <w:sz w:val="16"/>
                  <w:szCs w:val="16"/>
                  <w:color w:val="auto"/>
                </w:rPr>
                <w:t>Unresolved Staff Comments</w:t>
              </w:r>
            </w:hyperlink>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2.</w:t>
            </w:r>
          </w:p>
        </w:tc>
        <w:tc>
          <w:tcPr>
            <w:tcW w:w="1940" w:type="dxa"/>
            <w:vAlign w:val="bottom"/>
            <w:tcBorders>
              <w:top w:val="single" w:sz="8" w:color="0000EE"/>
            </w:tcBorders>
            <w:gridSpan w:val="11"/>
          </w:tcPr>
          <w:p>
            <w:pPr>
              <w:spacing w:after="0"/>
              <w:rPr>
                <w:rFonts w:ascii="Arial" w:cs="Arial" w:eastAsia="Arial" w:hAnsi="Arial"/>
                <w:sz w:val="16"/>
                <w:szCs w:val="16"/>
                <w:color w:val="auto"/>
              </w:rPr>
            </w:pPr>
            <w:hyperlink w:anchor="page37">
              <w:r>
                <w:rPr>
                  <w:rFonts w:ascii="Arial" w:cs="Arial" w:eastAsia="Arial" w:hAnsi="Arial"/>
                  <w:sz w:val="16"/>
                  <w:szCs w:val="16"/>
                  <w:color w:val="auto"/>
                </w:rPr>
                <w:t>Properties</w:t>
              </w:r>
            </w:hyperlink>
          </w:p>
        </w:tc>
        <w:tc>
          <w:tcPr>
            <w:tcW w:w="6020" w:type="dxa"/>
            <w:vAlign w:val="bottom"/>
            <w:gridSpan w:val="15"/>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20"/>
        </w:trPr>
        <w:tc>
          <w:tcPr>
            <w:tcW w:w="19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3.</w:t>
            </w:r>
          </w:p>
        </w:tc>
        <w:tc>
          <w:tcPr>
            <w:tcW w:w="1300" w:type="dxa"/>
            <w:vAlign w:val="bottom"/>
            <w:tcBorders>
              <w:bottom w:val="single" w:sz="8" w:color="0000EE"/>
            </w:tcBorders>
            <w:gridSpan w:val="7"/>
          </w:tcPr>
          <w:p>
            <w:pPr>
              <w:spacing w:after="0"/>
              <w:rPr>
                <w:rFonts w:ascii="Arial" w:cs="Arial" w:eastAsia="Arial" w:hAnsi="Arial"/>
                <w:sz w:val="16"/>
                <w:szCs w:val="16"/>
                <w:color w:val="auto"/>
                <w:w w:val="96"/>
              </w:rPr>
            </w:pPr>
            <w:hyperlink w:anchor="page37">
              <w:r>
                <w:rPr>
                  <w:rFonts w:ascii="Arial" w:cs="Arial" w:eastAsia="Arial" w:hAnsi="Arial"/>
                  <w:sz w:val="16"/>
                  <w:szCs w:val="16"/>
                  <w:color w:val="auto"/>
                  <w:w w:val="96"/>
                </w:rPr>
                <w:t>Legal Proceedings</w:t>
              </w:r>
            </w:hyperlink>
          </w:p>
        </w:tc>
        <w:tc>
          <w:tcPr>
            <w:tcW w:w="6660" w:type="dxa"/>
            <w:vAlign w:val="bottom"/>
            <w:gridSpan w:val="19"/>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4.</w:t>
            </w:r>
          </w:p>
        </w:tc>
        <w:tc>
          <w:tcPr>
            <w:tcW w:w="7960" w:type="dxa"/>
            <w:vAlign w:val="bottom"/>
            <w:gridSpan w:val="26"/>
          </w:tcPr>
          <w:p>
            <w:pPr>
              <w:spacing w:after="0"/>
              <w:rPr>
                <w:rFonts w:ascii="Arial" w:cs="Arial" w:eastAsia="Arial" w:hAnsi="Arial"/>
                <w:sz w:val="16"/>
                <w:szCs w:val="16"/>
                <w:color w:val="auto"/>
              </w:rPr>
            </w:pPr>
            <w:hyperlink w:anchor="page37">
              <w:r>
                <w:rPr>
                  <w:rFonts w:ascii="Arial" w:cs="Arial" w:eastAsia="Arial" w:hAnsi="Arial"/>
                  <w:sz w:val="16"/>
                  <w:szCs w:val="16"/>
                  <w:color w:val="auto"/>
                </w:rPr>
                <w:t>Mine Safety Disclosures</w:t>
              </w:r>
            </w:hyperlink>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37</w:t>
            </w:r>
          </w:p>
        </w:tc>
      </w:tr>
      <w:tr>
        <w:trPr>
          <w:trHeight w:val="374"/>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1980" w:type="dxa"/>
            <w:vAlign w:val="bottom"/>
          </w:tcPr>
          <w:p>
            <w:pPr>
              <w:ind w:left="900"/>
              <w:spacing w:after="0"/>
              <w:rPr>
                <w:sz w:val="20"/>
                <w:szCs w:val="20"/>
                <w:color w:val="auto"/>
              </w:rPr>
            </w:pPr>
            <w:r>
              <w:rPr>
                <w:rFonts w:ascii="Arial" w:cs="Arial" w:eastAsia="Arial" w:hAnsi="Arial"/>
                <w:sz w:val="16"/>
                <w:szCs w:val="16"/>
                <w:color w:val="auto"/>
              </w:rPr>
              <w:t>Item 5.</w:t>
            </w:r>
          </w:p>
        </w:tc>
        <w:tc>
          <w:tcPr>
            <w:tcW w:w="7740" w:type="dxa"/>
            <w:vAlign w:val="bottom"/>
            <w:tcBorders>
              <w:bottom w:val="single" w:sz="8" w:color="0000EE"/>
            </w:tcBorders>
            <w:gridSpan w:val="25"/>
          </w:tcPr>
          <w:p>
            <w:pPr>
              <w:spacing w:after="0"/>
              <w:rPr>
                <w:rFonts w:ascii="Arial" w:cs="Arial" w:eastAsia="Arial" w:hAnsi="Arial"/>
                <w:sz w:val="16"/>
                <w:szCs w:val="16"/>
                <w:color w:val="auto"/>
                <w:w w:val="97"/>
              </w:rPr>
            </w:pPr>
            <w:hyperlink w:anchor="page38">
              <w:r>
                <w:rPr>
                  <w:rFonts w:ascii="Arial" w:cs="Arial" w:eastAsia="Arial" w:hAnsi="Arial"/>
                  <w:sz w:val="16"/>
                  <w:szCs w:val="16"/>
                  <w:color w:val="auto"/>
                  <w:w w:val="97"/>
                </w:rPr>
                <w:t>Market for Registrant’s Common Equity, Related Stockholder Matters, and Issuer Purchases of Equity Securities</w:t>
              </w:r>
            </w:hyperlink>
          </w:p>
        </w:tc>
        <w:tc>
          <w:tcPr>
            <w:tcW w:w="220" w:type="dxa"/>
            <w:vAlign w:val="bottom"/>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38</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6.</w:t>
            </w:r>
          </w:p>
        </w:tc>
        <w:tc>
          <w:tcPr>
            <w:tcW w:w="760" w:type="dxa"/>
            <w:vAlign w:val="bottom"/>
            <w:tcBorders>
              <w:bottom w:val="single" w:sz="8" w:color="0000EE"/>
            </w:tcBorders>
            <w:gridSpan w:val="4"/>
          </w:tcPr>
          <w:p>
            <w:pPr>
              <w:spacing w:after="0"/>
              <w:rPr>
                <w:rFonts w:ascii="Arial" w:cs="Arial" w:eastAsia="Arial" w:hAnsi="Arial"/>
                <w:sz w:val="16"/>
                <w:szCs w:val="16"/>
                <w:color w:val="auto"/>
                <w:w w:val="95"/>
              </w:rPr>
            </w:pPr>
            <w:hyperlink w:anchor="page39">
              <w:r>
                <w:rPr>
                  <w:rFonts w:ascii="Arial" w:cs="Arial" w:eastAsia="Arial" w:hAnsi="Arial"/>
                  <w:sz w:val="16"/>
                  <w:szCs w:val="16"/>
                  <w:color w:val="auto"/>
                  <w:w w:val="95"/>
                </w:rPr>
                <w:t>[Reserved]</w:t>
              </w:r>
            </w:hyperlink>
          </w:p>
        </w:tc>
        <w:tc>
          <w:tcPr>
            <w:tcW w:w="7200" w:type="dxa"/>
            <w:vAlign w:val="bottom"/>
            <w:gridSpan w:val="22"/>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39</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7.</w:t>
            </w:r>
          </w:p>
        </w:tc>
        <w:tc>
          <w:tcPr>
            <w:tcW w:w="7960" w:type="dxa"/>
            <w:vAlign w:val="bottom"/>
            <w:gridSpan w:val="26"/>
          </w:tcPr>
          <w:p>
            <w:pPr>
              <w:spacing w:after="0"/>
              <w:rPr>
                <w:rFonts w:ascii="Arial" w:cs="Arial" w:eastAsia="Arial" w:hAnsi="Arial"/>
                <w:sz w:val="16"/>
                <w:szCs w:val="16"/>
                <w:color w:val="auto"/>
              </w:rPr>
            </w:pPr>
            <w:hyperlink w:anchor="page40">
              <w:r>
                <w:rPr>
                  <w:rFonts w:ascii="Arial" w:cs="Arial" w:eastAsia="Arial" w:hAnsi="Arial"/>
                  <w:sz w:val="16"/>
                  <w:szCs w:val="16"/>
                  <w:color w:val="auto"/>
                </w:rPr>
                <w:t>Management’s Discussion and Analysis of Financial Condition and Results of Operations</w:t>
              </w:r>
            </w:hyperlink>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40</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7A.</w:t>
            </w:r>
          </w:p>
        </w:tc>
        <w:tc>
          <w:tcPr>
            <w:tcW w:w="4060" w:type="dxa"/>
            <w:vAlign w:val="bottom"/>
            <w:tcBorders>
              <w:top w:val="single" w:sz="8" w:color="0000EE"/>
              <w:bottom w:val="single" w:sz="8" w:color="0000EE"/>
            </w:tcBorders>
            <w:gridSpan w:val="18"/>
          </w:tcPr>
          <w:p>
            <w:pPr>
              <w:spacing w:after="0"/>
              <w:rPr>
                <w:rFonts w:ascii="Arial" w:cs="Arial" w:eastAsia="Arial" w:hAnsi="Arial"/>
                <w:sz w:val="16"/>
                <w:szCs w:val="16"/>
                <w:color w:val="auto"/>
                <w:w w:val="96"/>
              </w:rPr>
            </w:pPr>
            <w:hyperlink w:anchor="page57">
              <w:r>
                <w:rPr>
                  <w:rFonts w:ascii="Arial" w:cs="Arial" w:eastAsia="Arial" w:hAnsi="Arial"/>
                  <w:sz w:val="16"/>
                  <w:szCs w:val="16"/>
                  <w:color w:val="auto"/>
                  <w:w w:val="96"/>
                </w:rPr>
                <w:t>Quantitative and Qualitative Disclosures about Market Risk</w:t>
              </w:r>
            </w:hyperlink>
          </w:p>
        </w:tc>
        <w:tc>
          <w:tcPr>
            <w:tcW w:w="2060" w:type="dxa"/>
            <w:vAlign w:val="bottom"/>
            <w:tcBorders>
              <w:top w:val="single" w:sz="8" w:color="0000EE"/>
            </w:tcBorders>
            <w:gridSpan w:val="4"/>
          </w:tcPr>
          <w:p>
            <w:pPr>
              <w:spacing w:after="0"/>
              <w:rPr>
                <w:sz w:val="24"/>
                <w:szCs w:val="24"/>
                <w:color w:val="auto"/>
              </w:rPr>
            </w:pPr>
          </w:p>
        </w:tc>
        <w:tc>
          <w:tcPr>
            <w:tcW w:w="1840" w:type="dxa"/>
            <w:vAlign w:val="bottom"/>
            <w:gridSpan w:val="4"/>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57</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8.</w:t>
            </w:r>
          </w:p>
        </w:tc>
        <w:tc>
          <w:tcPr>
            <w:tcW w:w="3220" w:type="dxa"/>
            <w:vAlign w:val="bottom"/>
            <w:tcBorders>
              <w:bottom w:val="single" w:sz="8" w:color="0000EE"/>
            </w:tcBorders>
            <w:gridSpan w:val="15"/>
          </w:tcPr>
          <w:p>
            <w:pPr>
              <w:spacing w:after="0"/>
              <w:rPr>
                <w:rFonts w:ascii="Arial" w:cs="Arial" w:eastAsia="Arial" w:hAnsi="Arial"/>
                <w:sz w:val="16"/>
                <w:szCs w:val="16"/>
                <w:color w:val="auto"/>
                <w:w w:val="96"/>
              </w:rPr>
            </w:pPr>
            <w:hyperlink w:anchor="page58">
              <w:r>
                <w:rPr>
                  <w:rFonts w:ascii="Arial" w:cs="Arial" w:eastAsia="Arial" w:hAnsi="Arial"/>
                  <w:sz w:val="16"/>
                  <w:szCs w:val="16"/>
                  <w:color w:val="auto"/>
                  <w:w w:val="96"/>
                </w:rPr>
                <w:t>Financial Statements and Supplementary Data</w:t>
              </w:r>
            </w:hyperlink>
          </w:p>
        </w:tc>
        <w:tc>
          <w:tcPr>
            <w:tcW w:w="4740" w:type="dxa"/>
            <w:vAlign w:val="bottom"/>
            <w:gridSpan w:val="11"/>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58</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9.</w:t>
            </w:r>
          </w:p>
        </w:tc>
        <w:tc>
          <w:tcPr>
            <w:tcW w:w="6180" w:type="dxa"/>
            <w:vAlign w:val="bottom"/>
            <w:tcBorders>
              <w:bottom w:val="single" w:sz="8" w:color="0000EE"/>
            </w:tcBorders>
            <w:gridSpan w:val="23"/>
          </w:tcPr>
          <w:p>
            <w:pPr>
              <w:spacing w:after="0"/>
              <w:rPr>
                <w:rFonts w:ascii="Arial" w:cs="Arial" w:eastAsia="Arial" w:hAnsi="Arial"/>
                <w:sz w:val="16"/>
                <w:szCs w:val="16"/>
                <w:color w:val="auto"/>
                <w:w w:val="97"/>
              </w:rPr>
            </w:pPr>
            <w:hyperlink w:anchor="page99">
              <w:r>
                <w:rPr>
                  <w:rFonts w:ascii="Arial" w:cs="Arial" w:eastAsia="Arial" w:hAnsi="Arial"/>
                  <w:sz w:val="16"/>
                  <w:szCs w:val="16"/>
                  <w:color w:val="auto"/>
                  <w:w w:val="97"/>
                </w:rPr>
                <w:t>Changes in and Disagreements with Accountants on Accounting and Financial Disclosure</w:t>
              </w:r>
            </w:hyperlink>
          </w:p>
        </w:tc>
        <w:tc>
          <w:tcPr>
            <w:tcW w:w="1780" w:type="dxa"/>
            <w:vAlign w:val="bottom"/>
            <w:gridSpan w:val="3"/>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99</w:t>
            </w: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9A.</w:t>
            </w:r>
          </w:p>
        </w:tc>
        <w:tc>
          <w:tcPr>
            <w:tcW w:w="1720" w:type="dxa"/>
            <w:vAlign w:val="bottom"/>
            <w:tcBorders>
              <w:bottom w:val="single" w:sz="8" w:color="0000EE"/>
            </w:tcBorders>
            <w:gridSpan w:val="10"/>
          </w:tcPr>
          <w:p>
            <w:pPr>
              <w:spacing w:after="0"/>
              <w:rPr>
                <w:rFonts w:ascii="Arial" w:cs="Arial" w:eastAsia="Arial" w:hAnsi="Arial"/>
                <w:sz w:val="16"/>
                <w:szCs w:val="16"/>
                <w:color w:val="auto"/>
                <w:w w:val="96"/>
              </w:rPr>
            </w:pPr>
            <w:hyperlink w:anchor="page99">
              <w:r>
                <w:rPr>
                  <w:rFonts w:ascii="Arial" w:cs="Arial" w:eastAsia="Arial" w:hAnsi="Arial"/>
                  <w:sz w:val="16"/>
                  <w:szCs w:val="16"/>
                  <w:color w:val="auto"/>
                  <w:w w:val="96"/>
                </w:rPr>
                <w:t>Controls and Procedures</w:t>
              </w:r>
            </w:hyperlink>
          </w:p>
        </w:tc>
        <w:tc>
          <w:tcPr>
            <w:tcW w:w="6240" w:type="dxa"/>
            <w:vAlign w:val="bottom"/>
            <w:gridSpan w:val="16"/>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99</w:t>
            </w:r>
          </w:p>
        </w:tc>
      </w:tr>
      <w:tr>
        <w:trPr>
          <w:trHeight w:val="328"/>
        </w:trPr>
        <w:tc>
          <w:tcPr>
            <w:tcW w:w="1980" w:type="dxa"/>
            <w:vAlign w:val="bottom"/>
          </w:tcPr>
          <w:p>
            <w:pPr>
              <w:spacing w:after="0"/>
              <w:rPr>
                <w:sz w:val="24"/>
                <w:szCs w:val="24"/>
                <w:color w:val="auto"/>
              </w:rPr>
            </w:pPr>
          </w:p>
        </w:tc>
        <w:tc>
          <w:tcPr>
            <w:tcW w:w="4660" w:type="dxa"/>
            <w:vAlign w:val="bottom"/>
            <w:tcBorders>
              <w:bottom w:val="single" w:sz="8" w:color="0000EE"/>
            </w:tcBorders>
            <w:gridSpan w:val="19"/>
          </w:tcPr>
          <w:p>
            <w:pPr>
              <w:spacing w:after="0"/>
              <w:rPr>
                <w:rFonts w:ascii="Arial" w:cs="Arial" w:eastAsia="Arial" w:hAnsi="Arial"/>
                <w:sz w:val="16"/>
                <w:szCs w:val="16"/>
                <w:color w:val="auto"/>
                <w:w w:val="97"/>
              </w:rPr>
            </w:pPr>
            <w:hyperlink w:anchor="page99">
              <w:r>
                <w:rPr>
                  <w:rFonts w:ascii="Arial" w:cs="Arial" w:eastAsia="Arial" w:hAnsi="Arial"/>
                  <w:sz w:val="16"/>
                  <w:szCs w:val="16"/>
                  <w:color w:val="auto"/>
                  <w:w w:val="97"/>
                </w:rPr>
                <w:t>Report of Management on Internal Control over Financial Reporting</w:t>
              </w:r>
            </w:hyperlink>
          </w:p>
        </w:tc>
        <w:tc>
          <w:tcPr>
            <w:tcW w:w="3300" w:type="dxa"/>
            <w:vAlign w:val="bottom"/>
            <w:gridSpan w:val="7"/>
          </w:tcPr>
          <w:p>
            <w:pPr>
              <w:spacing w:after="0"/>
              <w:rPr>
                <w:sz w:val="24"/>
                <w:szCs w:val="24"/>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6"/>
                <w:szCs w:val="16"/>
                <w:color w:val="auto"/>
              </w:rPr>
              <w:t>99</w:t>
            </w:r>
          </w:p>
        </w:tc>
      </w:tr>
      <w:tr>
        <w:trPr>
          <w:trHeight w:val="328"/>
        </w:trPr>
        <w:tc>
          <w:tcPr>
            <w:tcW w:w="1980" w:type="dxa"/>
            <w:vAlign w:val="bottom"/>
          </w:tcPr>
          <w:p>
            <w:pPr>
              <w:spacing w:after="0"/>
              <w:rPr>
                <w:sz w:val="24"/>
                <w:szCs w:val="24"/>
                <w:color w:val="auto"/>
              </w:rPr>
            </w:pPr>
          </w:p>
        </w:tc>
        <w:tc>
          <w:tcPr>
            <w:tcW w:w="3980" w:type="dxa"/>
            <w:vAlign w:val="bottom"/>
            <w:tcBorders>
              <w:bottom w:val="single" w:sz="8" w:color="0000EE"/>
            </w:tcBorders>
            <w:gridSpan w:val="17"/>
          </w:tcPr>
          <w:p>
            <w:pPr>
              <w:spacing w:after="0"/>
              <w:rPr>
                <w:rFonts w:ascii="Arial" w:cs="Arial" w:eastAsia="Arial" w:hAnsi="Arial"/>
                <w:sz w:val="16"/>
                <w:szCs w:val="16"/>
                <w:color w:val="auto"/>
                <w:w w:val="96"/>
              </w:rPr>
            </w:pPr>
            <w:hyperlink w:anchor="page100">
              <w:r>
                <w:rPr>
                  <w:rFonts w:ascii="Arial" w:cs="Arial" w:eastAsia="Arial" w:hAnsi="Arial"/>
                  <w:sz w:val="16"/>
                  <w:szCs w:val="16"/>
                  <w:color w:val="auto"/>
                  <w:w w:val="96"/>
                </w:rPr>
                <w:t>Report of Independent Registered Public Accounting Firm</w:t>
              </w:r>
            </w:hyperlink>
          </w:p>
        </w:tc>
        <w:tc>
          <w:tcPr>
            <w:tcW w:w="3980" w:type="dxa"/>
            <w:vAlign w:val="bottom"/>
            <w:gridSpan w:val="9"/>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9B.</w:t>
            </w:r>
          </w:p>
        </w:tc>
        <w:tc>
          <w:tcPr>
            <w:tcW w:w="7960" w:type="dxa"/>
            <w:vAlign w:val="bottom"/>
            <w:gridSpan w:val="26"/>
          </w:tcPr>
          <w:p>
            <w:pPr>
              <w:spacing w:after="0"/>
              <w:rPr>
                <w:rFonts w:ascii="Arial" w:cs="Arial" w:eastAsia="Arial" w:hAnsi="Arial"/>
                <w:sz w:val="16"/>
                <w:szCs w:val="16"/>
                <w:color w:val="auto"/>
              </w:rPr>
            </w:pPr>
            <w:hyperlink w:anchor="page101">
              <w:r>
                <w:rPr>
                  <w:rFonts w:ascii="Arial" w:cs="Arial" w:eastAsia="Arial" w:hAnsi="Arial"/>
                  <w:sz w:val="16"/>
                  <w:szCs w:val="16"/>
                  <w:color w:val="auto"/>
                </w:rPr>
                <w:t>Other Information</w:t>
              </w:r>
            </w:hyperlink>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20"/>
        </w:trPr>
        <w:tc>
          <w:tcPr>
            <w:tcW w:w="19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9C.</w:t>
            </w:r>
          </w:p>
        </w:tc>
        <w:tc>
          <w:tcPr>
            <w:tcW w:w="7960" w:type="dxa"/>
            <w:vAlign w:val="bottom"/>
            <w:gridSpan w:val="26"/>
          </w:tcPr>
          <w:p>
            <w:pPr>
              <w:spacing w:after="0"/>
              <w:rPr>
                <w:rFonts w:ascii="Arial" w:cs="Arial" w:eastAsia="Arial" w:hAnsi="Arial"/>
                <w:sz w:val="16"/>
                <w:szCs w:val="16"/>
                <w:color w:val="auto"/>
              </w:rPr>
            </w:pPr>
            <w:hyperlink w:anchor="page101">
              <w:r>
                <w:rPr>
                  <w:rFonts w:ascii="Arial" w:cs="Arial" w:eastAsia="Arial" w:hAnsi="Arial"/>
                  <w:sz w:val="16"/>
                  <w:szCs w:val="16"/>
                  <w:color w:val="auto"/>
                </w:rPr>
                <w:t>Disclosure Regarding Foreign Jurisdictions that Prevent Inspections</w:t>
              </w:r>
            </w:hyperlink>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74"/>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1980" w:type="dxa"/>
            <w:vAlign w:val="bottom"/>
          </w:tcPr>
          <w:p>
            <w:pPr>
              <w:ind w:left="900"/>
              <w:spacing w:after="0"/>
              <w:rPr>
                <w:sz w:val="20"/>
                <w:szCs w:val="20"/>
                <w:color w:val="auto"/>
              </w:rPr>
            </w:pPr>
            <w:r>
              <w:rPr>
                <w:rFonts w:ascii="Arial" w:cs="Arial" w:eastAsia="Arial" w:hAnsi="Arial"/>
                <w:sz w:val="16"/>
                <w:szCs w:val="16"/>
                <w:color w:val="auto"/>
              </w:rPr>
              <w:t>Item 10.</w:t>
            </w:r>
          </w:p>
        </w:tc>
        <w:tc>
          <w:tcPr>
            <w:tcW w:w="3940" w:type="dxa"/>
            <w:vAlign w:val="bottom"/>
            <w:tcBorders>
              <w:bottom w:val="single" w:sz="8" w:color="0000EE"/>
            </w:tcBorders>
            <w:gridSpan w:val="16"/>
          </w:tcPr>
          <w:p>
            <w:pPr>
              <w:spacing w:after="0"/>
              <w:rPr>
                <w:rFonts w:ascii="Arial" w:cs="Arial" w:eastAsia="Arial" w:hAnsi="Arial"/>
                <w:sz w:val="16"/>
                <w:szCs w:val="16"/>
                <w:color w:val="auto"/>
                <w:w w:val="96"/>
              </w:rPr>
            </w:pPr>
            <w:hyperlink w:anchor="page101">
              <w:r>
                <w:rPr>
                  <w:rFonts w:ascii="Arial" w:cs="Arial" w:eastAsia="Arial" w:hAnsi="Arial"/>
                  <w:sz w:val="16"/>
                  <w:szCs w:val="16"/>
                  <w:color w:val="auto"/>
                  <w:w w:val="96"/>
                </w:rPr>
                <w:t>Directors, Executive Officers, and Corporate Governance</w:t>
              </w:r>
            </w:hyperlink>
          </w:p>
        </w:tc>
        <w:tc>
          <w:tcPr>
            <w:tcW w:w="4020" w:type="dxa"/>
            <w:vAlign w:val="bottom"/>
            <w:gridSpan w:val="10"/>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11.</w:t>
            </w:r>
          </w:p>
        </w:tc>
        <w:tc>
          <w:tcPr>
            <w:tcW w:w="1720" w:type="dxa"/>
            <w:vAlign w:val="bottom"/>
            <w:tcBorders>
              <w:bottom w:val="single" w:sz="8" w:color="0000EE"/>
            </w:tcBorders>
            <w:gridSpan w:val="10"/>
          </w:tcPr>
          <w:p>
            <w:pPr>
              <w:spacing w:after="0"/>
              <w:rPr>
                <w:rFonts w:ascii="Arial" w:cs="Arial" w:eastAsia="Arial" w:hAnsi="Arial"/>
                <w:sz w:val="16"/>
                <w:szCs w:val="16"/>
                <w:color w:val="auto"/>
                <w:w w:val="96"/>
              </w:rPr>
            </w:pPr>
            <w:hyperlink w:anchor="page101">
              <w:r>
                <w:rPr>
                  <w:rFonts w:ascii="Arial" w:cs="Arial" w:eastAsia="Arial" w:hAnsi="Arial"/>
                  <w:sz w:val="16"/>
                  <w:szCs w:val="16"/>
                  <w:color w:val="auto"/>
                  <w:w w:val="96"/>
                </w:rPr>
                <w:t>Executive Compensation</w:t>
              </w:r>
            </w:hyperlink>
          </w:p>
        </w:tc>
        <w:tc>
          <w:tcPr>
            <w:tcW w:w="6240" w:type="dxa"/>
            <w:vAlign w:val="bottom"/>
            <w:gridSpan w:val="16"/>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12.</w:t>
            </w:r>
          </w:p>
        </w:tc>
        <w:tc>
          <w:tcPr>
            <w:tcW w:w="6940" w:type="dxa"/>
            <w:vAlign w:val="bottom"/>
            <w:tcBorders>
              <w:bottom w:val="single" w:sz="8" w:color="0000EE"/>
            </w:tcBorders>
            <w:gridSpan w:val="24"/>
          </w:tcPr>
          <w:p>
            <w:pPr>
              <w:spacing w:after="0"/>
              <w:rPr>
                <w:rFonts w:ascii="Arial" w:cs="Arial" w:eastAsia="Arial" w:hAnsi="Arial"/>
                <w:sz w:val="16"/>
                <w:szCs w:val="16"/>
                <w:color w:val="auto"/>
                <w:w w:val="97"/>
              </w:rPr>
            </w:pPr>
            <w:hyperlink w:anchor="page101">
              <w:r>
                <w:rPr>
                  <w:rFonts w:ascii="Arial" w:cs="Arial" w:eastAsia="Arial" w:hAnsi="Arial"/>
                  <w:sz w:val="16"/>
                  <w:szCs w:val="16"/>
                  <w:color w:val="auto"/>
                  <w:w w:val="97"/>
                </w:rPr>
                <w:t>Security Ownership of Certain Beneficial Owners and Management and Related Stockholder Matters</w:t>
              </w:r>
            </w:hyperlink>
          </w:p>
        </w:tc>
        <w:tc>
          <w:tcPr>
            <w:tcW w:w="1020" w:type="dxa"/>
            <w:vAlign w:val="bottom"/>
            <w:gridSpan w:val="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13.</w:t>
            </w:r>
          </w:p>
        </w:tc>
        <w:tc>
          <w:tcPr>
            <w:tcW w:w="7960" w:type="dxa"/>
            <w:vAlign w:val="bottom"/>
            <w:gridSpan w:val="26"/>
          </w:tcPr>
          <w:p>
            <w:pPr>
              <w:spacing w:after="0"/>
              <w:rPr>
                <w:rFonts w:ascii="Arial" w:cs="Arial" w:eastAsia="Arial" w:hAnsi="Arial"/>
                <w:sz w:val="16"/>
                <w:szCs w:val="16"/>
                <w:color w:val="auto"/>
              </w:rPr>
            </w:pPr>
            <w:hyperlink w:anchor="page101">
              <w:r>
                <w:rPr>
                  <w:rFonts w:ascii="Arial" w:cs="Arial" w:eastAsia="Arial" w:hAnsi="Arial"/>
                  <w:sz w:val="16"/>
                  <w:szCs w:val="16"/>
                  <w:color w:val="auto"/>
                </w:rPr>
                <w:t>Certain Relationships and Related Transactions, and Director Independence</w:t>
              </w:r>
            </w:hyperlink>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14.</w:t>
            </w:r>
          </w:p>
        </w:tc>
        <w:tc>
          <w:tcPr>
            <w:tcW w:w="5260" w:type="dxa"/>
            <w:vAlign w:val="bottom"/>
            <w:tcBorders>
              <w:top w:val="single" w:sz="8" w:color="0000EE"/>
            </w:tcBorders>
            <w:gridSpan w:val="21"/>
          </w:tcPr>
          <w:p>
            <w:pPr>
              <w:spacing w:after="0"/>
              <w:rPr>
                <w:rFonts w:ascii="Arial" w:cs="Arial" w:eastAsia="Arial" w:hAnsi="Arial"/>
                <w:sz w:val="16"/>
                <w:szCs w:val="16"/>
                <w:color w:val="auto"/>
              </w:rPr>
            </w:pPr>
            <w:hyperlink w:anchor="page101">
              <w:r>
                <w:rPr>
                  <w:rFonts w:ascii="Arial" w:cs="Arial" w:eastAsia="Arial" w:hAnsi="Arial"/>
                  <w:sz w:val="16"/>
                  <w:szCs w:val="16"/>
                  <w:color w:val="auto"/>
                </w:rPr>
                <w:t>Principal Accountant Fees and Services</w:t>
              </w:r>
            </w:hyperlink>
          </w:p>
        </w:tc>
        <w:tc>
          <w:tcPr>
            <w:tcW w:w="2700" w:type="dxa"/>
            <w:vAlign w:val="bottom"/>
            <w:gridSpan w:val="5"/>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4"/>
                <w:szCs w:val="24"/>
                <w:color w:val="auto"/>
              </w:rPr>
            </w:pPr>
          </w:p>
        </w:tc>
      </w:tr>
      <w:tr>
        <w:trPr>
          <w:trHeight w:val="374"/>
        </w:trPr>
        <w:tc>
          <w:tcPr>
            <w:tcW w:w="198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6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2"/>
        </w:trPr>
        <w:tc>
          <w:tcPr>
            <w:tcW w:w="1980" w:type="dxa"/>
            <w:vAlign w:val="bottom"/>
          </w:tcPr>
          <w:p>
            <w:pPr>
              <w:ind w:left="900"/>
              <w:spacing w:after="0"/>
              <w:rPr>
                <w:sz w:val="20"/>
                <w:szCs w:val="20"/>
                <w:color w:val="auto"/>
              </w:rPr>
            </w:pPr>
            <w:r>
              <w:rPr>
                <w:rFonts w:ascii="Arial" w:cs="Arial" w:eastAsia="Arial" w:hAnsi="Arial"/>
                <w:sz w:val="16"/>
                <w:szCs w:val="16"/>
                <w:color w:val="auto"/>
              </w:rPr>
              <w:t>Item 15.</w:t>
            </w:r>
          </w:p>
        </w:tc>
        <w:tc>
          <w:tcPr>
            <w:tcW w:w="2960" w:type="dxa"/>
            <w:vAlign w:val="bottom"/>
            <w:tcBorders>
              <w:bottom w:val="single" w:sz="8" w:color="0000EE"/>
            </w:tcBorders>
            <w:gridSpan w:val="14"/>
          </w:tcPr>
          <w:p>
            <w:pPr>
              <w:spacing w:after="0"/>
              <w:rPr>
                <w:rFonts w:ascii="Arial" w:cs="Arial" w:eastAsia="Arial" w:hAnsi="Arial"/>
                <w:sz w:val="16"/>
                <w:szCs w:val="16"/>
                <w:color w:val="auto"/>
                <w:w w:val="96"/>
              </w:rPr>
            </w:pPr>
            <w:hyperlink w:anchor="page102">
              <w:r>
                <w:rPr>
                  <w:rFonts w:ascii="Arial" w:cs="Arial" w:eastAsia="Arial" w:hAnsi="Arial"/>
                  <w:sz w:val="16"/>
                  <w:szCs w:val="16"/>
                  <w:color w:val="auto"/>
                  <w:w w:val="96"/>
                </w:rPr>
                <w:t>Exhibit and Financial Statement Schedules</w:t>
              </w:r>
            </w:hyperlink>
          </w:p>
        </w:tc>
        <w:tc>
          <w:tcPr>
            <w:tcW w:w="5000" w:type="dxa"/>
            <w:vAlign w:val="bottom"/>
            <w:gridSpan w:val="12"/>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4"/>
                <w:szCs w:val="24"/>
                <w:color w:val="auto"/>
              </w:rPr>
            </w:pPr>
          </w:p>
        </w:tc>
      </w:tr>
      <w:tr>
        <w:trPr>
          <w:trHeight w:val="328"/>
        </w:trPr>
        <w:tc>
          <w:tcPr>
            <w:tcW w:w="1980" w:type="dxa"/>
            <w:vAlign w:val="bottom"/>
          </w:tcPr>
          <w:p>
            <w:pPr>
              <w:ind w:left="900"/>
              <w:spacing w:after="0"/>
              <w:rPr>
                <w:sz w:val="20"/>
                <w:szCs w:val="20"/>
                <w:color w:val="auto"/>
              </w:rPr>
            </w:pPr>
            <w:r>
              <w:rPr>
                <w:rFonts w:ascii="Arial" w:cs="Arial" w:eastAsia="Arial" w:hAnsi="Arial"/>
                <w:sz w:val="16"/>
                <w:szCs w:val="16"/>
                <w:color w:val="auto"/>
              </w:rPr>
              <w:t>Item 16.</w:t>
            </w:r>
          </w:p>
        </w:tc>
        <w:tc>
          <w:tcPr>
            <w:tcW w:w="7960" w:type="dxa"/>
            <w:vAlign w:val="bottom"/>
            <w:gridSpan w:val="26"/>
          </w:tcPr>
          <w:p>
            <w:pPr>
              <w:spacing w:after="0"/>
              <w:rPr>
                <w:rFonts w:ascii="Arial" w:cs="Arial" w:eastAsia="Arial" w:hAnsi="Arial"/>
                <w:sz w:val="16"/>
                <w:szCs w:val="16"/>
                <w:color w:val="auto"/>
              </w:rPr>
            </w:pPr>
            <w:hyperlink w:anchor="page108">
              <w:r>
                <w:rPr>
                  <w:rFonts w:ascii="Arial" w:cs="Arial" w:eastAsia="Arial" w:hAnsi="Arial"/>
                  <w:sz w:val="16"/>
                  <w:szCs w:val="16"/>
                  <w:color w:val="auto"/>
                </w:rPr>
                <w:t>Form 10-K Summary</w:t>
              </w:r>
            </w:hyperlink>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4"/>
                <w:szCs w:val="24"/>
                <w:color w:val="auto"/>
              </w:rPr>
            </w:pPr>
          </w:p>
        </w:tc>
      </w:tr>
      <w:tr>
        <w:trPr>
          <w:trHeight w:val="328"/>
        </w:trPr>
        <w:tc>
          <w:tcPr>
            <w:tcW w:w="1980" w:type="dxa"/>
            <w:vAlign w:val="bottom"/>
          </w:tcPr>
          <w:p>
            <w:pPr>
              <w:spacing w:after="0"/>
              <w:rPr>
                <w:sz w:val="24"/>
                <w:szCs w:val="24"/>
                <w:color w:val="auto"/>
              </w:rPr>
            </w:pPr>
          </w:p>
        </w:tc>
        <w:tc>
          <w:tcPr>
            <w:tcW w:w="740" w:type="dxa"/>
            <w:vAlign w:val="bottom"/>
            <w:tcBorders>
              <w:top w:val="single" w:sz="8" w:color="0000EE"/>
              <w:bottom w:val="single" w:sz="8" w:color="0000EE"/>
            </w:tcBorders>
            <w:gridSpan w:val="3"/>
          </w:tcPr>
          <w:p>
            <w:pPr>
              <w:spacing w:after="0"/>
              <w:rPr>
                <w:rFonts w:ascii="Arial" w:cs="Arial" w:eastAsia="Arial" w:hAnsi="Arial"/>
                <w:sz w:val="16"/>
                <w:szCs w:val="16"/>
                <w:color w:val="auto"/>
                <w:w w:val="94"/>
              </w:rPr>
            </w:pPr>
            <w:hyperlink w:anchor="page109">
              <w:r>
                <w:rPr>
                  <w:rFonts w:ascii="Arial" w:cs="Arial" w:eastAsia="Arial" w:hAnsi="Arial"/>
                  <w:sz w:val="16"/>
                  <w:szCs w:val="16"/>
                  <w:color w:val="auto"/>
                  <w:w w:val="94"/>
                </w:rPr>
                <w:t>Signatures</w:t>
              </w:r>
            </w:hyperlink>
          </w:p>
        </w:tc>
        <w:tc>
          <w:tcPr>
            <w:tcW w:w="700" w:type="dxa"/>
            <w:vAlign w:val="bottom"/>
            <w:tcBorders>
              <w:top w:val="single" w:sz="8" w:color="0000EE"/>
            </w:tcBorders>
            <w:gridSpan w:val="5"/>
          </w:tcPr>
          <w:p>
            <w:pPr>
              <w:spacing w:after="0"/>
              <w:rPr>
                <w:sz w:val="24"/>
                <w:szCs w:val="24"/>
                <w:color w:val="auto"/>
              </w:rPr>
            </w:pPr>
          </w:p>
        </w:tc>
        <w:tc>
          <w:tcPr>
            <w:tcW w:w="6520" w:type="dxa"/>
            <w:vAlign w:val="bottom"/>
            <w:gridSpan w:val="18"/>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4"/>
                <w:szCs w:val="24"/>
                <w:color w:val="auto"/>
              </w:rPr>
            </w:pPr>
          </w:p>
        </w:tc>
      </w:tr>
      <w:tr>
        <w:trPr>
          <w:trHeight w:val="546"/>
        </w:trPr>
        <w:tc>
          <w:tcPr>
            <w:tcW w:w="1980" w:type="dxa"/>
            <w:vAlign w:val="bottom"/>
          </w:tcPr>
          <w:p>
            <w:pPr>
              <w:spacing w:after="0"/>
              <w:rPr>
                <w:sz w:val="24"/>
                <w:szCs w:val="24"/>
                <w:color w:val="auto"/>
              </w:rPr>
            </w:pPr>
          </w:p>
        </w:tc>
        <w:tc>
          <w:tcPr>
            <w:tcW w:w="3940" w:type="dxa"/>
            <w:vAlign w:val="bottom"/>
            <w:gridSpan w:val="16"/>
          </w:tcPr>
          <w:p>
            <w:pPr>
              <w:ind w:left="3280"/>
              <w:spacing w:after="0"/>
              <w:rPr>
                <w:sz w:val="20"/>
                <w:szCs w:val="20"/>
                <w:color w:val="auto"/>
              </w:rPr>
            </w:pPr>
            <w:r>
              <w:rPr>
                <w:rFonts w:ascii="Arial" w:cs="Arial" w:eastAsia="Arial" w:hAnsi="Arial"/>
                <w:sz w:val="13"/>
                <w:szCs w:val="13"/>
                <w:color w:val="auto"/>
              </w:rPr>
              <w:t>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6"/>
        </w:trPr>
        <w:tc>
          <w:tcPr>
            <w:tcW w:w="1980" w:type="dxa"/>
            <w:vAlign w:val="bottom"/>
            <w:tcBorders>
              <w:bottom w:val="single" w:sz="8" w:color="EEEEEE"/>
            </w:tcBorders>
          </w:tcPr>
          <w:p>
            <w:pPr>
              <w:spacing w:after="0"/>
              <w:rPr>
                <w:sz w:val="9"/>
                <w:szCs w:val="9"/>
                <w:color w:val="auto"/>
              </w:rPr>
            </w:pPr>
          </w:p>
        </w:tc>
        <w:tc>
          <w:tcPr>
            <w:tcW w:w="64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14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72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60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580" w:type="dxa"/>
            <w:vAlign w:val="bottom"/>
            <w:tcBorders>
              <w:bottom w:val="single" w:sz="8" w:color="EEEEEE"/>
            </w:tcBorders>
          </w:tcPr>
          <w:p>
            <w:pPr>
              <w:spacing w:after="0"/>
              <w:rPr>
                <w:sz w:val="9"/>
                <w:szCs w:val="9"/>
                <w:color w:val="auto"/>
              </w:rPr>
            </w:pPr>
          </w:p>
        </w:tc>
        <w:tc>
          <w:tcPr>
            <w:tcW w:w="86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760" w:type="dxa"/>
            <w:vAlign w:val="bottom"/>
            <w:tcBorders>
              <w:bottom w:val="single" w:sz="8" w:color="EEEEEE"/>
            </w:tcBorders>
          </w:tcPr>
          <w:p>
            <w:pPr>
              <w:spacing w:after="0"/>
              <w:rPr>
                <w:sz w:val="9"/>
                <w:szCs w:val="9"/>
                <w:color w:val="auto"/>
              </w:rPr>
            </w:pPr>
          </w:p>
        </w:tc>
        <w:tc>
          <w:tcPr>
            <w:tcW w:w="80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24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2" w:name="page3"/>
    <w:bookmarkEnd w:id="2"/>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 About Forward-Looking Statements</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This report includes estimates, projections, statements relating to our business plans, objectives, and expected operating results that are “forward- looking statements” within the meaning of the Private Securities Litigation Reform Act of 1995, Section 27A of the Securities Act of 1933, and Section 21E of the Securities Exchange Act of 1934. Forward- looking statements may appear throughout this report, including the following sections: “Business” (Part I, Item 1 of this Form 10- K), “Risk Factors” (Part I, Item 1A of this Form 10-K), and “Management’s Discussion and Analysis of Financial Condition and Results of Operations” (Part II, Item 7 of this Form 10- K). These forward-looking statements generally are identified by the words “believe,” “project,” “expect,” “anticipate,” “estimate,” “intend,” “strategy,” “future,” “opportunity,” “plan,” “may,” “should,” “will,” “would,” “will be,” “will continue,” “will likely result,” and similar expressions. Forward -looking statements are based on current expectations and assumptions that are subject to risks and uncertainties that may cause actual results to differ materially. We describe risks and uncertainties that could cause actual results and events to differ materially in “Risk Factors,” “Management’s Discussion and Analysis of Financial Condition and Results of Operations,” and “Quantitative and Qualitative Disclosures about Market Risk” (Part II, Item 7A of this Form 10 -K).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73" w:right="640" w:bottom="1440" w:gutter="0" w:footer="0" w:header="0"/>
        </w:sectPr>
      </w:pPr>
    </w:p>
    <w:bookmarkStart w:id="3" w:name="page4"/>
    <w:bookmarkEnd w:id="3"/>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1. BUSINESS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GENERAL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Embracing Our Future</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Microsoft is a technology company whose mission is to empower every person and every organization on the planet to achieve more. We strive to create local opportunity, growth, and impact in every country around the world. We are creating the platforms and tools</w:t>
      </w:r>
      <w:r>
        <w:rPr>
          <w:rFonts w:ascii="Arial" w:cs="Arial" w:eastAsia="Arial" w:hAnsi="Arial"/>
          <w:sz w:val="16"/>
          <w:szCs w:val="16"/>
          <w:u w:val="single" w:color="auto"/>
          <w:color w:val="auto"/>
        </w:rPr>
        <w:t>,</w:t>
      </w:r>
      <w:r>
        <w:rPr>
          <w:rFonts w:ascii="Arial" w:cs="Arial" w:eastAsia="Arial" w:hAnsi="Arial"/>
          <w:sz w:val="16"/>
          <w:szCs w:val="16"/>
          <w:color w:val="auto"/>
        </w:rPr>
        <w:t xml:space="preserve"> powered by artificial intelligence (“</w:t>
      </w:r>
      <w:r>
        <w:rPr>
          <w:rFonts w:ascii="Arial" w:cs="Arial" w:eastAsia="Arial" w:hAnsi="Arial"/>
          <w:sz w:val="16"/>
          <w:szCs w:val="16"/>
          <w:u w:val="single" w:color="auto"/>
          <w:color w:val="auto"/>
        </w:rPr>
        <w:t>AI</w:t>
      </w:r>
      <w:r>
        <w:rPr>
          <w:rFonts w:ascii="Arial" w:cs="Arial" w:eastAsia="Arial" w:hAnsi="Arial"/>
          <w:sz w:val="16"/>
          <w:szCs w:val="16"/>
          <w:color w:val="auto"/>
        </w:rPr>
        <w:t>”), that deliver better, faster, and more effective solutions to support small and large business competitiveness, improve educational and health outcomes, grow public-sector efficiency, and empower human ingenuity. From infrastructure and data, to business applications and collaboration, we provide unique, differentiated value to customers.</w:t>
      </w:r>
    </w:p>
    <w:p>
      <w:pPr>
        <w:spacing w:after="0" w:line="12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In a world of increasing economic complexity, AI has the power to revolutionize many types of work. Microsoft is now innovating and expanding our portfolio with AI capabilities to help people and organizations overcome today’s challenges and emerge stronger. Customers are looking to unlock value from their digital spend and innovate for this next generation of AI, while simplifying security and management. Those leveraging the Microsoft Cloud are best positioned to take advantage of technological advancements and drive innovation. Our investment in AI spans the entire company, from Microsoft Teams and Outlook, to Bing and Xbox, and we are infusing generative AI capability into our consumer and commercial offerings to deliver copilot capability for all services across the Microsoft Cloud.</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We’re committed to making the promise of AI real – and doing it responsibly. Our work is guided by a core set of principles: fairness, reliability and safety, privacy and security, inclusiveness, transparency, and accountability.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Offer</w:t>
      </w:r>
    </w:p>
    <w:p>
      <w:pPr>
        <w:spacing w:after="0" w:line="148" w:lineRule="exact"/>
        <w:rPr>
          <w:sz w:val="20"/>
          <w:szCs w:val="20"/>
          <w:color w:val="auto"/>
        </w:rPr>
      </w:pPr>
    </w:p>
    <w:p>
      <w:pPr>
        <w:ind w:right="740"/>
        <w:spacing w:after="0" w:line="252" w:lineRule="auto"/>
        <w:rPr>
          <w:sz w:val="20"/>
          <w:szCs w:val="20"/>
          <w:color w:val="auto"/>
        </w:rPr>
      </w:pPr>
      <w:r>
        <w:rPr>
          <w:rFonts w:ascii="Arial" w:cs="Arial" w:eastAsia="Arial" w:hAnsi="Arial"/>
          <w:sz w:val="16"/>
          <w:szCs w:val="16"/>
          <w:color w:val="auto"/>
        </w:rPr>
        <w:t>Founded in 1975, we develop and support software, services, devices, and solutions that deliver new value for customers and help people and businesses realize their full potential.</w:t>
      </w:r>
    </w:p>
    <w:p>
      <w:pPr>
        <w:spacing w:after="0" w:line="118"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We offer an array of services, including cloud -based solutions that provide customers with software, services, platforms, and content, and we provide solution support and consulting services. We also deliver relevant online advertising to a global audience.</w:t>
      </w:r>
    </w:p>
    <w:p>
      <w:pPr>
        <w:spacing w:after="0" w:line="11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Our products include operating systems, cross-device productivity and collaboration applications, server applications, business solution applications, desktop and server management tools, software development tools, and video games. We also design and sell devices, including PCs, tablets, gaming and entertainment consoles, other intelligent devices, and related accessories.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Ambitions That Drive Us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To achieve our vision, our research and development efforts focus on three interconnected ambitions: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•Reinvent productivity and business processes.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•Build the intelligent cloud and intelligent edge platform.</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•Create more personal computing.</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Reinvent Productivity and Business Processes</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At Microsoft, we provide technology and resources to help our customers create a secure, productive work environment. Our family of products plays a key role in the ways the world works, learns, and connects.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4" w:name="page5"/>
    <w:bookmarkEnd w:id="4"/>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Our growth depends on securely delivering continuous innovation and advancing our leading productivity and collaboration tools and services, including Office 365, Dynamics 365, and LinkedIn. Microsoft 365 brings together Office 365, Windows, and Enterprise Mobility + Security to help organizations empower their employees with AI-backed tools that unlock creativity, increase collaboration, and fuel innovation, all the while enabling compliance coverage and data protection. Microsoft Teams is a comprehensive platform for work, with meetings, calls, chat, collaboration, and business process automation. Microsoft Viva is an employee experience platform that brings together communications, knowledge, learning, resources, and insights. Microsoft 365 Copilot combines next-generation AI with business data in the Microsoft Graph and Microsoft 365 applications.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Together with the Microsoft Cloud, Dynamics 365, Microsoft Teams, and our AI offerings bring a new era of collaborative applications that optimize business functions, processes, and applications to better serve customers and employees while creating more business value. Microsoft Power Platform is helping domain experts drive productivity gains with low-code/no-code tools, robotic process automation, virtual agents, and business intelligence. In a dynamic labor market, LinkedIn is helping professionals use the platform to connect, learn, grow, and get hired.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Build the Intelligent Cloud and Intelligent Edge Platform</w:t>
      </w:r>
    </w:p>
    <w:p>
      <w:pPr>
        <w:spacing w:after="0" w:line="14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As digital transformation and adoption of AI accelerates and revolutionizes more business workstreams, organizations in every sector across the globe can address challenges that will have a fundamental impact on their success. For enterprises, digital technology empowers employees, optimizes operations, engages customers, and in some cases, changes the very core of products and services. We continue to invest in high performance and sustainable computing to meet the growing demand for fast access to Microsoft services provided by our network of cloud computing infrastructure and datacenters.</w:t>
      </w:r>
    </w:p>
    <w:p>
      <w:pPr>
        <w:spacing w:after="0" w:line="128" w:lineRule="exact"/>
        <w:rPr>
          <w:sz w:val="20"/>
          <w:szCs w:val="20"/>
          <w:color w:val="auto"/>
        </w:rPr>
      </w:pPr>
    </w:p>
    <w:p>
      <w:pPr>
        <w:jc w:val="both"/>
        <w:ind w:right="280"/>
        <w:spacing w:after="0" w:line="243" w:lineRule="auto"/>
        <w:rPr>
          <w:sz w:val="20"/>
          <w:szCs w:val="20"/>
          <w:color w:val="auto"/>
        </w:rPr>
      </w:pPr>
      <w:r>
        <w:rPr>
          <w:rFonts w:ascii="Arial" w:cs="Arial" w:eastAsia="Arial" w:hAnsi="Arial"/>
          <w:sz w:val="16"/>
          <w:szCs w:val="16"/>
          <w:color w:val="auto"/>
        </w:rPr>
        <w:t>Our cloud business benefits from three economies of scale: datacenters that deploy computational resources at significantly lower cost per unit than smaller ones; datacenters that coordinate and aggregate diverse customer, geographic, and application demand patterns, improving the utilization of computing, storage, and network resources; and multi-tenancy locations that lower application maintenance labor costs.</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Microsoft Cloud provides the best integration across the technology stack while offering openness, improving time to value, reducing costs, and increasing agility. Being a global-scale cloud, Azure uniquely offers hybrid consistency, developer productivity, AI capabilities, and trusted security and compliance. We see more emerging use cases and needs for compute and security at the edge and are accelerating our innovation across the spectrum of intelligent edge devices, from Internet of Things (“IoT”) sensors to gateway devices and edge hardware to build, manage, and secure edge workloads.</w:t>
      </w:r>
    </w:p>
    <w:p>
      <w:pPr>
        <w:spacing w:after="0" w:line="97"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Our AI platform, Azure AI, is helping organizations transform, bringing intelligence and insights to the hands of their employees and customers to solve their most pressing challenges. Organizations large and small are deploying Azure AI solutions to achieve more at scale, more easily, with the proper enterprise-level and responsible AI protections.</w:t>
      </w:r>
    </w:p>
    <w:p>
      <w:pPr>
        <w:spacing w:after="0" w:line="125"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We have a long-term partnership with OpenAI, a leading AI research and deployment company. We deploy OpenAI’s models across our consumer and enterprise products. As OpenAI’s exclusive cloud provider, Azure powers all of OpenAI's workloads. We have also increased our investments in the development and deployment of specialized supercomputing systems to accelerate OpenAI’s research.</w:t>
      </w:r>
    </w:p>
    <w:p>
      <w:pPr>
        <w:spacing w:after="0" w:line="125"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Our hybrid infrastructure offers integrated, end-to-end security, compliance, identity, and management capabilities to support the real- world needs and evolving regulatory requirements of commercial customers and enterprises. Our industry clouds bring together capabilities across the entire Microsoft Cloud, along with industry-specific customizations. Azure Arc simplifies governance and management by delivering a consistent multi-cloud and on-premises management platform.</w:t>
      </w:r>
    </w:p>
    <w:p>
      <w:pPr>
        <w:spacing w:after="0" w:line="12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Nuance, a leader in conversational AI and ambient intelligence across industries including healthcare, financial services, retail, and telecommunications, joined Microsoft in 2022. Microsoft and Nuance enable organizations to accelerate their business goals with security-focused, cloud-based solutions infused with AI.</w:t>
      </w:r>
    </w:p>
    <w:p>
      <w:pPr>
        <w:spacing w:after="0" w:line="125"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We are accelerating our development of mixed reality solutions with new Azure services and devices. Microsoft Mesh enables organizations to create custom, immersive experiences for the workplace to help bring remote and hybrid workers and teams together.</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73" w:right="720" w:bottom="1440" w:gutter="0" w:footer="0" w:header="0"/>
        </w:sectPr>
      </w:pPr>
    </w:p>
    <w:bookmarkStart w:id="5" w:name="page6"/>
    <w:bookmarkEnd w:id="5"/>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The ability to convert data into AI drives our competitive advantage. The Microsoft Intelligent Data Platform is a leading cloud data platform that fully integrates databases, analytics, and governance. The platform empowers organizations to invest more time creating value rather than integrating and managing their data. Microsoft Fabric is an end-to-end, unified analytics platform that brings together all the data and analytics tools that organizations need.</w:t>
      </w:r>
    </w:p>
    <w:p>
      <w:pPr>
        <w:spacing w:after="0" w:line="128"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GitHub Copilot is at the forefront of AI-powered software development, giving developers a new tool to write code easier and faster so they can focus on more creative problem-solving. From GitHub to Visual Studio, we provide a developer tool chain for everyone, no matter the technical experience, across all platforms, whether Azure, Windows, or any other cloud or client platform.</w:t>
      </w:r>
    </w:p>
    <w:p>
      <w:pPr>
        <w:spacing w:after="0" w:line="125"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Windows also plays a critical role in fueling our cloud business with Windows 365, a desktop operating system that’s also a cloud service. From another internet-connected device, including Android or macOS devices, users can run Windows 365, just like a virtual machine.</w:t>
      </w:r>
    </w:p>
    <w:p>
      <w:pPr>
        <w:spacing w:after="0" w:line="118"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Additionally, we are extending our infrastructure beyond the planet, bringing cloud computing to space. Azure Orbital is a fully managed ground station as a service for fast downlinking of data.</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Create More Personal Computing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We strive to make computing more personal, enabling users to interact with technology in more intuitive, engaging, and dynamic ways.</w:t>
      </w:r>
    </w:p>
    <w:p>
      <w:pPr>
        <w:spacing w:after="0" w:line="140" w:lineRule="exact"/>
        <w:rPr>
          <w:sz w:val="20"/>
          <w:szCs w:val="20"/>
          <w:color w:val="auto"/>
        </w:rPr>
      </w:pPr>
    </w:p>
    <w:p>
      <w:pPr>
        <w:ind w:right="320"/>
        <w:spacing w:after="0" w:line="243" w:lineRule="auto"/>
        <w:rPr>
          <w:sz w:val="20"/>
          <w:szCs w:val="20"/>
          <w:color w:val="auto"/>
        </w:rPr>
      </w:pPr>
      <w:r>
        <w:rPr>
          <w:rFonts w:ascii="Arial" w:cs="Arial" w:eastAsia="Arial" w:hAnsi="Arial"/>
          <w:sz w:val="16"/>
          <w:szCs w:val="16"/>
          <w:color w:val="auto"/>
        </w:rPr>
        <w:t>Windows 11 offers innovations focused on enhancing productivity, including Windows Copilot with centralized AI assistance and Dev Home to help developers become more productive. Windows 11 security and privacy features include operating system security, application security, and user and identity security.</w:t>
      </w:r>
    </w:p>
    <w:p>
      <w:pPr>
        <w:spacing w:after="0" w:line="12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Through our Search, News, Mapping, and Browser services, Microsoft delivers unique trust, privacy, and safety features. In February 2023, we launched an all new, AI-powered Microsoft Edge browser and Bing search engine with Bing Chat to deliver better search, more complete answers, and the ability to generate content. Microsoft Edge is our fast and secure browser that helps protect users’ data. Quick access to AI-powered tools, apps, and more within Microsoft Edge’s sidebar enhance browsing capabilities.</w:t>
      </w:r>
    </w:p>
    <w:p>
      <w:pPr>
        <w:spacing w:after="0" w:line="128"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We are committed to designing and marketing first-party devices to help drive innovation, create new device categories, and stimulate demand in the Windows ecosystem. The Surface family includes Surface Pro, Surface Laptop, and other Surface products.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Microsoft continues to invest in gaming content, community, and cloud services. We have broadened our approach to how we think about gaming end-to-end, from the way games are created and distributed to how they are played, including subscription services like Xbox Game Pass and new devices from third -party manufacturers so players can engage across PC, console, and mobile. In January 2022, we announced plans to acquire Activision Blizzard, Inc., a leader in game development and an interactive entertainment content publisher.</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Opportunity</w:t>
      </w:r>
    </w:p>
    <w:p>
      <w:pPr>
        <w:spacing w:after="0" w:line="148"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We are focused on helping customers use the breadth and depth of the Microsoft Cloud to get the most value out of their digital spend while leading the new AI wave across our solution areas. We continue to develop complete, intelligent solutions for our customers that empower people to be productive and collaborate, while safeguarding businesses and simplifying IT management. Our goal is to lead the industry in several distinct areas of technology over the long term, which we expect will translate to sustained growth. We are investing significant resources in:</w:t>
      </w:r>
    </w:p>
    <w:p>
      <w:pPr>
        <w:spacing w:after="0" w:line="56" w:lineRule="exact"/>
        <w:rPr>
          <w:sz w:val="20"/>
          <w:szCs w:val="20"/>
          <w:color w:val="auto"/>
        </w:rPr>
      </w:pPr>
    </w:p>
    <w:p>
      <w:pPr>
        <w:ind w:left="600" w:right="920"/>
        <w:spacing w:after="0" w:line="252" w:lineRule="auto"/>
        <w:rPr>
          <w:sz w:val="20"/>
          <w:szCs w:val="20"/>
          <w:color w:val="auto"/>
        </w:rPr>
      </w:pPr>
      <w:r>
        <w:rPr>
          <w:rFonts w:ascii="Arial" w:cs="Arial" w:eastAsia="Arial" w:hAnsi="Arial"/>
          <w:sz w:val="16"/>
          <w:szCs w:val="16"/>
          <w:color w:val="auto"/>
        </w:rPr>
        <w:t>•Transforming the workplace to deliver new modern, modular business applications, drive deeper insights, and improve how people communicate, collaborate, learn, work, and interact with one another.</w:t>
      </w:r>
    </w:p>
    <w:p>
      <w:pPr>
        <w:spacing w:after="0" w:line="46" w:lineRule="exact"/>
        <w:rPr>
          <w:sz w:val="20"/>
          <w:szCs w:val="20"/>
          <w:color w:val="auto"/>
        </w:rPr>
      </w:pPr>
    </w:p>
    <w:p>
      <w:pPr>
        <w:ind w:left="600" w:right="700"/>
        <w:spacing w:after="0" w:line="252" w:lineRule="auto"/>
        <w:rPr>
          <w:sz w:val="20"/>
          <w:szCs w:val="20"/>
          <w:color w:val="auto"/>
        </w:rPr>
      </w:pPr>
      <w:r>
        <w:rPr>
          <w:rFonts w:ascii="Arial" w:cs="Arial" w:eastAsia="Arial" w:hAnsi="Arial"/>
          <w:sz w:val="16"/>
          <w:szCs w:val="16"/>
          <w:color w:val="auto"/>
        </w:rPr>
        <w:t>•Building and running cloud-based services in ways that utilize ubiquitous computing to unleash new experiences and opportunities for businesses and individuals.</w:t>
      </w:r>
    </w:p>
    <w:p>
      <w:pPr>
        <w:spacing w:after="0" w:line="46"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•Applying AI and ambient intelligence to drive insights, revolutionize many types of work, and provide substantive productivity gains using natural methods of communication.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 w:name="page7"/>
    <w:bookmarkEnd w:id="6"/>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248" w:lineRule="exact"/>
        <w:rPr>
          <w:sz w:val="20"/>
          <w:szCs w:val="20"/>
          <w:color w:val="auto"/>
        </w:rPr>
      </w:pPr>
    </w:p>
    <w:p>
      <w:pPr>
        <w:ind w:left="600" w:right="100"/>
        <w:spacing w:after="0" w:line="252" w:lineRule="auto"/>
        <w:rPr>
          <w:sz w:val="20"/>
          <w:szCs w:val="20"/>
          <w:color w:val="auto"/>
        </w:rPr>
      </w:pPr>
      <w:r>
        <w:rPr>
          <w:rFonts w:ascii="Arial" w:cs="Arial" w:eastAsia="Arial" w:hAnsi="Arial"/>
          <w:sz w:val="16"/>
          <w:szCs w:val="16"/>
          <w:color w:val="auto"/>
        </w:rPr>
        <w:t>•Tackling security from all angles with our integrated, end-to-end solutions spanning security, compliance, identity, and management, across all clouds and platforms.</w:t>
      </w:r>
    </w:p>
    <w:p>
      <w:pPr>
        <w:spacing w:after="0" w:line="46"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•Inventing new gaming experiences that bring people together around their shared love for games on any devices and pushing the boundaries of innovation with console and PC gaming.</w:t>
      </w:r>
    </w:p>
    <w:p>
      <w:pPr>
        <w:spacing w:after="0" w:line="46" w:lineRule="exact"/>
        <w:rPr>
          <w:sz w:val="20"/>
          <w:szCs w:val="20"/>
          <w:color w:val="auto"/>
        </w:rPr>
      </w:pPr>
    </w:p>
    <w:p>
      <w:pPr>
        <w:ind w:left="600" w:right="160"/>
        <w:spacing w:after="0" w:line="252" w:lineRule="auto"/>
        <w:rPr>
          <w:sz w:val="20"/>
          <w:szCs w:val="20"/>
          <w:color w:val="auto"/>
        </w:rPr>
      </w:pPr>
      <w:r>
        <w:rPr>
          <w:rFonts w:ascii="Arial" w:cs="Arial" w:eastAsia="Arial" w:hAnsi="Arial"/>
          <w:sz w:val="16"/>
          <w:szCs w:val="16"/>
          <w:color w:val="auto"/>
        </w:rPr>
        <w:t>•Using Windows to fuel our cloud business, grow our share of the PC market, and drive increased engagement with our services like Microsoft 365 Consumer, Microsoft Teams, Microsoft Edge, Bing, Xbox Game Pass, and more.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future growth depends on our ability to transcend current product category definitions, business models, and sales motions.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Social Responsibility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Commitment to Sustainability</w:t>
      </w:r>
    </w:p>
    <w:p>
      <w:pPr>
        <w:spacing w:after="0" w:line="14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Microsoft’s approach to addressing climate change starts with the sustainability of our own business. In 2020, we committed to being a carbon negative, water positive, and zero waste company by 2030.</w:t>
      </w:r>
    </w:p>
    <w:p>
      <w:pPr>
        <w:spacing w:after="0" w:line="118"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In May 2023, we released our Environmental Sustainability Report which looked back at our progress during fiscal year 2022. We continued to make progress on our goals, with our overall emissions declining by 0.5 percent. While our Scope 1 and Scope 2 emissions continued to decline, Scope 3 emissions increased by 0.5 percent. Scope 3 represented 96 percent of our total emissions, resulting primarily from the operations of our suppliers and the use of our products across our customers.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A few examples of our continued progress include: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•Signed new power purchase agreements, bringing our total portfolio of carbon-free energy to over 13.5 gigawatts.</w:t>
      </w:r>
    </w:p>
    <w:p>
      <w:pPr>
        <w:spacing w:after="0" w:line="68" w:lineRule="exact"/>
        <w:rPr>
          <w:sz w:val="20"/>
          <w:szCs w:val="20"/>
          <w:color w:val="auto"/>
        </w:rPr>
      </w:pPr>
    </w:p>
    <w:p>
      <w:pPr>
        <w:ind w:left="600" w:right="140"/>
        <w:spacing w:after="0" w:line="252" w:lineRule="auto"/>
        <w:rPr>
          <w:sz w:val="20"/>
          <w:szCs w:val="20"/>
          <w:color w:val="auto"/>
        </w:rPr>
      </w:pPr>
      <w:r>
        <w:rPr>
          <w:rFonts w:ascii="Arial" w:cs="Arial" w:eastAsia="Arial" w:hAnsi="Arial"/>
          <w:sz w:val="16"/>
          <w:szCs w:val="16"/>
          <w:color w:val="auto"/>
        </w:rPr>
        <w:t>•Contracted for water replenishment projects that are estimated to provide more than 15.6 million cubic meters in volumetric water benefit over the lifetime of these projects.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•Diverted 12,159 metric tons of solid waste from landfills and incinerators across our direct operational footprint.</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•Protected 12,270 acres of land in Belize – more than the 11,206 acres of land that we use around the world.</w:t>
      </w:r>
    </w:p>
    <w:p>
      <w:pPr>
        <w:spacing w:after="0" w:line="14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Microsoft has a role to play in developing and advancing new climate solutions, but we recognize that no solution can be offered by any single company, organization, or government. Our approach helps to support the sustainability needs of our customers and the global community. Our Microsoft Cloud for Sustainability, an environmental sustainability management platform that includes Microsoft Sustainability Manager, enables organizations to record, report, and reduce their Scope 1, 2, and 3 emissions. These digital tools can interoperate with business systems and unify data intelligence for organizations.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Addressing Racial Injustice and Inequity</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are committed to addressing racial injustice and inequity in the United States for Black and African American communities and helping improve lived experiences at Microsoft, in employees’ communities, and beyond. Our Racial Equity Initiative focuses on three multi-year pillars, each containing actions and progress we expect to make or exceed by 2025.</w:t>
      </w:r>
    </w:p>
    <w:p>
      <w:pPr>
        <w:spacing w:after="0" w:line="53" w:lineRule="exact"/>
        <w:rPr>
          <w:sz w:val="20"/>
          <w:szCs w:val="20"/>
          <w:color w:val="auto"/>
        </w:rPr>
      </w:pPr>
    </w:p>
    <w:p>
      <w:pPr>
        <w:ind w:left="600" w:right="60"/>
        <w:spacing w:after="0" w:line="252" w:lineRule="auto"/>
        <w:rPr>
          <w:sz w:val="20"/>
          <w:szCs w:val="20"/>
          <w:color w:val="auto"/>
        </w:rPr>
      </w:pPr>
      <w:r>
        <w:rPr>
          <w:rFonts w:ascii="Arial" w:cs="Arial" w:eastAsia="Arial" w:hAnsi="Arial"/>
          <w:sz w:val="16"/>
          <w:szCs w:val="16"/>
          <w:color w:val="auto"/>
        </w:rPr>
        <w:t>•Strengthening our communities: using data, technology, and partnerships to help improve the lives of Black and African American people in the United States, including our employees and their communities.</w:t>
      </w:r>
    </w:p>
    <w:p>
      <w:pPr>
        <w:spacing w:after="0" w:line="46" w:lineRule="exact"/>
        <w:rPr>
          <w:sz w:val="20"/>
          <w:szCs w:val="20"/>
          <w:color w:val="auto"/>
        </w:rPr>
      </w:pPr>
    </w:p>
    <w:p>
      <w:pPr>
        <w:ind w:left="600" w:right="460"/>
        <w:spacing w:after="0" w:line="252" w:lineRule="auto"/>
        <w:rPr>
          <w:sz w:val="20"/>
          <w:szCs w:val="20"/>
          <w:color w:val="auto"/>
        </w:rPr>
      </w:pPr>
      <w:r>
        <w:rPr>
          <w:rFonts w:ascii="Arial" w:cs="Arial" w:eastAsia="Arial" w:hAnsi="Arial"/>
          <w:sz w:val="16"/>
          <w:szCs w:val="16"/>
          <w:color w:val="auto"/>
        </w:rPr>
        <w:t>•Engaging our ecosystem: using our balance sheet and relationships with suppliers and partners to foster societal change and create new opportunities.</w:t>
      </w:r>
    </w:p>
    <w:p>
      <w:pPr>
        <w:spacing w:after="0" w:line="46" w:lineRule="exact"/>
        <w:rPr>
          <w:sz w:val="20"/>
          <w:szCs w:val="20"/>
          <w:color w:val="auto"/>
        </w:rPr>
      </w:pPr>
    </w:p>
    <w:p>
      <w:pPr>
        <w:ind w:left="600" w:right="140"/>
        <w:spacing w:after="0" w:line="252" w:lineRule="auto"/>
        <w:rPr>
          <w:sz w:val="20"/>
          <w:szCs w:val="20"/>
          <w:color w:val="auto"/>
        </w:rPr>
      </w:pPr>
      <w:r>
        <w:rPr>
          <w:rFonts w:ascii="Arial" w:cs="Arial" w:eastAsia="Arial" w:hAnsi="Arial"/>
          <w:sz w:val="16"/>
          <w:szCs w:val="16"/>
          <w:color w:val="auto"/>
        </w:rPr>
        <w:t>•Increasing representation and strengthening inclusion: building on our momentum by adding a $150 million investment to strengthen inclusion and double the number of Black, African American, Hispanic, and Latinx leaders in the United States by 2025.</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 w:name="page8"/>
    <w:bookmarkEnd w:id="7"/>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In fiscal year 2023, we collaborated with partners and worked within neighborhoods and communities to launch and scale a number of projects and programs, including:</w:t>
      </w:r>
    </w:p>
    <w:p>
      <w:pPr>
        <w:spacing w:after="0" w:line="46" w:lineRule="exact"/>
        <w:rPr>
          <w:sz w:val="20"/>
          <w:szCs w:val="20"/>
          <w:color w:val="auto"/>
        </w:rPr>
      </w:pPr>
    </w:p>
    <w:p>
      <w:pPr>
        <w:ind w:left="600" w:right="160"/>
        <w:spacing w:after="0" w:line="252" w:lineRule="auto"/>
        <w:rPr>
          <w:sz w:val="20"/>
          <w:szCs w:val="20"/>
          <w:color w:val="auto"/>
        </w:rPr>
      </w:pPr>
      <w:r>
        <w:rPr>
          <w:rFonts w:ascii="Arial" w:cs="Arial" w:eastAsia="Arial" w:hAnsi="Arial"/>
          <w:sz w:val="16"/>
          <w:szCs w:val="16"/>
          <w:color w:val="auto"/>
        </w:rPr>
        <w:t>•Working with 103 unique organizations in 165 cities and counties on our Justice Reform Initiative to empower communities and advance racial equity and fairness in the justice system.</w:t>
      </w:r>
    </w:p>
    <w:p>
      <w:pPr>
        <w:spacing w:after="0" w:line="46" w:lineRule="exact"/>
        <w:rPr>
          <w:sz w:val="20"/>
          <w:szCs w:val="20"/>
          <w:color w:val="auto"/>
        </w:rPr>
      </w:pPr>
    </w:p>
    <w:p>
      <w:pPr>
        <w:ind w:left="600" w:right="220"/>
        <w:spacing w:after="0" w:line="252" w:lineRule="auto"/>
        <w:rPr>
          <w:sz w:val="20"/>
          <w:szCs w:val="20"/>
          <w:color w:val="auto"/>
        </w:rPr>
      </w:pPr>
      <w:r>
        <w:rPr>
          <w:rFonts w:ascii="Arial" w:cs="Arial" w:eastAsia="Arial" w:hAnsi="Arial"/>
          <w:sz w:val="16"/>
          <w:szCs w:val="16"/>
          <w:color w:val="auto"/>
        </w:rPr>
        <w:t>•Increasing access to affordable broadband, devices, and digital literacy training across 14 geographies, including 11 cities and three states in the Black Rural south.</w:t>
      </w:r>
    </w:p>
    <w:p>
      <w:pPr>
        <w:spacing w:after="0" w:line="46" w:lineRule="exact"/>
        <w:rPr>
          <w:sz w:val="20"/>
          <w:szCs w:val="20"/>
          <w:color w:val="auto"/>
        </w:rPr>
      </w:pPr>
    </w:p>
    <w:p>
      <w:pPr>
        <w:ind w:left="600" w:right="60"/>
        <w:spacing w:after="0" w:line="252" w:lineRule="auto"/>
        <w:rPr>
          <w:sz w:val="20"/>
          <w:szCs w:val="20"/>
          <w:color w:val="auto"/>
        </w:rPr>
      </w:pPr>
      <w:r>
        <w:rPr>
          <w:rFonts w:ascii="Arial" w:cs="Arial" w:eastAsia="Arial" w:hAnsi="Arial"/>
          <w:sz w:val="16"/>
          <w:szCs w:val="16"/>
          <w:color w:val="auto"/>
        </w:rPr>
        <w:t>•Growing our Nonprofit Tech Acceleration for Black and African American Communities program, which uses data, technology, and partnerships to help more than 2,000 local organizations to modernize and streamline operations.</w:t>
      </w:r>
    </w:p>
    <w:p>
      <w:pPr>
        <w:spacing w:after="0" w:line="46" w:lineRule="exact"/>
        <w:rPr>
          <w:sz w:val="20"/>
          <w:szCs w:val="20"/>
          <w:color w:val="auto"/>
        </w:rPr>
      </w:pPr>
    </w:p>
    <w:p>
      <w:pPr>
        <w:ind w:left="600" w:right="40"/>
        <w:spacing w:after="0" w:line="252" w:lineRule="auto"/>
        <w:rPr>
          <w:sz w:val="20"/>
          <w:szCs w:val="20"/>
          <w:color w:val="auto"/>
        </w:rPr>
      </w:pPr>
      <w:r>
        <w:rPr>
          <w:rFonts w:ascii="Arial" w:cs="Arial" w:eastAsia="Arial" w:hAnsi="Arial"/>
          <w:sz w:val="16"/>
          <w:szCs w:val="16"/>
          <w:color w:val="auto"/>
        </w:rPr>
        <w:t>•Expanding our Technology Education and Learning Support (“TEALS”) program to reach nearly 400 high schools in 21 communities to increase computer science opportunities for Black and African American students.</w:t>
      </w:r>
    </w:p>
    <w:p>
      <w:pPr>
        <w:spacing w:after="0" w:line="118"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We exceeded our 2020 goal to double the percentage of our transaction volumes with Black- and African American-owned financial institutions by 2023. We are also increasing investment activity with Black- and African American-owned asset managers, which now represent 45 percent of our external manager group, enabling increased funds into local communities. We also met our goal of creating a $100 million program focused on mission-driven banks. We enriched our supplier pipeline, achieving our goal to spend $500 million with double the number of Black- and African American -owned suppliers. We also increased the number of identified partners in the Black Partner Growth Initiative by more than 250 percent, surpassing our initial goal.</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have made meaningful progress on representation and inclusion at Microsoft. As of June 2023, we are 93 percent of the way to our 2025 commitment to double the number of Black and African American people managers in the U.S. (below director level), and 107 percent of the way for Black and African American directors (people managers and individual contributors). We are 28 percent of the way for Hispanic and Latinx people managers (below director level) and 74 percent of the way for Hispanic and Latinx directors.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in Digital Skills</w:t>
      </w:r>
    </w:p>
    <w:p>
      <w:pPr>
        <w:spacing w:after="0" w:line="14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After helping over 80 million jobseekers around the world access digital skilling resources, we introduced a new Skills for Jobs initiative to support a more skills-based labor market, with greater flexibility and accessible learning paths to develop the right skills needed for the most in-demand jobs. Our Skills for Jobs initiative brings together learning resources, certification opportunities, and job-seeker tools from LinkedIn, GitHub, and Microsoft Learn, and is built on data insights drawn from LinkedIn’s Economic Graph.</w:t>
      </w:r>
    </w:p>
    <w:p>
      <w:pPr>
        <w:spacing w:after="0" w:line="12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We also launched a national campaign to help skill and recruit 250,000 people into the cybersecurity workforce by 2025, representing half of the country’s workforce shortage. To that end, we are making curriculum available free of charge to all of the nation’s higher education institutions, providing training for new and existing faculty, and providing scholarships and supplemental resources to 25,000 students. We have expanded the cyber skills initiative to 27 additional countries that show elevated cyberthreat risks coupled with significant gaps in their cybersecurity workforces, partnering with nonprofits and other educational institutions to train the next generation of cybersecurity workers.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Generative AI is creating unparalleled opportunities to empower workers globally, but only if everyone has the skills to use it. To address this, in June 2023 we launched a new AI Skills Initiative to help everyone learn how to harness the power of AI. This includes a new LinkedIn learning pathway offering new coursework on learning the foundations of generative AI. We also launched a new global grant challenge to uncover new ways of training workers on generative AI and are providing greater access to digital learning events and resources for everyone to improve their AI fluency.</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HUMAN CAPITAL RESOURCES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48" w:lineRule="exact"/>
        <w:rPr>
          <w:sz w:val="20"/>
          <w:szCs w:val="20"/>
          <w:color w:val="auto"/>
        </w:rPr>
      </w:pPr>
    </w:p>
    <w:p>
      <w:pPr>
        <w:jc w:val="both"/>
        <w:ind w:right="40"/>
        <w:spacing w:after="0" w:line="295" w:lineRule="auto"/>
        <w:rPr>
          <w:sz w:val="20"/>
          <w:szCs w:val="20"/>
          <w:color w:val="auto"/>
        </w:rPr>
      </w:pPr>
      <w:r>
        <w:rPr>
          <w:rFonts w:ascii="Arial" w:cs="Arial" w:eastAsia="Arial" w:hAnsi="Arial"/>
          <w:sz w:val="14"/>
          <w:szCs w:val="14"/>
          <w:color w:val="auto"/>
        </w:rPr>
        <w:t>Microsoft aims to recruit, develop, and retain world-changing talent from a diversity of backgrounds. To foster their and our success, we seek to create an environment where people can thrive and do their best work. We strive to maximize the potential of our human capital resources by creating a respectful, rewarding, and inclusive work environment that enables our global employees to create products and services that further our mission.</w:t>
      </w:r>
    </w:p>
    <w:p>
      <w:pPr>
        <w:spacing w:after="0" w:line="138"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73" w:right="640" w:bottom="1440" w:gutter="0" w:footer="0" w:header="0"/>
        </w:sectPr>
      </w:pPr>
    </w:p>
    <w:bookmarkStart w:id="8" w:name="page9"/>
    <w:bookmarkEnd w:id="8"/>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340"/>
        <w:spacing w:after="0"/>
        <w:rPr>
          <w:sz w:val="20"/>
          <w:szCs w:val="20"/>
          <w:color w:val="auto"/>
        </w:rPr>
      </w:pPr>
      <w:r>
        <w:rPr>
          <w:rFonts w:ascii="Arial" w:cs="Arial" w:eastAsia="Arial" w:hAnsi="Arial"/>
          <w:sz w:val="16"/>
          <w:szCs w:val="16"/>
          <w:color w:val="auto"/>
        </w:rPr>
        <w:t>As of June 30, 2023, we employed approximately 221,000 people on a full-time basis, 120,000 in the U.S. and 101,000 internationally. Of the total employed people, 89,000 were in operations, including manufacturing, distribution, product support, and consulting services; 72,000 were in product research and development; 45,000 were in sales and marketing; and 15,000 were in general and administration. Certain employees are subject to collective bargaining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Culture</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Microsoft’s culture is grounded in growth mindset. This means everyone is on a continuous journey to learn and grow, operating as one company instead of multiple siloed businesses.</w:t>
      </w:r>
    </w:p>
    <w:p>
      <w:pPr>
        <w:spacing w:after="0" w:line="11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Our employee listening systems enable us to gather feedback directly from our workforce to inform our programs and employee needs globally. Employees participate in our Employee Signals surveys, which cover a variety of topics such as thriving, inclusion, team culture, wellbeing, and learning and development. We also collect Daily Signals employee survey responses, giving us real-time insights into ways we can support our employees. In addition to Employee Signals and Daily Signals surveys, we gain insights through onboarding, exit surveys, internal Viva Engage channels, employee Q&amp;A sessions, and our internal AskHR Service support.</w:t>
      </w:r>
    </w:p>
    <w:p>
      <w:pPr>
        <w:spacing w:after="0" w:line="12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Diversity and inclusion are core to our business model, and we hold ourselves accountable for driving global systemic change in our workforce and creating an inclusive work environment. We support multiple highly active Employee Resource Groups for women, families, racial and ethnic minorities, military, people with disabilities, and employees who identify as LGBTQIA+, where employees can go for support, networking, and community-building. As described in our 2022 Proxy Statement, annual performance and compensation reviews of our senior leadership team include an evaluation of their contributions to employee culture and diversity. To ensure accountability over time, we publicly disclose our progress on a multitude of workforce metrics including:</w:t>
      </w:r>
    </w:p>
    <w:p>
      <w:pPr>
        <w:spacing w:after="0" w:line="58" w:lineRule="exact"/>
        <w:rPr>
          <w:sz w:val="20"/>
          <w:szCs w:val="20"/>
          <w:color w:val="auto"/>
        </w:rPr>
      </w:pPr>
    </w:p>
    <w:p>
      <w:pPr>
        <w:ind w:left="600" w:right="500"/>
        <w:spacing w:after="0" w:line="252" w:lineRule="auto"/>
        <w:rPr>
          <w:sz w:val="20"/>
          <w:szCs w:val="20"/>
          <w:color w:val="auto"/>
        </w:rPr>
      </w:pPr>
      <w:r>
        <w:rPr>
          <w:rFonts w:ascii="Arial" w:cs="Arial" w:eastAsia="Arial" w:hAnsi="Arial"/>
          <w:sz w:val="16"/>
          <w:szCs w:val="16"/>
          <w:color w:val="auto"/>
        </w:rPr>
        <w:t>•Detailed breakdowns of gender, racial, and ethnic minority representation in our employee population, with data by job types, levels, and segments of our business.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EEO-1 report (equal employment opportunity).</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•Disability representation.</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•Pay equity (see details below).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Rewards and Pay Equity</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We develop dynamic, sustainable, market-driven, and strategic programs with the goal of providing a highly differentiated portfolio to attract, reward, and retain top talent and enable our employees to thrive. These programs reinforce our culture and values such as collaboration and growth mindset. Managers evaluate and recommend rewards based on, for example, how well we leverage the work of others and contribute to the success of our colleagues. We monitor pay equity and career progress across multiple dimensions. Our total compensation opportunity is highly differentiated and is market competitive.</w:t>
      </w:r>
    </w:p>
    <w:p>
      <w:pPr>
        <w:spacing w:after="0" w:line="128"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In order to manage our costs in a dynamic, competitive environment, in fiscal year 2023 we announced that base salaries of salaried employees would remain at fiscal year 2022 levels. Pay increases continue to be available for rewards-eligible hourly and equivalent employees. We will continue our practice of investing in stock for all rewards-eligible employees, salaried and hourly, and investing in bonuses for all eligible employees.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9" w:name="page10"/>
    <w:bookmarkEnd w:id="9"/>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Since 2016, we have reported on pay equity as part of our annual Diversity and Inclusion report. In 2022, we reported that all racial and ethnic minority employees in the U.S. combined earn $1.008 for every $1.000 earned by their white counterparts, that women in the U.S. earn $1.007 for every $1.000 earned by their counterparts who are men, and that women outside the U.S. earn $1.002 for every $1.000 earned by their counterparts outside the U.S. who are men. In this year’s report, we again expanded our pay equity data beyond the U.S. to report on 61 additional countries (up from 12 last year), representing 99.8% of our global Microsoft workforce.</w:t>
      </w:r>
    </w:p>
    <w:p>
      <w:pPr>
        <w:spacing w:after="0" w:line="12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addition, we began reporting on unadjusted median pay in our annual report, comparing total pay amounts for all employees regardless of factors such as job title, level, or tenure. For employees who are eligible for rewards, the analysis showed that total pay for women is 89.6% of total pay for men in the U.S. and 86.2% outside of the U.S., and total pay for racial and ethnic minorities in the U.S. is 89.9% of total pay for white employees. As we continue to increase representation for women and racial and ethnic minorities at more senior levels, and continue to ensure pay equity for all, the gap between the medians will reduce.</w:t>
      </w:r>
    </w:p>
    <w:p>
      <w:pPr>
        <w:spacing w:after="0" w:line="12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intended result is a global performance and development approach that fosters our culture, and competitive compensation that ensures equitable pay by role while supporting pay for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Wellbeing and Hybrid Work</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Microsoft is committed to supporting our employees’ wellbeing while they are at work and in their personal lives. We have invested significantly in wellbeing, and offer a differentiated benefits package which includes many physical, emotional, and financial wellness programs including counseling through the Microsoft CARES Employee Assistance Program, mental wellbeing support, flexible fitness benefits, disability accommodations, savings and investment tools, adoption assistance, and back-up care for children and elders. Finally, our Occupational Health and Safety program helps ensure employees can stay safe while they are working.</w:t>
      </w:r>
    </w:p>
    <w:p>
      <w:pPr>
        <w:spacing w:after="0" w:line="12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introduced Hybrid Workplace Flexibility Guidance to better support leaders, managers, and employees in hybrid work scenarios. Our ongoing survey data shows that 93% of employees value the flexibility related to work location, work site, and work hours, and 78% are satisfied with the quality of connection with co -workers. There is no one-size-fits-all approach to flexible work at Microsoft. As a company, we will continue to leverage data and research to inform decision making, balancing the needs of business, team, and individual.</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Learning and Development</w:t>
      </w:r>
    </w:p>
    <w:p>
      <w:pPr>
        <w:spacing w:after="0" w:line="148" w:lineRule="exact"/>
        <w:rPr>
          <w:sz w:val="20"/>
          <w:szCs w:val="20"/>
          <w:color w:val="auto"/>
        </w:rPr>
      </w:pPr>
    </w:p>
    <w:p>
      <w:pPr>
        <w:jc w:val="both"/>
        <w:ind w:right="460"/>
        <w:spacing w:after="0" w:line="243" w:lineRule="auto"/>
        <w:rPr>
          <w:sz w:val="20"/>
          <w:szCs w:val="20"/>
          <w:color w:val="auto"/>
        </w:rPr>
      </w:pPr>
      <w:r>
        <w:rPr>
          <w:rFonts w:ascii="Arial" w:cs="Arial" w:eastAsia="Arial" w:hAnsi="Arial"/>
          <w:sz w:val="16"/>
          <w:szCs w:val="16"/>
          <w:color w:val="auto"/>
        </w:rPr>
        <w:t>We offer a range of learning opportunities, including personalized opportunities on our internal and external learning portals, in- classroom learning, required learning on compliance and company culture, on- the-job advancement opportunities, and manager coaching. We also provide customized manager learning, new employee orientation, and tools for operating in a flexible hybrid work environment.</w:t>
      </w:r>
    </w:p>
    <w:p>
      <w:pPr>
        <w:spacing w:after="0" w:line="125"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All Microsoft employees globally access our single Viva Learning tool for both required and personal choice learning. This includes courses focused on our core principles and compliance matters, such as Business Conduct, Privacy, Security Foundations, and Harassment Prevention. We also deliver skills training for employees based on their profession and role discipline.</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have over 27,000 people managers, all of whom must complete between 20-33 hours of compulsory training on leadership and management and are assigned additional targeted training on an ongoing basis related to people management, compliance, and culture.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10" w:name="page11"/>
    <w:bookmarkEnd w:id="10"/>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OPERATING SEGMENTS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operate our business and report our financial performance using three segments: Productivity and Business Processes, Intelligent Cloud, and More Personal Computing. Our segments provide management with a comprehensive financial view of our key businesses. The segments enable the alignment of strategies and objectives across the development, sales, marketing, and services organizations, and they provide a framework for timely and rational allocation of resources within businesses.</w:t>
      </w:r>
    </w:p>
    <w:p>
      <w:pPr>
        <w:spacing w:after="0" w:line="128" w:lineRule="exact"/>
        <w:rPr>
          <w:sz w:val="20"/>
          <w:szCs w:val="20"/>
          <w:color w:val="auto"/>
        </w:rPr>
      </w:pPr>
    </w:p>
    <w:p>
      <w:pPr>
        <w:ind w:right="820"/>
        <w:spacing w:after="0" w:line="252" w:lineRule="auto"/>
        <w:rPr>
          <w:sz w:val="20"/>
          <w:szCs w:val="20"/>
          <w:color w:val="auto"/>
        </w:rPr>
      </w:pPr>
      <w:r>
        <w:rPr>
          <w:rFonts w:ascii="Arial" w:cs="Arial" w:eastAsia="Arial" w:hAnsi="Arial"/>
          <w:sz w:val="16"/>
          <w:szCs w:val="16"/>
          <w:color w:val="auto"/>
        </w:rPr>
        <w:t>Additional information on our operating segments and geographic and product information is contained in Note 19 – Segment Information and Geographic Data of the Notes to Financial Statements (Part II, Item 8 of this Form 10-K).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described below.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Productivity and Business Processes</w:t>
      </w:r>
    </w:p>
    <w:p>
      <w:pPr>
        <w:spacing w:after="0" w:line="148"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6" w:lineRule="exact"/>
        <w:rPr>
          <w:sz w:val="20"/>
          <w:szCs w:val="20"/>
          <w:color w:val="auto"/>
        </w:rPr>
      </w:pPr>
    </w:p>
    <w:p>
      <w:pPr>
        <w:ind w:left="600" w:right="160"/>
        <w:spacing w:after="0" w:line="243" w:lineRule="auto"/>
        <w:rPr>
          <w:sz w:val="20"/>
          <w:szCs w:val="20"/>
          <w:color w:val="auto"/>
        </w:rPr>
      </w:pPr>
      <w:r>
        <w:rPr>
          <w:rFonts w:ascii="Arial" w:cs="Arial" w:eastAsia="Arial" w:hAnsi="Arial"/>
          <w:sz w:val="16"/>
          <w:szCs w:val="16"/>
          <w:color w:val="auto"/>
        </w:rPr>
        <w:t>•Office Commercial (Office 365 subscriptions, the Office 365 portion of Microsoft 365 Commercial subscriptions, and Office licensed on-premises), comprising Office, Exchange, SharePoint, Microsoft Teams, Office 365 Security and Compliance, Microsoft Viva, and Microsoft 365 Copilot.</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•Office Consumer, including Microsoft 365 Consumer subscriptions, Office licensed on-premises, and other Office services.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•LinkedIn, including Talent Solutions, Marketing Solutions, Premium Subscriptions, and Sales Solutions.</w:t>
      </w:r>
    </w:p>
    <w:p>
      <w:pPr>
        <w:spacing w:after="0" w:line="68" w:lineRule="exact"/>
        <w:rPr>
          <w:sz w:val="20"/>
          <w:szCs w:val="20"/>
          <w:color w:val="auto"/>
        </w:rPr>
      </w:pPr>
    </w:p>
    <w:p>
      <w:pPr>
        <w:ind w:left="600" w:right="260"/>
        <w:spacing w:after="0" w:line="252" w:lineRule="auto"/>
        <w:rPr>
          <w:sz w:val="20"/>
          <w:szCs w:val="20"/>
          <w:color w:val="auto"/>
        </w:rPr>
      </w:pPr>
      <w:r>
        <w:rPr>
          <w:rFonts w:ascii="Arial" w:cs="Arial" w:eastAsia="Arial" w:hAnsi="Arial"/>
          <w:sz w:val="16"/>
          <w:szCs w:val="16"/>
          <w:color w:val="auto"/>
        </w:rPr>
        <w:t>•Dynamics business solutions, including Dynamics 365, comprising a set of intelligent, cloud-based applications across ERP, CRM (including Customer Insights), Power Apps, and Power Automate; and on-premises ERP and CRM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Office Commercial</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Office Commercial is designed to increase personal, team, and organizational productivity through a range of products and services. Growth depends on our ability to reach new users in new markets such as frontline workers, small and medium businesses, and growth markets, as well as add value to our core product and service offerings to span productivity categories such as communication, collaboration, analytics, security, and compliance. Office Commercial revenue is mainly affected by a combination of continued installed base growth and average revenue per user expansion, as well as the continued shift from Office licensed on-premises to Office 365.</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Office Consumer</w:t>
      </w:r>
    </w:p>
    <w:p>
      <w:pPr>
        <w:spacing w:after="0" w:line="14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Office Consumer is designed to increase personal productivity and creativity through a range of products and services. Growth depends on our ability to reach new users, add value to our core product set, and continue to expand our product and service offerings into new markets. Office Consumer revenue is mainly affected by the percentage of customers that buy Office with their new devices and the continued shift from Office licensed on-premises to Microsoft 365 Consumer subscriptions. Office Consumer Services revenue is mainly affected by the demand for communication and storage through Skype, Outlook.com, and OneDrive, which is largely driven by subscriptions, advertising, and the sale of minutes.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11" w:name="page12"/>
    <w:bookmarkEnd w:id="11"/>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LinkedIn</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LinkedIn connects the world’s professionals to make them more productive and successful and transforms the way companies hire, market, sell, and learn. Our vision is to create economic opportunity for every member of the global workforce through the ongoing development of the world’s first Economic Graph, a digital representation of the global economy. In addition to LinkedIn’s free services, LinkedIn offers monetized solutions: Talent Solutions, Marketing Solutions, Premium Subscriptions, and Sales Solutions. Talent Solutions provide insights for workforce planning and tools to hire, nurture, and develop talent. Talent Solutions also includes Learning Solutions, which help businesses close critical skills gaps in times where companies are having to do more with existing talent. Marketing Solutions help companies reach, engage, and convert their audiences at scale. Premium Subscriptions enable professionals to manage their professional identity, grow their network, find jobs, and connect with talent through additional services like premium search. Sales Solutions help companies strengthen customer relationships, empower teams with digital selling tools, and acquire new opportunities. LinkedIn has over 950 million members and has offices around the globe. Growth will depend on our ability to increase the number of LinkedIn members and our ability to continue offering services that provide value for our members and increase their engagement. LinkedIn revenue is mainly affected by demand from enterprises and professional organizations for subscriptions to Talent Solutions, Sales Solutions, and Premium Subscriptions offerings, as well as member engagement and the quality of the sponsored content delivered to those members to drive Marketing Solutions.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Dynamics</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Dynamics provides cloud- based and on-premises business solutions for financial management, enterprise resource planning (“ERP”), customer relationship management (“CRM”), supply chain management, and other application development platforms for small and medium businesses, large organizations, and divisions of global enterprises. Dynamics revenue is driven by the number of users licensed and applications consumed, expansion of average revenue per user, and the continued shift to Dynamics 365, a unified set of cloud-based intelligent business applications, including Power Apps and Power Automate.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46"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Competitors to Office include software and global application vendors, such as Apple, Cisco Systems, Meta, Google, Okta, Proofpoint, Slack, Symantec, Zoom, and numerous web -based and mobile application competitors as well as local application developers. Apple distributes versions of its pre-installed application software, such as email and calendar products, through its PCs, tablets, and phones. Cisco Systems is using its position in enterprise communications equipment to grow its unified communications business. Meta offers communication tools to enable productivity and engagement within organizations. Google provides a hosted messaging and productivity suite. Slack provides teamwork and collaboration software. Zoom offers videoconferencing and cloud phone solutions. Okta, Proofpoint, and Symantec provide security solutions across email security, information protection, identity, and governance. Web-based offerings competing with individual applications have also positioned themselves as alternatives to our products and services. We compete by providing powerful, flexible, secure, integrated industry-specific, and easy-to -use productivity and collaboration tools and services that create comprehensive solutions and work well with technologies our customers already have both on-premises or in the cloud.</w:t>
      </w:r>
    </w:p>
    <w:p>
      <w:pPr>
        <w:spacing w:after="0" w:line="104" w:lineRule="exact"/>
        <w:rPr>
          <w:sz w:val="20"/>
          <w:szCs w:val="20"/>
          <w:color w:val="auto"/>
        </w:rPr>
      </w:pPr>
    </w:p>
    <w:p>
      <w:pPr>
        <w:ind w:right="60"/>
        <w:spacing w:after="0"/>
        <w:rPr>
          <w:sz w:val="20"/>
          <w:szCs w:val="20"/>
          <w:color w:val="auto"/>
        </w:rPr>
      </w:pPr>
      <w:r>
        <w:rPr>
          <w:rFonts w:ascii="Arial" w:cs="Arial" w:eastAsia="Arial" w:hAnsi="Arial"/>
          <w:sz w:val="16"/>
          <w:szCs w:val="16"/>
          <w:color w:val="auto"/>
        </w:rPr>
        <w:t>LinkedIn faces competition from online professional networks, recruiting companies, talent management companies, and larger companies that are focusing on talent management and human resource services; job boards; traditional recruiting firms; and companies that provide learning and development products and services. Marketing Solutions competes with online and offline outlets that generate revenue from advertisers and marketers, and Sales Solutions competes with online and offline outlets for companies with lead generation and customer intelligence and insights.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Dynamics competes with cloud-based and on-premises business solution providers such as Oracle, Salesforce, and SAP.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12" w:name="page13"/>
    <w:bookmarkEnd w:id="12"/>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Intelligent Cloud</w:t>
      </w:r>
    </w:p>
    <w:p>
      <w:pPr>
        <w:spacing w:after="0" w:line="148"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Our Intelligent Cloud segment consists of our public, private, and hybrid server products and cloud services that can power modern business and developers. This segment primarily comprises:</w:t>
      </w:r>
    </w:p>
    <w:p>
      <w:pPr>
        <w:spacing w:after="0" w:line="46"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•Server products and cloud services, including Azure and other cloud services; SQL Server, Windows Server, Visual Studio, System Center, and related Client Access Licenses (“CALs”); and Nuance and GitHub.</w:t>
      </w:r>
    </w:p>
    <w:p>
      <w:pPr>
        <w:spacing w:after="0" w:line="46" w:lineRule="exact"/>
        <w:rPr>
          <w:sz w:val="20"/>
          <w:szCs w:val="20"/>
          <w:color w:val="auto"/>
        </w:rPr>
      </w:pPr>
    </w:p>
    <w:p>
      <w:pPr>
        <w:ind w:left="600" w:right="800"/>
        <w:spacing w:after="0" w:line="252" w:lineRule="auto"/>
        <w:rPr>
          <w:sz w:val="20"/>
          <w:szCs w:val="20"/>
          <w:color w:val="auto"/>
        </w:rPr>
      </w:pPr>
      <w:r>
        <w:rPr>
          <w:rFonts w:ascii="Arial" w:cs="Arial" w:eastAsia="Arial" w:hAnsi="Arial"/>
          <w:sz w:val="16"/>
          <w:szCs w:val="16"/>
          <w:color w:val="auto"/>
        </w:rPr>
        <w:t>•Enterprise Services, including Enterprise Support Services, Industry Solutions (formerly Microsoft Consulting Services</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Nuance professional services.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Server Products and Cloud Services</w:t>
      </w:r>
    </w:p>
    <w:p>
      <w:pPr>
        <w:spacing w:after="0" w:line="148"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Azure is a comprehensive set of cloud services that offer developers, IT professionals, and enterprises freedom to build, deploy, and manage applications on any platform or device. Customers can use Azure through our global network of datacenters for computing, networking, storage, mobile and web application services, AI, IoT, cognitive services, and machine learning. Azure enables customers to devote more resources to development and use of applications that benefit their organizations, rather than managing on-premises hardware and software. Azure revenue is mainly affected by infrastructure-as-a-service and platform-as-a-service consumption-based services, and per user-based services such as Enterprise Mobility + Security.</w:t>
      </w:r>
    </w:p>
    <w:p>
      <w:pPr>
        <w:spacing w:after="0" w:line="102"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Azure AI offerings provide a competitive advantage as companies seek ways to optimize and scale their business with machine learning. Azure’s purpose-built, AI -optimized infrastructure allows advanced models, including GPT-4 services designed for developers and data scientists, to do more with less. Customers can integrate large language models and develop the next generation of AI apps and services.</w:t>
      </w:r>
    </w:p>
    <w:p>
      <w:pPr>
        <w:spacing w:after="0" w:line="12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server products are designed to make IT professionals, developers, and their systems more productive and efficient. Server software is integrated server infrastructure and middleware designed to support software applications built on the Windows Server operating system. This includes the server platform, database, business intelligence, storage, management and operations, virtualization, service-oriented architecture platform, security, and identity software. We also license standalone and software development lifecycle tools for software architects, developers, testers, and project managers. Server products revenue is mainly affected by purchases through volume licensing programs, licenses sold to original equipment manufacturers (“OEM”), and retail packaged products. CALs provide access rights to certain server products, including SQL Server and Windows Server, and revenue is reported along with the associated server product.</w:t>
      </w:r>
    </w:p>
    <w:p>
      <w:pPr>
        <w:spacing w:after="0" w:line="127" w:lineRule="exact"/>
        <w:rPr>
          <w:sz w:val="20"/>
          <w:szCs w:val="20"/>
          <w:color w:val="auto"/>
        </w:rPr>
      </w:pPr>
    </w:p>
    <w:p>
      <w:pPr>
        <w:ind w:right="800"/>
        <w:spacing w:after="0" w:line="252" w:lineRule="auto"/>
        <w:rPr>
          <w:sz w:val="20"/>
          <w:szCs w:val="20"/>
          <w:color w:val="auto"/>
        </w:rPr>
      </w:pPr>
      <w:r>
        <w:rPr>
          <w:rFonts w:ascii="Arial" w:cs="Arial" w:eastAsia="Arial" w:hAnsi="Arial"/>
          <w:sz w:val="16"/>
          <w:szCs w:val="16"/>
          <w:color w:val="auto"/>
        </w:rPr>
        <w:t>Nuance and GitHub include both cloud and on-premises offerings. Nuance provides healthcare and enterprise AI solutions. GitHub provides a collaboration platform and code hosting service for developers.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Enterprise Services</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Enterprise Services, including Enterprise Support Services, Industry Solutions, and Nuance Professional Services, assist customers in developing, deploying, and managing Microsoft server solutions, Microsoft desktop solutions, and Nuance conversational AI and ambient intelligent solutions, along with providing training and certification to developers and IT professionals on various Microsoft products.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46"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Azure faces diverse competition from companies such as Amazon, Google, IBM, Oracle, VMware, and open source offerings. Azure’s competitive advantage includes enabling a hybrid cloud, allowing deployment of existing datacenters with our public cloud into a single, cohesive infrastructure, and the ability to run at a scale that meets the needs of businesses of all sizes and complexities. Our AI offerings compete with AI products from hyperscalers such as Amazon Bedrock, Amazon CodeWhisperer, and Google AI, as well as products from other emerging competitors, many of which are also current or potential partners, including Meta’s LLaMA2 and other open source solutions. Our Enterprise Mobility + Security offerings also compete with products from a range of competitors including identity vendors, security solution vendors, and numerous other security point solution vendors. We believe our cloud’s global scale, coupled with our broad portfolio of identity and security solutions, allows us to effectively solve complex cybersecurity challenges for our customers and differentiates us from the competition.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13" w:name="page14"/>
    <w:bookmarkEnd w:id="13"/>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Our server products face competition from a wide variety of server operating systems and applications offered by companies with a range of market approaches. Vertically integrated computer manufacturers such as Hewlett- Packard, IBM, and Oracle offer their own versions of the Unix operating system preinstalled on server hardware. Nearly all computer manufacturers offer server hardware for the Linux operating system</w:t>
      </w:r>
      <w:r>
        <w:rPr>
          <w:rFonts w:ascii="Arial" w:cs="Arial" w:eastAsia="Arial" w:hAnsi="Arial"/>
          <w:sz w:val="14"/>
          <w:szCs w:val="14"/>
          <w:u w:val="single" w:color="auto"/>
          <w:color w:val="auto"/>
        </w:rPr>
        <w:t>,</w:t>
      </w:r>
      <w:r>
        <w:rPr>
          <w:rFonts w:ascii="Arial" w:cs="Arial" w:eastAsia="Arial" w:hAnsi="Arial"/>
          <w:sz w:val="14"/>
          <w:szCs w:val="14"/>
          <w:color w:val="auto"/>
        </w:rPr>
        <w:t xml:space="preserve"> and many contribute to Linux operating system development. The competitive position of Linux has also benefited from the large number of compatible applications now produced by many commercial and non-commercial software developers. A number of companies, such as Red Hat, supply versions of Linux.</w:t>
      </w:r>
    </w:p>
    <w:p>
      <w:pPr>
        <w:spacing w:after="0" w:line="102"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We compete to provide enterprise -wide computing solutions and point solutions with numerous commercial software vendors that offer solutions and middleware technology platforms, software applications for connectivity (both Internet and intranet), security, hosting, database, and e-business servers. IBM and Oracle lead a group of companies focused on the Java Platform Enterprise Edition that competes with our enterprise-wide computing solutions. Commercial competitors for our server applications for PC-based distributed client-server environments include CA Technologies, IBM, and Oracle. Our web application platform software competes with open source software such as Apache, Linux, MySQL, and PHP. In middleware, we compete against Java vendors.</w:t>
      </w:r>
    </w:p>
    <w:p>
      <w:pPr>
        <w:spacing w:after="0" w:line="130"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Our database, business intelligence, and data warehousing solutions offerings compete with products from IBM, Oracle, SAP, Snowflake, and other companies. Our system management solutions compete with server management and server virtualization platform providers, such as BMC, CA Technologies, Hewlett-Packard, IBM, and VMware. Our products for software developers compete against offerings from Adobe, IBM, Oracle, and other companies, and also against open source projects, including Eclipse (sponsored by CA Technologies, IBM, Oracle, and SAP), PHP, and Ruby on Rails.</w:t>
      </w:r>
    </w:p>
    <w:p>
      <w:pPr>
        <w:spacing w:after="0" w:line="97"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We believe our server products provide customers with advantages in performance, total costs of ownership, and productivity by delivering superior applications, development tools, compatibility with a broad base of hardware and software applications, security, and manageability.</w:t>
      </w:r>
    </w:p>
    <w:p>
      <w:pPr>
        <w:spacing w:after="0" w:line="11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Our Enterprise Services business competes with a wide range of companies that provide strategy and business planning, application development, and infrastructure services, including multinational consulting firms and small niche businesses focused on specific technologies.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More Personal Computing</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Our More Personal Computing segment consists of products and services that put customers at the center of the experience with our technology. This segment primarily comprises:</w:t>
      </w:r>
    </w:p>
    <w:p>
      <w:pPr>
        <w:spacing w:after="0" w:line="46" w:lineRule="exact"/>
        <w:rPr>
          <w:sz w:val="20"/>
          <w:szCs w:val="20"/>
          <w:color w:val="auto"/>
        </w:rPr>
      </w:pPr>
    </w:p>
    <w:p>
      <w:pPr>
        <w:ind w:left="600" w:right="40"/>
        <w:spacing w:after="0" w:line="243" w:lineRule="auto"/>
        <w:rPr>
          <w:sz w:val="20"/>
          <w:szCs w:val="20"/>
          <w:color w:val="auto"/>
        </w:rPr>
      </w:pPr>
      <w:r>
        <w:rPr>
          <w:rFonts w:ascii="Arial" w:cs="Arial" w:eastAsia="Arial" w:hAnsi="Arial"/>
          <w:sz w:val="16"/>
          <w:szCs w:val="16"/>
          <w:color w:val="auto"/>
        </w:rPr>
        <w:t>•Windows, including Windows OEM licensing (“Windows OEM”) and other non-volume licensing of the Windows operating system; Windows Commercial, comprising volume licensing of the Windows operating system, Windows cloud services, and other Windows commercial offerings; patent licensing; and Windows IoT.</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•Devices, including Surface, HoloLens, and PC accessories.</w:t>
      </w:r>
    </w:p>
    <w:p>
      <w:pPr>
        <w:spacing w:after="0" w:line="68" w:lineRule="exact"/>
        <w:rPr>
          <w:sz w:val="20"/>
          <w:szCs w:val="20"/>
          <w:color w:val="auto"/>
        </w:rPr>
      </w:pPr>
    </w:p>
    <w:p>
      <w:pPr>
        <w:ind w:left="600" w:right="440"/>
        <w:spacing w:after="0" w:line="322" w:lineRule="auto"/>
        <w:rPr>
          <w:sz w:val="20"/>
          <w:szCs w:val="20"/>
          <w:color w:val="auto"/>
        </w:rPr>
      </w:pPr>
      <w:r>
        <w:rPr>
          <w:rFonts w:ascii="Arial" w:cs="Arial" w:eastAsia="Arial" w:hAnsi="Arial"/>
          <w:sz w:val="14"/>
          <w:szCs w:val="14"/>
          <w:color w:val="auto"/>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ind w:left="600"/>
        <w:spacing w:after="0"/>
        <w:rPr>
          <w:sz w:val="20"/>
          <w:szCs w:val="20"/>
          <w:color w:val="auto"/>
        </w:rPr>
      </w:pPr>
      <w:r>
        <w:rPr>
          <w:rFonts w:ascii="Arial" w:cs="Arial" w:eastAsia="Arial" w:hAnsi="Arial"/>
          <w:sz w:val="16"/>
          <w:szCs w:val="16"/>
          <w:color w:val="auto"/>
        </w:rPr>
        <w:t>•Search and news advertising, comprising Bing (including Bing Chat), Microsoft News, Microsoft Edge, and third-party affiliates.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Windows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Windows operating system is designed to deliver a more personal computing experience for users by enabling consistency of experience, applications, and information across their devices. Windows OEM revenue is impacted significantly by the number of Windows operating system licenses purchased by OEMs, which they pre-install on the devices they sell. In addition to computing device market volume, Windows OEM revenue is impacted by:</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mix of computing devices based on form factor and screen size.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•Differences in device market demand between developed markets and growth markets.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•Attachment of Windows to devices shipped.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14" w:name="page15"/>
    <w:bookmarkEnd w:id="14"/>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•Customer mix between consumer, small and medium businesses, and large enterprises.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•Changes in inventory levels in the OEM channel.</w:t>
      </w:r>
    </w:p>
    <w:p>
      <w:pPr>
        <w:spacing w:after="0" w:line="68" w:lineRule="exact"/>
        <w:rPr>
          <w:sz w:val="20"/>
          <w:szCs w:val="20"/>
          <w:color w:val="auto"/>
        </w:rPr>
      </w:pPr>
    </w:p>
    <w:p>
      <w:pPr>
        <w:ind w:left="600" w:right="460"/>
        <w:spacing w:after="0" w:line="252" w:lineRule="auto"/>
        <w:rPr>
          <w:sz w:val="20"/>
          <w:szCs w:val="20"/>
          <w:color w:val="auto"/>
        </w:rPr>
      </w:pPr>
      <w:r>
        <w:rPr>
          <w:rFonts w:ascii="Arial" w:cs="Arial" w:eastAsia="Arial" w:hAnsi="Arial"/>
          <w:sz w:val="16"/>
          <w:szCs w:val="16"/>
          <w:color w:val="auto"/>
        </w:rPr>
        <w:t>•Pricing changes and promotions, pricing variation that occurs when the mix of devices manufactured shifts from local and regional system builders to large multinational OEMs, and different pricing of Windows versions licensed.</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•Constraints in the supply chain of device components.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•Piracy.</w:t>
      </w:r>
    </w:p>
    <w:p>
      <w:pPr>
        <w:spacing w:after="0" w:line="140" w:lineRule="exact"/>
        <w:rPr>
          <w:sz w:val="20"/>
          <w:szCs w:val="20"/>
          <w:color w:val="auto"/>
        </w:rPr>
      </w:pPr>
    </w:p>
    <w:p>
      <w:pPr>
        <w:ind w:right="360"/>
        <w:spacing w:after="0"/>
        <w:rPr>
          <w:sz w:val="20"/>
          <w:szCs w:val="20"/>
          <w:color w:val="auto"/>
        </w:rPr>
      </w:pPr>
      <w:r>
        <w:rPr>
          <w:rFonts w:ascii="Arial" w:cs="Arial" w:eastAsia="Arial" w:hAnsi="Arial"/>
          <w:sz w:val="16"/>
          <w:szCs w:val="16"/>
          <w:color w:val="auto"/>
        </w:rPr>
        <w:t>Windows Commercial revenue, which includes volume licensing of the Windows operating system and Windows cloud services such as Microsoft Defender for Endpoint, is affected mainly by the demand from commercial customers for volume licensing and Software Assurance (“SA”), as well as advanced security offerings. Windows Commercial revenue often reflects the number of information workers in a licensed enterprise and is relatively independent of the number of PCs sold in a given year.</w:t>
      </w:r>
    </w:p>
    <w:p>
      <w:pPr>
        <w:spacing w:after="0" w:line="12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Patent licensing includes our programs to license patents we own for use across a broad array of technology areas, including mobile devices and cloud offerings.</w:t>
      </w:r>
    </w:p>
    <w:p>
      <w:pPr>
        <w:spacing w:after="0" w:line="11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Windows IoT extends the power of Windows and the cloud to intelligent systems by delivering specialized operating systems, tools, and services for use in embedded devices.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Devices</w:t>
      </w:r>
    </w:p>
    <w:p>
      <w:pPr>
        <w:spacing w:after="0" w:line="148"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We design and sell devices, including Surface, HoloLens, and PC accessories. Our devices are designed to enable people and organizations to connect to the people and content that matter most using Windows and integrated Microsoft products and services. Surface is designed to help organizations, students, and consumers be more productive. Growth in Devices is dependent on total PC shipments, the ability to attract new customers, our product roadmap, and expanding into new categories.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Gaming</w:t>
      </w:r>
    </w:p>
    <w:p>
      <w:pPr>
        <w:spacing w:after="0" w:line="14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Our gaming platform is designed to provide a variety of entertainment through a unique combination of content, community, and cloud services. Our exclusive game content is created through Xbox Game Studios, a collection of first- party studios creating iconic and differentiated gaming experiences. We continue to invest in new gaming studios and content to expand our intellectual property roadmap and leverage new content creators. These unique gaming experiences are the cornerstone of Xbox Game Pass, a subscription service and gaming community with access to a curated library of over 400 first- and third-party console and PC titles.</w:t>
      </w:r>
    </w:p>
    <w:p>
      <w:pPr>
        <w:spacing w:after="0" w:line="128" w:lineRule="exact"/>
        <w:rPr>
          <w:sz w:val="20"/>
          <w:szCs w:val="20"/>
          <w:color w:val="auto"/>
        </w:rPr>
      </w:pPr>
    </w:p>
    <w:p>
      <w:pPr>
        <w:jc w:val="both"/>
        <w:ind w:right="280"/>
        <w:spacing w:after="0"/>
        <w:rPr>
          <w:sz w:val="20"/>
          <w:szCs w:val="20"/>
          <w:color w:val="auto"/>
        </w:rPr>
      </w:pPr>
      <w:r>
        <w:rPr>
          <w:rFonts w:ascii="Arial" w:cs="Arial" w:eastAsia="Arial" w:hAnsi="Arial"/>
          <w:sz w:val="16"/>
          <w:szCs w:val="16"/>
          <w:color w:val="auto"/>
        </w:rPr>
        <w:t>The gamer remains at the heart of the Xbox ecosystem. We are identifying new opportunities to attract gamers across a variety of different end points through our first- and third- party content and business diversification across subscriptions, ads, and digital stores. We’ve seen new devices from third-party manufacturers along with key PC and mobile end points that help us empower gamers to play in a way that is most convenient to them. We are focused on growing the platform and expanding to new ecosystems to engage as many gamers as possible.</w:t>
      </w:r>
    </w:p>
    <w:p>
      <w:pPr>
        <w:spacing w:after="0" w:line="12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Xbox enables people to connect and share online gaming experiences that are accessible on Xbox consoles, Windows-enabled devices, and other devices. Xbox is designed to benefit users by providing access to a network of certified applications and services and to benefit our developer and partner ecosystems by providing access to a large customer base. Xbox revenue is mainly affected by subscriptions and sales of first- and third-party content, as well as advertising. Growth of our Gaming business is determined by the overall active user base through Xbox enabled content, availability of games, providing exclusive game content that gamers seek, the computational power and reliability of the devices used to access our content and services, and the ability to create new experiences through first-party content creators.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73" w:right="640" w:bottom="1440" w:gutter="0" w:footer="0" w:header="0"/>
        </w:sectPr>
      </w:pPr>
    </w:p>
    <w:bookmarkStart w:id="15" w:name="page16"/>
    <w:bookmarkEnd w:id="15"/>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Search and News Advertising</w:t>
      </w:r>
    </w:p>
    <w:p>
      <w:pPr>
        <w:spacing w:after="0" w:line="14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Our Search and news advertising business is designed to deliver relevant search, native, and display advertising to a global audience. Our Microsoft Edge browser and Bing Chat capabilities are key tools to enable user acquisition and engagement, while our technology platform enables accelerated delivery of digital advertising solutions. In addition to first -party tools, we have several partnerships with companies, such as Yahoo, through which we provide and monetize search offerings. Growth depends on our ability to attract new users, understand intent, and match intent with relevant content on advertising offerings.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Competition</w:t>
      </w:r>
    </w:p>
    <w:p>
      <w:pPr>
        <w:spacing w:after="0" w:line="146"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color w:val="auto"/>
        </w:rPr>
        <w:t>Windows faces competition from various software products and from alternative platforms and devices, mainly from Apple and Google. We believe Windows competes effectively by giving customers choice, value, flexibility, security, an easy-to-use interface, and compatibility with a broad range of hardware and software applications, including those that enable productivity.</w:t>
      </w:r>
    </w:p>
    <w:p>
      <w:pPr>
        <w:spacing w:after="0" w:line="125" w:lineRule="exact"/>
        <w:rPr>
          <w:sz w:val="20"/>
          <w:szCs w:val="20"/>
          <w:color w:val="auto"/>
        </w:rPr>
      </w:pPr>
    </w:p>
    <w:p>
      <w:pPr>
        <w:ind w:right="280"/>
        <w:spacing w:after="0" w:line="243" w:lineRule="auto"/>
        <w:rPr>
          <w:sz w:val="20"/>
          <w:szCs w:val="20"/>
          <w:color w:val="auto"/>
        </w:rPr>
      </w:pPr>
      <w:r>
        <w:rPr>
          <w:rFonts w:ascii="Arial" w:cs="Arial" w:eastAsia="Arial" w:hAnsi="Arial"/>
          <w:sz w:val="16"/>
          <w:szCs w:val="16"/>
          <w:color w:val="auto"/>
        </w:rPr>
        <w:t>Devices face competition from various computer, tablet, and hardware manufacturers who offer a unique combination of high-quality industrial design and innovative technologies across various price points. These manufacturers, many of which are also current or potential partners and customers, include Apple and our Windows OEMs.</w:t>
      </w:r>
    </w:p>
    <w:p>
      <w:pPr>
        <w:spacing w:after="0" w:line="125"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Xbox and our cloud gaming services face competition from various online gaming ecosystems and game streaming services, including those operated by Amazon, Apple, Meta, and Tencent. We also compete with other providers of entertainment services such as video streaming platforms. Our gaming platform competes with console platforms from Nintendo and Sony, both of which have a large, established base of customers. We believe our gaming platform is effectively positioned against, and uniquely differentiated from, competitive products and services based on significant innovation in hardware architecture, user interface, developer tools, online gaming and entertainment services, and continued strong exclusive content from our own first-party game franchises as well as other digital content offerings.</w:t>
      </w:r>
    </w:p>
    <w:p>
      <w:pPr>
        <w:spacing w:after="0" w:line="130"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Our Search and news advertising business competes with Google and a wide array of websites, social platforms like Meta, and portals that provide content and online offerings to end users.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OPERATIONS</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We have regional operations service centers that support our operations, including customer contract and order processing, billing, credit and collections, information processing, and vendor management and logistics. The center in Ireland supports the African, Asia-Pacific, European, and Middle East regions; and the centers in Arlington, Virginia, Atlanta, Georgia, Charlotte, North Carolina, Fargo, North Dakota, Fort Lauderdale, Florida, Redmond, Washington, Reno, Nevada, and Puerto Rico support the American regions.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operations centers, we also operate datacenters throughout each of these regions.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w:t>
      </w:r>
    </w:p>
    <w:p>
      <w:pPr>
        <w:spacing w:after="0" w:line="12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16" w:name="page17"/>
    <w:bookmarkEnd w:id="16"/>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92" w:lineRule="exact"/>
        <w:rPr>
          <w:sz w:val="20"/>
          <w:szCs w:val="20"/>
          <w:color w:val="auto"/>
        </w:rPr>
      </w:pPr>
    </w:p>
    <w:p>
      <w:pPr>
        <w:ind w:left="4060"/>
        <w:spacing w:after="0"/>
        <w:rPr>
          <w:sz w:val="20"/>
          <w:szCs w:val="20"/>
          <w:color w:val="auto"/>
        </w:rPr>
      </w:pPr>
      <w:r>
        <w:rPr>
          <w:rFonts w:ascii="Arial" w:cs="Arial" w:eastAsia="Arial" w:hAnsi="Arial"/>
          <w:sz w:val="16"/>
          <w:szCs w:val="16"/>
          <w:u w:val="single" w:color="auto"/>
          <w:color w:val="auto"/>
        </w:rPr>
        <w:t>RESEARCH AND DEVELOPMENT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and Service Development, and Intellectual Property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We develop most of our products and services internally through the following engineering groups.</w:t>
      </w:r>
    </w:p>
    <w:p>
      <w:pPr>
        <w:spacing w:after="0" w:line="62" w:lineRule="exact"/>
        <w:rPr>
          <w:sz w:val="20"/>
          <w:szCs w:val="20"/>
          <w:color w:val="auto"/>
        </w:rPr>
      </w:pPr>
    </w:p>
    <w:p>
      <w:pPr>
        <w:ind w:left="600" w:right="160"/>
        <w:spacing w:after="0" w:line="299"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Cloud and AI</w:t>
      </w:r>
      <w:r>
        <w:rPr>
          <w:rFonts w:ascii="Arial" w:cs="Arial" w:eastAsia="Arial" w:hAnsi="Arial"/>
          <w:sz w:val="14"/>
          <w:szCs w:val="14"/>
          <w:color w:val="auto"/>
        </w:rPr>
        <w:t xml:space="preserve"> – focuses on making IT professionals, developers, partners, independent software vendors, and their systems more productive and efficient through development of Azure AI platform and cloud infrastructure, server, database, CRM, ERP, software development tools and services (including GitHub), AI cognitive services, and other business process applications and services for enterprises.</w:t>
      </w:r>
    </w:p>
    <w:p>
      <w:pPr>
        <w:spacing w:after="0" w:line="10" w:lineRule="exact"/>
        <w:rPr>
          <w:sz w:val="20"/>
          <w:szCs w:val="20"/>
          <w:color w:val="auto"/>
        </w:rPr>
      </w:pPr>
    </w:p>
    <w:p>
      <w:pPr>
        <w:ind w:left="600" w:right="40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Strategic Missions and Technologies</w:t>
      </w:r>
      <w:r>
        <w:rPr>
          <w:rFonts w:ascii="Arial" w:cs="Arial" w:eastAsia="Arial" w:hAnsi="Arial"/>
          <w:sz w:val="16"/>
          <w:szCs w:val="16"/>
          <w:color w:val="auto"/>
        </w:rPr>
        <w:t xml:space="preserve"> – focuses on incubating technical products and support solutions with transformative potential for the future of cloud computing and continued company growth across quantum computing, Azure Space &amp; Missions Engineering, telecommunications, and Microsoft Federal Sales and Delivery.</w:t>
      </w:r>
    </w:p>
    <w:p>
      <w:pPr>
        <w:spacing w:after="0" w:line="44" w:lineRule="exact"/>
        <w:rPr>
          <w:sz w:val="20"/>
          <w:szCs w:val="20"/>
          <w:color w:val="auto"/>
        </w:rPr>
      </w:pPr>
    </w:p>
    <w:p>
      <w:pPr>
        <w:ind w:left="600" w:right="42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Experiences and Devices</w:t>
      </w:r>
      <w:r>
        <w:rPr>
          <w:rFonts w:ascii="Arial" w:cs="Arial" w:eastAsia="Arial" w:hAnsi="Arial"/>
          <w:sz w:val="16"/>
          <w:szCs w:val="16"/>
          <w:color w:val="auto"/>
        </w:rPr>
        <w:t xml:space="preserve"> – focuses on delivering high value end-user experiences across our products, services, and devices, including Microsoft 365, Windows, Microsoft Teams, Search (including Microsoft Edge and Bing Chat) and other advertising-based services, and the Surface line of devices.</w:t>
      </w:r>
    </w:p>
    <w:p>
      <w:pPr>
        <w:spacing w:after="0" w:line="44" w:lineRule="exact"/>
        <w:rPr>
          <w:sz w:val="20"/>
          <w:szCs w:val="20"/>
          <w:color w:val="auto"/>
        </w:rPr>
      </w:pPr>
    </w:p>
    <w:p>
      <w:pPr>
        <w:ind w:left="600" w:right="14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Microsoft Security</w:t>
      </w:r>
      <w:r>
        <w:rPr>
          <w:rFonts w:ascii="Arial" w:cs="Arial" w:eastAsia="Arial" w:hAnsi="Arial"/>
          <w:sz w:val="16"/>
          <w:szCs w:val="16"/>
          <w:color w:val="auto"/>
        </w:rPr>
        <w:t xml:space="preserve"> – focuses on delivering a comprehensive portfolio of services that protect our customers’ digital infrastructure through cloud platform and application security, data protection and governance, identity and network access, and device management.</w:t>
      </w:r>
    </w:p>
    <w:p>
      <w:pPr>
        <w:spacing w:after="0" w:line="35" w:lineRule="exact"/>
        <w:rPr>
          <w:sz w:val="20"/>
          <w:szCs w:val="20"/>
          <w:color w:val="auto"/>
        </w:rPr>
      </w:pPr>
    </w:p>
    <w:p>
      <w:pPr>
        <w:ind w:left="600" w:right="4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Technology and Research</w:t>
      </w:r>
      <w:r>
        <w:rPr>
          <w:rFonts w:ascii="Arial" w:cs="Arial" w:eastAsia="Arial" w:hAnsi="Arial"/>
          <w:sz w:val="16"/>
          <w:szCs w:val="16"/>
          <w:color w:val="auto"/>
        </w:rPr>
        <w:t xml:space="preserve"> – focuses on fundamental research, product and business incubations, and forward-looking AI innovations that span infrastructure, services, and applications.</w:t>
      </w:r>
    </w:p>
    <w:p>
      <w:pPr>
        <w:spacing w:after="0" w:line="35" w:lineRule="exact"/>
        <w:rPr>
          <w:sz w:val="20"/>
          <w:szCs w:val="20"/>
          <w:color w:val="auto"/>
        </w:rPr>
      </w:pPr>
    </w:p>
    <w:p>
      <w:pPr>
        <w:ind w:left="600" w:right="10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LinkedIn</w:t>
      </w:r>
      <w:r>
        <w:rPr>
          <w:rFonts w:ascii="Arial" w:cs="Arial" w:eastAsia="Arial" w:hAnsi="Arial"/>
          <w:sz w:val="16"/>
          <w:szCs w:val="16"/>
          <w:color w:val="auto"/>
        </w:rPr>
        <w:t xml:space="preserve"> – focuses on our services that transform the way professionals grow their network and find jobs and the way businesses hire, market, sell, and learn.</w:t>
      </w:r>
    </w:p>
    <w:p>
      <w:pPr>
        <w:spacing w:after="0" w:line="35" w:lineRule="exact"/>
        <w:rPr>
          <w:sz w:val="20"/>
          <w:szCs w:val="20"/>
          <w:color w:val="auto"/>
        </w:rPr>
      </w:pPr>
    </w:p>
    <w:p>
      <w:pPr>
        <w:ind w:left="600" w:right="18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w:t>
      </w:r>
      <w:r>
        <w:rPr>
          <w:rFonts w:ascii="Arial" w:cs="Arial" w:eastAsia="Arial" w:hAnsi="Arial"/>
          <w:sz w:val="16"/>
          <w:szCs w:val="16"/>
          <w:color w:val="auto"/>
        </w:rPr>
        <w:t xml:space="preserve"> – focuses on developing hardware, content, and services across a large range of platforms to help grow our user base through game experiences and social interaction.</w:t>
      </w:r>
    </w:p>
    <w:p>
      <w:pPr>
        <w:spacing w:after="0" w:line="11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Internal development allows us to maintain competitive advantages that come from product differentiation and closer technical control over our products and services. It also gives us the freedom to decide which modifications and enhancements are most important and when they should be implemented. We strive to obtain information as early as possible about changing usage patterns and hardware advances that may affect software and hardware design. Before releasing new software platforms, and as we make significant modifications to existing platforms, we provide application vendors with a range of resources and guidelines for development, training, and testing. Generally, we also create product documentation internally.</w:t>
      </w:r>
    </w:p>
    <w:p>
      <w:pPr>
        <w:spacing w:after="0" w:line="102"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protect our intellectual property investments in a variety of ways. We work actively in the U.S. and internationally to ensure the enforcement of copyright, trademark, trade secret, and other protections that apply to our software and hardware products, services, business plans, and branding. We are a leader among technology companies in pursuing patents and currently have a portfolio of over 70,000 U.S. and international patents issued and over 19,000 pending worldwide. While we employ much of our internally-developed intellectual property in our products and services, we also engage in outbound licensing of specific patented technologies that are incorporated into licensees’ products. From time to time, we enter into broader cross -license agreements with other technology companies covering entire groups of patents. We may also purchase or license technology that we incorporate into our products and services. At times, we make select intellectual property broadly available at no or low cost to achieve a strategic objective, such as promoting industry standards, advancing interoperability, supporting societal and/or environmental efforts, or attracting and enabling our external development community. Our increasing engagement with open source software will also cause us to license our intellectual property rights broadly in certain situations.</w:t>
      </w:r>
    </w:p>
    <w:p>
      <w:pPr>
        <w:spacing w:after="0" w:line="12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While it may be necessary in the future to seek or renew licenses relating to various aspects of our products and services, we believe, based upon past experience and industry practice, such licenses generally can be obtained on commercially reasonable terms. We believe our continuing research and product development are not materially dependent on any single license or other agreement with a third party relating to the development of our products.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17" w:name="page18"/>
    <w:bookmarkEnd w:id="17"/>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Investing in the Future</w:t>
      </w:r>
    </w:p>
    <w:p>
      <w:pPr>
        <w:spacing w:after="0" w:line="148"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Our success is based on our ability to create new and compelling products, services, and experiences for our users, to initiate and embrace disruptive technology trends, to enter new geographic and product markets, and to drive broad adoption of our products and services. We invest in a range of emerging technology trends and breakthroughs that we believe offer significant opportunities to deliver value to our customers and growth for the company. Based on our assessment of key technology trends, we maintain our long-term commitment to research and development across a wide spectrum of technologies, tools, and platforms spanning digital work and life experiences, cloud computing, AI, devices, and operating systems.</w:t>
      </w:r>
    </w:p>
    <w:p>
      <w:pPr>
        <w:spacing w:after="0" w:line="102"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While our main product research and development facilities are located in Redmond, Washington, we also operate research and development facilities in other parts of the U.S. and around the world. This global approach helps us remain competitive in local markets and enables us to continue to attract top talent from across the world.</w:t>
      </w:r>
    </w:p>
    <w:p>
      <w:pPr>
        <w:spacing w:after="0" w:line="125" w:lineRule="exact"/>
        <w:rPr>
          <w:sz w:val="20"/>
          <w:szCs w:val="20"/>
          <w:color w:val="auto"/>
        </w:rPr>
      </w:pPr>
    </w:p>
    <w:p>
      <w:pPr>
        <w:ind w:right="660"/>
        <w:spacing w:after="0" w:line="252" w:lineRule="auto"/>
        <w:rPr>
          <w:sz w:val="20"/>
          <w:szCs w:val="20"/>
          <w:color w:val="auto"/>
        </w:rPr>
      </w:pPr>
      <w:r>
        <w:rPr>
          <w:rFonts w:ascii="Arial" w:cs="Arial" w:eastAsia="Arial" w:hAnsi="Arial"/>
          <w:sz w:val="16"/>
          <w:szCs w:val="16"/>
          <w:color w:val="auto"/>
        </w:rPr>
        <w:t>We plan to continue to make significant investments in a broad range of product research and development activities, and as appropriate we will coordinate our research and development across operating segments and leverage the results across the company.</w:t>
      </w:r>
    </w:p>
    <w:p>
      <w:pPr>
        <w:spacing w:after="0" w:line="118"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In addition to our main research and development operations, we also operate Microsoft Research. Microsoft Research is one of the world’s largest corporate research organizations, often working in close collaboration with top universities around the world, and is focused on advancing the state-of-the-art in computer science and a broad range of other disciplines. Our investment in fundamental research provides us a unique perspective on future trends and contributes to our innovation.</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DISTRIBUTION, SALES, AND MARKETING</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market and distribute our products and services through the following channels: OEMs, direct, and distributors and resellers. Our sales organization performs a variety of functions, including working directly with commercial enterprises and public-sector organizations worldwide to identify and meet their technology and digital transformation requirements; managing OEM relationships; and supporting system integrators, independent software vendors, and other partners who engage directly with our customers to perform sales, consulting, and fulfillment functions for our products and services.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OEMs</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We distribute our products and services through OEMs that pre-install our software on new devices and servers they sell. The largest component of the OEM business is the Windows operating system pre-installed on devices. OEMs also sell devices pre-installed with other Microsoft products and services, including applications such as Office and the capability to subscribe to Office 365.</w:t>
      </w:r>
    </w:p>
    <w:p>
      <w:pPr>
        <w:spacing w:after="0" w:line="125"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There are two broad categories of OEMs. The largest category of OEMs are direct OEMs as our relationship with them is managed through a direct agreement between Microsoft and the OEM. We have distribution agreements covering one or more of our products with virtually all the multinational OEMs, including Dell, Hewlett- Packard, Lenovo, and with many regional and local OEMs. The second broad category of OEMs are system builders consisting of lower -volume PC manufacturers, which source Microsoft software for pre-installation and local redistribution primarily through the Microsoft distributor channel rather than through a direct agreement or relationship with Microsoft.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w:t>
      </w:r>
    </w:p>
    <w:p>
      <w:pPr>
        <w:spacing w:after="0" w:line="14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Many organizations that license our products and services transact directly with us through Enterprise Agreements and Enterprise Services contracts, with sales support from system integrators, independent software vendors, web agencies, and partners that advise organizations on licensing our products and services (“Enterprise Agreement Software Advisors” or “ESA”). Microsoft offers direct sales programs targeted to reach small, medium, and corporate customers, in addition to those offered through the reseller channel. A large network of partner advisors support many of these sales.</w:t>
      </w:r>
    </w:p>
    <w:p>
      <w:pPr>
        <w:spacing w:after="0" w:line="97" w:lineRule="exact"/>
        <w:rPr>
          <w:sz w:val="20"/>
          <w:szCs w:val="20"/>
          <w:color w:val="auto"/>
        </w:rPr>
      </w:pPr>
    </w:p>
    <w:p>
      <w:pPr>
        <w:jc w:val="both"/>
        <w:ind w:right="380"/>
        <w:spacing w:after="0" w:line="243" w:lineRule="auto"/>
        <w:rPr>
          <w:sz w:val="20"/>
          <w:szCs w:val="20"/>
          <w:color w:val="auto"/>
        </w:rPr>
      </w:pPr>
      <w:r>
        <w:rPr>
          <w:rFonts w:ascii="Arial" w:cs="Arial" w:eastAsia="Arial" w:hAnsi="Arial"/>
          <w:sz w:val="16"/>
          <w:szCs w:val="16"/>
          <w:color w:val="auto"/>
        </w:rPr>
        <w:t>We also sell commercial and consumer products and services directly to customers, such as cloud services, search, and gaming, through our digital marketplaces and online stores. Additionally, our Microsoft Experience Centers are designed to facilitate deeper engagement with our partners and customers across industries.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18" w:name="page19"/>
    <w:bookmarkEnd w:id="18"/>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Distributors and Resellers</w:t>
      </w:r>
    </w:p>
    <w:p>
      <w:pPr>
        <w:spacing w:after="0" w:line="148"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Organizations also license our products and services indirectly, primarily through licensing solution partners (“LSP”), distributors, value-added resellers (“VAR”), and retailers. Although each type of reselling partner may reach organizations of all sizes, LSPs are primarily engaged with large organizations, distributors resell primarily to VARs, and VARs typically reach small and medium organizations. ESAs are also typically authorized as LSPs and operate as resellers for our other volume licensing programs. Microsoft Cloud Solution Provider is our main partner program for reselling cloud services.</w:t>
      </w:r>
    </w:p>
    <w:p>
      <w:pPr>
        <w:spacing w:after="0" w:line="97" w:lineRule="exact"/>
        <w:rPr>
          <w:sz w:val="20"/>
          <w:szCs w:val="20"/>
          <w:color w:val="auto"/>
        </w:rPr>
      </w:pPr>
    </w:p>
    <w:p>
      <w:pPr>
        <w:jc w:val="both"/>
        <w:ind w:right="100"/>
        <w:spacing w:after="0" w:line="295" w:lineRule="auto"/>
        <w:rPr>
          <w:sz w:val="20"/>
          <w:szCs w:val="20"/>
          <w:color w:val="auto"/>
        </w:rPr>
      </w:pPr>
      <w:r>
        <w:rPr>
          <w:rFonts w:ascii="Arial" w:cs="Arial" w:eastAsia="Arial" w:hAnsi="Arial"/>
          <w:sz w:val="14"/>
          <w:szCs w:val="14"/>
          <w:color w:val="auto"/>
        </w:rPr>
        <w:t>We distribute our retail packaged products primarily through independent non-exclusive distributors, authorized replicators, resellers, and retail outlets. Individual consumers obtain these products primarily through retail outlets. We distribute our devices through third-party retailers. We have a network of field sales representatives and field support personnel that solicit orders from distributors and resellers and provide product training and sales support.</w:t>
      </w:r>
    </w:p>
    <w:p>
      <w:pPr>
        <w:spacing w:after="0" w:line="91" w:lineRule="exact"/>
        <w:rPr>
          <w:sz w:val="20"/>
          <w:szCs w:val="20"/>
          <w:color w:val="auto"/>
        </w:rPr>
      </w:pPr>
    </w:p>
    <w:p>
      <w:pPr>
        <w:ind w:right="720"/>
        <w:spacing w:after="0" w:line="252" w:lineRule="auto"/>
        <w:rPr>
          <w:sz w:val="20"/>
          <w:szCs w:val="20"/>
          <w:color w:val="auto"/>
        </w:rPr>
      </w:pPr>
      <w:r>
        <w:rPr>
          <w:rFonts w:ascii="Arial" w:cs="Arial" w:eastAsia="Arial" w:hAnsi="Arial"/>
          <w:sz w:val="16"/>
          <w:szCs w:val="16"/>
          <w:color w:val="auto"/>
        </w:rPr>
        <w:t>Our Dynamics business solutions are also licensed to enterprises through a global network of channel partners providing vertical solutions and specialized services.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LICENSING OPTIONS</w:t>
      </w:r>
    </w:p>
    <w:p>
      <w:pPr>
        <w:spacing w:after="0" w:line="140" w:lineRule="exact"/>
        <w:rPr>
          <w:sz w:val="20"/>
          <w:szCs w:val="20"/>
          <w:color w:val="auto"/>
        </w:rPr>
      </w:pPr>
    </w:p>
    <w:p>
      <w:pPr>
        <w:jc w:val="both"/>
        <w:ind w:right="120"/>
        <w:spacing w:after="0"/>
        <w:rPr>
          <w:sz w:val="20"/>
          <w:szCs w:val="20"/>
          <w:color w:val="auto"/>
        </w:rPr>
      </w:pPr>
      <w:r>
        <w:rPr>
          <w:rFonts w:ascii="Arial" w:cs="Arial" w:eastAsia="Arial" w:hAnsi="Arial"/>
          <w:sz w:val="16"/>
          <w:szCs w:val="16"/>
          <w:color w:val="auto"/>
        </w:rPr>
        <w:t>We offer options for organizations that want to purchase our cloud services, on- premises software, and SA. We license software to organizations under volume licensing agreements to allow the customer to acquire multiple licenses of products and services instead of having to acquire separate licenses through retail channels. We use different programs designed to provide flexibility for organizations of various sizes. While these programs may differ in various parts of the world, generally they include those discussed below.</w:t>
      </w:r>
    </w:p>
    <w:p>
      <w:pPr>
        <w:spacing w:after="0" w:line="12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SA conveys rights to new software and upgrades for perpetual licenses released over the contract period. It also provides support, tools, training, and other licensing benefits to help customers deploy and use software efficiently. SA is included with certain volume licensing agreements and is an optional purchase with others.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Volume Licensing Programs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Enterprise Agreement</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Enterprise Agreements offer large organizations a manageable volume licensing program that gives them the flexibility to buy cloud services and software licenses under one agreement. Enterprise Agreements are designed for medium or large organizations that want to license cloud services and on-premises software organization-wide over a three-year period. Organizations can elect to purchase perpetual licenses or subscribe to licenses. SA is included.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Microsoft Customer Agreement</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A Microsoft Customer Agreement is a simplified purchase agreement presented, accepted, and stored through a digital experience. A Microsoft Customer Agreement is a non-expiring agreement that is designed to support all customers over time, whether purchasing through a partner or directly from Microsoft.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Microsoft Online Subscription Agreement</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A Microsoft Online Subscription Agreement is designed for small and medium organizations that want to subscribe to, activate, provision, and maintain cloud services seamlessly and directly via the web. The agreement allows customers to acquire monthly or annual subscriptions for cloud-based services.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Microsoft Products and Services Agreement</w:t>
      </w:r>
    </w:p>
    <w:p>
      <w:pPr>
        <w:spacing w:after="0" w:line="148" w:lineRule="exact"/>
        <w:rPr>
          <w:sz w:val="20"/>
          <w:szCs w:val="20"/>
          <w:color w:val="auto"/>
        </w:rPr>
      </w:pPr>
    </w:p>
    <w:p>
      <w:pPr>
        <w:jc w:val="both"/>
        <w:ind w:right="380"/>
        <w:spacing w:after="0" w:line="243" w:lineRule="auto"/>
        <w:rPr>
          <w:sz w:val="20"/>
          <w:szCs w:val="20"/>
          <w:color w:val="auto"/>
        </w:rPr>
      </w:pPr>
      <w:r>
        <w:rPr>
          <w:rFonts w:ascii="Arial" w:cs="Arial" w:eastAsia="Arial" w:hAnsi="Arial"/>
          <w:sz w:val="16"/>
          <w:szCs w:val="16"/>
          <w:color w:val="auto"/>
        </w:rPr>
        <w:t>Microsoft Products and Services Agreements are designed for medium and large organizations that want to license cloud services and on-premises software as needed, with no organization-wide commitment, under a single, non-expiring agreement. Organizations purchase perpetual licenses or subscribe to licenses. SA is optional for customers that purchase perpetual licenses.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19" w:name="page20"/>
    <w:bookmarkEnd w:id="19"/>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Open Value</w:t>
      </w:r>
    </w:p>
    <w:p>
      <w:pPr>
        <w:spacing w:after="0" w:line="148" w:lineRule="exact"/>
        <w:rPr>
          <w:sz w:val="20"/>
          <w:szCs w:val="20"/>
          <w:color w:val="auto"/>
        </w:rPr>
      </w:pPr>
    </w:p>
    <w:p>
      <w:pPr>
        <w:ind w:right="420"/>
        <w:spacing w:after="0" w:line="243" w:lineRule="auto"/>
        <w:rPr>
          <w:sz w:val="20"/>
          <w:szCs w:val="20"/>
          <w:color w:val="auto"/>
        </w:rPr>
      </w:pPr>
      <w:r>
        <w:rPr>
          <w:rFonts w:ascii="Arial" w:cs="Arial" w:eastAsia="Arial" w:hAnsi="Arial"/>
          <w:sz w:val="16"/>
          <w:szCs w:val="16"/>
          <w:color w:val="auto"/>
        </w:rPr>
        <w:t>Open Value agreements are a simple, cost-effective way to acquire the latest Microsoft technology. These agreements are designed for small and medium organizations that want to license cloud services and on-premises software over a three-year period. Under Open Value agreements, organizations can elect to purchase perpetual licenses or subscribe to licenses and SA is included.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Select Plus</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A Select Plus agreement is designed for government and academic organizations to acquire on -premises licenses at any affiliate or department level, while realizing advantages as one organization. Organizations purchase perpetual licenses and SA is optional.</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Partner Programs</w:t>
      </w:r>
    </w:p>
    <w:p>
      <w:pPr>
        <w:spacing w:after="0" w:line="148"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The Microsoft Cloud Solution Provider Program offers customers an easy way to license the cloud services they need in combination with the value-added services offered by their systems integrator, managed services provider, or cloud reseller partner. Partners in this program can easily package their own products and services to directly provision, manage, and support their customer subscriptions.</w:t>
      </w:r>
    </w:p>
    <w:p>
      <w:pPr>
        <w:spacing w:after="0" w:line="125" w:lineRule="exact"/>
        <w:rPr>
          <w:sz w:val="20"/>
          <w:szCs w:val="20"/>
          <w:color w:val="auto"/>
        </w:rPr>
      </w:pPr>
    </w:p>
    <w:p>
      <w:pPr>
        <w:jc w:val="both"/>
        <w:ind w:right="260"/>
        <w:spacing w:after="0" w:line="243" w:lineRule="auto"/>
        <w:rPr>
          <w:sz w:val="20"/>
          <w:szCs w:val="20"/>
          <w:color w:val="auto"/>
        </w:rPr>
      </w:pPr>
      <w:r>
        <w:rPr>
          <w:rFonts w:ascii="Arial" w:cs="Arial" w:eastAsia="Arial" w:hAnsi="Arial"/>
          <w:sz w:val="16"/>
          <w:szCs w:val="16"/>
          <w:color w:val="auto"/>
        </w:rPr>
        <w:t>The Microsoft Services Provider License Agreement allows hosting service providers and independent software vendors who want to license eligible Microsoft software products to provide software services and hosted applications to their end customers. Partners license software over a three-year period and are billed monthly based on consumption.</w:t>
      </w:r>
    </w:p>
    <w:p>
      <w:pPr>
        <w:spacing w:after="0" w:line="12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Independent Software Vendor Royalty Program enables partners to integrate Microsoft products into other applications and then license the unified business solution to their end users.</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6"/>
          <w:szCs w:val="16"/>
          <w:u w:val="single" w:color="auto"/>
          <w:color w:val="auto"/>
        </w:rPr>
        <w:t>CUSTOMERS</w:t>
      </w:r>
    </w:p>
    <w:p>
      <w:pPr>
        <w:spacing w:after="0" w:line="140" w:lineRule="exact"/>
        <w:rPr>
          <w:sz w:val="20"/>
          <w:szCs w:val="20"/>
          <w:color w:val="auto"/>
        </w:rPr>
      </w:pPr>
    </w:p>
    <w:p>
      <w:pPr>
        <w:ind w:right="480"/>
        <w:spacing w:after="0" w:line="243" w:lineRule="auto"/>
        <w:rPr>
          <w:sz w:val="20"/>
          <w:szCs w:val="20"/>
          <w:color w:val="auto"/>
        </w:rPr>
      </w:pPr>
      <w:r>
        <w:rPr>
          <w:rFonts w:ascii="Arial" w:cs="Arial" w:eastAsia="Arial" w:hAnsi="Arial"/>
          <w:sz w:val="16"/>
          <w:szCs w:val="16"/>
          <w:color w:val="auto"/>
        </w:rPr>
        <w:t>Our customers include individual consumers, small and medium organizations, large global enterprises, public-sector institutions, Internet service providers, application developers, and OEMs. Our practice is to ship our products promptly upon receipt of purchase orders from customers; consequently, backlog is not significant.</w:t>
      </w:r>
    </w:p>
    <w:p>
      <w:pPr>
        <w:spacing w:after="0" w:line="197" w:lineRule="exact"/>
        <w:rPr>
          <w:sz w:val="20"/>
          <w:szCs w:val="20"/>
          <w:color w:val="auto"/>
        </w:rPr>
      </w:pPr>
    </w:p>
    <w:p>
      <w:pPr>
        <w:ind w:right="3280" w:firstLine="3373"/>
        <w:spacing w:after="0" w:line="440" w:lineRule="auto"/>
        <w:rPr>
          <w:sz w:val="20"/>
          <w:szCs w:val="20"/>
          <w:color w:val="auto"/>
        </w:rPr>
      </w:pPr>
      <w:r>
        <w:rPr>
          <w:rFonts w:ascii="Arial" w:cs="Arial" w:eastAsia="Arial" w:hAnsi="Arial"/>
          <w:sz w:val="16"/>
          <w:szCs w:val="16"/>
          <w:u w:val="single" w:color="auto"/>
          <w:color w:val="auto"/>
        </w:rPr>
        <w:t xml:space="preserve">INFORMATION ABOUT OUR EXECUTIVE OFFICERS </w:t>
      </w:r>
      <w:r>
        <w:rPr>
          <w:rFonts w:ascii="Arial" w:cs="Arial" w:eastAsia="Arial" w:hAnsi="Arial"/>
          <w:sz w:val="16"/>
          <w:szCs w:val="16"/>
          <w:color w:val="auto"/>
        </w:rPr>
        <w:t>Our executive officers as of July 27, 2023 were as follows: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236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920" w:type="dxa"/>
            <w:vAlign w:val="bottom"/>
          </w:tcPr>
          <w:p>
            <w:pPr>
              <w:jc w:val="right"/>
              <w:ind w:right="24"/>
              <w:spacing w:after="0"/>
              <w:rPr>
                <w:sz w:val="20"/>
                <w:szCs w:val="20"/>
                <w:color w:val="auto"/>
              </w:rPr>
            </w:pPr>
            <w:r>
              <w:rPr>
                <w:rFonts w:ascii="Arial" w:cs="Arial" w:eastAsia="Arial" w:hAnsi="Arial"/>
                <w:sz w:val="12"/>
                <w:szCs w:val="12"/>
                <w:b w:val="1"/>
                <w:bCs w:val="1"/>
                <w:color w:val="auto"/>
              </w:rPr>
              <w:t>Age</w:t>
            </w:r>
          </w:p>
        </w:tc>
        <w:tc>
          <w:tcPr>
            <w:tcW w:w="5180" w:type="dxa"/>
            <w:vAlign w:val="bottom"/>
          </w:tcPr>
          <w:p>
            <w:pPr>
              <w:ind w:left="100"/>
              <w:spacing w:after="0"/>
              <w:rPr>
                <w:sz w:val="20"/>
                <w:szCs w:val="20"/>
                <w:color w:val="auto"/>
              </w:rPr>
            </w:pPr>
            <w:r>
              <w:rPr>
                <w:rFonts w:ascii="Arial" w:cs="Arial" w:eastAsia="Arial" w:hAnsi="Arial"/>
                <w:sz w:val="12"/>
                <w:szCs w:val="12"/>
                <w:b w:val="1"/>
                <w:bCs w:val="1"/>
                <w:color w:val="auto"/>
              </w:rPr>
              <w:t>Position with the Company</w:t>
            </w:r>
          </w:p>
        </w:tc>
      </w:tr>
      <w:tr>
        <w:trPr>
          <w:trHeight w:val="350"/>
        </w:trPr>
        <w:tc>
          <w:tcPr>
            <w:tcW w:w="2360" w:type="dxa"/>
            <w:vAlign w:val="bottom"/>
          </w:tcPr>
          <w:p>
            <w:pPr>
              <w:spacing w:after="0"/>
              <w:rPr>
                <w:sz w:val="20"/>
                <w:szCs w:val="20"/>
                <w:color w:val="auto"/>
              </w:rPr>
            </w:pPr>
            <w:r>
              <w:rPr>
                <w:rFonts w:ascii="Arial" w:cs="Arial" w:eastAsia="Arial" w:hAnsi="Arial"/>
                <w:sz w:val="16"/>
                <w:szCs w:val="16"/>
                <w:color w:val="auto"/>
              </w:rPr>
              <w:t>Satya Nadella</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55</w:t>
            </w:r>
          </w:p>
        </w:tc>
        <w:tc>
          <w:tcPr>
            <w:tcW w:w="5180" w:type="dxa"/>
            <w:vAlign w:val="bottom"/>
          </w:tcPr>
          <w:p>
            <w:pPr>
              <w:ind w:left="100"/>
              <w:spacing w:after="0"/>
              <w:rPr>
                <w:sz w:val="20"/>
                <w:szCs w:val="20"/>
                <w:color w:val="auto"/>
              </w:rPr>
            </w:pPr>
            <w:r>
              <w:rPr>
                <w:rFonts w:ascii="Arial" w:cs="Arial" w:eastAsia="Arial" w:hAnsi="Arial"/>
                <w:sz w:val="16"/>
                <w:szCs w:val="16"/>
                <w:color w:val="auto"/>
              </w:rPr>
              <w:t>Chairman and Chief Executive Officer</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Judson B. Althoff</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50</w:t>
            </w:r>
          </w:p>
        </w:tc>
        <w:tc>
          <w:tcPr>
            <w:tcW w:w="5180" w:type="dxa"/>
            <w:vAlign w:val="bottom"/>
          </w:tcPr>
          <w:p>
            <w:pPr>
              <w:ind w:left="100"/>
              <w:spacing w:after="0"/>
              <w:rPr>
                <w:sz w:val="20"/>
                <w:szCs w:val="20"/>
                <w:color w:val="auto"/>
              </w:rPr>
            </w:pPr>
            <w:r>
              <w:rPr>
                <w:rFonts w:ascii="Arial" w:cs="Arial" w:eastAsia="Arial" w:hAnsi="Arial"/>
                <w:sz w:val="16"/>
                <w:szCs w:val="16"/>
                <w:color w:val="auto"/>
              </w:rPr>
              <w:t>Executive Vice President and Chief Commercial Officer</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Christopher C. Capossela</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53</w:t>
            </w:r>
          </w:p>
        </w:tc>
        <w:tc>
          <w:tcPr>
            <w:tcW w:w="5180" w:type="dxa"/>
            <w:vAlign w:val="bottom"/>
          </w:tcPr>
          <w:p>
            <w:pPr>
              <w:ind w:left="100"/>
              <w:spacing w:after="0"/>
              <w:rPr>
                <w:sz w:val="20"/>
                <w:szCs w:val="20"/>
                <w:color w:val="auto"/>
              </w:rPr>
            </w:pPr>
            <w:r>
              <w:rPr>
                <w:rFonts w:ascii="Arial" w:cs="Arial" w:eastAsia="Arial" w:hAnsi="Arial"/>
                <w:sz w:val="16"/>
                <w:szCs w:val="16"/>
                <w:color w:val="auto"/>
              </w:rPr>
              <w:t>Executive Vice President and Chief Marketing Officer</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Kathleen T. Hogan</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57</w:t>
            </w:r>
          </w:p>
        </w:tc>
        <w:tc>
          <w:tcPr>
            <w:tcW w:w="5180" w:type="dxa"/>
            <w:vAlign w:val="bottom"/>
          </w:tcPr>
          <w:p>
            <w:pPr>
              <w:ind w:left="10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Amy E. Hood</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51</w:t>
            </w:r>
          </w:p>
        </w:tc>
        <w:tc>
          <w:tcPr>
            <w:tcW w:w="5180" w:type="dxa"/>
            <w:vAlign w:val="bottom"/>
          </w:tcPr>
          <w:p>
            <w:pPr>
              <w:ind w:left="100"/>
              <w:spacing w:after="0"/>
              <w:rPr>
                <w:sz w:val="20"/>
                <w:szCs w:val="20"/>
                <w:color w:val="auto"/>
              </w:rPr>
            </w:pPr>
            <w:r>
              <w:rPr>
                <w:rFonts w:ascii="Arial" w:cs="Arial" w:eastAsia="Arial" w:hAnsi="Arial"/>
                <w:sz w:val="16"/>
                <w:szCs w:val="16"/>
                <w:color w:val="auto"/>
              </w:rPr>
              <w:t>Executive Vice President and Chief Financial Officer</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Bradford L. Smith</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64</w:t>
            </w:r>
          </w:p>
        </w:tc>
        <w:tc>
          <w:tcPr>
            <w:tcW w:w="5180" w:type="dxa"/>
            <w:vAlign w:val="bottom"/>
          </w:tcPr>
          <w:p>
            <w:pPr>
              <w:ind w:left="100"/>
              <w:spacing w:after="0"/>
              <w:rPr>
                <w:sz w:val="20"/>
                <w:szCs w:val="20"/>
                <w:color w:val="auto"/>
              </w:rPr>
            </w:pPr>
            <w:r>
              <w:rPr>
                <w:rFonts w:ascii="Arial" w:cs="Arial" w:eastAsia="Arial" w:hAnsi="Arial"/>
                <w:sz w:val="16"/>
                <w:szCs w:val="16"/>
                <w:color w:val="auto"/>
              </w:rPr>
              <w:t>Vice Chair and President</w:t>
            </w:r>
          </w:p>
        </w:tc>
      </w:tr>
      <w:tr>
        <w:trPr>
          <w:trHeight w:val="204"/>
        </w:trPr>
        <w:tc>
          <w:tcPr>
            <w:tcW w:w="2360" w:type="dxa"/>
            <w:vAlign w:val="bottom"/>
          </w:tcPr>
          <w:p>
            <w:pPr>
              <w:spacing w:after="0"/>
              <w:rPr>
                <w:sz w:val="20"/>
                <w:szCs w:val="20"/>
                <w:color w:val="auto"/>
              </w:rPr>
            </w:pPr>
            <w:r>
              <w:rPr>
                <w:rFonts w:ascii="Arial" w:cs="Arial" w:eastAsia="Arial" w:hAnsi="Arial"/>
                <w:sz w:val="16"/>
                <w:szCs w:val="16"/>
                <w:color w:val="auto"/>
              </w:rPr>
              <w:t>Christopher D. Young</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51</w:t>
            </w:r>
          </w:p>
        </w:tc>
        <w:tc>
          <w:tcPr>
            <w:tcW w:w="5180" w:type="dxa"/>
            <w:vAlign w:val="bottom"/>
          </w:tcPr>
          <w:p>
            <w:pPr>
              <w:ind w:left="100"/>
              <w:spacing w:after="0"/>
              <w:rPr>
                <w:sz w:val="20"/>
                <w:szCs w:val="20"/>
                <w:color w:val="auto"/>
              </w:rPr>
            </w:pPr>
            <w:r>
              <w:rPr>
                <w:rFonts w:ascii="Arial" w:cs="Arial" w:eastAsia="Arial" w:hAnsi="Arial"/>
                <w:sz w:val="16"/>
                <w:szCs w:val="16"/>
                <w:color w:val="auto"/>
                <w:w w:val="96"/>
              </w:rPr>
              <w:t>Executive Vice President, Business Development, Strategy, and Ventures</w:t>
            </w:r>
          </w:p>
        </w:tc>
      </w:tr>
    </w:tbl>
    <w:p>
      <w:pPr>
        <w:spacing w:after="0" w:line="211"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Mr. Nadella was appointed Chairman of the Board in June 2021 and Chief Executive Officer in February 2014. He served as Executive Vice President, Cloud and Enterprise from July 2013 until that time. From 2011 to 2013, Mr. Nadella served as President, Server and Tools. From 2009 to 2011, he was Senior Vice President, Online Services Division. From 2008 to 2009, he was Senior Vice President, Search, Portal, and Advertising. Since joining Microsoft in 1992, Mr. Nadella’s roles also included Vice President of the Business Division. Mr. Nadella also serves on the Board of Directors of Starbucks Corporation.</w:t>
      </w:r>
    </w:p>
    <w:p>
      <w:pPr>
        <w:spacing w:after="0" w:line="128" w:lineRule="exact"/>
        <w:rPr>
          <w:sz w:val="20"/>
          <w:szCs w:val="20"/>
          <w:color w:val="auto"/>
        </w:rPr>
      </w:pPr>
    </w:p>
    <w:p>
      <w:pPr>
        <w:jc w:val="both"/>
        <w:ind w:right="400"/>
        <w:spacing w:after="0" w:line="243" w:lineRule="auto"/>
        <w:rPr>
          <w:sz w:val="20"/>
          <w:szCs w:val="20"/>
          <w:color w:val="auto"/>
        </w:rPr>
      </w:pPr>
      <w:r>
        <w:rPr>
          <w:rFonts w:ascii="Arial" w:cs="Arial" w:eastAsia="Arial" w:hAnsi="Arial"/>
          <w:sz w:val="16"/>
          <w:szCs w:val="16"/>
          <w:color w:val="auto"/>
        </w:rPr>
        <w:t>Mr. Althoff was appointed Executive Vice President and Chief Commercial Officer in July 2021. He served as Executive Vice President, Worldwide Commercial Business from July 2017 until that time. Prior to that, Mr. Althoff served as the President of Microsoft North America. Mr. Althoff joined Microsoft in March 2013 as President of Microsoft North America.</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73" w:right="760" w:bottom="1440" w:gutter="0" w:footer="0" w:header="0"/>
        </w:sectPr>
      </w:pPr>
    </w:p>
    <w:bookmarkStart w:id="20" w:name="page21"/>
    <w:bookmarkEnd w:id="20"/>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2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Mr. Capossela was appointed Executive Vice President, Marketing and Consumer Business, and Chief Marketing Officer in July 2016. He had served as Executive Vice President, Chief Marketing Officer since March 2014.Since joining Microsoft in 1991, Mr. Capossela has held a variety of marketing leadership roles in the Consumer Channels Group, and in the Microsoft Office Division where he was responsible for marketing productivity solutions including Microsoft Office, Office 365, SharePoint, Exchange, Skype for Business, Project, and Visio.</w:t>
      </w:r>
    </w:p>
    <w:p>
      <w:pPr>
        <w:spacing w:after="0" w:line="12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Ms. Hogan was appointed Executive Vice President, Human Resources in November 2014. Prior to that Ms. Hogan was Corporate Vice President of Microsoft Services. She also served as Corporate Vice President of Customer Service and Support. Ms. Hogan joined Microsoft in 2003. Ms. Hogan also serves on the Board of Directors of Alaska Air Group, Inc.</w:t>
      </w:r>
    </w:p>
    <w:p>
      <w:pPr>
        <w:spacing w:after="0" w:line="125"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Ms. Hood was appointed Executive Vice President and Chief Financial Officer in July 2013, subsequent to her appointment as Chief Financial Officer in May 2013. From 2010 to 2013, Ms. Hood was Chief Financial Officer of the Microsoft Business Division. Since joining Microsoft in 2002, Ms. Hood has also held finance-related positions in the Server and Tools Business and the corporate finance organization. Ms. Hood also serves on the Board of Directors of 3M Corporation.</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Mr. Smith was appointed Vice Chair and President in September 2021. Prior to that, he served as President and Chief Legal Officer since September 2015. He served as Executive Vice President, General Counsel, and Secretary from 2011 to 2015, and served as Senior Vice President, General Counsel, and Secretary from 2001 to 2011. Mr. Smith was also named Chief Compliance Officer in 2002. Since joining Microsoft in 1993, he was Deputy General Counsel for Worldwide Sales and previously was responsible for managing the European Law and Corporate Affairs Group, based in Paris. Mr. Smith also serves on the Board of Directors of Netflix, Inc.</w:t>
      </w:r>
    </w:p>
    <w:p>
      <w:pPr>
        <w:spacing w:after="0" w:line="128" w:lineRule="exact"/>
        <w:rPr>
          <w:sz w:val="20"/>
          <w:szCs w:val="20"/>
          <w:color w:val="auto"/>
        </w:rPr>
      </w:pPr>
    </w:p>
    <w:p>
      <w:pPr>
        <w:jc w:val="both"/>
        <w:ind w:right="60"/>
        <w:spacing w:after="0"/>
        <w:rPr>
          <w:sz w:val="20"/>
          <w:szCs w:val="20"/>
          <w:color w:val="auto"/>
        </w:rPr>
      </w:pPr>
      <w:r>
        <w:rPr>
          <w:rFonts w:ascii="Arial" w:cs="Arial" w:eastAsia="Arial" w:hAnsi="Arial"/>
          <w:sz w:val="16"/>
          <w:szCs w:val="16"/>
          <w:color w:val="auto"/>
        </w:rPr>
        <w:t>Mr. Young has served as Executive Vice President, Business Development, Strategy, and Ventures since joining Microsoft in November 2020. Prior to Microsoft, he served as the Chief Executive Officer of McAfee, LLC from 2017 to 2020, and served as a Senior Vice President and General Manager of Intel Security Group from 2014 until 2017, when he led the initiative to spin out McAfee into a standalone company. Mr. Young also serves on the Board of Directors of American Express Company.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73" w:right="720" w:bottom="1440" w:gutter="0" w:footer="0" w:header="0"/>
        </w:sectPr>
      </w:pPr>
    </w:p>
    <w:bookmarkStart w:id="21" w:name="page22"/>
    <w:bookmarkEnd w:id="21"/>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Item 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AVAILABLE INFORMATION</w:t>
      </w:r>
    </w:p>
    <w:p>
      <w:pPr>
        <w:spacing w:after="0" w:line="14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Our Internet address is www.microsoft.com. At our Investor Relations website, www.microsoft.com/investor, we make available free of charge a variety of information for investors. Our goal is to maintain the Investor Relations website as a portal through which investors can easily find or navigate to pertinent information about us, including:</w:t>
      </w:r>
    </w:p>
    <w:p>
      <w:pPr>
        <w:spacing w:after="0" w:line="53" w:lineRule="exact"/>
        <w:rPr>
          <w:sz w:val="20"/>
          <w:szCs w:val="20"/>
          <w:color w:val="auto"/>
        </w:rPr>
      </w:pPr>
    </w:p>
    <w:p>
      <w:pPr>
        <w:ind w:left="600" w:right="80"/>
        <w:spacing w:after="0" w:line="243"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as soon as reasonably practicable after we electronically file that material with or furnish it to the Securities and Exchange Commission (“SEC”) at www.sec.gov.</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•Information on our business strategies, financial results, and metrics for investors.</w:t>
      </w:r>
    </w:p>
    <w:p>
      <w:pPr>
        <w:spacing w:after="0" w:line="68" w:lineRule="exact"/>
        <w:rPr>
          <w:sz w:val="20"/>
          <w:szCs w:val="20"/>
          <w:color w:val="auto"/>
        </w:rPr>
      </w:pPr>
    </w:p>
    <w:p>
      <w:pPr>
        <w:ind w:left="600" w:right="540"/>
        <w:spacing w:after="0" w:line="252" w:lineRule="auto"/>
        <w:rPr>
          <w:sz w:val="20"/>
          <w:szCs w:val="20"/>
          <w:color w:val="auto"/>
        </w:rPr>
      </w:pPr>
      <w:r>
        <w:rPr>
          <w:rFonts w:ascii="Arial" w:cs="Arial" w:eastAsia="Arial" w:hAnsi="Arial"/>
          <w:sz w:val="16"/>
          <w:szCs w:val="16"/>
          <w:color w:val="auto"/>
        </w:rPr>
        <w:t>•Announcements of investor conferences, speeches, and events at which our executives talk about our product, service, and competitive strategies. Archives of these events are also available.</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•Press releases on quarterly earnings, product and service announcements, legal developments, and international news.</w:t>
      </w:r>
    </w:p>
    <w:p>
      <w:pPr>
        <w:spacing w:after="0" w:line="68" w:lineRule="exact"/>
        <w:rPr>
          <w:sz w:val="20"/>
          <w:szCs w:val="20"/>
          <w:color w:val="auto"/>
        </w:rPr>
      </w:pPr>
    </w:p>
    <w:p>
      <w:pPr>
        <w:ind w:left="600" w:right="60"/>
        <w:spacing w:after="0" w:line="252" w:lineRule="auto"/>
        <w:rPr>
          <w:sz w:val="20"/>
          <w:szCs w:val="20"/>
          <w:color w:val="auto"/>
        </w:rPr>
      </w:pPr>
      <w:r>
        <w:rPr>
          <w:rFonts w:ascii="Arial" w:cs="Arial" w:eastAsia="Arial" w:hAnsi="Arial"/>
          <w:sz w:val="16"/>
          <w:szCs w:val="16"/>
          <w:color w:val="auto"/>
        </w:rPr>
        <w:t>•Corporate governance information including our articles of incorporation, bylaws, governance guidelines, committee charters, codes of conduct and ethics, global corporate social responsibility initiatives, and other governance-related policies.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news and announcements that we may post from time to time that investors might find useful or interesting.</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•Opportunities to sign up for email alerts to have information pushed in real time.</w:t>
      </w:r>
    </w:p>
    <w:p>
      <w:pPr>
        <w:spacing w:after="0" w:line="140"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We publish a variety of reports and resources related to our Corporate Social Responsibility programs and progress on our Reports Hub website, www.microsoft.com/corporate-responsibility/reports-hub, including reports on sustainability, responsible sourcing, accessibility, digital trust, and public policy engagement.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found on these websites is not part of, or incorporated by reference into, this or any other report we file with, or furnish to, the SEC. In addition to these channels, we use social media to communicate to the public. It is possible that the information we post on social media could be deemed to be material to investors. We encourage investors, the media, and others interested in Microsoft to review the information we post on the social media channels listed on our Investor Relations website.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22" w:name="page23"/>
    <w:bookmarkEnd w:id="22"/>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1A. RISK FACTORS</w:t>
      </w:r>
    </w:p>
    <w:p>
      <w:pPr>
        <w:spacing w:after="0" w:line="164"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Our operations and financial results are subject to various risks and uncertainties, including those described below, that could adversely affect our business, financial condition, results of operations, cash flows, and the trading price of our common stock.</w:t>
      </w:r>
    </w:p>
    <w:p>
      <w:pPr>
        <w:spacing w:after="0" w:line="190" w:lineRule="exact"/>
        <w:rPr>
          <w:sz w:val="20"/>
          <w:szCs w:val="20"/>
          <w:color w:val="auto"/>
        </w:rPr>
      </w:pPr>
    </w:p>
    <w:p>
      <w:pPr>
        <w:ind w:left="3840"/>
        <w:spacing w:after="0"/>
        <w:rPr>
          <w:sz w:val="20"/>
          <w:szCs w:val="20"/>
          <w:color w:val="auto"/>
        </w:rPr>
      </w:pPr>
      <w:r>
        <w:rPr>
          <w:rFonts w:ascii="Arial" w:cs="Arial" w:eastAsia="Arial" w:hAnsi="Arial"/>
          <w:sz w:val="16"/>
          <w:szCs w:val="16"/>
          <w:u w:val="single" w:color="auto"/>
          <w:color w:val="auto"/>
        </w:rPr>
        <w:t>STRATEGIC AND COMPETITIVE RISKS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face intense competition across all markets for our products and services, which may lead to lower revenue or operating margins.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 in the technology sector</w:t>
      </w:r>
    </w:p>
    <w:p>
      <w:pPr>
        <w:spacing w:after="0" w:line="14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Our ability to remain competitive depends on our success in making innovative products, devices, and services that appeal to businesses and consumers.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Competition among platform-based ecosystems</w:t>
      </w:r>
    </w:p>
    <w:p>
      <w:pPr>
        <w:spacing w:after="0" w:line="148"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spacing w:after="0" w:line="56" w:lineRule="exact"/>
        <w:rPr>
          <w:sz w:val="20"/>
          <w:szCs w:val="20"/>
          <w:color w:val="auto"/>
        </w:rPr>
      </w:pPr>
    </w:p>
    <w:p>
      <w:pPr>
        <w:ind w:left="600"/>
        <w:spacing w:after="0" w:line="279" w:lineRule="auto"/>
        <w:rPr>
          <w:sz w:val="20"/>
          <w:szCs w:val="20"/>
          <w:color w:val="auto"/>
        </w:rPr>
      </w:pPr>
      <w:r>
        <w:rPr>
          <w:rFonts w:ascii="Arial" w:cs="Arial" w:eastAsia="Arial" w:hAnsi="Arial"/>
          <w:sz w:val="14"/>
          <w:szCs w:val="14"/>
          <w:color w:val="auto"/>
        </w:rPr>
        <w:t>•A competing vertically-integrated model, in which a single firm controls the software and hardware elements of a product and related services, has succeeded with some consumer products such as personal computers, tablets, 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 integrated offer. We also offer some vertically-integrated hardware and software products and services. To the extent we shift a portion of our business to a vertically integrated model we increase our cost of revenue and reduce our operating margins.</w:t>
      </w:r>
    </w:p>
    <w:p>
      <w:pPr>
        <w:spacing w:after="0" w:line="29" w:lineRule="exact"/>
        <w:rPr>
          <w:sz w:val="20"/>
          <w:szCs w:val="20"/>
          <w:color w:val="auto"/>
        </w:rPr>
      </w:pPr>
    </w:p>
    <w:p>
      <w:pPr>
        <w:ind w:left="600" w:right="80"/>
        <w:spacing w:after="0" w:line="237" w:lineRule="auto"/>
        <w:rPr>
          <w:sz w:val="20"/>
          <w:szCs w:val="20"/>
          <w:color w:val="auto"/>
        </w:rPr>
      </w:pPr>
      <w:r>
        <w:rPr>
          <w:rFonts w:ascii="Arial" w:cs="Arial" w:eastAsia="Arial" w:hAnsi="Arial"/>
          <w:sz w:val="16"/>
          <w:szCs w:val="16"/>
          <w:color w:val="auto"/>
        </w:rPr>
        <w:t>•We derive substantial revenue from licenses of Windows operating systems on PCs. We face significant competition from competing platforms developed for new devices and form factors such as smartphones and tablet computers. These devices compete on multiple bases including price and the perceived utility of the device and its platform. Users are increasingly turning to these devices to perform functions that in the past were performed by personal computers. Even if many users view these devices as complementary to a personal computer,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original equipment manufacturer (“OEM”) partners, which may affect their commitment to our platform.</w:t>
      </w:r>
    </w:p>
    <w:p>
      <w:pPr>
        <w:spacing w:after="0" w:line="59" w:lineRule="exact"/>
        <w:rPr>
          <w:sz w:val="20"/>
          <w:szCs w:val="20"/>
          <w:color w:val="auto"/>
        </w:rPr>
      </w:pPr>
    </w:p>
    <w:p>
      <w:pPr>
        <w:ind w:left="600" w:right="20"/>
        <w:spacing w:after="0" w:line="238" w:lineRule="auto"/>
        <w:rPr>
          <w:sz w:val="20"/>
          <w:szCs w:val="20"/>
          <w:color w:val="auto"/>
        </w:rPr>
      </w:pPr>
      <w:r>
        <w:rPr>
          <w:rFonts w:ascii="Arial" w:cs="Arial" w:eastAsia="Arial" w:hAnsi="Arial"/>
          <w:sz w:val="16"/>
          <w:szCs w:val="16"/>
          <w:color w:val="auto"/>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23" w:name="page24"/>
    <w:bookmarkEnd w:id="23"/>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model competition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Companies compete with us based on a growing variety of business models.</w:t>
      </w:r>
    </w:p>
    <w:p>
      <w:pPr>
        <w:spacing w:after="0" w:line="68" w:lineRule="exact"/>
        <w:rPr>
          <w:sz w:val="20"/>
          <w:szCs w:val="20"/>
          <w:color w:val="auto"/>
        </w:rPr>
      </w:pPr>
    </w:p>
    <w:p>
      <w:pPr>
        <w:ind w:left="600" w:right="100"/>
        <w:spacing w:after="0"/>
        <w:rPr>
          <w:sz w:val="20"/>
          <w:szCs w:val="20"/>
          <w:color w:val="auto"/>
        </w:rPr>
      </w:pPr>
      <w:r>
        <w:rPr>
          <w:rFonts w:ascii="Arial" w:cs="Arial" w:eastAsia="Arial" w:hAnsi="Arial"/>
          <w:sz w:val="16"/>
          <w:szCs w:val="16"/>
          <w:color w:val="auto"/>
        </w:rPr>
        <w:t>•Even as we transition more of our business to infrastructure- , platform-, and software-as-a-service business model,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spacing w:after="0" w:line="56" w:lineRule="exact"/>
        <w:rPr>
          <w:sz w:val="20"/>
          <w:szCs w:val="20"/>
          <w:color w:val="auto"/>
        </w:rPr>
      </w:pPr>
    </w:p>
    <w:p>
      <w:pPr>
        <w:ind w:left="600" w:right="120"/>
        <w:spacing w:after="0" w:line="286" w:lineRule="auto"/>
        <w:rPr>
          <w:sz w:val="20"/>
          <w:szCs w:val="20"/>
          <w:color w:val="auto"/>
        </w:rPr>
      </w:pPr>
      <w:r>
        <w:rPr>
          <w:rFonts w:ascii="Arial" w:cs="Arial" w:eastAsia="Arial" w:hAnsi="Arial"/>
          <w:sz w:val="14"/>
          <w:szCs w:val="14"/>
          <w:color w:val="auto"/>
        </w:rPr>
        <w:t>•We are investing in artificial intelligence (“AI”) across the entire company and infusing generative AI capabilities into our consumer and commercial offerings. We expect AI technology and services to be a highly competitive and rapidly evolving market. We will bear significant development and operational costs to build and support the AI capabilities, products, and services necessary to meet the needs of our customers. To compete effectively we must also be responsive to technological change, potential regulatory developments, and public scrutiny.</w:t>
      </w:r>
    </w:p>
    <w:p>
      <w:pPr>
        <w:spacing w:after="0" w:line="25" w:lineRule="exact"/>
        <w:rPr>
          <w:sz w:val="20"/>
          <w:szCs w:val="20"/>
          <w:color w:val="auto"/>
        </w:rPr>
      </w:pPr>
    </w:p>
    <w:p>
      <w:pPr>
        <w:ind w:left="600" w:right="200"/>
        <w:spacing w:after="0" w:line="243" w:lineRule="auto"/>
        <w:rPr>
          <w:sz w:val="20"/>
          <w:szCs w:val="20"/>
          <w:color w:val="auto"/>
        </w:rPr>
      </w:pPr>
      <w:r>
        <w:rPr>
          <w:rFonts w:ascii="Arial" w:cs="Arial" w:eastAsia="Arial" w:hAnsi="Arial"/>
          <w:sz w:val="16"/>
          <w:szCs w:val="16"/>
          <w:color w:val="auto"/>
        </w:rPr>
        <w:t>•Other competitors develop and offer free applications, online services, and content, and make money by selling third-party advertising. Advertising revenue funds development of products and services these competitors provide to users at no or little cost, competing directly with our revenue-generating products.</w:t>
      </w:r>
    </w:p>
    <w:p>
      <w:pPr>
        <w:spacing w:after="0" w:line="53" w:lineRule="exact"/>
        <w:rPr>
          <w:sz w:val="20"/>
          <w:szCs w:val="20"/>
          <w:color w:val="auto"/>
        </w:rPr>
      </w:pPr>
    </w:p>
    <w:p>
      <w:pPr>
        <w:ind w:left="600" w:right="160"/>
        <w:spacing w:after="0" w:line="243" w:lineRule="auto"/>
        <w:rPr>
          <w:sz w:val="20"/>
          <w:szCs w:val="20"/>
          <w:color w:val="auto"/>
        </w:rPr>
      </w:pPr>
      <w:r>
        <w:rPr>
          <w:rFonts w:ascii="Arial" w:cs="Arial" w:eastAsia="Arial" w:hAnsi="Arial"/>
          <w:sz w:val="16"/>
          <w:szCs w:val="16"/>
          <w:color w:val="auto"/>
        </w:rPr>
        <w:t>•Some companies compete with us by modifying and then distributing open source software at little or no cost to end users, using open source AI models, and earning revenue on advertising or integrated products and services. These firms do not bear the full costs of research and development for the open source products. Some open source products mimic the features and functionality of our products.</w:t>
      </w:r>
    </w:p>
    <w:p>
      <w:pPr>
        <w:spacing w:after="0" w:line="125"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The competitive pressures described above may cause decreased sales volumes, price reductions, and/or increased operating costs, such as for research and development, marketing, and sales incentives. This may lead to lower revenue, gross margins, and operating income.</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4"/>
          <w:szCs w:val="14"/>
          <w:b w:val="1"/>
          <w:bCs w:val="1"/>
          <w:color w:val="auto"/>
        </w:rPr>
        <w:t xml:space="preserve">Our increasing focus on cloud-based services presents execution and competitive risks. </w:t>
      </w:r>
      <w:r>
        <w:rPr>
          <w:rFonts w:ascii="Arial" w:cs="Arial" w:eastAsia="Arial" w:hAnsi="Arial"/>
          <w:sz w:val="14"/>
          <w:szCs w:val="14"/>
          <w:color w:val="auto"/>
        </w:rPr>
        <w:t>A growing part of our business involves cloud-based</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available across the spectrum of computing devices. Our strategic vision is to compete and grow by building best-in -class platforms and productivity services that utilize ubiquitous computing and ambient intelligence to drive insights and productivity gains. At the same time, our competitors are rapidly developing and deploying cloud-based services for consumers and business customers. Pricing and delivery models are evolving. Devices and form factors influence how users access services in the cloud and sometimes the user’s choice of which cloud-based services to use. Certain industries and customers have specific requirements for cloud services and may present enhanced risks. We are devoting significant resources to develop and deploy our cloud- based strategies. The Windows ecosystem must continue to evolve with this changing environment. We embrace cultural and organizational changes to drive accountability and eliminate obstacles to innovation. Our intelligent cloud and intelligent edge offerings are connected to the growth of the Internet of Things (“IoT”), a network of distributed and interconnected devices employing sensors, data, and computing capabilities, including AI. Our success in driving ubiquitous computing and ambient intelligence will depend on the level of adoption of our offerings such as Azure, Azure AI, and Azure IoT Edge. We may not establish market share sufficient to achieve scale necessary to meet our business objectives.</w:t>
      </w:r>
    </w:p>
    <w:p>
      <w:pPr>
        <w:spacing w:after="0" w:line="288" w:lineRule="exact"/>
        <w:rPr>
          <w:sz w:val="20"/>
          <w:szCs w:val="20"/>
          <w:color w:val="auto"/>
        </w:rPr>
      </w:pPr>
    </w:p>
    <w:p>
      <w:pPr>
        <w:jc w:val="both"/>
        <w:ind w:right="280"/>
        <w:spacing w:after="0" w:line="243" w:lineRule="auto"/>
        <w:rPr>
          <w:sz w:val="20"/>
          <w:szCs w:val="20"/>
          <w:color w:val="auto"/>
        </w:rPr>
      </w:pPr>
      <w:r>
        <w:rPr>
          <w:rFonts w:ascii="Arial" w:cs="Arial" w:eastAsia="Arial" w:hAnsi="Arial"/>
          <w:sz w:val="16"/>
          <w:szCs w:val="16"/>
          <w:color w:val="auto"/>
        </w:rPr>
        <w:t>Besides software development costs, we are incurring costs to build and maintain infrastructure to support cloud computing services. These costs will reduce the operating margins we have previously achieved. Whether we succeed in cloud-based services depends on our execution in several areas, including:</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•Continuing to bring to market compelling cloud-based experiences that generate increasing traffic and market share.</w:t>
      </w:r>
    </w:p>
    <w:p>
      <w:pPr>
        <w:spacing w:after="0" w:line="68" w:lineRule="exact"/>
        <w:rPr>
          <w:sz w:val="20"/>
          <w:szCs w:val="20"/>
          <w:color w:val="auto"/>
        </w:rPr>
      </w:pPr>
    </w:p>
    <w:p>
      <w:pPr>
        <w:ind w:left="600" w:right="240"/>
        <w:spacing w:after="0" w:line="252" w:lineRule="auto"/>
        <w:rPr>
          <w:sz w:val="20"/>
          <w:szCs w:val="20"/>
          <w:color w:val="auto"/>
        </w:rPr>
      </w:pPr>
      <w:r>
        <w:rPr>
          <w:rFonts w:ascii="Arial" w:cs="Arial" w:eastAsia="Arial" w:hAnsi="Arial"/>
          <w:sz w:val="16"/>
          <w:szCs w:val="16"/>
          <w:color w:val="auto"/>
        </w:rPr>
        <w:t>•Maintaining the utility, compatibility, and performance of our cloud-based services on the growing array of computing devices, including PCs, smartphones, tablets, gaming consoles, and other devices, as well as sensors and other IoT endpoints.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•Continuing to enhance the attractiveness of our cloud platforms to third-party developers.</w:t>
      </w:r>
    </w:p>
    <w:p>
      <w:pPr>
        <w:spacing w:after="0" w:line="68"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•Ensuring our cloud-based services meet the reliability expectations of our customers and maintain the security of their data as well as help them meet their own compliance needs.</w:t>
      </w:r>
    </w:p>
    <w:p>
      <w:pPr>
        <w:spacing w:after="0" w:line="46" w:lineRule="exact"/>
        <w:rPr>
          <w:sz w:val="20"/>
          <w:szCs w:val="20"/>
          <w:color w:val="auto"/>
        </w:rPr>
      </w:pPr>
    </w:p>
    <w:p>
      <w:pPr>
        <w:ind w:left="600" w:right="520"/>
        <w:spacing w:after="0" w:line="252" w:lineRule="auto"/>
        <w:rPr>
          <w:sz w:val="20"/>
          <w:szCs w:val="20"/>
          <w:color w:val="auto"/>
        </w:rPr>
      </w:pPr>
      <w:r>
        <w:rPr>
          <w:rFonts w:ascii="Arial" w:cs="Arial" w:eastAsia="Arial" w:hAnsi="Arial"/>
          <w:sz w:val="16"/>
          <w:szCs w:val="16"/>
          <w:color w:val="auto"/>
        </w:rPr>
        <w:t>•Making our suite of cloud-based services platform-agnostic, available on a wide range of devices and ecosystems, including those of our competitors.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24" w:name="page25"/>
    <w:bookmarkEnd w:id="24"/>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2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It is uncertain whether our strategies will attract the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negatively impact gross margins and operating income.</w:t>
      </w:r>
    </w:p>
    <w:p>
      <w:pPr>
        <w:spacing w:after="0" w:line="12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Some users may engage in fraudulent or abusive activities through our cloud-based services. These include unauthorized use of accounts through stolen credentials, use of stolen credit cards or other payment vehicles, failure to pay for services accessed, or other activities that violate our terms of service such as cryptocurrency mining or launching cyberattacks. If our efforts to detect such violations or our actions to control these types of fraud and abuse are not effective, we may experience adverse impacts to our revenue or incur reputational damage.</w:t>
      </w:r>
    </w:p>
    <w:p>
      <w:pPr>
        <w:spacing w:after="0" w:line="200"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RISKS RELATING TO THE EVOLUTION OF OUR BUSINESS</w:t>
      </w:r>
    </w:p>
    <w:p>
      <w:pPr>
        <w:spacing w:after="0" w:line="132" w:lineRule="exact"/>
        <w:rPr>
          <w:sz w:val="20"/>
          <w:szCs w:val="20"/>
          <w:color w:val="auto"/>
        </w:rPr>
      </w:pPr>
    </w:p>
    <w:p>
      <w:pPr>
        <w:ind w:right="200"/>
        <w:spacing w:after="0" w:line="274" w:lineRule="auto"/>
        <w:rPr>
          <w:sz w:val="20"/>
          <w:szCs w:val="20"/>
          <w:color w:val="auto"/>
        </w:rPr>
      </w:pPr>
      <w:r>
        <w:rPr>
          <w:rFonts w:ascii="Arial" w:cs="Arial" w:eastAsia="Arial" w:hAnsi="Arial"/>
          <w:sz w:val="14"/>
          <w:szCs w:val="14"/>
          <w:b w:val="1"/>
          <w:bCs w:val="1"/>
          <w:color w:val="auto"/>
        </w:rPr>
        <w:t xml:space="preserve">We make significant investments in products and services that may not achieve expected returns. </w:t>
      </w:r>
      <w:r>
        <w:rPr>
          <w:rFonts w:ascii="Arial" w:cs="Arial" w:eastAsia="Arial" w:hAnsi="Arial"/>
          <w:sz w:val="14"/>
          <w:szCs w:val="14"/>
          <w:color w:val="auto"/>
        </w:rPr>
        <w:t>We will continue to make significant</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in research, development, and marketing for existing products, services, and technologies, including the Windows operating system, Microsoft 365, Bing, SQL Server, Windows Server, Azure, Office 365, Xbox, LinkedIn, and other products and services. In addition, we are focused on developing new AI platform services and incorporating AI into existing products and services. We also invest in the development and acquisition of a variety of hardware for productivity, communication, and entertainment, including PCs, tablets, gaming devices, and HoloLens. Investments in new technology are speculative. Commercial success depends on many factors, including innovativeness,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and even if they are profitable, operating margins for some new products and businesses will not be as high as the margins we have experienced historically. We may not get engagement in certain features, like Microsoft Edge, Bing, and Bing Chat, that drive post-sale monetization opportunities. Our data handling practices across our products and services will continue to be under scrutiny. Perceptions of mismanagement, driven by regulatory activity or negative public reaction to our practices or product experiences, could negatively impact product and feature adoption, product design, and product quality.</w:t>
      </w:r>
    </w:p>
    <w:p>
      <w:pPr>
        <w:spacing w:after="0" w:line="28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Developing new technologies is complex. It can require long development and testing periods. Significant delays in new releases or significant problems in creating new products or services could adversely affect our revenue.</w:t>
      </w:r>
    </w:p>
    <w:p>
      <w:pPr>
        <w:spacing w:after="0" w:line="110"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color w:val="auto"/>
        </w:rPr>
        <w:t xml:space="preserve">Acquisitions, joint ventures, and strategic alliances may have an adverse effect on our business. </w:t>
      </w:r>
      <w:r>
        <w:rPr>
          <w:rFonts w:ascii="Arial" w:cs="Arial" w:eastAsia="Arial" w:hAnsi="Arial"/>
          <w:sz w:val="14"/>
          <w:szCs w:val="14"/>
          <w:color w:val="auto"/>
        </w:rPr>
        <w:t>We expect to continue making acquisitions and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entering into joint ventures and strategic alliances as part of our long- term business strategy. For example, in March 2021 we completed our acquisition of ZeniMax Media Inc. for $8.1 billion, and in </w:t>
      </w:r>
      <w:r>
        <w:rPr>
          <w:rFonts w:ascii="Arial" w:cs="Arial" w:eastAsia="Arial" w:hAnsi="Arial"/>
          <w:sz w:val="14"/>
          <w:szCs w:val="14"/>
          <w:color w:val="212529"/>
        </w:rPr>
        <w:t>March 2022 we completed our acquisition of Nuance Communications, Inc. for $18.8 billion. In January 2022</w:t>
      </w:r>
      <w:r>
        <w:rPr>
          <w:rFonts w:ascii="Arial" w:cs="Arial" w:eastAsia="Arial" w:hAnsi="Arial"/>
          <w:sz w:val="14"/>
          <w:szCs w:val="14"/>
          <w:color w:val="auto"/>
        </w:rPr>
        <w:t xml:space="preserve"> we announced a definitive agreement to acquire </w:t>
      </w:r>
      <w:r>
        <w:rPr>
          <w:rFonts w:ascii="Arial" w:cs="Arial" w:eastAsia="Arial" w:hAnsi="Arial"/>
          <w:sz w:val="14"/>
          <w:szCs w:val="14"/>
          <w:color w:val="212529"/>
        </w:rPr>
        <w:t>Activision Blizzard</w:t>
      </w:r>
      <w:r>
        <w:rPr>
          <w:rFonts w:ascii="Arial" w:cs="Arial" w:eastAsia="Arial" w:hAnsi="Arial"/>
          <w:sz w:val="14"/>
          <w:szCs w:val="14"/>
          <w:color w:val="auto"/>
        </w:rPr>
        <w:t>, Inc. for $68.7 billion.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 -related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The success of these transactions and arrangements will depend in part on our ability to leverage them to enhance our existing products and services or develop compelling new ones, as well as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These events could adversely affect our consolidated financial statements.</w:t>
      </w: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73" w:right="640" w:bottom="1440" w:gutter="0" w:footer="0" w:header="0"/>
        </w:sectPr>
      </w:pPr>
    </w:p>
    <w:bookmarkStart w:id="25" w:name="page26"/>
    <w:bookmarkEnd w:id="25"/>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12"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color w:val="auto"/>
        </w:rPr>
        <w:t xml:space="preserve">If our goodwill or amortizable intangible assets become impaired, we may be required to record a significant charge to earnings. </w:t>
      </w:r>
      <w:r>
        <w:rPr>
          <w:rFonts w:ascii="Arial" w:cs="Arial" w:eastAsia="Arial" w:hAnsi="Arial"/>
          <w:sz w:val="16"/>
          <w:szCs w:val="16"/>
          <w:color w:val="auto"/>
        </w:rPr>
        <w:t>We acquire</w:t>
      </w:r>
      <w:r>
        <w:rPr>
          <w:rFonts w:ascii="Arial" w:cs="Arial" w:eastAsia="Arial" w:hAnsi="Arial"/>
          <w:sz w:val="16"/>
          <w:szCs w:val="16"/>
          <w:b w:val="1"/>
          <w:bCs w:val="1"/>
          <w:color w:val="auto"/>
        </w:rPr>
        <w:t xml:space="preserve"> </w:t>
      </w:r>
      <w:r>
        <w:rPr>
          <w:rFonts w:ascii="Arial" w:cs="Arial" w:eastAsia="Arial" w:hAnsi="Arial"/>
          <w:sz w:val="16"/>
          <w:szCs w:val="16"/>
          <w:color w:val="auto"/>
        </w:rPr>
        <w:t>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in the past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CYBERSECURITY, DATA PRIVACY, AND PLATFORM ABUSE RISKS</w:t>
      </w:r>
    </w:p>
    <w:p>
      <w:pPr>
        <w:spacing w:after="0" w:line="132"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b w:val="1"/>
          <w:bCs w:val="1"/>
          <w:color w:val="auto"/>
        </w:rPr>
        <w:t>Cyberattacks and security vulnerabilities could lead to reduced revenue, increased costs, liability claims, or harm to our reputation or competitive position.</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of our information technology</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Threats to IT security can take a variety of forms. Individual and groups of hackers and sophisticated organizations, including state-sponsored organizations or nation-states, continuously undertake attacks that pose threats to our customers and our IT. These actors may use a wide variety of methods, which may include developing and deploying malicious software or exploiting vulnerabilities or intentionally designed processes in hardware, software, or other infrastructure in order to attack our products and services or gain access to our networks and datacenters,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Nation-state and state-sponsored actors can deploy significant resources to plan and carry out attacks. Nation-state attacks against us, our customers, or our partners may intensify during periods of intense diplomatic or armed conflict, such as the ongoing conflict in Ukraine. Inadequate account security or organizational security practices may also result in unauthorized access to confidential data. For example, system administrators may fail to timely remove employee account access when no longer appropriate. Employees or third parties may intentionally compromise our or our users’ security or systems or reveal confidential information. Malicious actors may employ the IT supply chain to introduce malware through software updates or compromised supplier accounts or hardware.</w:t>
      </w:r>
    </w:p>
    <w:p>
      <w:pPr>
        <w:spacing w:after="0" w:line="134"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Cyberthreats are constantly evolving and becoming increasingly sophisticated and complex, increasing the difficulty of detecting and successfully defending against them. We may have no current capability to detect certain vulnerabilities or new attack methods, which may allow them to persist in the environment over long periods of time. Cyberthreats can have cascading impacts that unfold with increasing speed across our internal networks and systems and those of our partners and customers. Breaches of our facilities, network, or data security could disrupt the security of our systems and business applications, impair our ability to provide services to our customers and protect the privacy of their data, result in product development delays, compromise confidential or technical business information harming our reputation or competitive position, result in theft or misuse of our intellectual property or other assets, subject us to ransomware attacks, require us to allocate more resources to improve technologies or remediate the impacts of attacks, or otherwise adversely affect our business. We are also subject to supply chain cyberattacks where malware can be introduced to a software provider’s customers, including us, through software updates.</w:t>
      </w:r>
    </w:p>
    <w:p>
      <w:pPr>
        <w:spacing w:after="0" w:line="129"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In addition, our internal IT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methods for adversaries. Our business policies and internal security controls may not keep pace with these changes as new threats emerge, or emerging cybersecurity regulations in jurisdictions worldwide.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26" w:name="page27"/>
    <w:bookmarkEnd w:id="26"/>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of our products, services, devices, and customers’ data</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our own IT infrastructure can also affect our customers.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and we expect that to continue. In addition, adversaries can attack our customers’ on-premises or cloud environments, sometimes exploiting previously unknown (“zero day”) vulnerabilities, such as occurred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We are increasingly incorporating open source software into our products. There may be vulnerabilities in open source software that may make our products susceptible to cyberattacks. Additionally, we are actively adding new generative AI features to our services. Because generative AI is a new field, understanding of security risks and protection methods continues to develop; features that rely on generative AI may be susceptible to unanticipated security threats from sophisticated adversaries.</w:t>
      </w:r>
    </w:p>
    <w:p>
      <w:pPr>
        <w:spacing w:after="0" w:line="130" w:lineRule="exact"/>
        <w:rPr>
          <w:sz w:val="20"/>
          <w:szCs w:val="20"/>
          <w:color w:val="auto"/>
        </w:rPr>
      </w:pPr>
    </w:p>
    <w:p>
      <w:pPr>
        <w:ind w:right="100"/>
        <w:spacing w:after="0" w:line="276" w:lineRule="auto"/>
        <w:rPr>
          <w:sz w:val="20"/>
          <w:szCs w:val="20"/>
          <w:color w:val="auto"/>
        </w:rPr>
      </w:pPr>
      <w:r>
        <w:rPr>
          <w:rFonts w:ascii="Arial" w:cs="Arial" w:eastAsia="Arial" w:hAnsi="Arial"/>
          <w:sz w:val="14"/>
          <w:szCs w:val="14"/>
          <w:color w:val="auto"/>
        </w:rPr>
        <w:t>Our customers operate complex IT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 and technical sophistication use our technology, and consequently may still have limited capabilities and resources to help them adopt and implement state of the 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IT operations and some customers may have limited capability to review and reset these defaults.</w:t>
      </w:r>
    </w:p>
    <w:p>
      <w:pPr>
        <w:spacing w:after="0" w:line="103"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and deployment of defensive measures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To defend against security threats to our internal IT systems, our cloud-based services, and our customers’ systems, we must continuously engineer more secure products and services, enhance security, threat detection, and reliability features, improve the deployment of software updates to address security vulnerabilities in our own products as well as those provided by others,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 Customers in certain industries such as financial services, health care, and government may have enhanced or specialized requirements to which we must engineer our products and services.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73" w:right="620" w:bottom="1440" w:gutter="0" w:footer="0" w:header="0"/>
        </w:sectPr>
      </w:pPr>
    </w:p>
    <w:bookmarkStart w:id="27" w:name="page28"/>
    <w:bookmarkEnd w:id="27"/>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20"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and third parties granted access to their systems, may fail to update their systems, continue to run software or operating systems we no longer support, or may fail timely to install or enable security patches, or may otherwise fail to adopt adequate security practices. Any of these could adversely affect our reputation and revenue.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spacing w:after="0" w:line="129" w:lineRule="exact"/>
        <w:rPr>
          <w:sz w:val="20"/>
          <w:szCs w:val="20"/>
          <w:color w:val="auto"/>
        </w:rPr>
      </w:pPr>
    </w:p>
    <w:p>
      <w:pPr>
        <w:jc w:val="both"/>
        <w:ind w:right="20"/>
        <w:spacing w:after="0" w:line="243" w:lineRule="auto"/>
        <w:rPr>
          <w:sz w:val="20"/>
          <w:szCs w:val="20"/>
          <w:color w:val="auto"/>
        </w:rPr>
      </w:pPr>
      <w:r>
        <w:rPr>
          <w:rFonts w:ascii="Arial" w:cs="Arial" w:eastAsia="Arial" w:hAnsi="Arial"/>
          <w:sz w:val="16"/>
          <w:szCs w:val="16"/>
          <w:color w:val="auto"/>
        </w:rPr>
        <w:t>Our products operate in conjunction with and are dependent on products and components across a broad ecosystem of third parties. If there is a security vulnerability in one of these components, and if there is a security exploit targeting it, we could face increased costs, liability claims, reduced revenue, or harm to our reputation or competitive position.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4"/>
          <w:szCs w:val="14"/>
          <w:b w:val="1"/>
          <w:bCs w:val="1"/>
          <w:color w:val="auto"/>
        </w:rPr>
        <w:t xml:space="preserve">Disclosure and misuse of personal data could result in liability and harm our reputation. </w:t>
      </w:r>
      <w:r>
        <w:rPr>
          <w:rFonts w:ascii="Arial" w:cs="Arial" w:eastAsia="Arial" w:hAnsi="Arial"/>
          <w:sz w:val="14"/>
          <w:szCs w:val="14"/>
          <w:color w:val="auto"/>
        </w:rPr>
        <w:t>As we continue to grow the number, breadth, and scale of</w:t>
      </w:r>
      <w:r>
        <w:rPr>
          <w:rFonts w:ascii="Arial" w:cs="Arial" w:eastAsia="Arial" w:hAnsi="Arial"/>
          <w:sz w:val="14"/>
          <w:szCs w:val="14"/>
          <w:b w:val="1"/>
          <w:bCs w:val="1"/>
          <w:color w:val="auto"/>
        </w:rPr>
        <w:t xml:space="preserve"> </w:t>
      </w:r>
      <w:r>
        <w:rPr>
          <w:rFonts w:ascii="Arial" w:cs="Arial" w:eastAsia="Arial" w:hAnsi="Arial"/>
          <w:sz w:val="14"/>
          <w:szCs w:val="14"/>
          <w:color w:val="auto"/>
        </w:rPr>
        <w:t>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 premises or, increasingly,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 based solutions by consumers, businesses, and government entities. Additional security measures we may take to address customer or user concerns, or constraints on our flexibility to determine where and how to operate datacenters in response to customer or user expectations or governmental rules or actions, may cause higher operating expenses or hinder growth of our products and services.</w:t>
      </w:r>
    </w:p>
    <w:p>
      <w:pPr>
        <w:spacing w:after="0" w:line="281"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color w:val="auto"/>
        </w:rPr>
        <w:t>We may not be able to protect information in our products and services from use by others</w:t>
      </w:r>
      <w:r>
        <w:rPr>
          <w:rFonts w:ascii="Arial" w:cs="Arial" w:eastAsia="Arial" w:hAnsi="Arial"/>
          <w:sz w:val="16"/>
          <w:szCs w:val="16"/>
          <w:color w:val="auto"/>
        </w:rPr>
        <w:t>. LinkedIn and other Microsoft products and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thus diminishing the value of our products and services.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Abuse of our platforms may harm our reputation or user engagement.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Advertising, professional, marketplace, and gaming platform abuses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For platform products and services that provide content or host ads that come from or can be influenced by third parties, including GitHub, LinkedIn, Microsoft Advertising, Microsoft News, Microsoft Store, Bing, and Xbox,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and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28" w:name="page29"/>
    <w:bookmarkEnd w:id="28"/>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digital safety abuses</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6"/>
          <w:szCs w:val="16"/>
          <w:color w:val="auto"/>
        </w:rPr>
        <w:t>Our hosted consumer services as well as our enterprise services may be used to generate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to make platforms responsible for preventing or eliminating harmful content online have been enacted, and we expect this to continue. We may be subject to enhanced regulatory oversight, civil or criminal liability, or reputational damage if we fail to comply with content moderation regulations, adversely affecting our business and consolidated financial statements.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b w:val="1"/>
          <w:bCs w:val="1"/>
          <w:color w:val="auto"/>
        </w:rPr>
        <w:t xml:space="preserve">The development of the IoT presents security, privacy, and execution risks. </w:t>
      </w:r>
      <w:r>
        <w:rPr>
          <w:rFonts w:ascii="Arial" w:cs="Arial" w:eastAsia="Arial" w:hAnsi="Arial"/>
          <w:sz w:val="16"/>
          <w:szCs w:val="16"/>
          <w:color w:val="auto"/>
        </w:rPr>
        <w:t>To support the growth of the intelligent cloud and the intelligent edge,</w:t>
      </w:r>
      <w:r>
        <w:rPr>
          <w:rFonts w:ascii="Arial" w:cs="Arial" w:eastAsia="Arial" w:hAnsi="Arial"/>
          <w:sz w:val="16"/>
          <w:szCs w:val="16"/>
          <w:b w:val="1"/>
          <w:bCs w:val="1"/>
          <w:color w:val="auto"/>
        </w:rPr>
        <w:t xml:space="preserve"> </w:t>
      </w:r>
      <w:r>
        <w:rPr>
          <w:rFonts w:ascii="Arial" w:cs="Arial" w:eastAsia="Arial" w:hAnsi="Arial"/>
          <w:sz w:val="16"/>
          <w:szCs w:val="16"/>
          <w:color w:val="auto"/>
        </w:rPr>
        <w:t>we are developing products, services, and technologies to power the IoT. The IoT’s great potential also carries substantial risks. IoT products and services may contain defects in design, manufacture, or operation that make them insecure or ineffective for their intended purposes. An IoT solution has multiple layers of hardware, sensors, processors, software, and firmware, several of which we may not develop or control. Each layer, including the weakest layer, can impact the security of the whole system. Many IoT devices have limited interfaces and ability to be updated or patched. IoT solutions may collect large amounts of data, and our handling of IoT data may not satisfy customers or regulatory requirements. IoT scenarios may increasingly affect personal health and safety. If IoT solutions that include our technologies do not work as intended, violate the law, or harm individuals or businesses, we may be subject to legal claims or enforcement actions. These risks, if realized, may increase our costs, damage our reputation or brands, or negatively impact our revenues or margins.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auto"/>
        </w:rPr>
        <w:t>Issues in the development and use of AI may result in reputational or competitive harm or liability</w:t>
      </w:r>
      <w:r>
        <w:rPr>
          <w:rFonts w:ascii="Arial" w:cs="Arial" w:eastAsia="Arial" w:hAnsi="Arial"/>
          <w:sz w:val="16"/>
          <w:szCs w:val="16"/>
          <w:color w:val="auto"/>
        </w:rPr>
        <w:t>. We are building AI into many of our offerings,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our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information. Content generated by AI systems may be offensive, illegal, or otherwise harmful. Ineffective or inadequate AI development or deployment practices by Microsoft or others could result in incidents that impair the acceptance of AI solutions or cause harm to individuals, customers, or society, or result in our products and services not working as intended. Human review of certain outputs may be required. As a result of these and other challenges associated with innovative technologies, our implementation of AI systems could subject us to competitive harm, regulatory action, legal liability, including under new proposed legislation regulating AI in jurisdictions such as the European Union (“EU”), new applications of existing data protection, privacy, intellectual property, and other laws, and brand or reputational harm. Some AI scenarios present ethical issues or may have broad impacts on society. If we enable or offer AI solutions that have unintended consequences, unintended usage or customization by our customers and partners, or are controversial because of their impact on human rights, privacy, employment, or other social, economic, or political issues, we may experience brand or reputational harm, adversely affecting our business and consolidated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29" w:name="page30"/>
    <w:bookmarkEnd w:id="29"/>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OPERATIONAL RISKS</w:t>
      </w:r>
    </w:p>
    <w:p>
      <w:pPr>
        <w:spacing w:after="0" w:line="132" w:lineRule="exact"/>
        <w:rPr>
          <w:sz w:val="20"/>
          <w:szCs w:val="20"/>
          <w:color w:val="auto"/>
        </w:rPr>
      </w:pPr>
    </w:p>
    <w:p>
      <w:pPr>
        <w:ind w:right="100"/>
        <w:spacing w:after="0" w:line="272" w:lineRule="auto"/>
        <w:rPr>
          <w:sz w:val="20"/>
          <w:szCs w:val="20"/>
          <w:color w:val="auto"/>
        </w:rPr>
      </w:pPr>
      <w:r>
        <w:rPr>
          <w:rFonts w:ascii="Arial" w:cs="Arial" w:eastAsia="Arial" w:hAnsi="Arial"/>
          <w:sz w:val="14"/>
          <w:szCs w:val="14"/>
          <w:b w:val="1"/>
          <w:bCs w:val="1"/>
          <w:color w:val="auto"/>
        </w:rPr>
        <w:t xml:space="preserve">We may have excessive outages, data losses, and disruptions of our online services if we fail to maintain an adequate operations infrastructure. </w:t>
      </w:r>
      <w:r>
        <w:rPr>
          <w:rFonts w:ascii="Arial" w:cs="Arial" w:eastAsia="Arial" w:hAnsi="Arial"/>
          <w:sz w:val="14"/>
          <w:szCs w:val="14"/>
          <w:color w:val="auto"/>
        </w:rPr>
        <w:t>Our increasing user traffic, growth in services, and the complexity of our products and services demand more computing power. We</w:t>
      </w:r>
      <w:r>
        <w:rPr>
          <w:rFonts w:ascii="Arial" w:cs="Arial" w:eastAsia="Arial" w:hAnsi="Arial"/>
          <w:sz w:val="14"/>
          <w:szCs w:val="14"/>
          <w:b w:val="1"/>
          <w:bCs w:val="1"/>
          <w:color w:val="auto"/>
        </w:rPr>
        <w:t xml:space="preserve"> </w:t>
      </w:r>
      <w:r>
        <w:rPr>
          <w:rFonts w:ascii="Arial" w:cs="Arial" w:eastAsia="Arial" w:hAnsi="Arial"/>
          <w:sz w:val="14"/>
          <w:szCs w:val="14"/>
          <w:color w:val="auto"/>
        </w:rPr>
        <w:t>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(“GPUs”)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such as Bing, Azure, Microsoft Account services, Microsoft 365, Microsoft Teams, Dynamics 365, OneDrive, SharePoint Online, Skype, Xbox, and Outlook.com through the incorporation of AI features and/or functionality. We are rapidly growing our business of providing a platform and back -end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insufficient Internet connectivity, insufficient or unavailable power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impact our consolidated financial statements.</w:t>
      </w:r>
    </w:p>
    <w:p>
      <w:pPr>
        <w:spacing w:after="0" w:line="288"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color w:val="auto"/>
        </w:rPr>
        <w:t xml:space="preserve">We may experience quality or supply problems. </w:t>
      </w:r>
      <w:r>
        <w:rPr>
          <w:rFonts w:ascii="Arial" w:cs="Arial" w:eastAsia="Arial" w:hAnsi="Arial"/>
          <w:sz w:val="16"/>
          <w:szCs w:val="16"/>
          <w:color w:val="auto"/>
        </w:rPr>
        <w:t>Our hardware products such as Xbox consoles, Surface devices, and other devices we design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are highly complex and can have defects in design, manufacture, or associated software. We could incur significant expenses, lost revenue, and reputational harm as a result of recalls, safety alerts, or product liability claims if we fail to prevent, detect, or address such issues through design, testing, or warranty repairs.</w:t>
      </w:r>
    </w:p>
    <w:p>
      <w:pPr>
        <w:spacing w:after="0" w:line="12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with one another. Each of these circumstances potentially magnifies the impact of quality or reliability issues. Any defects we do not detect and fix in pre-release testing could cause reduced sales and revenue, damage to our reputation, repair or remediation costs, delays in the release of new products or versions, or legal liability. Although our license agreements typically contain provisions that eliminate or limit our exposure to liability, there is no assurance these provisions will withstand legal challenge.</w:t>
      </w:r>
    </w:p>
    <w:p>
      <w:pPr>
        <w:spacing w:after="0" w:line="13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There are limited suppliers for certain device and datacenter components. Our competitors use some of the same suppliers and their demand for hardware components can affect the capacity available to us.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Xbox consoles, Surface devices, datacenter servers, and other hardware are assembled in Asia and other geographies that may be subject to disruptions in the supply chain, resulting in shortages that would affect our revenue and operating margins.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LEGAL, REGULATORY, AND LITIGATION RISKS</w:t>
      </w:r>
    </w:p>
    <w:p>
      <w:pPr>
        <w:spacing w:after="0" w:line="132"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b w:val="1"/>
          <w:bCs w:val="1"/>
          <w:color w:val="auto"/>
        </w:rPr>
        <w:t xml:space="preserve">Government litigation and regulatory activity relating to competition rules may limit how we design and market our products. </w:t>
      </w:r>
      <w:r>
        <w:rPr>
          <w:rFonts w:ascii="Arial" w:cs="Arial" w:eastAsia="Arial" w:hAnsi="Arial"/>
          <w:sz w:val="16"/>
          <w:szCs w:val="16"/>
          <w:color w:val="auto"/>
        </w:rPr>
        <w:t>Government</w:t>
      </w:r>
      <w:r>
        <w:rPr>
          <w:rFonts w:ascii="Arial" w:cs="Arial" w:eastAsia="Arial" w:hAnsi="Arial"/>
          <w:sz w:val="16"/>
          <w:szCs w:val="16"/>
          <w:b w:val="1"/>
          <w:bCs w:val="1"/>
          <w:color w:val="auto"/>
        </w:rPr>
        <w:t xml:space="preserve"> </w:t>
      </w:r>
      <w:r>
        <w:rPr>
          <w:rFonts w:ascii="Arial" w:cs="Arial" w:eastAsia="Arial" w:hAnsi="Arial"/>
          <w:sz w:val="16"/>
          <w:szCs w:val="16"/>
          <w:color w:val="auto"/>
        </w:rPr>
        <w:t>agencies closely scrutinize us under U.S. and foreign competition laws. Governments are actively enforcing competition laws and regulations, and this includes scrutiny in potentially large markets such as the EU, the U.S., and China. Some jurisdictions also allow competitors or consumers to assert claims of anti-competitive conduct. U.S. federal and state antitrust authorities have previously brought enforcement actions and continue to scrutinize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30" w:name="page31"/>
    <w:bookmarkEnd w:id="30"/>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2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For example, the European Commission (“the Commission”) closely scrutinizes the design of high-volume Microsoft products and the terms on which we make certain technologies used in these products, such as file formats, programming interfaces, and protocols, available to other companies. Flagship product releases such as Windows can receive significant scrutiny under EU or other competition laws.</w:t>
      </w:r>
    </w:p>
    <w:p>
      <w:pPr>
        <w:spacing w:after="0" w:line="125" w:lineRule="exact"/>
        <w:rPr>
          <w:sz w:val="20"/>
          <w:szCs w:val="20"/>
          <w:color w:val="auto"/>
        </w:rPr>
      </w:pPr>
    </w:p>
    <w:p>
      <w:pPr>
        <w:ind w:right="60"/>
        <w:spacing w:after="0"/>
        <w:rPr>
          <w:sz w:val="20"/>
          <w:szCs w:val="20"/>
          <w:color w:val="auto"/>
        </w:rPr>
      </w:pPr>
      <w:r>
        <w:rPr>
          <w:rFonts w:ascii="Arial" w:cs="Arial" w:eastAsia="Arial" w:hAnsi="Arial"/>
          <w:sz w:val="16"/>
          <w:szCs w:val="16"/>
          <w:color w:val="auto"/>
        </w:rPr>
        <w:t>Our portfolio of first-party devices continues to grow; at the same time our OEM partners offer a large variety of devices for our platforms. As a result, increasingly we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Competition law regulatory actions and court decisions may result in fines or hinder our ability to provide the benefits of our software to consumers and businesses, reducing the attractiveness of our products and the revenue that comes from them. New competition law actions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w:t>
      </w:r>
    </w:p>
    <w:p>
      <w:pPr>
        <w:spacing w:after="0" w:line="94" w:lineRule="exact"/>
        <w:rPr>
          <w:sz w:val="20"/>
          <w:szCs w:val="20"/>
          <w:color w:val="auto"/>
        </w:rPr>
      </w:pPr>
    </w:p>
    <w:p>
      <w:pPr>
        <w:spacing w:after="0" w:line="274" w:lineRule="auto"/>
        <w:rPr>
          <w:sz w:val="20"/>
          <w:szCs w:val="20"/>
          <w:color w:val="auto"/>
        </w:rPr>
      </w:pPr>
      <w:r>
        <w:rPr>
          <w:rFonts w:ascii="Arial" w:cs="Arial" w:eastAsia="Arial" w:hAnsi="Arial"/>
          <w:sz w:val="14"/>
          <w:szCs w:val="14"/>
          <w:b w:val="1"/>
          <w:bCs w:val="1"/>
          <w:color w:val="auto"/>
        </w:rPr>
        <w:t xml:space="preserve">Laws and regulations relating to anti-corruption and trade could result in increased costs, fines, criminal penalties, or reputational damage. </w:t>
      </w:r>
      <w:r>
        <w:rPr>
          <w:rFonts w:ascii="Arial" w:cs="Arial" w:eastAsia="Arial" w:hAnsi="Arial"/>
          <w:sz w:val="14"/>
          <w:szCs w:val="14"/>
          <w:color w:val="auto"/>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An example of increasing international regulatory complexity is the EU Whistleblower Directive, initiated in 2021, which may present compliance challenges to the extent it is implemented in different forms by EU member states.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w:t>
      </w:r>
    </w:p>
    <w:p>
      <w:pPr>
        <w:spacing w:after="0" w:line="29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revenues, increased costs, loss of export privileges, or criminal sanctions.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31" w:name="page32"/>
    <w:bookmarkEnd w:id="31"/>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84"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b w:val="1"/>
          <w:bCs w:val="1"/>
          <w:color w:val="auto"/>
        </w:rPr>
        <w:t xml:space="preserve">Laws and regulations relating to the handling of personal data may impede the adoption of our services or result in increased costs, legal claims, fines against us, or reputational damage. </w:t>
      </w:r>
      <w:r>
        <w:rPr>
          <w:rFonts w:ascii="Arial" w:cs="Arial" w:eastAsia="Arial" w:hAnsi="Arial"/>
          <w:sz w:val="16"/>
          <w:szCs w:val="16"/>
          <w:color w:val="auto"/>
        </w:rPr>
        <w:t>The growth of our Internet- and cloud-based services internationally relies increasingly on the</w:t>
      </w:r>
      <w:r>
        <w:rPr>
          <w:rFonts w:ascii="Arial" w:cs="Arial" w:eastAsia="Arial" w:hAnsi="Arial"/>
          <w:sz w:val="16"/>
          <w:szCs w:val="16"/>
          <w:b w:val="1"/>
          <w:bCs w:val="1"/>
          <w:color w:val="auto"/>
        </w:rPr>
        <w:t xml:space="preserve"> </w:t>
      </w:r>
      <w:r>
        <w:rPr>
          <w:rFonts w:ascii="Arial" w:cs="Arial" w:eastAsia="Arial" w:hAnsi="Arial"/>
          <w:sz w:val="16"/>
          <w:szCs w:val="16"/>
          <w:color w:val="auto"/>
        </w:rPr>
        <w:t>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 -based services that involve the transfer of data to the U.S. In the EU and other markets, potential new rules and restrictions on the flow of data across borders could increase the cost and complexity of delivering our products and services.</w:t>
      </w:r>
    </w:p>
    <w:p>
      <w:pPr>
        <w:spacing w:after="0" w:line="133" w:lineRule="exact"/>
        <w:rPr>
          <w:sz w:val="20"/>
          <w:szCs w:val="20"/>
          <w:color w:val="auto"/>
        </w:rPr>
      </w:pPr>
    </w:p>
    <w:p>
      <w:pPr>
        <w:ind w:right="40"/>
        <w:spacing w:after="0" w:line="273" w:lineRule="auto"/>
        <w:rPr>
          <w:sz w:val="20"/>
          <w:szCs w:val="20"/>
          <w:color w:val="auto"/>
        </w:rPr>
      </w:pPr>
      <w:r>
        <w:rPr>
          <w:rFonts w:ascii="Arial" w:cs="Arial" w:eastAsia="Arial" w:hAnsi="Arial"/>
          <w:sz w:val="14"/>
          <w:szCs w:val="14"/>
          <w:color w:val="auto"/>
        </w:rPr>
        <w:t>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international data transfers, and loss of customers. The highest fines assessed under GDPR have recently been increasing, especially against large technology companies. Jurisdictions around the world, such as China, India, and states in the U.S. have adopted, or are considering adopting or expanding, laws and regulations imposing obligations regarding the collection, handling, and transfer of personal data.</w:t>
      </w:r>
    </w:p>
    <w:p>
      <w:pPr>
        <w:spacing w:after="0" w:line="29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investment in gaining insights from data is becoming central to the value of the services, including AI services, we deliver to customers,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as well as negative publicity and diversion of management time and effort.</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auto"/>
        </w:rPr>
        <w:t xml:space="preserve">Existing and increasing legal and regulatory requirements could adversely affect our results of operations. </w:t>
      </w:r>
      <w:r>
        <w:rPr>
          <w:rFonts w:ascii="Arial" w:cs="Arial" w:eastAsia="Arial" w:hAnsi="Arial"/>
          <w:sz w:val="16"/>
          <w:szCs w:val="16"/>
          <w:color w:val="auto"/>
        </w:rPr>
        <w:t>We are subject to a wide range of</w:t>
      </w:r>
      <w:r>
        <w:rPr>
          <w:rFonts w:ascii="Arial" w:cs="Arial" w:eastAsia="Arial" w:hAnsi="Arial"/>
          <w:sz w:val="16"/>
          <w:szCs w:val="16"/>
          <w:b w:val="1"/>
          <w:bCs w:val="1"/>
          <w:color w:val="auto"/>
        </w:rPr>
        <w:t xml:space="preserve"> </w:t>
      </w:r>
      <w:r>
        <w:rPr>
          <w:rFonts w:ascii="Arial" w:cs="Arial" w:eastAsia="Arial" w:hAnsi="Arial"/>
          <w:sz w:val="16"/>
          <w:szCs w:val="16"/>
          <w:color w:val="auto"/>
        </w:rPr>
        <w:t>laws, regulations, and legal requirements in the U.S. and globally, including those that may apply to our products and online services offerings, and those that impose requirements related to user privacy, telecommunications, data storage and protection, advertising, and online content. Laws in several jurisdictions, including EU Member State laws under the European Electronic Communications Code, increasingly define certain of our services as regulated telecommunications services. This trend may continue and will result in these offerings being subjected to additional data protection, security,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Compliance with evolving digital accessibility laws and standards will require engineering and is important to our efforts to empower all people and organizations to achieve more. Legislative and regulatory action is emerging in the areas of AI and content moderation, which could increase costs or restrict opportunity. For example, in the EU, an AI Act is being considered, and may entail increased costs or decreased opportunities for the operation of our AI services in the European market.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32" w:name="page33"/>
    <w:bookmarkEnd w:id="32"/>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20" w:lineRule="exact"/>
        <w:rPr>
          <w:sz w:val="20"/>
          <w:szCs w:val="20"/>
          <w:color w:val="auto"/>
        </w:rPr>
      </w:pPr>
    </w:p>
    <w:p>
      <w:pPr>
        <w:ind w:right="60"/>
        <w:spacing w:after="0" w:line="279" w:lineRule="auto"/>
        <w:rPr>
          <w:sz w:val="20"/>
          <w:szCs w:val="20"/>
          <w:color w:val="auto"/>
        </w:rPr>
      </w:pPr>
      <w:r>
        <w:rPr>
          <w:rFonts w:ascii="Arial" w:cs="Arial" w:eastAsia="Arial" w:hAnsi="Arial"/>
          <w:sz w:val="14"/>
          <w:szCs w:val="14"/>
          <w:color w:val="auto"/>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or orders we cease the alleged noncompliant activity. In addition, there is increasing pressure from advocacy groups, regulators, competitors, customers, and other stakeholders across many of these areas. If our products do not meet customer expectations or legal requirements, we could lose sales opportunities or face regulatory or legal actions.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We have claims and lawsuits against us that may result in adverse outcomes. </w:t>
      </w:r>
      <w:r>
        <w:rPr>
          <w:rFonts w:ascii="Arial" w:cs="Arial" w:eastAsia="Arial" w:hAnsi="Arial"/>
          <w:sz w:val="16"/>
          <w:szCs w:val="16"/>
          <w:color w:val="auto"/>
        </w:rPr>
        <w:t>We are subject to a variety of claims and lawsuits. These claims may</w:t>
      </w:r>
      <w:r>
        <w:rPr>
          <w:rFonts w:ascii="Arial" w:cs="Arial" w:eastAsia="Arial" w:hAnsi="Arial"/>
          <w:sz w:val="16"/>
          <w:szCs w:val="16"/>
          <w:b w:val="1"/>
          <w:bCs w:val="1"/>
          <w:color w:val="auto"/>
        </w:rPr>
        <w:t xml:space="preserve"> </w:t>
      </w:r>
      <w:r>
        <w:rPr>
          <w:rFonts w:ascii="Arial" w:cs="Arial" w:eastAsia="Arial" w:hAnsi="Arial"/>
          <w:sz w:val="16"/>
          <w:szCs w:val="16"/>
          <w:color w:val="auto"/>
        </w:rPr>
        <w:t>arise from a wide variety of business practices and initiatives, including major new product releases such as Windows, AI services, significant business transactions, warranty or product claims, employment practices, and regulation. Adverse outcomes in some or all of these claims may result in significant monetary damages or injunctive relief that could adversely affect our ability to conduct our business. The litigation and other claims are subject to inherent uncertainties and management’s view of these matters may change in the future. A material adverse impact in our consolidated financial statements could occur for the period in which the effect of an unfavorable outcome becomes probable and reasonably estimable.</w:t>
      </w:r>
    </w:p>
    <w:p>
      <w:pPr>
        <w:spacing w:after="0" w:line="120"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b w:val="1"/>
          <w:bCs w:val="1"/>
          <w:color w:val="auto"/>
        </w:rPr>
        <w:t xml:space="preserve">Our business with government customers may present additional uncertainties. </w:t>
      </w:r>
      <w:r>
        <w:rPr>
          <w:rFonts w:ascii="Arial" w:cs="Arial" w:eastAsia="Arial" w:hAnsi="Arial"/>
          <w:sz w:val="16"/>
          <w:szCs w:val="16"/>
          <w:color w:val="auto"/>
        </w:rPr>
        <w:t>We derive substantial revenue from government contracts.</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results of operations, financial condition, and reputation.</w:t>
      </w:r>
    </w:p>
    <w:p>
      <w:pPr>
        <w:spacing w:after="0" w:line="122"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b w:val="1"/>
          <w:bCs w:val="1"/>
          <w:color w:val="auto"/>
        </w:rPr>
        <w:t xml:space="preserve">We may have additional tax liabilities. </w:t>
      </w:r>
      <w:r>
        <w:rPr>
          <w:rFonts w:ascii="Arial" w:cs="Arial" w:eastAsia="Arial" w:hAnsi="Arial"/>
          <w:sz w:val="16"/>
          <w:szCs w:val="16"/>
          <w:color w:val="auto"/>
        </w:rPr>
        <w:t>We are subject to income taxes in the U.S. and many foreign jurisdictions. Significant judgment is required in</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our worldwide provision for income taxes. In the course of our business, there are many transactions and calculations where the ultimate tax determination is uncertain. For example, compliance with the 2017 United States Tax Cuts and Jobs Act (“TCJA”) and possible future legislative changes may require the collection of information not regularly produced within the company, the use of estimates in our consolidated financial statements, and the exercise of significant judgment in accounting for its provisions. As regulations and guidance evolve with respect to the TCJA or possible future legislative changes, and as we gather more information and perform more analysis, our results may differ from previous estimates and may materially affect our consolidated financial statements.</w:t>
      </w:r>
    </w:p>
    <w:p>
      <w:pPr>
        <w:spacing w:after="0" w:line="130"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audit for prior tax years, with the primary unresolved issues relating to transfer pricing. The final resolution of those audits, and other audits or litigation, may differ from the amounts recorded in our consolidated financial statements and may materially affect our consolidated financial statements in the period or periods in which that determination is made.</w:t>
      </w:r>
    </w:p>
    <w:p>
      <w:pPr>
        <w:spacing w:after="0" w:line="130"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fundamental law changes currently being considered by many countries, including in the U.S., and changes in taxing jurisdictions’ administrative interpretations, decisions, policies, and positions may materially adversely impact our consolidated financial statements.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73" w:right="640" w:bottom="1440" w:gutter="0" w:footer="0" w:header="0"/>
        </w:sectPr>
      </w:pPr>
    </w:p>
    <w:bookmarkStart w:id="33" w:name="page34"/>
    <w:bookmarkEnd w:id="33"/>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INTELLECTUAL PROPERTY RISKS</w:t>
      </w:r>
    </w:p>
    <w:p>
      <w:pPr>
        <w:spacing w:after="0" w:line="132"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b w:val="1"/>
          <w:bCs w:val="1"/>
          <w:color w:val="auto"/>
        </w:rPr>
        <w:t xml:space="preserve">We face risks related to the protection and utilization of our intellectual property that may result in our business and operating results may be harmed. </w:t>
      </w:r>
      <w:r>
        <w:rPr>
          <w:rFonts w:ascii="Arial" w:cs="Arial" w:eastAsia="Arial" w:hAnsi="Arial"/>
          <w:sz w:val="16"/>
          <w:szCs w:val="16"/>
          <w:color w:val="auto"/>
        </w:rPr>
        <w:t>Protecting our intellectual property rights and combating unlicensed copying and use of our software and other intellectual property on a global</w:t>
      </w:r>
      <w:r>
        <w:rPr>
          <w:rFonts w:ascii="Arial" w:cs="Arial" w:eastAsia="Arial" w:hAnsi="Arial"/>
          <w:sz w:val="16"/>
          <w:szCs w:val="16"/>
          <w:b w:val="1"/>
          <w:bCs w:val="1"/>
          <w:color w:val="auto"/>
        </w:rPr>
        <w:t xml:space="preserve"> </w:t>
      </w:r>
      <w:r>
        <w:rPr>
          <w:rFonts w:ascii="Arial" w:cs="Arial" w:eastAsia="Arial" w:hAnsi="Arial"/>
          <w:sz w:val="16"/>
          <w:szCs w:val="16"/>
          <w:color w:val="auto"/>
        </w:rPr>
        <w:t>basis is difficult. Similarly, the absence of harmonized patent laws makes it more difficult to ensure consistent respect for patent rights.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law may continue to weaken our ability to prevent the use of patented technology or collect revenue for licensing our patents. Additionally, licensees of our patents may fail to satisfy their obligations to pay us royalties or may contest the scope and extent of their obligations. Finally, our increasing engagement with open source software will also cause us to license our intellectual property rights broadly in certain situations. If we are unable to protect our intellectual property, our revenue may be adversely affected.</w:t>
      </w:r>
    </w:p>
    <w:p>
      <w:pPr>
        <w:spacing w:after="0" w:line="128"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revenue and operating results. Unauthorized disclosure of source code also could increase the security risks described elsewhere in these risk factors.</w:t>
      </w:r>
    </w:p>
    <w:p>
      <w:pPr>
        <w:spacing w:after="0" w:line="120" w:lineRule="exact"/>
        <w:rPr>
          <w:sz w:val="20"/>
          <w:szCs w:val="20"/>
          <w:color w:val="auto"/>
        </w:rPr>
      </w:pPr>
    </w:p>
    <w:p>
      <w:pPr>
        <w:ind w:right="20"/>
        <w:spacing w:after="0"/>
        <w:rPr>
          <w:sz w:val="20"/>
          <w:szCs w:val="20"/>
          <w:color w:val="auto"/>
        </w:rPr>
      </w:pPr>
      <w:r>
        <w:rPr>
          <w:rFonts w:ascii="Arial" w:cs="Arial" w:eastAsia="Arial" w:hAnsi="Arial"/>
          <w:sz w:val="16"/>
          <w:szCs w:val="16"/>
          <w:b w:val="1"/>
          <w:bCs w:val="1"/>
          <w:color w:val="auto"/>
        </w:rPr>
        <w:t xml:space="preserve">Third parties may claim that we infringe their intellectual property. </w:t>
      </w:r>
      <w:r>
        <w:rPr>
          <w:rFonts w:ascii="Arial" w:cs="Arial" w:eastAsia="Arial" w:hAnsi="Arial"/>
          <w:sz w:val="16"/>
          <w:szCs w:val="16"/>
          <w:color w:val="auto"/>
        </w:rPr>
        <w:t>From time to time, others claim we infringe their intellectual property rights. To</w:t>
      </w:r>
      <w:r>
        <w:rPr>
          <w:rFonts w:ascii="Arial" w:cs="Arial" w:eastAsia="Arial" w:hAnsi="Arial"/>
          <w:sz w:val="16"/>
          <w:szCs w:val="16"/>
          <w:b w:val="1"/>
          <w:bCs w:val="1"/>
          <w:color w:val="auto"/>
        </w:rPr>
        <w:t xml:space="preserve"> </w:t>
      </w:r>
      <w:r>
        <w:rPr>
          <w:rFonts w:ascii="Arial" w:cs="Arial" w:eastAsia="Arial" w:hAnsi="Arial"/>
          <w:sz w:val="16"/>
          <w:szCs w:val="16"/>
          <w:color w:val="auto"/>
        </w:rPr>
        <w:t>resolve these claims, we may enter into royalty and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GENERAL RISKS</w:t>
      </w:r>
    </w:p>
    <w:p>
      <w:pPr>
        <w:spacing w:after="0" w:line="132" w:lineRule="exact"/>
        <w:rPr>
          <w:sz w:val="20"/>
          <w:szCs w:val="20"/>
          <w:color w:val="auto"/>
        </w:rPr>
      </w:pPr>
    </w:p>
    <w:p>
      <w:pPr>
        <w:ind w:right="160"/>
        <w:spacing w:after="0"/>
        <w:rPr>
          <w:sz w:val="20"/>
          <w:szCs w:val="20"/>
          <w:color w:val="auto"/>
        </w:rPr>
      </w:pPr>
      <w:r>
        <w:rPr>
          <w:rFonts w:ascii="Arial" w:cs="Arial" w:eastAsia="Arial" w:hAnsi="Arial"/>
          <w:sz w:val="16"/>
          <w:szCs w:val="16"/>
          <w:b w:val="1"/>
          <w:bCs w:val="1"/>
          <w:color w:val="auto"/>
        </w:rPr>
        <w:t xml:space="preserve">If our reputation or our brands are damaged, our business and operating results may be harmed </w:t>
      </w:r>
      <w:r>
        <w:rPr>
          <w:rFonts w:ascii="Arial" w:cs="Arial" w:eastAsia="Arial" w:hAnsi="Arial"/>
          <w:sz w:val="16"/>
          <w:szCs w:val="16"/>
          <w:color w:val="auto"/>
        </w:rPr>
        <w:t>. Our reputation and brands are globally</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or public policy positions. Damage to our reputation or our brands may occur from, among other things:</w:t>
      </w:r>
    </w:p>
    <w:p>
      <w:pPr>
        <w:spacing w:after="0" w:line="5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introduction of new features, products, services, or terms of service that customers, users, or partners do not like.</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•Public scrutiny of our decisions regarding user privacy, data practices, or content.</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•Data security breaches, compliance failures, or actions of partners or individual employees.</w:t>
      </w:r>
    </w:p>
    <w:p>
      <w:pPr>
        <w:spacing w:after="0" w:line="14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proliferation of social media may increase the likelihood, speed, and magnitude of negative brand events. If our brands or reputation are damaged, it could negatively impact our revenues or margins, or ability to attract the most highly qualified employees.</w:t>
      </w:r>
    </w:p>
    <w:p>
      <w:pPr>
        <w:spacing w:after="0" w:line="11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b w:val="1"/>
          <w:bCs w:val="1"/>
          <w:color w:val="auto"/>
        </w:rPr>
        <w:t xml:space="preserve">Adverse economic or market conditions may harm our business. </w:t>
      </w:r>
      <w:r>
        <w:rPr>
          <w:rFonts w:ascii="Arial" w:cs="Arial" w:eastAsia="Arial" w:hAnsi="Arial"/>
          <w:sz w:val="16"/>
          <w:szCs w:val="16"/>
          <w:color w:val="auto"/>
        </w:rPr>
        <w:t>Worsening economic conditions, including inflation, recession, pandemic,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in economic conditions, may cause lower IT spending and adversely affect our revenue. If demand for PCs, servers, and other computing devices declines, or consumer or business spending for those products declines, our revenue will be adversely affected.</w:t>
      </w:r>
    </w:p>
    <w:p>
      <w:pPr>
        <w:spacing w:after="0" w:line="122"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spacing w:after="0" w:line="125" w:lineRule="exact"/>
        <w:rPr>
          <w:sz w:val="20"/>
          <w:szCs w:val="20"/>
          <w:color w:val="auto"/>
        </w:rPr>
      </w:pPr>
    </w:p>
    <w:p>
      <w:pPr>
        <w:ind w:right="640"/>
        <w:spacing w:after="0" w:line="252" w:lineRule="auto"/>
        <w:rPr>
          <w:sz w:val="20"/>
          <w:szCs w:val="20"/>
          <w:color w:val="auto"/>
        </w:rPr>
      </w:pPr>
      <w:r>
        <w:rPr>
          <w:rFonts w:ascii="Arial" w:cs="Arial" w:eastAsia="Arial" w:hAnsi="Arial"/>
          <w:sz w:val="16"/>
          <w:szCs w:val="16"/>
          <w:color w:val="auto"/>
        </w:rPr>
        <w:t>Challenging economic conditions also may impair the ability of our customers to pay for products and services they have purchased. As a result, allowances for doubtful accounts and write-offs of accounts receivable may increase.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34" w:name="page35"/>
    <w:bookmarkEnd w:id="34"/>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2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consolidated financial statements.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6"/>
          <w:szCs w:val="16"/>
          <w:b w:val="1"/>
          <w:bCs w:val="1"/>
          <w:color w:val="auto"/>
        </w:rPr>
        <w:t xml:space="preserve">Catastrophic events or geopolitical conditions may disrupt our business. </w:t>
      </w:r>
      <w:r>
        <w:rPr>
          <w:rFonts w:ascii="Arial" w:cs="Arial" w:eastAsia="Arial" w:hAnsi="Arial"/>
          <w:sz w:val="16"/>
          <w:szCs w:val="16"/>
          <w:color w:val="auto"/>
        </w:rPr>
        <w:t>A disruption or failure of our systems or operations because of a major</w:t>
      </w:r>
      <w:r>
        <w:rPr>
          <w:rFonts w:ascii="Arial" w:cs="Arial" w:eastAsia="Arial" w:hAnsi="Arial"/>
          <w:sz w:val="16"/>
          <w:szCs w:val="16"/>
          <w:b w:val="1"/>
          <w:bCs w:val="1"/>
          <w:color w:val="auto"/>
        </w:rPr>
        <w:t xml:space="preserve"> </w:t>
      </w:r>
      <w:r>
        <w:rPr>
          <w:rFonts w:ascii="Arial" w:cs="Arial" w:eastAsia="Arial" w:hAnsi="Arial"/>
          <w:sz w:val="16"/>
          <w:szCs w:val="16"/>
          <w:color w:val="auto"/>
        </w:rPr>
        <w:t>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IT systems, or the infrastructure or systems they rely on, such as power grids, could harm our ability to conduct normal business operations. Providing our customers with more services and solutions in the cloud puts a premium on the resilience of our systems and strength of our business continuity management plans and magnifies the potential impact of prolonged service outages in our consolidated financial statements.</w:t>
      </w:r>
    </w:p>
    <w:p>
      <w:pPr>
        <w:spacing w:after="0" w:line="133"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Abrupt political change, terrorist activity, and armed conflict, such as the ongoing conflict in Ukraine, pose a risk of general economic disruption in affected countries, which may increase our operating costs and negatively impact our ability to sell to and collect from customers in affected markets.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impact our revenues.</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 occurrence of regional epidemics or a global pandemic, such as COVID- 19, may adversely affect our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We may incur increased costs to effectively manage these aspects of our business. If we are unsuccessful, it may adversely impact our revenues, cash flows, market share growth, and reputation.</w:t>
      </w:r>
    </w:p>
    <w:p>
      <w:pPr>
        <w:spacing w:after="0" w:line="11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35" w:name="page36"/>
    <w:bookmarkEnd w:id="35"/>
    <w:p>
      <w:pPr>
        <w:ind w:left="5100"/>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1A</w:t>
      </w:r>
    </w:p>
    <w:p>
      <w:pPr>
        <w:spacing w:after="0" w:line="312"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b w:val="1"/>
          <w:bCs w:val="1"/>
          <w:color w:val="auto"/>
        </w:rPr>
        <w:t xml:space="preserve">Our global business exposes us to operational and economic risks. </w:t>
      </w:r>
      <w:r>
        <w:rPr>
          <w:rFonts w:ascii="Arial" w:cs="Arial" w:eastAsia="Arial" w:hAnsi="Arial"/>
          <w:sz w:val="16"/>
          <w:szCs w:val="16"/>
          <w:color w:val="auto"/>
        </w:rPr>
        <w:t>Our customers are located throughout the world and a significant part of our</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comes from international sales. The global nature of our business creates operational, economic, and geopolitical risks. Our results of operations may be affected by global, regional, and local economic developments, monetary policy, inflation, and recession, as well as political and military disputes.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spacing w:after="0" w:line="124"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auto"/>
        </w:rPr>
        <w:t xml:space="preserve">Our business depends on our ability to attract and retain talented employees. </w:t>
      </w:r>
      <w:r>
        <w:rPr>
          <w:rFonts w:ascii="Arial" w:cs="Arial" w:eastAsia="Arial" w:hAnsi="Arial"/>
          <w:sz w:val="16"/>
          <w:szCs w:val="16"/>
          <w:color w:val="auto"/>
        </w:rPr>
        <w:t>Our business is based on successfully attracting and retaining</w:t>
      </w:r>
      <w:r>
        <w:rPr>
          <w:rFonts w:ascii="Arial" w:cs="Arial" w:eastAsia="Arial" w:hAnsi="Arial"/>
          <w:sz w:val="16"/>
          <w:szCs w:val="16"/>
          <w:b w:val="1"/>
          <w:bCs w:val="1"/>
          <w:color w:val="auto"/>
        </w:rPr>
        <w:t xml:space="preserve"> </w:t>
      </w:r>
      <w:r>
        <w:rPr>
          <w:rFonts w:ascii="Arial" w:cs="Arial" w:eastAsia="Arial" w:hAnsi="Arial"/>
          <w:sz w:val="16"/>
          <w:szCs w:val="16"/>
          <w:color w:val="auto"/>
        </w:rPr>
        <w:t>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Changes to U.S. immigration policies that restrain the flow of technical and professional talent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 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73" w:right="620"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2"/>
          <w:szCs w:val="12"/>
          <w:u w:val="single" w:color="auto"/>
          <w:color w:val="auto"/>
        </w:rPr>
        <w:t>PART 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1B, 2, 3, 4</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1B. UNRESOLVED STAFF COMMENTS</w:t>
      </w:r>
    </w:p>
    <w:p>
      <w:pPr>
        <w:spacing w:after="0" w:line="164"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We have received no written comments regarding our periodic or current reports from the staff of the Securities and Exchange Commission that were issued 180 days or more preceding the end of our fiscal year 2023 that remain unresolved.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2. PROPERTIES</w:t>
      </w:r>
    </w:p>
    <w:p>
      <w:pPr>
        <w:spacing w:after="0" w:line="164"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Our corporate headquarters are located in Redmond, Washington. We have approximately 16 million square feet of space located in King County, Washington that is used for engineering, sales, marketing, and operations, among other general and administrative purposes. These facilities include approximately 11 million square feet of owned space situated on approximately 530 acres of land we own at our corporate headquarters, and approximately 5 million square feet of space we lease.</w:t>
      </w:r>
    </w:p>
    <w:p>
      <w:pPr>
        <w:spacing w:after="0" w:line="128" w:lineRule="exact"/>
        <w:rPr>
          <w:sz w:val="20"/>
          <w:szCs w:val="20"/>
          <w:color w:val="auto"/>
        </w:rPr>
      </w:pPr>
    </w:p>
    <w:p>
      <w:pPr>
        <w:ind w:right="160"/>
        <w:spacing w:after="0" w:line="286" w:lineRule="auto"/>
        <w:rPr>
          <w:sz w:val="20"/>
          <w:szCs w:val="20"/>
          <w:color w:val="auto"/>
        </w:rPr>
      </w:pPr>
      <w:r>
        <w:rPr>
          <w:rFonts w:ascii="Arial" w:cs="Arial" w:eastAsia="Arial" w:hAnsi="Arial"/>
          <w:sz w:val="14"/>
          <w:szCs w:val="14"/>
          <w:color w:val="auto"/>
        </w:rPr>
        <w:t>We own and lease other facilities domestically and internationally, primarily for offices, datacenters, and research and development. The largest owned international properties include space in the following locations: China, India, Ireland, and the Netherlands. The largest leased international properties include space in the following locations: Australia, Canada, China, France, Germany, India, Ireland, Israel, Japan, the Netherlands, and the United Kingdom. Refer to Research and Development (Part I, Item 1 of this Form 10-K) for further discussion of our research and development facilities.</w:t>
      </w:r>
    </w:p>
    <w:p>
      <w:pPr>
        <w:spacing w:after="0" w:line="97" w:lineRule="exact"/>
        <w:rPr>
          <w:sz w:val="20"/>
          <w:szCs w:val="20"/>
          <w:color w:val="auto"/>
        </w:rPr>
      </w:pPr>
    </w:p>
    <w:p>
      <w:pPr>
        <w:ind w:right="540"/>
        <w:spacing w:after="0" w:line="252" w:lineRule="auto"/>
        <w:rPr>
          <w:sz w:val="20"/>
          <w:szCs w:val="20"/>
          <w:color w:val="auto"/>
        </w:rPr>
      </w:pPr>
      <w:r>
        <w:rPr>
          <w:rFonts w:ascii="Arial" w:cs="Arial" w:eastAsia="Arial" w:hAnsi="Arial"/>
          <w:sz w:val="16"/>
          <w:szCs w:val="16"/>
          <w:color w:val="auto"/>
        </w:rPr>
        <w:t>In fiscal year 2023, we made decisions to consolidate our office leases to create higher density across our workspaces, and we may make similar decisions in future periods as we continue to evaluate our real estate needs.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a summary of the square footage of our properties owned and leased domestically and internationally as of June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40" w:type="dxa"/>
            <w:vAlign w:val="bottom"/>
          </w:tcPr>
          <w:p>
            <w:pPr>
              <w:ind w:left="20"/>
              <w:spacing w:after="0"/>
              <w:rPr>
                <w:sz w:val="20"/>
                <w:szCs w:val="20"/>
                <w:color w:val="auto"/>
              </w:rPr>
            </w:pPr>
            <w:r>
              <w:rPr>
                <w:rFonts w:ascii="Arial" w:cs="Arial" w:eastAsia="Arial" w:hAnsi="Arial"/>
                <w:sz w:val="12"/>
                <w:szCs w:val="12"/>
                <w:b w:val="1"/>
                <w:bCs w:val="1"/>
                <w:color w:val="auto"/>
              </w:rPr>
              <w:t>(Square feet in millions)</w:t>
            </w: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5940" w:type="dxa"/>
            <w:vAlign w:val="bottom"/>
          </w:tcPr>
          <w:p>
            <w:pPr>
              <w:ind w:left="20"/>
              <w:spacing w:after="0"/>
              <w:rPr>
                <w:sz w:val="20"/>
                <w:szCs w:val="20"/>
                <w:color w:val="auto"/>
              </w:rPr>
            </w:pPr>
            <w:r>
              <w:rPr>
                <w:rFonts w:ascii="Arial" w:cs="Arial" w:eastAsia="Arial" w:hAnsi="Arial"/>
                <w:sz w:val="12"/>
                <w:szCs w:val="12"/>
                <w:b w:val="1"/>
                <w:bCs w:val="1"/>
                <w:color w:val="auto"/>
              </w:rPr>
              <w:t>Location</w:t>
            </w:r>
          </w:p>
        </w:tc>
        <w:tc>
          <w:tcPr>
            <w:tcW w:w="1600" w:type="dxa"/>
            <w:vAlign w:val="bottom"/>
            <w:gridSpan w:val="2"/>
          </w:tcPr>
          <w:p>
            <w:pPr>
              <w:ind w:left="980"/>
              <w:spacing w:after="0"/>
              <w:rPr>
                <w:sz w:val="20"/>
                <w:szCs w:val="20"/>
                <w:color w:val="auto"/>
              </w:rPr>
            </w:pPr>
            <w:r>
              <w:rPr>
                <w:rFonts w:ascii="Arial" w:cs="Arial" w:eastAsia="Arial" w:hAnsi="Arial"/>
                <w:sz w:val="12"/>
                <w:szCs w:val="12"/>
                <w:b w:val="1"/>
                <w:bCs w:val="1"/>
                <w:color w:val="auto"/>
              </w:rPr>
              <w:t>Owned</w:t>
            </w:r>
          </w:p>
        </w:tc>
        <w:tc>
          <w:tcPr>
            <w:tcW w:w="1580" w:type="dxa"/>
            <w:vAlign w:val="bottom"/>
            <w:gridSpan w:val="2"/>
          </w:tcPr>
          <w:p>
            <w:pPr>
              <w:ind w:left="960"/>
              <w:spacing w:after="0"/>
              <w:rPr>
                <w:sz w:val="20"/>
                <w:szCs w:val="20"/>
                <w:color w:val="auto"/>
              </w:rPr>
            </w:pPr>
            <w:r>
              <w:rPr>
                <w:rFonts w:ascii="Arial" w:cs="Arial" w:eastAsia="Arial" w:hAnsi="Arial"/>
                <w:sz w:val="12"/>
                <w:szCs w:val="12"/>
                <w:b w:val="1"/>
                <w:bCs w:val="1"/>
                <w:color w:val="auto"/>
              </w:rPr>
              <w:t>Leased</w:t>
            </w:r>
          </w:p>
        </w:tc>
        <w:tc>
          <w:tcPr>
            <w:tcW w:w="14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Total</w:t>
            </w:r>
          </w:p>
        </w:tc>
      </w:tr>
      <w:tr>
        <w:trPr>
          <w:trHeight w:val="76"/>
        </w:trPr>
        <w:tc>
          <w:tcPr>
            <w:tcW w:w="59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5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w:t>
            </w:r>
          </w:p>
        </w:tc>
        <w:tc>
          <w:tcPr>
            <w:tcW w:w="220" w:type="dxa"/>
            <w:vAlign w:val="bottom"/>
            <w:shd w:val="clear" w:color="auto" w:fill="E5E5E5"/>
          </w:tcPr>
          <w:p>
            <w:pPr>
              <w:spacing w:after="0"/>
              <w:rPr>
                <w:sz w:val="17"/>
                <w:szCs w:val="17"/>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47</w:t>
            </w:r>
          </w:p>
        </w:tc>
        <w:tc>
          <w:tcPr>
            <w:tcW w:w="80" w:type="dxa"/>
            <w:vAlign w:val="bottom"/>
            <w:shd w:val="clear" w:color="auto" w:fill="E5E5E5"/>
          </w:tcPr>
          <w:p>
            <w:pPr>
              <w:spacing w:after="0"/>
              <w:rPr>
                <w:sz w:val="17"/>
                <w:szCs w:val="17"/>
                <w:color w:val="auto"/>
              </w:rPr>
            </w:pPr>
          </w:p>
        </w:tc>
      </w:tr>
      <w:tr>
        <w:trPr>
          <w:trHeight w:val="217"/>
        </w:trPr>
        <w:tc>
          <w:tcPr>
            <w:tcW w:w="594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Pr>
          <w:p>
            <w:pPr>
              <w:spacing w:after="0"/>
              <w:rPr>
                <w:sz w:val="18"/>
                <w:szCs w:val="18"/>
                <w:color w:val="auto"/>
              </w:rPr>
            </w:pPr>
          </w:p>
        </w:tc>
      </w:tr>
      <w:tr>
        <w:trPr>
          <w:trHeight w:val="131"/>
        </w:trPr>
        <w:tc>
          <w:tcPr>
            <w:tcW w:w="59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59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c>
          <w:tcPr>
            <w:tcW w:w="220" w:type="dxa"/>
            <w:vAlign w:val="bottom"/>
            <w:shd w:val="clear" w:color="auto" w:fill="E5E5E5"/>
          </w:tcPr>
          <w:p>
            <w:pPr>
              <w:spacing w:after="0"/>
              <w:rPr>
                <w:sz w:val="17"/>
                <w:szCs w:val="17"/>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42</w:t>
            </w:r>
          </w:p>
        </w:tc>
        <w:tc>
          <w:tcPr>
            <w:tcW w:w="200" w:type="dxa"/>
            <w:vAlign w:val="bottom"/>
            <w:shd w:val="clear" w:color="auto" w:fill="E5E5E5"/>
          </w:tcPr>
          <w:p>
            <w:pPr>
              <w:spacing w:after="0"/>
              <w:rPr>
                <w:sz w:val="17"/>
                <w:szCs w:val="17"/>
                <w:color w:val="auto"/>
              </w:rPr>
            </w:pPr>
          </w:p>
        </w:tc>
        <w:tc>
          <w:tcPr>
            <w:tcW w:w="13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w:t>
            </w:r>
          </w:p>
        </w:tc>
        <w:tc>
          <w:tcPr>
            <w:tcW w:w="80" w:type="dxa"/>
            <w:vAlign w:val="bottom"/>
            <w:shd w:val="clear" w:color="auto" w:fill="E5E5E5"/>
          </w:tcPr>
          <w:p>
            <w:pPr>
              <w:spacing w:after="0"/>
              <w:rPr>
                <w:sz w:val="17"/>
                <w:szCs w:val="17"/>
                <w:color w:val="auto"/>
              </w:rPr>
            </w:pPr>
          </w:p>
        </w:tc>
      </w:tr>
      <w:tr>
        <w:trPr>
          <w:trHeight w:val="76"/>
        </w:trPr>
        <w:tc>
          <w:tcPr>
            <w:tcW w:w="594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-73025</wp:posOffset>
            </wp:positionV>
            <wp:extent cx="93980" cy="863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-73025</wp:posOffset>
            </wp:positionV>
            <wp:extent cx="93980" cy="863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3. LEGAL PROCEEDINGS</w:t>
      </w:r>
    </w:p>
    <w:p>
      <w:pPr>
        <w:spacing w:after="0" w:line="16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Refer to Note 15 – Contingencies of the Notes to Financial Statements (Part II, Item 8 of this Form 10-K) for information regarding legal proceedings in which we are involved.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5</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38" w:lineRule="exact"/>
        <w:rPr>
          <w:sz w:val="20"/>
          <w:szCs w:val="20"/>
          <w:color w:val="auto"/>
        </w:rPr>
      </w:pPr>
    </w:p>
    <w:p>
      <w:pPr>
        <w:jc w:val="center"/>
        <w:ind w:left="680" w:right="260"/>
        <w:spacing w:after="0" w:line="306"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MARKET AND STOCKHOLDERS</w:t>
      </w:r>
    </w:p>
    <w:p>
      <w:pPr>
        <w:spacing w:after="0" w:line="14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common stock is traded on the NASDAQ Stock Market under the symbol MSFT. On July 24, 2023, there were 83,883 registered holders of record of our common stock.</w:t>
      </w:r>
    </w:p>
    <w:p>
      <w:pPr>
        <w:spacing w:after="0" w:line="190" w:lineRule="exact"/>
        <w:rPr>
          <w:sz w:val="20"/>
          <w:szCs w:val="20"/>
          <w:color w:val="auto"/>
        </w:rPr>
      </w:pPr>
    </w:p>
    <w:p>
      <w:pPr>
        <w:ind w:left="3780"/>
        <w:spacing w:after="0"/>
        <w:rPr>
          <w:sz w:val="20"/>
          <w:szCs w:val="20"/>
          <w:color w:val="auto"/>
        </w:rPr>
      </w:pPr>
      <w:r>
        <w:rPr>
          <w:rFonts w:ascii="Arial" w:cs="Arial" w:eastAsia="Arial" w:hAnsi="Arial"/>
          <w:sz w:val="16"/>
          <w:szCs w:val="16"/>
          <w:u w:val="single" w:color="auto"/>
          <w:color w:val="auto"/>
        </w:rPr>
        <w:t>SHARE REPURCHASES AND DIVIDENDS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Following are our monthly share repurchases for the fourth quarter of fiscal year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Total Number of</w:t>
            </w:r>
          </w:p>
        </w:tc>
        <w:tc>
          <w:tcPr>
            <w:tcW w:w="46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Approximate Dollar</w:t>
            </w:r>
          </w:p>
        </w:tc>
      </w:tr>
      <w:tr>
        <w:trPr>
          <w:trHeight w:val="156"/>
        </w:trPr>
        <w:tc>
          <w:tcPr>
            <w:tcW w:w="3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Shares Purchased</w:t>
            </w:r>
          </w:p>
        </w:tc>
        <w:tc>
          <w:tcPr>
            <w:tcW w:w="46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Value of Shares That</w:t>
            </w:r>
          </w:p>
        </w:tc>
      </w:tr>
      <w:tr>
        <w:trPr>
          <w:trHeight w:val="156"/>
        </w:trPr>
        <w:tc>
          <w:tcPr>
            <w:tcW w:w="3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b w:val="1"/>
                <w:bCs w:val="1"/>
                <w:color w:val="auto"/>
              </w:rPr>
              <w:t>Total Number</w:t>
            </w:r>
          </w:p>
        </w:tc>
        <w:tc>
          <w:tcPr>
            <w:tcW w:w="7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as Part of Publicly</w:t>
            </w:r>
          </w:p>
        </w:tc>
        <w:tc>
          <w:tcPr>
            <w:tcW w:w="46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May Yet Be</w:t>
            </w:r>
          </w:p>
        </w:tc>
      </w:tr>
      <w:tr>
        <w:trPr>
          <w:trHeight w:val="156"/>
        </w:trPr>
        <w:tc>
          <w:tcPr>
            <w:tcW w:w="34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1360" w:type="dxa"/>
            <w:vAlign w:val="bottom"/>
          </w:tcPr>
          <w:p>
            <w:pPr>
              <w:jc w:val="right"/>
              <w:ind w:right="149"/>
              <w:spacing w:after="0"/>
              <w:rPr>
                <w:sz w:val="20"/>
                <w:szCs w:val="20"/>
                <w:color w:val="auto"/>
              </w:rPr>
            </w:pPr>
            <w:r>
              <w:rPr>
                <w:rFonts w:ascii="Arial" w:cs="Arial" w:eastAsia="Arial" w:hAnsi="Arial"/>
                <w:sz w:val="12"/>
                <w:szCs w:val="12"/>
                <w:b w:val="1"/>
                <w:bCs w:val="1"/>
                <w:color w:val="auto"/>
              </w:rPr>
              <w:t>Average Price</w:t>
            </w: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Announced Plans</w:t>
            </w:r>
          </w:p>
        </w:tc>
        <w:tc>
          <w:tcPr>
            <w:tcW w:w="460" w:type="dxa"/>
            <w:vAlign w:val="bottom"/>
          </w:tcPr>
          <w:p>
            <w:pPr>
              <w:spacing w:after="0"/>
              <w:rPr>
                <w:sz w:val="13"/>
                <w:szCs w:val="13"/>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Purchased Under the</w:t>
            </w:r>
          </w:p>
        </w:tc>
      </w:tr>
      <w:tr>
        <w:trPr>
          <w:trHeight w:val="167"/>
        </w:trPr>
        <w:tc>
          <w:tcPr>
            <w:tcW w:w="3400" w:type="dxa"/>
            <w:vAlign w:val="bottom"/>
          </w:tcPr>
          <w:p>
            <w:pPr>
              <w:ind w:left="20"/>
              <w:spacing w:after="0"/>
              <w:rPr>
                <w:sz w:val="20"/>
                <w:szCs w:val="20"/>
                <w:color w:val="auto"/>
              </w:rPr>
            </w:pPr>
            <w:r>
              <w:rPr>
                <w:rFonts w:ascii="Arial" w:cs="Arial" w:eastAsia="Arial" w:hAnsi="Arial"/>
                <w:sz w:val="12"/>
                <w:szCs w:val="12"/>
                <w:b w:val="1"/>
                <w:bCs w:val="1"/>
                <w:color w:val="auto"/>
              </w:rPr>
              <w:t>Period</w:t>
            </w:r>
          </w:p>
        </w:tc>
        <w:tc>
          <w:tcPr>
            <w:tcW w:w="1580" w:type="dxa"/>
            <w:vAlign w:val="bottom"/>
          </w:tcPr>
          <w:p>
            <w:pPr>
              <w:jc w:val="right"/>
              <w:spacing w:after="0"/>
              <w:rPr>
                <w:sz w:val="20"/>
                <w:szCs w:val="20"/>
                <w:color w:val="auto"/>
              </w:rPr>
            </w:pPr>
            <w:r>
              <w:rPr>
                <w:rFonts w:ascii="Arial" w:cs="Arial" w:eastAsia="Arial" w:hAnsi="Arial"/>
                <w:sz w:val="12"/>
                <w:szCs w:val="12"/>
                <w:b w:val="1"/>
                <w:bCs w:val="1"/>
                <w:color w:val="auto"/>
              </w:rPr>
              <w:t>Purchased</w:t>
            </w:r>
          </w:p>
        </w:tc>
        <w:tc>
          <w:tcPr>
            <w:tcW w:w="740" w:type="dxa"/>
            <w:vAlign w:val="bottom"/>
          </w:tcPr>
          <w:p>
            <w:pPr>
              <w:spacing w:after="0"/>
              <w:rPr>
                <w:sz w:val="14"/>
                <w:szCs w:val="14"/>
                <w:color w:val="auto"/>
              </w:rPr>
            </w:pPr>
          </w:p>
        </w:tc>
        <w:tc>
          <w:tcPr>
            <w:tcW w:w="1360" w:type="dxa"/>
            <w:vAlign w:val="bottom"/>
          </w:tcPr>
          <w:p>
            <w:pPr>
              <w:jc w:val="right"/>
              <w:ind w:right="149"/>
              <w:spacing w:after="0"/>
              <w:rPr>
                <w:sz w:val="20"/>
                <w:szCs w:val="20"/>
                <w:color w:val="auto"/>
              </w:rPr>
            </w:pPr>
            <w:r>
              <w:rPr>
                <w:rFonts w:ascii="Arial" w:cs="Arial" w:eastAsia="Arial" w:hAnsi="Arial"/>
                <w:sz w:val="12"/>
                <w:szCs w:val="12"/>
                <w:b w:val="1"/>
                <w:bCs w:val="1"/>
                <w:color w:val="auto"/>
              </w:rPr>
              <w:t>Paid Per Share</w:t>
            </w:r>
          </w:p>
        </w:tc>
        <w:tc>
          <w:tcPr>
            <w:tcW w:w="1560" w:type="dxa"/>
            <w:vAlign w:val="bottom"/>
          </w:tcPr>
          <w:p>
            <w:pPr>
              <w:jc w:val="right"/>
              <w:spacing w:after="0"/>
              <w:rPr>
                <w:sz w:val="20"/>
                <w:szCs w:val="20"/>
                <w:color w:val="auto"/>
              </w:rPr>
            </w:pPr>
            <w:r>
              <w:rPr>
                <w:rFonts w:ascii="Arial" w:cs="Arial" w:eastAsia="Arial" w:hAnsi="Arial"/>
                <w:sz w:val="12"/>
                <w:szCs w:val="12"/>
                <w:b w:val="1"/>
                <w:bCs w:val="1"/>
                <w:color w:val="auto"/>
              </w:rPr>
              <w:t>or Programs</w:t>
            </w:r>
          </w:p>
        </w:tc>
        <w:tc>
          <w:tcPr>
            <w:tcW w:w="460" w:type="dxa"/>
            <w:vAlign w:val="bottom"/>
          </w:tcPr>
          <w:p>
            <w:pPr>
              <w:spacing w:after="0"/>
              <w:rPr>
                <w:sz w:val="14"/>
                <w:szCs w:val="14"/>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Plans or Programs</w:t>
            </w:r>
          </w:p>
        </w:tc>
      </w:tr>
      <w:tr>
        <w:trPr>
          <w:trHeight w:val="324"/>
        </w:trPr>
        <w:tc>
          <w:tcPr>
            <w:tcW w:w="3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jc w:val="right"/>
              <w:ind w:right="34"/>
              <w:spacing w:after="0"/>
              <w:rPr>
                <w:sz w:val="20"/>
                <w:szCs w:val="20"/>
                <w:color w:val="auto"/>
              </w:rPr>
            </w:pPr>
            <w:r>
              <w:rPr>
                <w:rFonts w:ascii="Arial" w:cs="Arial" w:eastAsia="Arial" w:hAnsi="Arial"/>
                <w:sz w:val="12"/>
                <w:szCs w:val="12"/>
                <w:b w:val="1"/>
                <w:bCs w:val="1"/>
                <w:color w:val="auto"/>
              </w:rPr>
              <w:t>(In millions)</w:t>
            </w:r>
          </w:p>
        </w:tc>
      </w:tr>
      <w:tr>
        <w:trPr>
          <w:trHeight w:val="76"/>
        </w:trPr>
        <w:tc>
          <w:tcPr>
            <w:tcW w:w="34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60" w:type="dxa"/>
            <w:vAlign w:val="bottom"/>
          </w:tcPr>
          <w:p>
            <w:pPr>
              <w:spacing w:after="0"/>
              <w:rPr>
                <w:sz w:val="6"/>
                <w:szCs w:val="6"/>
                <w:color w:val="auto"/>
              </w:rPr>
            </w:pPr>
          </w:p>
        </w:tc>
      </w:tr>
      <w:tr>
        <w:trPr>
          <w:trHeight w:val="204"/>
        </w:trPr>
        <w:tc>
          <w:tcPr>
            <w:tcW w:w="3400" w:type="dxa"/>
            <w:vAlign w:val="bottom"/>
            <w:shd w:val="clear" w:color="auto" w:fill="E5E5E5"/>
          </w:tcPr>
          <w:p>
            <w:pPr>
              <w:ind w:left="20"/>
              <w:spacing w:after="0"/>
              <w:rPr>
                <w:sz w:val="20"/>
                <w:szCs w:val="20"/>
                <w:color w:val="auto"/>
              </w:rPr>
            </w:pPr>
            <w:r>
              <w:rPr>
                <w:rFonts w:ascii="Arial" w:cs="Arial" w:eastAsia="Arial" w:hAnsi="Arial"/>
                <w:sz w:val="16"/>
                <w:szCs w:val="16"/>
                <w:color w:val="auto"/>
              </w:rPr>
              <w:t>April 1, 2023 – April 30, 2023</w:t>
            </w:r>
          </w:p>
        </w:tc>
        <w:tc>
          <w:tcPr>
            <w:tcW w:w="1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5,007,656</w:t>
            </w:r>
          </w:p>
        </w:tc>
        <w:tc>
          <w:tcPr>
            <w:tcW w:w="74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E5E5E5"/>
          </w:tcPr>
          <w:p>
            <w:pPr>
              <w:jc w:val="right"/>
              <w:ind w:right="149"/>
              <w:spacing w:after="0"/>
              <w:rPr>
                <w:sz w:val="20"/>
                <w:szCs w:val="20"/>
                <w:color w:val="auto"/>
              </w:rPr>
            </w:pPr>
            <w:r>
              <w:rPr>
                <w:rFonts w:ascii="Arial" w:cs="Arial" w:eastAsia="Arial" w:hAnsi="Arial"/>
                <w:sz w:val="16"/>
                <w:szCs w:val="16"/>
                <w:b w:val="1"/>
                <w:bCs w:val="1"/>
                <w:color w:val="auto"/>
              </w:rPr>
              <w:t>287.97</w:t>
            </w:r>
          </w:p>
        </w:tc>
        <w:tc>
          <w:tcPr>
            <w:tcW w:w="1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5,007,656</w:t>
            </w:r>
          </w:p>
        </w:tc>
        <w:tc>
          <w:tcPr>
            <w:tcW w:w="4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E5E5E5"/>
          </w:tcPr>
          <w:p>
            <w:pPr>
              <w:jc w:val="right"/>
              <w:ind w:right="34"/>
              <w:spacing w:after="0"/>
              <w:rPr>
                <w:sz w:val="20"/>
                <w:szCs w:val="20"/>
                <w:color w:val="auto"/>
              </w:rPr>
            </w:pPr>
            <w:r>
              <w:rPr>
                <w:rFonts w:ascii="Arial" w:cs="Arial" w:eastAsia="Arial" w:hAnsi="Arial"/>
                <w:sz w:val="16"/>
                <w:szCs w:val="16"/>
                <w:b w:val="1"/>
                <w:bCs w:val="1"/>
                <w:color w:val="auto"/>
              </w:rPr>
              <w:t>25,467</w:t>
            </w:r>
          </w:p>
        </w:tc>
      </w:tr>
      <w:tr>
        <w:trPr>
          <w:trHeight w:val="204"/>
        </w:trPr>
        <w:tc>
          <w:tcPr>
            <w:tcW w:w="3400" w:type="dxa"/>
            <w:vAlign w:val="bottom"/>
          </w:tcPr>
          <w:p>
            <w:pPr>
              <w:ind w:left="20"/>
              <w:spacing w:after="0"/>
              <w:rPr>
                <w:sz w:val="20"/>
                <w:szCs w:val="20"/>
                <w:color w:val="auto"/>
              </w:rPr>
            </w:pPr>
            <w:r>
              <w:rPr>
                <w:rFonts w:ascii="Arial" w:cs="Arial" w:eastAsia="Arial" w:hAnsi="Arial"/>
                <w:sz w:val="16"/>
                <w:szCs w:val="16"/>
                <w:color w:val="auto"/>
              </w:rPr>
              <w:t>May 1, 2023 – May 31, 2023</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5,355,638</w:t>
            </w:r>
          </w:p>
        </w:tc>
        <w:tc>
          <w:tcPr>
            <w:tcW w:w="740" w:type="dxa"/>
            <w:vAlign w:val="bottom"/>
          </w:tcPr>
          <w:p>
            <w:pPr>
              <w:spacing w:after="0"/>
              <w:rPr>
                <w:sz w:val="17"/>
                <w:szCs w:val="17"/>
                <w:color w:val="auto"/>
              </w:rPr>
            </w:pPr>
          </w:p>
        </w:tc>
        <w:tc>
          <w:tcPr>
            <w:tcW w:w="1360" w:type="dxa"/>
            <w:vAlign w:val="bottom"/>
          </w:tcPr>
          <w:p>
            <w:pPr>
              <w:jc w:val="right"/>
              <w:ind w:right="149"/>
              <w:spacing w:after="0"/>
              <w:rPr>
                <w:sz w:val="20"/>
                <w:szCs w:val="20"/>
                <w:color w:val="auto"/>
              </w:rPr>
            </w:pPr>
            <w:r>
              <w:rPr>
                <w:rFonts w:ascii="Arial" w:cs="Arial" w:eastAsia="Arial" w:hAnsi="Arial"/>
                <w:sz w:val="16"/>
                <w:szCs w:val="16"/>
                <w:b w:val="1"/>
                <w:bCs w:val="1"/>
                <w:color w:val="auto"/>
              </w:rPr>
              <w:t>314.26</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5,355,638</w:t>
            </w:r>
          </w:p>
        </w:tc>
        <w:tc>
          <w:tcPr>
            <w:tcW w:w="460" w:type="dxa"/>
            <w:vAlign w:val="bottom"/>
          </w:tcPr>
          <w:p>
            <w:pPr>
              <w:spacing w:after="0"/>
              <w:rPr>
                <w:sz w:val="17"/>
                <w:szCs w:val="17"/>
                <w:color w:val="auto"/>
              </w:rPr>
            </w:pPr>
          </w:p>
        </w:tc>
        <w:tc>
          <w:tcPr>
            <w:tcW w:w="1460" w:type="dxa"/>
            <w:vAlign w:val="bottom"/>
          </w:tcPr>
          <w:p>
            <w:pPr>
              <w:jc w:val="right"/>
              <w:ind w:right="34"/>
              <w:spacing w:after="0"/>
              <w:rPr>
                <w:sz w:val="20"/>
                <w:szCs w:val="20"/>
                <w:color w:val="auto"/>
              </w:rPr>
            </w:pPr>
            <w:r>
              <w:rPr>
                <w:rFonts w:ascii="Arial" w:cs="Arial" w:eastAsia="Arial" w:hAnsi="Arial"/>
                <w:sz w:val="16"/>
                <w:szCs w:val="16"/>
                <w:b w:val="1"/>
                <w:bCs w:val="1"/>
                <w:color w:val="auto"/>
              </w:rPr>
              <w:t>23,784</w:t>
            </w:r>
          </w:p>
        </w:tc>
      </w:tr>
      <w:tr>
        <w:trPr>
          <w:trHeight w:val="204"/>
        </w:trPr>
        <w:tc>
          <w:tcPr>
            <w:tcW w:w="3400" w:type="dxa"/>
            <w:vAlign w:val="bottom"/>
            <w:shd w:val="clear" w:color="auto" w:fill="E5E5E5"/>
          </w:tcPr>
          <w:p>
            <w:pPr>
              <w:ind w:left="20"/>
              <w:spacing w:after="0"/>
              <w:rPr>
                <w:sz w:val="20"/>
                <w:szCs w:val="20"/>
                <w:color w:val="auto"/>
              </w:rPr>
            </w:pPr>
            <w:r>
              <w:rPr>
                <w:rFonts w:ascii="Arial" w:cs="Arial" w:eastAsia="Arial" w:hAnsi="Arial"/>
                <w:sz w:val="16"/>
                <w:szCs w:val="16"/>
                <w:color w:val="auto"/>
              </w:rPr>
              <w:t>June 1, 2023 – June 30, 2023</w:t>
            </w:r>
          </w:p>
        </w:tc>
        <w:tc>
          <w:tcPr>
            <w:tcW w:w="15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4,413,960</w:t>
            </w:r>
          </w:p>
        </w:tc>
        <w:tc>
          <w:tcPr>
            <w:tcW w:w="740" w:type="dxa"/>
            <w:vAlign w:val="bottom"/>
            <w:shd w:val="clear" w:color="auto" w:fill="E5E5E5"/>
          </w:tcPr>
          <w:p>
            <w:pPr>
              <w:spacing w:after="0"/>
              <w:rPr>
                <w:sz w:val="17"/>
                <w:szCs w:val="17"/>
                <w:color w:val="auto"/>
              </w:rPr>
            </w:pPr>
          </w:p>
        </w:tc>
        <w:tc>
          <w:tcPr>
            <w:tcW w:w="1360" w:type="dxa"/>
            <w:vAlign w:val="bottom"/>
            <w:shd w:val="clear" w:color="auto" w:fill="E5E5E5"/>
          </w:tcPr>
          <w:p>
            <w:pPr>
              <w:jc w:val="right"/>
              <w:ind w:right="149"/>
              <w:spacing w:after="0"/>
              <w:rPr>
                <w:sz w:val="20"/>
                <w:szCs w:val="20"/>
                <w:color w:val="auto"/>
              </w:rPr>
            </w:pPr>
            <w:r>
              <w:rPr>
                <w:rFonts w:ascii="Arial" w:cs="Arial" w:eastAsia="Arial" w:hAnsi="Arial"/>
                <w:sz w:val="16"/>
                <w:szCs w:val="16"/>
                <w:b w:val="1"/>
                <w:bCs w:val="1"/>
                <w:color w:val="auto"/>
              </w:rPr>
              <w:t>334.15</w:t>
            </w:r>
          </w:p>
        </w:tc>
        <w:tc>
          <w:tcPr>
            <w:tcW w:w="1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4,413,960</w:t>
            </w:r>
          </w:p>
        </w:tc>
        <w:tc>
          <w:tcPr>
            <w:tcW w:w="460" w:type="dxa"/>
            <w:vAlign w:val="bottom"/>
            <w:shd w:val="clear" w:color="auto" w:fill="E5E5E5"/>
          </w:tcPr>
          <w:p>
            <w:pPr>
              <w:spacing w:after="0"/>
              <w:rPr>
                <w:sz w:val="17"/>
                <w:szCs w:val="17"/>
                <w:color w:val="auto"/>
              </w:rPr>
            </w:pPr>
          </w:p>
        </w:tc>
        <w:tc>
          <w:tcPr>
            <w:tcW w:w="1460" w:type="dxa"/>
            <w:vAlign w:val="bottom"/>
            <w:shd w:val="clear" w:color="auto" w:fill="E5E5E5"/>
          </w:tcPr>
          <w:p>
            <w:pPr>
              <w:jc w:val="right"/>
              <w:ind w:right="34"/>
              <w:spacing w:after="0"/>
              <w:rPr>
                <w:sz w:val="20"/>
                <w:szCs w:val="20"/>
                <w:color w:val="auto"/>
              </w:rPr>
            </w:pPr>
            <w:r>
              <w:rPr>
                <w:rFonts w:ascii="Arial" w:cs="Arial" w:eastAsia="Arial" w:hAnsi="Arial"/>
                <w:sz w:val="16"/>
                <w:szCs w:val="16"/>
                <w:b w:val="1"/>
                <w:bCs w:val="1"/>
                <w:color w:val="auto"/>
              </w:rPr>
              <w:t>22,309</w:t>
            </w:r>
          </w:p>
        </w:tc>
      </w:tr>
      <w:tr>
        <w:trPr>
          <w:trHeight w:val="358"/>
        </w:trPr>
        <w:tc>
          <w:tcPr>
            <w:tcW w:w="34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14,777,254</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14,777,254</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66"/>
        </w:trPr>
        <w:tc>
          <w:tcPr>
            <w:tcW w:w="3400" w:type="dxa"/>
            <w:vAlign w:val="bottom"/>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560" w:type="dxa"/>
            <w:vAlign w:val="bottom"/>
            <w:tcBorders>
              <w:bottom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4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-73025</wp:posOffset>
            </wp:positionV>
            <wp:extent cx="93980" cy="86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5478780</wp:posOffset>
            </wp:positionH>
            <wp:positionV relativeFrom="paragraph">
              <wp:posOffset>-73025</wp:posOffset>
            </wp:positionV>
            <wp:extent cx="86360" cy="86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declared the following dividends during the fourth quarter of fiscal year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jc w:val="right"/>
              <w:ind w:right="54"/>
              <w:spacing w:after="0"/>
              <w:rPr>
                <w:sz w:val="20"/>
                <w:szCs w:val="20"/>
                <w:color w:val="auto"/>
              </w:rPr>
            </w:pPr>
            <w:r>
              <w:rPr>
                <w:rFonts w:ascii="Arial" w:cs="Arial" w:eastAsia="Arial" w:hAnsi="Arial"/>
                <w:sz w:val="12"/>
                <w:szCs w:val="12"/>
                <w:b w:val="1"/>
                <w:bCs w:val="1"/>
                <w:color w:val="auto"/>
              </w:rPr>
              <w:t>Dividend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7"/>
        </w:trPr>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Declaration Date</w:t>
            </w:r>
          </w:p>
        </w:tc>
        <w:tc>
          <w:tcPr>
            <w:tcW w:w="2900" w:type="dxa"/>
            <w:vAlign w:val="bottom"/>
          </w:tcPr>
          <w:p>
            <w:pPr>
              <w:ind w:left="960"/>
              <w:spacing w:after="0"/>
              <w:rPr>
                <w:sz w:val="20"/>
                <w:szCs w:val="20"/>
                <w:color w:val="auto"/>
              </w:rPr>
            </w:pPr>
            <w:r>
              <w:rPr>
                <w:rFonts w:ascii="Arial" w:cs="Arial" w:eastAsia="Arial" w:hAnsi="Arial"/>
                <w:sz w:val="12"/>
                <w:szCs w:val="12"/>
                <w:b w:val="1"/>
                <w:bCs w:val="1"/>
                <w:color w:val="auto"/>
              </w:rPr>
              <w:t>Record Date</w:t>
            </w:r>
          </w:p>
        </w:tc>
        <w:tc>
          <w:tcPr>
            <w:tcW w:w="2740" w:type="dxa"/>
            <w:vAlign w:val="bottom"/>
          </w:tcPr>
          <w:p>
            <w:pPr>
              <w:ind w:left="740"/>
              <w:spacing w:after="0"/>
              <w:rPr>
                <w:sz w:val="20"/>
                <w:szCs w:val="20"/>
                <w:color w:val="auto"/>
              </w:rPr>
            </w:pPr>
            <w:r>
              <w:rPr>
                <w:rFonts w:ascii="Arial" w:cs="Arial" w:eastAsia="Arial" w:hAnsi="Arial"/>
                <w:sz w:val="12"/>
                <w:szCs w:val="12"/>
                <w:b w:val="1"/>
                <w:bCs w:val="1"/>
                <w:color w:val="auto"/>
              </w:rPr>
              <w:t>Payment Date</w:t>
            </w:r>
          </w:p>
        </w:tc>
        <w:tc>
          <w:tcPr>
            <w:tcW w:w="840" w:type="dxa"/>
            <w:vAlign w:val="bottom"/>
          </w:tcPr>
          <w:p>
            <w:pPr>
              <w:spacing w:after="0"/>
              <w:rPr>
                <w:sz w:val="14"/>
                <w:szCs w:val="14"/>
                <w:color w:val="auto"/>
              </w:rPr>
            </w:pPr>
          </w:p>
        </w:tc>
        <w:tc>
          <w:tcPr>
            <w:tcW w:w="880" w:type="dxa"/>
            <w:vAlign w:val="bottom"/>
          </w:tcPr>
          <w:p>
            <w:pPr>
              <w:jc w:val="right"/>
              <w:ind w:right="54"/>
              <w:spacing w:after="0"/>
              <w:rPr>
                <w:sz w:val="20"/>
                <w:szCs w:val="20"/>
                <w:color w:val="auto"/>
              </w:rPr>
            </w:pPr>
            <w:r>
              <w:rPr>
                <w:rFonts w:ascii="Arial" w:cs="Arial" w:eastAsia="Arial" w:hAnsi="Arial"/>
                <w:sz w:val="12"/>
                <w:szCs w:val="12"/>
                <w:b w:val="1"/>
                <w:bCs w:val="1"/>
                <w:color w:val="auto"/>
              </w:rPr>
              <w:t>Per Share</w:t>
            </w:r>
          </w:p>
        </w:tc>
        <w:tc>
          <w:tcPr>
            <w:tcW w:w="300" w:type="dxa"/>
            <w:vAlign w:val="bottom"/>
          </w:tcPr>
          <w:p>
            <w:pPr>
              <w:spacing w:after="0"/>
              <w:rPr>
                <w:sz w:val="14"/>
                <w:szCs w:val="14"/>
                <w:color w:val="auto"/>
              </w:rPr>
            </w:pPr>
          </w:p>
        </w:tc>
        <w:tc>
          <w:tcPr>
            <w:tcW w:w="900" w:type="dxa"/>
            <w:vAlign w:val="bottom"/>
          </w:tcPr>
          <w:p>
            <w:pPr>
              <w:jc w:val="right"/>
              <w:ind w:right="34"/>
              <w:spacing w:after="0"/>
              <w:rPr>
                <w:sz w:val="20"/>
                <w:szCs w:val="20"/>
                <w:color w:val="auto"/>
              </w:rPr>
            </w:pPr>
            <w:r>
              <w:rPr>
                <w:rFonts w:ascii="Arial" w:cs="Arial" w:eastAsia="Arial" w:hAnsi="Arial"/>
                <w:sz w:val="12"/>
                <w:szCs w:val="12"/>
                <w:b w:val="1"/>
                <w:bCs w:val="1"/>
                <w:color w:val="auto"/>
              </w:rPr>
              <w:t>Amount</w:t>
            </w:r>
          </w:p>
        </w:tc>
      </w:tr>
      <w:tr>
        <w:trPr>
          <w:trHeight w:val="324"/>
        </w:trPr>
        <w:tc>
          <w:tcPr>
            <w:tcW w:w="2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ind w:right="34"/>
              <w:spacing w:after="0"/>
              <w:rPr>
                <w:sz w:val="20"/>
                <w:szCs w:val="20"/>
                <w:color w:val="auto"/>
              </w:rPr>
            </w:pPr>
            <w:r>
              <w:rPr>
                <w:rFonts w:ascii="Arial" w:cs="Arial" w:eastAsia="Arial" w:hAnsi="Arial"/>
                <w:sz w:val="12"/>
                <w:szCs w:val="12"/>
                <w:b w:val="1"/>
                <w:bCs w:val="1"/>
                <w:color w:val="auto"/>
              </w:rPr>
              <w:t>(In millions)</w:t>
            </w:r>
          </w:p>
        </w:tc>
      </w:tr>
      <w:tr>
        <w:trPr>
          <w:trHeight w:val="76"/>
        </w:trPr>
        <w:tc>
          <w:tcPr>
            <w:tcW w:w="2000" w:type="dxa"/>
            <w:vAlign w:val="bottom"/>
          </w:tcPr>
          <w:p>
            <w:pPr>
              <w:spacing w:after="0"/>
              <w:rPr>
                <w:sz w:val="6"/>
                <w:szCs w:val="6"/>
                <w:color w:val="auto"/>
              </w:rPr>
            </w:pPr>
          </w:p>
        </w:tc>
        <w:tc>
          <w:tcPr>
            <w:tcW w:w="29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04"/>
        </w:trPr>
        <w:tc>
          <w:tcPr>
            <w:tcW w:w="200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June 13, 2023</w:t>
            </w:r>
          </w:p>
        </w:tc>
        <w:tc>
          <w:tcPr>
            <w:tcW w:w="2900" w:type="dxa"/>
            <w:vAlign w:val="bottom"/>
            <w:shd w:val="clear" w:color="auto" w:fill="E5E5E5"/>
          </w:tcPr>
          <w:p>
            <w:pPr>
              <w:ind w:left="960"/>
              <w:spacing w:after="0"/>
              <w:rPr>
                <w:sz w:val="20"/>
                <w:szCs w:val="20"/>
                <w:color w:val="auto"/>
              </w:rPr>
            </w:pPr>
            <w:r>
              <w:rPr>
                <w:rFonts w:ascii="Arial" w:cs="Arial" w:eastAsia="Arial" w:hAnsi="Arial"/>
                <w:sz w:val="16"/>
                <w:szCs w:val="16"/>
                <w:b w:val="1"/>
                <w:bCs w:val="1"/>
                <w:color w:val="auto"/>
              </w:rPr>
              <w:t>August 17, 2023</w:t>
            </w:r>
          </w:p>
        </w:tc>
        <w:tc>
          <w:tcPr>
            <w:tcW w:w="2740" w:type="dxa"/>
            <w:vAlign w:val="bottom"/>
            <w:shd w:val="clear" w:color="auto" w:fill="E5E5E5"/>
          </w:tcPr>
          <w:p>
            <w:pPr>
              <w:ind w:left="740"/>
              <w:spacing w:after="0"/>
              <w:rPr>
                <w:sz w:val="20"/>
                <w:szCs w:val="20"/>
                <w:color w:val="auto"/>
              </w:rPr>
            </w:pPr>
            <w:r>
              <w:rPr>
                <w:rFonts w:ascii="Arial" w:cs="Arial" w:eastAsia="Arial" w:hAnsi="Arial"/>
                <w:sz w:val="16"/>
                <w:szCs w:val="16"/>
                <w:b w:val="1"/>
                <w:bCs w:val="1"/>
                <w:color w:val="auto"/>
              </w:rPr>
              <w:t>September 14, 2023</w:t>
            </w:r>
          </w:p>
        </w:tc>
        <w:tc>
          <w:tcPr>
            <w:tcW w:w="84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E5E5E5"/>
          </w:tcPr>
          <w:p>
            <w:pPr>
              <w:jc w:val="right"/>
              <w:ind w:right="54"/>
              <w:spacing w:after="0"/>
              <w:rPr>
                <w:sz w:val="20"/>
                <w:szCs w:val="20"/>
                <w:color w:val="auto"/>
              </w:rPr>
            </w:pPr>
            <w:r>
              <w:rPr>
                <w:rFonts w:ascii="Arial" w:cs="Arial" w:eastAsia="Arial" w:hAnsi="Arial"/>
                <w:sz w:val="16"/>
                <w:szCs w:val="16"/>
                <w:b w:val="1"/>
                <w:bCs w:val="1"/>
                <w:color w:val="auto"/>
              </w:rPr>
              <w:t>0.68</w:t>
            </w:r>
          </w:p>
        </w:tc>
        <w:tc>
          <w:tcPr>
            <w:tcW w:w="300" w:type="dxa"/>
            <w:vAlign w:val="bottom"/>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E5E5E5"/>
          </w:tcPr>
          <w:p>
            <w:pPr>
              <w:jc w:val="right"/>
              <w:ind w:right="34"/>
              <w:spacing w:after="0"/>
              <w:rPr>
                <w:sz w:val="20"/>
                <w:szCs w:val="20"/>
                <w:color w:val="auto"/>
              </w:rPr>
            </w:pPr>
            <w:r>
              <w:rPr>
                <w:rFonts w:ascii="Arial" w:cs="Arial" w:eastAsia="Arial" w:hAnsi="Arial"/>
                <w:sz w:val="16"/>
                <w:szCs w:val="16"/>
                <w:b w:val="1"/>
                <w:bCs w:val="1"/>
                <w:color w:val="auto"/>
              </w:rPr>
              <w:t>5,054</w:t>
            </w:r>
          </w:p>
        </w:tc>
      </w:tr>
    </w:tbl>
    <w:p>
      <w:pPr>
        <w:spacing w:after="0" w:line="233" w:lineRule="exact"/>
        <w:rPr>
          <w:sz w:val="20"/>
          <w:szCs w:val="20"/>
          <w:color w:val="auto"/>
        </w:rPr>
      </w:pPr>
    </w:p>
    <w:p>
      <w:pPr>
        <w:jc w:val="both"/>
        <w:ind w:right="420"/>
        <w:spacing w:after="0" w:line="243" w:lineRule="auto"/>
        <w:rPr>
          <w:sz w:val="20"/>
          <w:szCs w:val="20"/>
          <w:color w:val="auto"/>
        </w:rPr>
      </w:pPr>
      <w:r>
        <w:rPr>
          <w:rFonts w:ascii="Arial" w:cs="Arial" w:eastAsia="Arial" w:hAnsi="Arial"/>
          <w:sz w:val="16"/>
          <w:szCs w:val="16"/>
          <w:color w:val="auto"/>
        </w:rPr>
        <w:t>We returned $9.7 billion to shareholders in the form of share repurchases and dividends in the fourth quarter of fiscal year 2023. Refer to Note 16 – Stockholders’ Equity of the Notes to Financial Statements (Part II, Item 8 of this Form 10-K) for further discussion regarding share repurchases and dividends.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38" w:name="page39"/>
    <w:bookmarkEnd w:id="38"/>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6</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6. [RESERVED]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57150</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020"/>
          </w:cols>
          <w:pgMar w:left="1440" w:top="573" w:right="1440"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165" w:lineRule="exact"/>
        <w:rPr>
          <w:sz w:val="20"/>
          <w:szCs w:val="20"/>
          <w:color w:val="auto"/>
        </w:rPr>
      </w:pPr>
    </w:p>
    <w:p>
      <w:pPr>
        <w:jc w:val="center"/>
        <w:ind w:left="700" w:right="600"/>
        <w:spacing w:after="0" w:line="306"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54"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consolidated financial statements and the accompanying Notes to Financial Statements (Part II, Item 8 of this Form 10-K). This section generally discusses the results of our operations for the year ended June 30, 2023 compared to the year ended June 30, 2022. For a discussion of the year ended June 30</w:t>
      </w:r>
      <w:r>
        <w:rPr>
          <w:rFonts w:ascii="Arial" w:cs="Arial" w:eastAsia="Arial" w:hAnsi="Arial"/>
          <w:sz w:val="16"/>
          <w:szCs w:val="16"/>
          <w:u w:val="single" w:color="auto"/>
          <w:color w:val="auto"/>
        </w:rPr>
        <w:t>,</w:t>
      </w:r>
      <w:r>
        <w:rPr>
          <w:rFonts w:ascii="Arial" w:cs="Arial" w:eastAsia="Arial" w:hAnsi="Arial"/>
          <w:sz w:val="16"/>
          <w:szCs w:val="16"/>
          <w:color w:val="auto"/>
        </w:rPr>
        <w:t xml:space="preserve"> 2022 compared to the year ended June 30, 2021, please refer to Part II, Item 7, “Management’s Discussion and Analysis of Financial Condition and Results of Operations” in our Annual Report on Form 10-K for the year ended June 30, 2022.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OVERVIEW</w:t>
      </w:r>
    </w:p>
    <w:p>
      <w:pPr>
        <w:spacing w:after="0" w:line="14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Microsoft is a technology company whose mission is to empower every person and every organization on the planet to achieve more. We strive to create local opportunity, growth, and impact in every country around the world. We are creating the platforms and tools, powered by artificial intelligence (“AI”), that deliver better, faster, and more effective solutions to support small and large business competitiveness, improve educational and health outcomes, grow public-sector efficiency, and empower human ingenuity.</w:t>
      </w:r>
    </w:p>
    <w:p>
      <w:pPr>
        <w:spacing w:after="0" w:line="12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generate revenue by offering a wide range of cloud- 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Highlights from fiscal year 2023 compared with fiscal year 2022 included:</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•Microsoft Cloud revenue increased 22% to $111.6 billion.</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•Office Commercial products and cloud services revenue increased 10% driven by Office 365 Commercial growth of 13%.</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•Office Consumer products and cloud services revenue increased 2% and Microsoft 365 Consumer subscribers increased to 67.0 million.</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•LinkedIn revenue increased 10%.</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•Dynamics products and cloud services revenue increased 16% driven by Dynamics 365 growth of 24%.</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•Server products and cloud services revenue increased 19% driven by Azure and other cloud services growth of 29%.</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•Windows original equipment manufacturer licensing (“Windows OEM”) revenue decreased 25%.</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•Devices revenue decreased 24%.</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•Windows Commercial products and cloud services revenue increased 5%.</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•Xbox content and services revenue decreased 3%.</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•Search and news advertising revenue excluding traffic acquisition costs increased 11%.</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Conditions, Challenges, and Risks</w:t>
      </w:r>
    </w:p>
    <w:p>
      <w:pPr>
        <w:spacing w:after="0" w:line="148" w:lineRule="exact"/>
        <w:rPr>
          <w:sz w:val="20"/>
          <w:szCs w:val="20"/>
          <w:color w:val="auto"/>
        </w:rPr>
      </w:pPr>
    </w:p>
    <w:p>
      <w:pPr>
        <w:ind w:right="200"/>
        <w:spacing w:after="0" w:line="272" w:lineRule="auto"/>
        <w:rPr>
          <w:sz w:val="20"/>
          <w:szCs w:val="20"/>
          <w:color w:val="auto"/>
        </w:rPr>
      </w:pPr>
      <w:r>
        <w:rPr>
          <w:rFonts w:ascii="Arial" w:cs="Arial" w:eastAsia="Arial" w:hAnsi="Arial"/>
          <w:sz w:val="14"/>
          <w:szCs w:val="14"/>
          <w:color w:val="auto"/>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w:t>
      </w:r>
    </w:p>
    <w:p>
      <w:pPr>
        <w:spacing w:after="0"/>
        <w:rPr>
          <w:sz w:val="20"/>
          <w:szCs w:val="20"/>
          <w:color w:val="auto"/>
        </w:rPr>
      </w:pPr>
      <w:r>
        <w:rPr>
          <w:rFonts w:ascii="Arial" w:cs="Arial" w:eastAsia="Arial" w:hAnsi="Arial"/>
          <w:sz w:val="16"/>
          <w:szCs w:val="16"/>
          <w:color w:val="auto"/>
        </w:rPr>
        <w:t>We must continue to evolve and adapt over an extended time in pace with this changing environment.</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 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spacing w:after="0" w:line="104"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spacing w:after="0" w:line="125" w:lineRule="exact"/>
        <w:rPr>
          <w:sz w:val="20"/>
          <w:szCs w:val="20"/>
          <w:color w:val="auto"/>
        </w:rPr>
      </w:pPr>
    </w:p>
    <w:p>
      <w:pPr>
        <w:jc w:val="both"/>
        <w:ind w:right="160"/>
        <w:spacing w:after="0" w:line="295" w:lineRule="auto"/>
        <w:rPr>
          <w:sz w:val="20"/>
          <w:szCs w:val="20"/>
          <w:color w:val="auto"/>
        </w:rPr>
      </w:pPr>
      <w:r>
        <w:rPr>
          <w:rFonts w:ascii="Arial" w:cs="Arial" w:eastAsia="Arial" w:hAnsi="Arial"/>
          <w:sz w:val="14"/>
          <w:szCs w:val="14"/>
          <w:color w:val="auto"/>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reduced reported revenue and expenses from our international operations in fiscal year 2023.</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On January 18, 2023, we announced decisions we made to align our cost structure with our revenue and customer demand, prioritize our investments in strategic areas, and consolidate office space. As a result, we recorded a $1.2 billion charge in the second quarter of fiscal year 2023 (“Q2 charge”), which included employee severance expenses of $ 800 million, impairment charges resulting from changes to our hardware portfolio, and costs related to lease consolidation activities. First, we reduced our overall workforce by approximately 10,000 jobs through the third quarter of fiscal year 2023 related to the Q2 charge, which represents less than 5% of our total employee base. While we eliminated roles in some areas, we will continue to hire in key strategic areas. Second, we are allocating both our capital and talent to areas of secular growth and long-term competitiveness, while divesting in other areas. Third, we are consolidating our leases to create higher density across our workspaces, which impacted our financial results through the remainder of fiscal year 2023, and we may make similar decisions in future periods as we continue to evaluate our real estate needs.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Refer to Risk Factors (Part I, Item 1A of this Form 10-K) for a discussion of these factors and other risks.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48" w:lineRule="exact"/>
        <w:rPr>
          <w:sz w:val="20"/>
          <w:szCs w:val="20"/>
          <w:color w:val="auto"/>
        </w:rPr>
      </w:pPr>
    </w:p>
    <w:p>
      <w:pPr>
        <w:ind w:right="500"/>
        <w:spacing w:after="0" w:line="243" w:lineRule="auto"/>
        <w:rPr>
          <w:sz w:val="20"/>
          <w:szCs w:val="20"/>
          <w:color w:val="auto"/>
        </w:rPr>
      </w:pPr>
      <w:r>
        <w:rPr>
          <w:rFonts w:ascii="Arial" w:cs="Arial" w:eastAsia="Arial" w:hAnsi="Arial"/>
          <w:sz w:val="16"/>
          <w:szCs w:val="16"/>
          <w:color w:val="auto"/>
        </w:rPr>
        <w:t>Our revenue fluctuates quarterly and is generally higher in the second and fourth quarters of our fiscal year. Second quarter revenue is driven by corporate year-end spending trends in our major markets and holiday season spending by consumers, and fourth quarter revenue is driven by the volume of multi-year on-premises contracts executed during the period.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Estimate</w:t>
      </w:r>
    </w:p>
    <w:p>
      <w:pPr>
        <w:spacing w:after="0" w:line="148"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fiscal year 2023 was an increase in operating income of $3.7 billion and net income of $3.0 billion, or $0.40 per both basic and diluted share.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48" w:lineRule="exact"/>
        <w:rPr>
          <w:sz w:val="20"/>
          <w:szCs w:val="20"/>
          <w:color w:val="auto"/>
        </w:rPr>
      </w:pPr>
    </w:p>
    <w:p>
      <w:pPr>
        <w:jc w:val="both"/>
        <w:ind w:right="460"/>
        <w:spacing w:after="0" w:line="243" w:lineRule="auto"/>
        <w:rPr>
          <w:sz w:val="20"/>
          <w:szCs w:val="20"/>
          <w:color w:val="auto"/>
        </w:rPr>
      </w:pPr>
      <w:r>
        <w:rPr>
          <w:rFonts w:ascii="Arial" w:cs="Arial" w:eastAsia="Arial" w:hAnsi="Arial"/>
          <w:sz w:val="16"/>
          <w:szCs w:val="16"/>
          <w:color w:val="auto"/>
        </w:rPr>
        <w:t>We report our financial performance based on the following segments: Productivity and Business Processes, Intelligent Cloud, and More Personal Computing. The segment amounts included in MD&amp;A are presented on a basis consistent with our internal management reporting. We have recast certain prior period amounts to conform to the way we internally manage and monitor our business.</w:t>
      </w:r>
    </w:p>
    <w:p>
      <w:pPr>
        <w:spacing w:after="0" w:line="125" w:lineRule="exact"/>
        <w:rPr>
          <w:sz w:val="20"/>
          <w:szCs w:val="20"/>
          <w:color w:val="auto"/>
        </w:rPr>
      </w:pPr>
    </w:p>
    <w:p>
      <w:pPr>
        <w:ind w:right="600"/>
        <w:spacing w:after="0" w:line="252" w:lineRule="auto"/>
        <w:rPr>
          <w:sz w:val="20"/>
          <w:szCs w:val="20"/>
          <w:color w:val="auto"/>
        </w:rPr>
      </w:pPr>
      <w:r>
        <w:rPr>
          <w:rFonts w:ascii="Arial" w:cs="Arial" w:eastAsia="Arial" w:hAnsi="Arial"/>
          <w:sz w:val="16"/>
          <w:szCs w:val="16"/>
          <w:color w:val="auto"/>
        </w:rPr>
        <w:t>Additional information on our reportable segments is contained in Note 19 – Segment Information and Geographic Data of the Notes to Financial Statements (Part II, Item 8 of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Metrics</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II, Item 8 of this Form 10 -K). Financial metrics are calculated based on financial results prepared in accordance with accounting principles generally accepted in the United States of America (“GAAP”), and growth comparisons relate to the corresponding period of last fiscal year.</w:t>
      </w:r>
    </w:p>
    <w:p>
      <w:pPr>
        <w:spacing w:after="0" w:line="13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the first quarter of fiscal year 2023, we made updates to the presentation and method of calculation for certain metrics, most notably expanding our Surface metric into a broader Devices metric to incorporate additional revenue streams, along with other minor changes to align with how we manage our businesses.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Commercial</w:t>
      </w:r>
    </w:p>
    <w:p>
      <w:pPr>
        <w:spacing w:after="0" w:line="148" w:lineRule="exact"/>
        <w:rPr>
          <w:sz w:val="20"/>
          <w:szCs w:val="20"/>
          <w:color w:val="auto"/>
        </w:rPr>
      </w:pPr>
    </w:p>
    <w:p>
      <w:pPr>
        <w:jc w:val="both"/>
        <w:ind w:right="100"/>
        <w:spacing w:after="0" w:line="243" w:lineRule="auto"/>
        <w:rPr>
          <w:sz w:val="20"/>
          <w:szCs w:val="20"/>
          <w:color w:val="auto"/>
        </w:rPr>
      </w:pPr>
      <w:r>
        <w:rPr>
          <w:rFonts w:ascii="Arial" w:cs="Arial" w:eastAsia="Arial" w:hAnsi="Arial"/>
          <w:sz w:val="16"/>
          <w:szCs w:val="16"/>
          <w:color w:val="auto"/>
        </w:rPr>
        <w:t>Our commercial business primarily consists of Server products and cloud services, Office Commercial, Windows Commercial, the commercial portion of LinkedIn, Enterprise Services, and Dynamics. Our commercial metrics allow management and investors to assess the overall health of our commercial business and include leading indicators of future performance.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ind w:left="160"/>
              <w:spacing w:after="0"/>
              <w:rPr>
                <w:sz w:val="20"/>
                <w:szCs w:val="20"/>
                <w:color w:val="auto"/>
              </w:rPr>
            </w:pPr>
            <w:r>
              <w:rPr>
                <w:rFonts w:ascii="Arial" w:cs="Arial" w:eastAsia="Arial" w:hAnsi="Arial"/>
                <w:sz w:val="16"/>
                <w:szCs w:val="16"/>
                <w:color w:val="auto"/>
              </w:rPr>
              <w:t>Commercial remaining performance obligation</w:t>
            </w:r>
          </w:p>
        </w:tc>
        <w:tc>
          <w:tcPr>
            <w:tcW w:w="6760" w:type="dxa"/>
            <w:vAlign w:val="bottom"/>
          </w:tcPr>
          <w:p>
            <w:pPr>
              <w:ind w:left="440"/>
              <w:spacing w:after="0"/>
              <w:rPr>
                <w:sz w:val="20"/>
                <w:szCs w:val="20"/>
                <w:color w:val="auto"/>
              </w:rPr>
            </w:pPr>
            <w:r>
              <w:rPr>
                <w:rFonts w:ascii="Arial" w:cs="Arial" w:eastAsia="Arial" w:hAnsi="Arial"/>
                <w:sz w:val="16"/>
                <w:szCs w:val="16"/>
                <w:color w:val="auto"/>
              </w:rPr>
              <w:t>Commercial portion of revenue allocated to remaining performance obligations, which</w:t>
            </w:r>
          </w:p>
        </w:tc>
      </w:tr>
      <w:tr>
        <w:trPr>
          <w:trHeight w:val="180"/>
        </w:trPr>
        <w:tc>
          <w:tcPr>
            <w:tcW w:w="3800" w:type="dxa"/>
            <w:vAlign w:val="bottom"/>
          </w:tcPr>
          <w:p>
            <w:pPr>
              <w:spacing w:after="0"/>
              <w:rPr>
                <w:sz w:val="15"/>
                <w:szCs w:val="15"/>
                <w:color w:val="auto"/>
              </w:rPr>
            </w:pPr>
          </w:p>
        </w:tc>
        <w:tc>
          <w:tcPr>
            <w:tcW w:w="6760" w:type="dxa"/>
            <w:vAlign w:val="bottom"/>
          </w:tcPr>
          <w:p>
            <w:pPr>
              <w:ind w:left="440"/>
              <w:spacing w:after="0" w:line="180" w:lineRule="exact"/>
              <w:rPr>
                <w:sz w:val="20"/>
                <w:szCs w:val="20"/>
                <w:color w:val="auto"/>
              </w:rPr>
            </w:pPr>
            <w:r>
              <w:rPr>
                <w:rFonts w:ascii="Arial" w:cs="Arial" w:eastAsia="Arial" w:hAnsi="Arial"/>
                <w:sz w:val="16"/>
                <w:szCs w:val="16"/>
                <w:color w:val="auto"/>
                <w:w w:val="97"/>
              </w:rPr>
              <w:t>includes unearned revenue and amounts that will be invoiced and recognized as revenue in</w:t>
            </w:r>
          </w:p>
        </w:tc>
      </w:tr>
      <w:tr>
        <w:trPr>
          <w:trHeight w:val="197"/>
        </w:trPr>
        <w:tc>
          <w:tcPr>
            <w:tcW w:w="3800" w:type="dxa"/>
            <w:vAlign w:val="bottom"/>
          </w:tcPr>
          <w:p>
            <w:pPr>
              <w:spacing w:after="0"/>
              <w:rPr>
                <w:sz w:val="17"/>
                <w:szCs w:val="17"/>
                <w:color w:val="auto"/>
              </w:rPr>
            </w:pPr>
          </w:p>
        </w:tc>
        <w:tc>
          <w:tcPr>
            <w:tcW w:w="6760" w:type="dxa"/>
            <w:vAlign w:val="bottom"/>
          </w:tcPr>
          <w:p>
            <w:pPr>
              <w:ind w:left="440"/>
              <w:spacing w:after="0"/>
              <w:rPr>
                <w:sz w:val="20"/>
                <w:szCs w:val="20"/>
                <w:color w:val="auto"/>
              </w:rPr>
            </w:pPr>
            <w:r>
              <w:rPr>
                <w:rFonts w:ascii="Arial" w:cs="Arial" w:eastAsia="Arial" w:hAnsi="Arial"/>
                <w:sz w:val="16"/>
                <w:szCs w:val="16"/>
                <w:color w:val="auto"/>
              </w:rPr>
              <w:t>future periods</w:t>
            </w:r>
          </w:p>
        </w:tc>
      </w:tr>
      <w:tr>
        <w:trPr>
          <w:trHeight w:val="259"/>
        </w:trPr>
        <w:tc>
          <w:tcPr>
            <w:tcW w:w="3800" w:type="dxa"/>
            <w:vAlign w:val="bottom"/>
          </w:tcPr>
          <w:p>
            <w:pPr>
              <w:ind w:left="160"/>
              <w:spacing w:after="0"/>
              <w:rPr>
                <w:sz w:val="20"/>
                <w:szCs w:val="20"/>
                <w:color w:val="auto"/>
              </w:rPr>
            </w:pPr>
            <w:r>
              <w:rPr>
                <w:rFonts w:ascii="Arial" w:cs="Arial" w:eastAsia="Arial" w:hAnsi="Arial"/>
                <w:sz w:val="16"/>
                <w:szCs w:val="16"/>
                <w:color w:val="auto"/>
              </w:rPr>
              <w:t>Microsoft Cloud revenue</w:t>
            </w:r>
          </w:p>
        </w:tc>
        <w:tc>
          <w:tcPr>
            <w:tcW w:w="6760" w:type="dxa"/>
            <w:vAlign w:val="bottom"/>
          </w:tcPr>
          <w:p>
            <w:pPr>
              <w:ind w:left="440"/>
              <w:spacing w:after="0"/>
              <w:rPr>
                <w:sz w:val="20"/>
                <w:szCs w:val="20"/>
                <w:color w:val="auto"/>
              </w:rPr>
            </w:pPr>
            <w:r>
              <w:rPr>
                <w:rFonts w:ascii="Arial" w:cs="Arial" w:eastAsia="Arial" w:hAnsi="Arial"/>
                <w:sz w:val="16"/>
                <w:szCs w:val="16"/>
                <w:color w:val="auto"/>
              </w:rPr>
              <w:t>Revenue from Azure and other cloud services, Office 365 Commercial, the commercial</w:t>
            </w:r>
          </w:p>
        </w:tc>
      </w:tr>
      <w:tr>
        <w:trPr>
          <w:trHeight w:val="197"/>
        </w:trPr>
        <w:tc>
          <w:tcPr>
            <w:tcW w:w="3800" w:type="dxa"/>
            <w:vAlign w:val="bottom"/>
          </w:tcPr>
          <w:p>
            <w:pPr>
              <w:spacing w:after="0"/>
              <w:rPr>
                <w:sz w:val="17"/>
                <w:szCs w:val="17"/>
                <w:color w:val="auto"/>
              </w:rPr>
            </w:pPr>
          </w:p>
        </w:tc>
        <w:tc>
          <w:tcPr>
            <w:tcW w:w="6760" w:type="dxa"/>
            <w:vAlign w:val="bottom"/>
          </w:tcPr>
          <w:p>
            <w:pPr>
              <w:ind w:left="440"/>
              <w:spacing w:after="0"/>
              <w:rPr>
                <w:sz w:val="20"/>
                <w:szCs w:val="20"/>
                <w:color w:val="auto"/>
              </w:rPr>
            </w:pPr>
            <w:r>
              <w:rPr>
                <w:rFonts w:ascii="Arial" w:cs="Arial" w:eastAsia="Arial" w:hAnsi="Arial"/>
                <w:sz w:val="16"/>
                <w:szCs w:val="16"/>
                <w:color w:val="auto"/>
              </w:rPr>
              <w:t>portion of LinkedIn, Dynamics 365, and other commercial cloud properties</w:t>
            </w:r>
          </w:p>
        </w:tc>
      </w:tr>
      <w:tr>
        <w:trPr>
          <w:trHeight w:val="276"/>
        </w:trPr>
        <w:tc>
          <w:tcPr>
            <w:tcW w:w="3800" w:type="dxa"/>
            <w:vAlign w:val="bottom"/>
          </w:tcPr>
          <w:p>
            <w:pPr>
              <w:ind w:left="160"/>
              <w:spacing w:after="0"/>
              <w:rPr>
                <w:sz w:val="20"/>
                <w:szCs w:val="20"/>
                <w:color w:val="auto"/>
              </w:rPr>
            </w:pPr>
            <w:r>
              <w:rPr>
                <w:rFonts w:ascii="Arial" w:cs="Arial" w:eastAsia="Arial" w:hAnsi="Arial"/>
                <w:sz w:val="16"/>
                <w:szCs w:val="16"/>
                <w:color w:val="auto"/>
              </w:rPr>
              <w:t>Microsoft Cloud gross margin percentage</w:t>
            </w:r>
          </w:p>
        </w:tc>
        <w:tc>
          <w:tcPr>
            <w:tcW w:w="6760" w:type="dxa"/>
            <w:vAlign w:val="bottom"/>
          </w:tcPr>
          <w:p>
            <w:pPr>
              <w:ind w:left="440"/>
              <w:spacing w:after="0"/>
              <w:rPr>
                <w:sz w:val="20"/>
                <w:szCs w:val="20"/>
                <w:color w:val="auto"/>
              </w:rPr>
            </w:pPr>
            <w:r>
              <w:rPr>
                <w:rFonts w:ascii="Arial" w:cs="Arial" w:eastAsia="Arial" w:hAnsi="Arial"/>
                <w:sz w:val="16"/>
                <w:szCs w:val="16"/>
                <w:color w:val="auto"/>
              </w:rPr>
              <w:t>Gross margin percentage for our Microsoft Cloud business</w:t>
            </w:r>
          </w:p>
        </w:tc>
      </w:tr>
      <w:tr>
        <w:trPr>
          <w:trHeight w:val="532"/>
        </w:trPr>
        <w:tc>
          <w:tcPr>
            <w:tcW w:w="3800" w:type="dxa"/>
            <w:vAlign w:val="bottom"/>
          </w:tcPr>
          <w:p>
            <w:pPr>
              <w:spacing w:after="0"/>
              <w:rPr>
                <w:sz w:val="24"/>
                <w:szCs w:val="24"/>
                <w:color w:val="auto"/>
              </w:rPr>
            </w:pPr>
          </w:p>
        </w:tc>
        <w:tc>
          <w:tcPr>
            <w:tcW w:w="6760" w:type="dxa"/>
            <w:vAlign w:val="bottom"/>
          </w:tcPr>
          <w:p>
            <w:pPr>
              <w:ind w:left="1420"/>
              <w:spacing w:after="0"/>
              <w:rPr>
                <w:sz w:val="20"/>
                <w:szCs w:val="20"/>
                <w:color w:val="auto"/>
              </w:rPr>
            </w:pPr>
            <w:r>
              <w:rPr>
                <w:rFonts w:ascii="Arial" w:cs="Arial" w:eastAsia="Arial" w:hAnsi="Arial"/>
                <w:sz w:val="13"/>
                <w:szCs w:val="13"/>
                <w:color w:val="auto"/>
              </w:rPr>
              <w:t>42</w:t>
            </w:r>
          </w:p>
        </w:tc>
      </w:tr>
      <w:tr>
        <w:trPr>
          <w:trHeight w:val="106"/>
        </w:trPr>
        <w:tc>
          <w:tcPr>
            <w:tcW w:w="3800" w:type="dxa"/>
            <w:vAlign w:val="bottom"/>
            <w:tcBorders>
              <w:bottom w:val="single" w:sz="8" w:color="EEEEEE"/>
            </w:tcBorders>
          </w:tcPr>
          <w:p>
            <w:pPr>
              <w:spacing w:after="0"/>
              <w:rPr>
                <w:sz w:val="9"/>
                <w:szCs w:val="9"/>
                <w:color w:val="auto"/>
              </w:rPr>
            </w:pPr>
          </w:p>
        </w:tc>
        <w:tc>
          <w:tcPr>
            <w:tcW w:w="676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42" w:name="page43"/>
    <w:bookmarkEnd w:id="42"/>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7</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Productivity and Business Processes and Intelligent Cloud</w:t>
      </w:r>
    </w:p>
    <w:p>
      <w:pPr>
        <w:spacing w:after="0" w:line="148"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Metrics related to our Productivity and Business Processes and Intelligent Cloud segments assess the health of our core businesses within these segments. The metrics reflect our cloud and on-premises product strategies and trends.</w:t>
      </w:r>
    </w:p>
    <w:p>
      <w:pPr>
        <w:sectPr>
          <w:pgSz w:w="11900" w:h="16840" w:orient="portrait"/>
          <w:cols w:equalWidth="0" w:num="1">
            <w:col w:w="10560"/>
          </w:cols>
          <w:pgMar w:left="660" w:top="573" w:right="680" w:bottom="1440" w:gutter="0" w:footer="0" w:header="0"/>
        </w:sectPr>
      </w:pPr>
    </w:p>
    <w:p>
      <w:pPr>
        <w:spacing w:after="0" w:line="178" w:lineRule="exact"/>
        <w:rPr>
          <w:sz w:val="20"/>
          <w:szCs w:val="20"/>
          <w:color w:val="auto"/>
        </w:rPr>
      </w:pPr>
    </w:p>
    <w:p>
      <w:pPr>
        <w:ind w:left="160"/>
        <w:spacing w:after="0" w:line="252" w:lineRule="auto"/>
        <w:rPr>
          <w:sz w:val="20"/>
          <w:szCs w:val="20"/>
          <w:color w:val="auto"/>
        </w:rPr>
      </w:pPr>
      <w:r>
        <w:rPr>
          <w:rFonts w:ascii="Arial" w:cs="Arial" w:eastAsia="Arial" w:hAnsi="Arial"/>
          <w:sz w:val="16"/>
          <w:szCs w:val="16"/>
          <w:color w:val="auto"/>
        </w:rPr>
        <w:t>Office Commercial products and cloud services revenue growth</w:t>
      </w:r>
    </w:p>
    <w:p>
      <w:pPr>
        <w:spacing w:after="0" w:line="200" w:lineRule="exact"/>
        <w:rPr>
          <w:sz w:val="20"/>
          <w:szCs w:val="20"/>
          <w:color w:val="auto"/>
        </w:rPr>
      </w:pPr>
    </w:p>
    <w:p>
      <w:pPr>
        <w:spacing w:after="0" w:line="230" w:lineRule="exact"/>
        <w:rPr>
          <w:sz w:val="20"/>
          <w:szCs w:val="20"/>
          <w:color w:val="auto"/>
        </w:rPr>
      </w:pPr>
    </w:p>
    <w:p>
      <w:pPr>
        <w:ind w:left="160" w:right="100"/>
        <w:spacing w:after="0" w:line="252" w:lineRule="auto"/>
        <w:rPr>
          <w:sz w:val="20"/>
          <w:szCs w:val="20"/>
          <w:color w:val="auto"/>
        </w:rPr>
      </w:pPr>
      <w:r>
        <w:rPr>
          <w:rFonts w:ascii="Arial" w:cs="Arial" w:eastAsia="Arial" w:hAnsi="Arial"/>
          <w:sz w:val="16"/>
          <w:szCs w:val="16"/>
          <w:color w:val="auto"/>
        </w:rPr>
        <w:t>Office Consumer products and cloud services revenue growth</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Office 365 Commercial seat growth</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Revenue from Office Commercial products and cloud services (Office 365 subscriptions, the Office 365 portion of Microsoft 365 Commercial subscriptions, and Office licensed on-premises), comprising Office, Exchange, SharePoint, Microsoft Teams, Office 365 Security and Compliance, Microsoft Viva, and Microsoft 365 Copilot</w:t>
      </w:r>
    </w:p>
    <w:p>
      <w:pPr>
        <w:spacing w:after="0" w:line="80" w:lineRule="exact"/>
        <w:rPr>
          <w:sz w:val="20"/>
          <w:szCs w:val="20"/>
          <w:color w:val="auto"/>
        </w:rPr>
      </w:pPr>
    </w:p>
    <w:p>
      <w:pPr>
        <w:ind w:right="460"/>
        <w:spacing w:after="0" w:line="322" w:lineRule="auto"/>
        <w:rPr>
          <w:sz w:val="20"/>
          <w:szCs w:val="20"/>
          <w:color w:val="auto"/>
        </w:rPr>
      </w:pPr>
      <w:r>
        <w:rPr>
          <w:rFonts w:ascii="Arial" w:cs="Arial" w:eastAsia="Arial" w:hAnsi="Arial"/>
          <w:sz w:val="14"/>
          <w:szCs w:val="14"/>
          <w:color w:val="auto"/>
        </w:rPr>
        <w:t>Revenue from Office Consumer products and cloud services, including Microsoft 365 Consumer subscriptions, Office licensed on-premises, and other Office services</w:t>
      </w:r>
    </w:p>
    <w:p>
      <w:pPr>
        <w:spacing w:after="0" w:line="24"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The number of Office 365 Commercial seats at end of period where seats are paid users covered by an Office 365 Commercial subscription</w:t>
      </w:r>
    </w:p>
    <w:p>
      <w:pPr>
        <w:spacing w:after="0" w:line="70" w:lineRule="exact"/>
        <w:rPr>
          <w:sz w:val="20"/>
          <w:szCs w:val="20"/>
          <w:color w:val="auto"/>
        </w:rPr>
      </w:pPr>
    </w:p>
    <w:p>
      <w:pPr>
        <w:sectPr>
          <w:pgSz w:w="11900" w:h="16840" w:orient="portrait"/>
          <w:cols w:equalWidth="0" w:num="2">
            <w:col w:w="4020" w:space="220"/>
            <w:col w:w="6320"/>
          </w:cols>
          <w:pgMar w:left="660" w:top="573" w:right="680" w:bottom="1440" w:gutter="0" w:footer="0" w:header="0"/>
          <w:type w:val="continuous"/>
        </w:sectPr>
      </w:pPr>
    </w:p>
    <w:p>
      <w:pPr>
        <w:ind w:left="160"/>
        <w:spacing w:after="0"/>
        <w:tabs>
          <w:tab w:leader="none" w:pos="4220" w:val="left"/>
        </w:tabs>
        <w:rPr>
          <w:sz w:val="20"/>
          <w:szCs w:val="20"/>
          <w:color w:val="auto"/>
        </w:rPr>
      </w:pPr>
      <w:r>
        <w:rPr>
          <w:rFonts w:ascii="Arial" w:cs="Arial" w:eastAsia="Arial" w:hAnsi="Arial"/>
          <w:sz w:val="16"/>
          <w:szCs w:val="16"/>
          <w:color w:val="auto"/>
        </w:rPr>
        <w:t>Microsoft 365 Consumer subscribers</w:t>
      </w:r>
      <w:r>
        <w:rPr>
          <w:sz w:val="20"/>
          <w:szCs w:val="20"/>
          <w:color w:val="auto"/>
        </w:rPr>
        <w:tab/>
      </w:r>
      <w:r>
        <w:rPr>
          <w:rFonts w:ascii="Arial" w:cs="Arial" w:eastAsia="Arial" w:hAnsi="Arial"/>
          <w:sz w:val="14"/>
          <w:szCs w:val="14"/>
          <w:color w:val="auto"/>
        </w:rPr>
        <w:t>The number of Microsoft 365 Consumer subscribers at end of period</w:t>
      </w:r>
    </w:p>
    <w:p>
      <w:pPr>
        <w:spacing w:after="0" w:line="92" w:lineRule="exact"/>
        <w:rPr>
          <w:sz w:val="20"/>
          <w:szCs w:val="20"/>
          <w:color w:val="auto"/>
        </w:rPr>
      </w:pPr>
    </w:p>
    <w:p>
      <w:pPr>
        <w:ind w:left="160"/>
        <w:spacing w:after="0"/>
        <w:tabs>
          <w:tab w:leader="none" w:pos="4220" w:val="left"/>
        </w:tabs>
        <w:rPr>
          <w:sz w:val="20"/>
          <w:szCs w:val="20"/>
          <w:color w:val="auto"/>
        </w:rPr>
      </w:pPr>
      <w:r>
        <w:rPr>
          <w:rFonts w:ascii="Arial" w:cs="Arial" w:eastAsia="Arial" w:hAnsi="Arial"/>
          <w:sz w:val="16"/>
          <w:szCs w:val="16"/>
          <w:color w:val="auto"/>
        </w:rPr>
        <w:t>Dynamics products and cloud services revenue growth</w:t>
      </w:r>
      <w:r>
        <w:rPr>
          <w:sz w:val="20"/>
          <w:szCs w:val="20"/>
          <w:color w:val="auto"/>
        </w:rPr>
        <w:tab/>
      </w:r>
      <w:r>
        <w:rPr>
          <w:rFonts w:ascii="Arial" w:cs="Arial" w:eastAsia="Arial" w:hAnsi="Arial"/>
          <w:sz w:val="14"/>
          <w:szCs w:val="14"/>
          <w:color w:val="auto"/>
        </w:rPr>
        <w:t>Revenue from Dynamics products and cloud services, including Dynamics 365, comprising</w:t>
      </w:r>
    </w:p>
    <w:p>
      <w:pPr>
        <w:spacing w:after="0" w:line="2"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a set of intelligent, cloud-based applications across ERP, CRM (including Customer</w:t>
      </w:r>
    </w:p>
    <w:p>
      <w:pPr>
        <w:ind w:left="4240"/>
        <w:spacing w:after="0"/>
        <w:rPr>
          <w:sz w:val="20"/>
          <w:szCs w:val="20"/>
          <w:color w:val="auto"/>
        </w:rPr>
      </w:pPr>
      <w:r>
        <w:rPr>
          <w:rFonts w:ascii="Arial" w:cs="Arial" w:eastAsia="Arial" w:hAnsi="Arial"/>
          <w:sz w:val="14"/>
          <w:szCs w:val="14"/>
          <w:color w:val="auto"/>
        </w:rPr>
        <w:t>Insights), Power Apps, and Power Automate; and on-premises ERP and CRM applications</w:t>
      </w:r>
    </w:p>
    <w:p>
      <w:pPr>
        <w:spacing w:after="0" w:line="105" w:lineRule="exact"/>
        <w:rPr>
          <w:sz w:val="20"/>
          <w:szCs w:val="20"/>
          <w:color w:val="auto"/>
        </w:rPr>
      </w:pPr>
    </w:p>
    <w:p>
      <w:pPr>
        <w:ind w:left="160"/>
        <w:spacing w:after="0"/>
        <w:tabs>
          <w:tab w:leader="none" w:pos="4220" w:val="left"/>
        </w:tabs>
        <w:rPr>
          <w:sz w:val="20"/>
          <w:szCs w:val="20"/>
          <w:color w:val="auto"/>
        </w:rPr>
      </w:pPr>
      <w:r>
        <w:rPr>
          <w:rFonts w:ascii="Arial" w:cs="Arial" w:eastAsia="Arial" w:hAnsi="Arial"/>
          <w:sz w:val="16"/>
          <w:szCs w:val="16"/>
          <w:color w:val="auto"/>
        </w:rPr>
        <w:t>LinkedIn revenue growth</w:t>
      </w:r>
      <w:r>
        <w:rPr>
          <w:sz w:val="20"/>
          <w:szCs w:val="20"/>
          <w:color w:val="auto"/>
        </w:rPr>
        <w:tab/>
      </w:r>
      <w:r>
        <w:rPr>
          <w:rFonts w:ascii="Arial" w:cs="Arial" w:eastAsia="Arial" w:hAnsi="Arial"/>
          <w:sz w:val="14"/>
          <w:szCs w:val="14"/>
          <w:color w:val="auto"/>
        </w:rPr>
        <w:t>Revenue from LinkedIn, including Talent Solutions, Marketing Solutions, Premium</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Subscriptions, and Sales Solutions</w:t>
      </w:r>
    </w:p>
    <w:p>
      <w:pPr>
        <w:spacing w:after="0" w:line="82" w:lineRule="exact"/>
        <w:rPr>
          <w:sz w:val="20"/>
          <w:szCs w:val="20"/>
          <w:color w:val="auto"/>
        </w:rPr>
      </w:pPr>
    </w:p>
    <w:p>
      <w:pPr>
        <w:ind w:left="160"/>
        <w:spacing w:after="0"/>
        <w:tabs>
          <w:tab w:leader="none" w:pos="4220" w:val="left"/>
        </w:tabs>
        <w:rPr>
          <w:sz w:val="20"/>
          <w:szCs w:val="20"/>
          <w:color w:val="auto"/>
        </w:rPr>
      </w:pPr>
      <w:r>
        <w:rPr>
          <w:rFonts w:ascii="Arial" w:cs="Arial" w:eastAsia="Arial" w:hAnsi="Arial"/>
          <w:sz w:val="16"/>
          <w:szCs w:val="16"/>
          <w:color w:val="auto"/>
        </w:rPr>
        <w:t>Server products and cloud services revenue growth</w:t>
      </w:r>
      <w:r>
        <w:rPr>
          <w:sz w:val="20"/>
          <w:szCs w:val="20"/>
          <w:color w:val="auto"/>
        </w:rPr>
        <w:tab/>
      </w:r>
      <w:r>
        <w:rPr>
          <w:rFonts w:ascii="Arial" w:cs="Arial" w:eastAsia="Arial" w:hAnsi="Arial"/>
          <w:sz w:val="14"/>
          <w:szCs w:val="14"/>
          <w:color w:val="auto"/>
        </w:rPr>
        <w:t>Revenue from Server products and cloud services, including Azure and other cloud</w:t>
      </w:r>
    </w:p>
    <w:p>
      <w:pPr>
        <w:spacing w:after="0" w:line="6" w:lineRule="exact"/>
        <w:rPr>
          <w:sz w:val="20"/>
          <w:szCs w:val="20"/>
          <w:color w:val="auto"/>
        </w:rPr>
      </w:pPr>
    </w:p>
    <w:p>
      <w:pPr>
        <w:ind w:left="4240" w:right="200"/>
        <w:spacing w:after="0" w:line="239" w:lineRule="auto"/>
        <w:rPr>
          <w:sz w:val="20"/>
          <w:szCs w:val="20"/>
          <w:color w:val="auto"/>
        </w:rPr>
      </w:pPr>
      <w:r>
        <w:rPr>
          <w:rFonts w:ascii="Arial" w:cs="Arial" w:eastAsia="Arial" w:hAnsi="Arial"/>
          <w:sz w:val="16"/>
          <w:szCs w:val="16"/>
          <w:color w:val="auto"/>
        </w:rPr>
        <w:t>services; SQL Server, Windows Server, Visual Studio, System Center, and related Client Access Licenses (“CALs”); and Nuance and GitHub</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More Personal Computing</w:t>
      </w:r>
    </w:p>
    <w:p>
      <w:pPr>
        <w:spacing w:after="0" w:line="148" w:lineRule="exact"/>
        <w:rPr>
          <w:sz w:val="20"/>
          <w:szCs w:val="20"/>
          <w:color w:val="auto"/>
        </w:rPr>
      </w:pPr>
    </w:p>
    <w:p>
      <w:pPr>
        <w:jc w:val="both"/>
        <w:ind w:right="240"/>
        <w:spacing w:after="0" w:line="243" w:lineRule="auto"/>
        <w:rPr>
          <w:sz w:val="20"/>
          <w:szCs w:val="20"/>
          <w:color w:val="auto"/>
        </w:rPr>
      </w:pPr>
      <w:r>
        <w:rPr>
          <w:rFonts w:ascii="Arial" w:cs="Arial" w:eastAsia="Arial" w:hAnsi="Arial"/>
          <w:sz w:val="16"/>
          <w:szCs w:val="16"/>
          <w:color w:val="auto"/>
        </w:rPr>
        <w:t>Metrics related to our More Personal Computing segment assess the performance of key lines of business within this segment. These metrics provide strategic product insights which allow us to assess the performance across our commercial and consumer businesses. As we have diversity of target audiences and sales motions within the Windows business, we monitor metrics that are reflective of those varying motions.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20" w:type="dxa"/>
            <w:vAlign w:val="bottom"/>
          </w:tcPr>
          <w:p>
            <w:pPr>
              <w:ind w:left="160"/>
              <w:spacing w:after="0"/>
              <w:rPr>
                <w:sz w:val="20"/>
                <w:szCs w:val="20"/>
                <w:color w:val="auto"/>
              </w:rPr>
            </w:pPr>
            <w:r>
              <w:rPr>
                <w:rFonts w:ascii="Arial" w:cs="Arial" w:eastAsia="Arial" w:hAnsi="Arial"/>
                <w:sz w:val="16"/>
                <w:szCs w:val="16"/>
                <w:color w:val="auto"/>
              </w:rPr>
              <w:t>Windows OEM revenue growth</w:t>
            </w:r>
          </w:p>
        </w:tc>
        <w:tc>
          <w:tcPr>
            <w:tcW w:w="6440" w:type="dxa"/>
            <w:vAlign w:val="bottom"/>
          </w:tcPr>
          <w:p>
            <w:pPr>
              <w:ind w:left="120"/>
              <w:spacing w:after="0"/>
              <w:rPr>
                <w:sz w:val="20"/>
                <w:szCs w:val="20"/>
                <w:color w:val="auto"/>
              </w:rPr>
            </w:pPr>
            <w:r>
              <w:rPr>
                <w:rFonts w:ascii="Arial" w:cs="Arial" w:eastAsia="Arial" w:hAnsi="Arial"/>
                <w:sz w:val="16"/>
                <w:szCs w:val="16"/>
                <w:color w:val="auto"/>
                <w:w w:val="99"/>
              </w:rPr>
              <w:t>Revenue from sales of Windows Pro and non-Pro licenses sold through the OEM channel</w:t>
            </w:r>
          </w:p>
        </w:tc>
      </w:tr>
      <w:tr>
        <w:trPr>
          <w:trHeight w:val="259"/>
        </w:trPr>
        <w:tc>
          <w:tcPr>
            <w:tcW w:w="4120" w:type="dxa"/>
            <w:vAlign w:val="bottom"/>
          </w:tcPr>
          <w:p>
            <w:pPr>
              <w:ind w:left="160"/>
              <w:spacing w:after="0"/>
              <w:rPr>
                <w:sz w:val="20"/>
                <w:szCs w:val="20"/>
                <w:color w:val="auto"/>
              </w:rPr>
            </w:pPr>
            <w:r>
              <w:rPr>
                <w:rFonts w:ascii="Arial" w:cs="Arial" w:eastAsia="Arial" w:hAnsi="Arial"/>
                <w:sz w:val="16"/>
                <w:szCs w:val="16"/>
                <w:color w:val="auto"/>
              </w:rPr>
              <w:t>Windows Commercial products and cloud services</w:t>
            </w:r>
          </w:p>
        </w:tc>
        <w:tc>
          <w:tcPr>
            <w:tcW w:w="6440" w:type="dxa"/>
            <w:vAlign w:val="bottom"/>
          </w:tcPr>
          <w:p>
            <w:pPr>
              <w:ind w:left="120"/>
              <w:spacing w:after="0"/>
              <w:rPr>
                <w:sz w:val="20"/>
                <w:szCs w:val="20"/>
                <w:color w:val="auto"/>
              </w:rPr>
            </w:pPr>
            <w:r>
              <w:rPr>
                <w:rFonts w:ascii="Arial" w:cs="Arial" w:eastAsia="Arial" w:hAnsi="Arial"/>
                <w:sz w:val="16"/>
                <w:szCs w:val="16"/>
                <w:color w:val="auto"/>
              </w:rPr>
              <w:t>Revenue from Windows Commercial products and cloud services, comprising volume</w:t>
            </w:r>
          </w:p>
        </w:tc>
      </w:tr>
      <w:tr>
        <w:trPr>
          <w:trHeight w:val="180"/>
        </w:trPr>
        <w:tc>
          <w:tcPr>
            <w:tcW w:w="4120" w:type="dxa"/>
            <w:vAlign w:val="bottom"/>
          </w:tcPr>
          <w:p>
            <w:pPr>
              <w:ind w:left="160"/>
              <w:spacing w:after="0" w:line="180" w:lineRule="exact"/>
              <w:rPr>
                <w:sz w:val="20"/>
                <w:szCs w:val="20"/>
                <w:color w:val="auto"/>
              </w:rPr>
            </w:pPr>
            <w:r>
              <w:rPr>
                <w:rFonts w:ascii="Arial" w:cs="Arial" w:eastAsia="Arial" w:hAnsi="Arial"/>
                <w:sz w:val="16"/>
                <w:szCs w:val="16"/>
                <w:color w:val="auto"/>
              </w:rPr>
              <w:t>revenue growth</w:t>
            </w:r>
          </w:p>
        </w:tc>
        <w:tc>
          <w:tcPr>
            <w:tcW w:w="6440" w:type="dxa"/>
            <w:vAlign w:val="bottom"/>
          </w:tcPr>
          <w:p>
            <w:pPr>
              <w:ind w:left="120"/>
              <w:spacing w:after="0" w:line="180" w:lineRule="exact"/>
              <w:rPr>
                <w:sz w:val="20"/>
                <w:szCs w:val="20"/>
                <w:color w:val="auto"/>
              </w:rPr>
            </w:pPr>
            <w:r>
              <w:rPr>
                <w:rFonts w:ascii="Arial" w:cs="Arial" w:eastAsia="Arial" w:hAnsi="Arial"/>
                <w:sz w:val="16"/>
                <w:szCs w:val="16"/>
                <w:color w:val="auto"/>
              </w:rPr>
              <w:t>licensing of the Windows operating system, Windows cloud services, and other Windows</w:t>
            </w:r>
          </w:p>
        </w:tc>
      </w:tr>
      <w:tr>
        <w:trPr>
          <w:trHeight w:val="197"/>
        </w:trPr>
        <w:tc>
          <w:tcPr>
            <w:tcW w:w="4120" w:type="dxa"/>
            <w:vAlign w:val="bottom"/>
          </w:tcPr>
          <w:p>
            <w:pPr>
              <w:spacing w:after="0"/>
              <w:rPr>
                <w:sz w:val="17"/>
                <w:szCs w:val="17"/>
                <w:color w:val="auto"/>
              </w:rPr>
            </w:pPr>
          </w:p>
        </w:tc>
        <w:tc>
          <w:tcPr>
            <w:tcW w:w="6440" w:type="dxa"/>
            <w:vAlign w:val="bottom"/>
          </w:tcPr>
          <w:p>
            <w:pPr>
              <w:ind w:left="120"/>
              <w:spacing w:after="0"/>
              <w:rPr>
                <w:sz w:val="20"/>
                <w:szCs w:val="20"/>
                <w:color w:val="auto"/>
              </w:rPr>
            </w:pPr>
            <w:r>
              <w:rPr>
                <w:rFonts w:ascii="Arial" w:cs="Arial" w:eastAsia="Arial" w:hAnsi="Arial"/>
                <w:sz w:val="16"/>
                <w:szCs w:val="16"/>
                <w:color w:val="auto"/>
              </w:rPr>
              <w:t>commercial offerings</w:t>
            </w:r>
          </w:p>
        </w:tc>
      </w:tr>
      <w:tr>
        <w:trPr>
          <w:trHeight w:val="276"/>
        </w:trPr>
        <w:tc>
          <w:tcPr>
            <w:tcW w:w="4120" w:type="dxa"/>
            <w:vAlign w:val="bottom"/>
          </w:tcPr>
          <w:p>
            <w:pPr>
              <w:ind w:left="160"/>
              <w:spacing w:after="0"/>
              <w:rPr>
                <w:sz w:val="20"/>
                <w:szCs w:val="20"/>
                <w:color w:val="auto"/>
              </w:rPr>
            </w:pPr>
            <w:r>
              <w:rPr>
                <w:rFonts w:ascii="Arial" w:cs="Arial" w:eastAsia="Arial" w:hAnsi="Arial"/>
                <w:sz w:val="16"/>
                <w:szCs w:val="16"/>
                <w:color w:val="auto"/>
              </w:rPr>
              <w:t>Devices revenue growth</w:t>
            </w:r>
          </w:p>
        </w:tc>
        <w:tc>
          <w:tcPr>
            <w:tcW w:w="6440" w:type="dxa"/>
            <w:vAlign w:val="bottom"/>
          </w:tcPr>
          <w:p>
            <w:pPr>
              <w:ind w:left="120"/>
              <w:spacing w:after="0"/>
              <w:rPr>
                <w:sz w:val="20"/>
                <w:szCs w:val="20"/>
                <w:color w:val="auto"/>
              </w:rPr>
            </w:pPr>
            <w:r>
              <w:rPr>
                <w:rFonts w:ascii="Arial" w:cs="Arial" w:eastAsia="Arial" w:hAnsi="Arial"/>
                <w:sz w:val="16"/>
                <w:szCs w:val="16"/>
                <w:color w:val="auto"/>
              </w:rPr>
              <w:t>Revenue from Devices, including Surface, HoloLens, and PC accessories</w:t>
            </w:r>
          </w:p>
        </w:tc>
      </w:tr>
      <w:tr>
        <w:trPr>
          <w:trHeight w:val="259"/>
        </w:trPr>
        <w:tc>
          <w:tcPr>
            <w:tcW w:w="4120" w:type="dxa"/>
            <w:vAlign w:val="bottom"/>
          </w:tcPr>
          <w:p>
            <w:pPr>
              <w:ind w:left="160"/>
              <w:spacing w:after="0"/>
              <w:rPr>
                <w:sz w:val="20"/>
                <w:szCs w:val="20"/>
                <w:color w:val="auto"/>
              </w:rPr>
            </w:pPr>
            <w:r>
              <w:rPr>
                <w:rFonts w:ascii="Arial" w:cs="Arial" w:eastAsia="Arial" w:hAnsi="Arial"/>
                <w:sz w:val="16"/>
                <w:szCs w:val="16"/>
                <w:color w:val="auto"/>
              </w:rPr>
              <w:t>Xbox content and services revenue growth</w:t>
            </w:r>
          </w:p>
        </w:tc>
        <w:tc>
          <w:tcPr>
            <w:tcW w:w="6440" w:type="dxa"/>
            <w:vAlign w:val="bottom"/>
          </w:tcPr>
          <w:p>
            <w:pPr>
              <w:ind w:left="120"/>
              <w:spacing w:after="0"/>
              <w:rPr>
                <w:sz w:val="20"/>
                <w:szCs w:val="20"/>
                <w:color w:val="auto"/>
              </w:rPr>
            </w:pPr>
            <w:r>
              <w:rPr>
                <w:rFonts w:ascii="Arial" w:cs="Arial" w:eastAsia="Arial" w:hAnsi="Arial"/>
                <w:sz w:val="16"/>
                <w:szCs w:val="16"/>
                <w:color w:val="auto"/>
              </w:rPr>
              <w:t>Revenue from Xbox content and services, comprising first- and third-party content</w:t>
            </w:r>
          </w:p>
        </w:tc>
      </w:tr>
      <w:tr>
        <w:trPr>
          <w:trHeight w:val="180"/>
        </w:trPr>
        <w:tc>
          <w:tcPr>
            <w:tcW w:w="4120" w:type="dxa"/>
            <w:vAlign w:val="bottom"/>
          </w:tcPr>
          <w:p>
            <w:pPr>
              <w:spacing w:after="0"/>
              <w:rPr>
                <w:sz w:val="15"/>
                <w:szCs w:val="15"/>
                <w:color w:val="auto"/>
              </w:rPr>
            </w:pPr>
          </w:p>
        </w:tc>
        <w:tc>
          <w:tcPr>
            <w:tcW w:w="6440" w:type="dxa"/>
            <w:vAlign w:val="bottom"/>
          </w:tcPr>
          <w:p>
            <w:pPr>
              <w:ind w:left="120"/>
              <w:spacing w:after="0" w:line="180" w:lineRule="exact"/>
              <w:rPr>
                <w:sz w:val="20"/>
                <w:szCs w:val="20"/>
                <w:color w:val="auto"/>
              </w:rPr>
            </w:pPr>
            <w:r>
              <w:rPr>
                <w:rFonts w:ascii="Arial" w:cs="Arial" w:eastAsia="Arial" w:hAnsi="Arial"/>
                <w:sz w:val="16"/>
                <w:szCs w:val="16"/>
                <w:color w:val="auto"/>
              </w:rPr>
              <w:t>(including games and in-game content), Xbox Game Pass and other subscriptions, Xbox</w:t>
            </w:r>
          </w:p>
        </w:tc>
      </w:tr>
      <w:tr>
        <w:trPr>
          <w:trHeight w:val="197"/>
        </w:trPr>
        <w:tc>
          <w:tcPr>
            <w:tcW w:w="4120" w:type="dxa"/>
            <w:vAlign w:val="bottom"/>
          </w:tcPr>
          <w:p>
            <w:pPr>
              <w:spacing w:after="0"/>
              <w:rPr>
                <w:sz w:val="17"/>
                <w:szCs w:val="17"/>
                <w:color w:val="auto"/>
              </w:rPr>
            </w:pPr>
          </w:p>
        </w:tc>
        <w:tc>
          <w:tcPr>
            <w:tcW w:w="6440" w:type="dxa"/>
            <w:vAlign w:val="bottom"/>
          </w:tcPr>
          <w:p>
            <w:pPr>
              <w:ind w:left="120"/>
              <w:spacing w:after="0"/>
              <w:rPr>
                <w:sz w:val="20"/>
                <w:szCs w:val="20"/>
                <w:color w:val="auto"/>
              </w:rPr>
            </w:pPr>
            <w:r>
              <w:rPr>
                <w:rFonts w:ascii="Arial" w:cs="Arial" w:eastAsia="Arial" w:hAnsi="Arial"/>
                <w:sz w:val="16"/>
                <w:szCs w:val="16"/>
                <w:color w:val="auto"/>
              </w:rPr>
              <w:t>Cloud Gaming, advertising, third-party disc royalties, and other cloud services</w:t>
            </w:r>
          </w:p>
        </w:tc>
      </w:tr>
      <w:tr>
        <w:trPr>
          <w:trHeight w:val="259"/>
        </w:trPr>
        <w:tc>
          <w:tcPr>
            <w:tcW w:w="4120" w:type="dxa"/>
            <w:vAlign w:val="bottom"/>
          </w:tcPr>
          <w:p>
            <w:pPr>
              <w:ind w:left="160"/>
              <w:spacing w:after="0"/>
              <w:rPr>
                <w:sz w:val="20"/>
                <w:szCs w:val="20"/>
                <w:color w:val="auto"/>
              </w:rPr>
            </w:pPr>
            <w:r>
              <w:rPr>
                <w:rFonts w:ascii="Arial" w:cs="Arial" w:eastAsia="Arial" w:hAnsi="Arial"/>
                <w:sz w:val="16"/>
                <w:szCs w:val="16"/>
                <w:color w:val="auto"/>
              </w:rPr>
              <w:t>Search and news advertising revenue (ex TAC) growth</w:t>
            </w:r>
          </w:p>
        </w:tc>
        <w:tc>
          <w:tcPr>
            <w:tcW w:w="6440" w:type="dxa"/>
            <w:vAlign w:val="bottom"/>
          </w:tcPr>
          <w:p>
            <w:pPr>
              <w:ind w:left="120"/>
              <w:spacing w:after="0"/>
              <w:rPr>
                <w:sz w:val="20"/>
                <w:szCs w:val="20"/>
                <w:color w:val="auto"/>
              </w:rPr>
            </w:pPr>
            <w:r>
              <w:rPr>
                <w:rFonts w:ascii="Arial" w:cs="Arial" w:eastAsia="Arial" w:hAnsi="Arial"/>
                <w:sz w:val="16"/>
                <w:szCs w:val="16"/>
                <w:color w:val="auto"/>
                <w:w w:val="98"/>
              </w:rPr>
              <w:t>Revenue from search and news advertising excluding traffic acquisition costs (“TAC”) paid</w:t>
            </w:r>
          </w:p>
        </w:tc>
      </w:tr>
      <w:tr>
        <w:trPr>
          <w:trHeight w:val="197"/>
        </w:trPr>
        <w:tc>
          <w:tcPr>
            <w:tcW w:w="4120" w:type="dxa"/>
            <w:vAlign w:val="bottom"/>
          </w:tcPr>
          <w:p>
            <w:pPr>
              <w:spacing w:after="0"/>
              <w:rPr>
                <w:sz w:val="17"/>
                <w:szCs w:val="17"/>
                <w:color w:val="auto"/>
              </w:rPr>
            </w:pPr>
          </w:p>
        </w:tc>
        <w:tc>
          <w:tcPr>
            <w:tcW w:w="6440" w:type="dxa"/>
            <w:vAlign w:val="bottom"/>
          </w:tcPr>
          <w:p>
            <w:pPr>
              <w:ind w:left="120"/>
              <w:spacing w:after="0"/>
              <w:rPr>
                <w:sz w:val="20"/>
                <w:szCs w:val="20"/>
                <w:color w:val="auto"/>
              </w:rPr>
            </w:pPr>
            <w:r>
              <w:rPr>
                <w:rFonts w:ascii="Arial" w:cs="Arial" w:eastAsia="Arial" w:hAnsi="Arial"/>
                <w:sz w:val="16"/>
                <w:szCs w:val="16"/>
                <w:color w:val="auto"/>
              </w:rPr>
              <w:t>to Bing Ads network publishers and news partners</w:t>
            </w:r>
          </w:p>
        </w:tc>
      </w:tr>
      <w:tr>
        <w:trPr>
          <w:trHeight w:val="532"/>
        </w:trPr>
        <w:tc>
          <w:tcPr>
            <w:tcW w:w="4120" w:type="dxa"/>
            <w:vAlign w:val="bottom"/>
          </w:tcPr>
          <w:p>
            <w:pPr>
              <w:spacing w:after="0"/>
              <w:rPr>
                <w:sz w:val="24"/>
                <w:szCs w:val="24"/>
                <w:color w:val="auto"/>
              </w:rPr>
            </w:pPr>
          </w:p>
        </w:tc>
        <w:tc>
          <w:tcPr>
            <w:tcW w:w="6440" w:type="dxa"/>
            <w:vAlign w:val="bottom"/>
          </w:tcPr>
          <w:p>
            <w:pPr>
              <w:ind w:left="1100"/>
              <w:spacing w:after="0"/>
              <w:rPr>
                <w:sz w:val="20"/>
                <w:szCs w:val="20"/>
                <w:color w:val="auto"/>
              </w:rPr>
            </w:pPr>
            <w:r>
              <w:rPr>
                <w:rFonts w:ascii="Arial" w:cs="Arial" w:eastAsia="Arial" w:hAnsi="Arial"/>
                <w:sz w:val="13"/>
                <w:szCs w:val="13"/>
                <w:color w:val="auto"/>
              </w:rPr>
              <w:t>43</w:t>
            </w:r>
          </w:p>
        </w:tc>
      </w:tr>
      <w:tr>
        <w:trPr>
          <w:trHeight w:val="106"/>
        </w:trPr>
        <w:tc>
          <w:tcPr>
            <w:tcW w:w="4120" w:type="dxa"/>
            <w:vAlign w:val="bottom"/>
            <w:tcBorders>
              <w:bottom w:val="single" w:sz="8" w:color="EEEEEE"/>
            </w:tcBorders>
          </w:tcPr>
          <w:p>
            <w:pPr>
              <w:spacing w:after="0"/>
              <w:rPr>
                <w:sz w:val="9"/>
                <w:szCs w:val="9"/>
                <w:color w:val="auto"/>
              </w:rPr>
            </w:pPr>
          </w:p>
        </w:tc>
        <w:tc>
          <w:tcPr>
            <w:tcW w:w="644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SUMMARY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jc w:val="right"/>
              <w:ind w:right="25"/>
              <w:spacing w:after="0"/>
              <w:rPr>
                <w:sz w:val="20"/>
                <w:szCs w:val="20"/>
                <w:color w:val="auto"/>
              </w:rPr>
            </w:pPr>
            <w:r>
              <w:rPr>
                <w:rFonts w:ascii="Arial" w:cs="Arial" w:eastAsia="Arial" w:hAnsi="Arial"/>
                <w:sz w:val="12"/>
                <w:szCs w:val="12"/>
                <w:b w:val="1"/>
                <w:bCs w:val="1"/>
                <w:color w:val="auto"/>
              </w:rPr>
              <w:t>Percentage</w:t>
            </w:r>
          </w:p>
        </w:tc>
      </w:tr>
      <w:tr>
        <w:trPr>
          <w:trHeight w:val="167"/>
        </w:trPr>
        <w:tc>
          <w:tcPr>
            <w:tcW w:w="46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 and per share amounts)</w:t>
            </w:r>
          </w:p>
        </w:tc>
        <w:tc>
          <w:tcPr>
            <w:tcW w:w="1740" w:type="dxa"/>
            <w:vAlign w:val="bottom"/>
          </w:tcPr>
          <w:p>
            <w:pPr>
              <w:spacing w:after="0"/>
              <w:rPr>
                <w:sz w:val="14"/>
                <w:szCs w:val="14"/>
                <w:color w:val="auto"/>
              </w:rPr>
            </w:pPr>
          </w:p>
        </w:tc>
        <w:tc>
          <w:tcPr>
            <w:tcW w:w="1040" w:type="dxa"/>
            <w:vAlign w:val="bottom"/>
          </w:tcPr>
          <w:p>
            <w:pPr>
              <w:jc w:val="right"/>
              <w:ind w:right="44"/>
              <w:spacing w:after="0"/>
              <w:rPr>
                <w:sz w:val="20"/>
                <w:szCs w:val="20"/>
                <w:color w:val="auto"/>
              </w:rPr>
            </w:pPr>
            <w:r>
              <w:rPr>
                <w:rFonts w:ascii="Arial" w:cs="Arial" w:eastAsia="Arial" w:hAnsi="Arial"/>
                <w:sz w:val="12"/>
                <w:szCs w:val="12"/>
                <w:b w:val="1"/>
                <w:bCs w:val="1"/>
                <w:color w:val="auto"/>
              </w:rPr>
              <w:t>2023</w:t>
            </w:r>
          </w:p>
        </w:tc>
        <w:tc>
          <w:tcPr>
            <w:tcW w:w="560" w:type="dxa"/>
            <w:vAlign w:val="bottom"/>
          </w:tcPr>
          <w:p>
            <w:pPr>
              <w:spacing w:after="0"/>
              <w:rPr>
                <w:sz w:val="14"/>
                <w:szCs w:val="14"/>
                <w:color w:val="auto"/>
              </w:rPr>
            </w:pPr>
          </w:p>
        </w:tc>
        <w:tc>
          <w:tcPr>
            <w:tcW w:w="1380" w:type="dxa"/>
            <w:vAlign w:val="bottom"/>
          </w:tcPr>
          <w:p>
            <w:pPr>
              <w:jc w:val="right"/>
              <w:ind w:right="384"/>
              <w:spacing w:after="0"/>
              <w:rPr>
                <w:sz w:val="20"/>
                <w:szCs w:val="20"/>
                <w:color w:val="auto"/>
              </w:rPr>
            </w:pPr>
            <w:r>
              <w:rPr>
                <w:rFonts w:ascii="Arial" w:cs="Arial" w:eastAsia="Arial" w:hAnsi="Arial"/>
                <w:sz w:val="12"/>
                <w:szCs w:val="12"/>
                <w:b w:val="1"/>
                <w:bCs w:val="1"/>
                <w:color w:val="auto"/>
              </w:rPr>
              <w:t>2022</w:t>
            </w:r>
          </w:p>
        </w:tc>
        <w:tc>
          <w:tcPr>
            <w:tcW w:w="1200" w:type="dxa"/>
            <w:vAlign w:val="bottom"/>
          </w:tcPr>
          <w:p>
            <w:pPr>
              <w:jc w:val="right"/>
              <w:ind w:right="25"/>
              <w:spacing w:after="0"/>
              <w:rPr>
                <w:sz w:val="20"/>
                <w:szCs w:val="20"/>
                <w:color w:val="auto"/>
              </w:rPr>
            </w:pPr>
            <w:r>
              <w:rPr>
                <w:rFonts w:ascii="Arial" w:cs="Arial" w:eastAsia="Arial" w:hAnsi="Arial"/>
                <w:sz w:val="12"/>
                <w:szCs w:val="12"/>
                <w:b w:val="1"/>
                <w:bCs w:val="1"/>
                <w:color w:val="auto"/>
              </w:rPr>
              <w:t>Change</w:t>
            </w:r>
          </w:p>
        </w:tc>
      </w:tr>
      <w:tr>
        <w:trPr>
          <w:trHeight w:val="148"/>
        </w:trPr>
        <w:tc>
          <w:tcPr>
            <w:tcW w:w="46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4"/>
        </w:trPr>
        <w:tc>
          <w:tcPr>
            <w:tcW w:w="464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Revenue</w:t>
            </w:r>
          </w:p>
        </w:tc>
        <w:tc>
          <w:tcPr>
            <w:tcW w:w="1740" w:type="dxa"/>
            <w:vAlign w:val="bottom"/>
            <w:shd w:val="clear" w:color="auto" w:fill="E5E5E5"/>
          </w:tcPr>
          <w:p>
            <w:pPr>
              <w:jc w:val="right"/>
              <w:ind w:right="282"/>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E5E5E5"/>
          </w:tcPr>
          <w:p>
            <w:pPr>
              <w:jc w:val="right"/>
              <w:ind w:right="44"/>
              <w:spacing w:after="0"/>
              <w:rPr>
                <w:sz w:val="20"/>
                <w:szCs w:val="20"/>
                <w:color w:val="auto"/>
              </w:rPr>
            </w:pPr>
            <w:r>
              <w:rPr>
                <w:rFonts w:ascii="Arial" w:cs="Arial" w:eastAsia="Arial" w:hAnsi="Arial"/>
                <w:sz w:val="16"/>
                <w:szCs w:val="16"/>
                <w:b w:val="1"/>
                <w:bCs w:val="1"/>
                <w:color w:val="auto"/>
              </w:rPr>
              <w:t>211,915</w:t>
            </w:r>
          </w:p>
        </w:tc>
        <w:tc>
          <w:tcPr>
            <w:tcW w:w="560" w:type="dxa"/>
            <w:vAlign w:val="bottom"/>
            <w:shd w:val="clear" w:color="auto" w:fill="E5E5E5"/>
          </w:tcPr>
          <w:p>
            <w:pPr>
              <w:jc w:val="right"/>
              <w:ind w:right="282"/>
              <w:spacing w:after="0"/>
              <w:rPr>
                <w:sz w:val="20"/>
                <w:szCs w:val="20"/>
                <w:color w:val="auto"/>
              </w:rPr>
            </w:pPr>
            <w:r>
              <w:rPr>
                <w:rFonts w:ascii="Arial" w:cs="Arial" w:eastAsia="Arial" w:hAnsi="Arial"/>
                <w:sz w:val="16"/>
                <w:szCs w:val="16"/>
                <w:color w:val="auto"/>
              </w:rPr>
              <w:t>$</w:t>
            </w:r>
          </w:p>
        </w:tc>
        <w:tc>
          <w:tcPr>
            <w:tcW w:w="13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rPr>
              <w:t>198,270</w:t>
            </w:r>
          </w:p>
        </w:tc>
        <w:tc>
          <w:tcPr>
            <w:tcW w:w="1200" w:type="dxa"/>
            <w:vAlign w:val="bottom"/>
            <w:shd w:val="clear" w:color="auto" w:fill="E5E5E5"/>
          </w:tcPr>
          <w:p>
            <w:pPr>
              <w:jc w:val="right"/>
              <w:ind w:right="25"/>
              <w:spacing w:after="0"/>
              <w:rPr>
                <w:sz w:val="20"/>
                <w:szCs w:val="20"/>
                <w:color w:val="auto"/>
              </w:rPr>
            </w:pPr>
            <w:r>
              <w:rPr>
                <w:rFonts w:ascii="Arial" w:cs="Arial" w:eastAsia="Arial" w:hAnsi="Arial"/>
                <w:sz w:val="16"/>
                <w:szCs w:val="16"/>
                <w:color w:val="auto"/>
              </w:rPr>
              <w:t>7%</w:t>
            </w:r>
          </w:p>
        </w:tc>
      </w:tr>
      <w:tr>
        <w:trPr>
          <w:trHeight w:val="204"/>
        </w:trPr>
        <w:tc>
          <w:tcPr>
            <w:tcW w:w="4640" w:type="dxa"/>
            <w:vAlign w:val="bottom"/>
          </w:tcPr>
          <w:p>
            <w:pPr>
              <w:ind w:left="20"/>
              <w:spacing w:after="0"/>
              <w:rPr>
                <w:sz w:val="20"/>
                <w:szCs w:val="20"/>
                <w:color w:val="auto"/>
              </w:rPr>
            </w:pPr>
            <w:r>
              <w:rPr>
                <w:rFonts w:ascii="Arial" w:cs="Arial" w:eastAsia="Arial" w:hAnsi="Arial"/>
                <w:sz w:val="16"/>
                <w:szCs w:val="16"/>
                <w:color w:val="auto"/>
              </w:rPr>
              <w:t>Gross margin</w:t>
            </w:r>
          </w:p>
        </w:tc>
        <w:tc>
          <w:tcPr>
            <w:tcW w:w="174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b w:val="1"/>
                <w:bCs w:val="1"/>
                <w:color w:val="auto"/>
              </w:rPr>
              <w:t>146,052</w:t>
            </w:r>
          </w:p>
        </w:tc>
        <w:tc>
          <w:tcPr>
            <w:tcW w:w="560" w:type="dxa"/>
            <w:vAlign w:val="bottom"/>
          </w:tcPr>
          <w:p>
            <w:pPr>
              <w:spacing w:after="0"/>
              <w:rPr>
                <w:sz w:val="17"/>
                <w:szCs w:val="17"/>
                <w:color w:val="auto"/>
              </w:rPr>
            </w:pPr>
          </w:p>
        </w:tc>
        <w:tc>
          <w:tcPr>
            <w:tcW w:w="1380" w:type="dxa"/>
            <w:vAlign w:val="bottom"/>
          </w:tcPr>
          <w:p>
            <w:pPr>
              <w:jc w:val="right"/>
              <w:ind w:right="384"/>
              <w:spacing w:after="0"/>
              <w:rPr>
                <w:sz w:val="20"/>
                <w:szCs w:val="20"/>
                <w:color w:val="auto"/>
              </w:rPr>
            </w:pPr>
            <w:r>
              <w:rPr>
                <w:rFonts w:ascii="Arial" w:cs="Arial" w:eastAsia="Arial" w:hAnsi="Arial"/>
                <w:sz w:val="16"/>
                <w:szCs w:val="16"/>
                <w:color w:val="auto"/>
              </w:rPr>
              <w:t>135,620</w:t>
            </w: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8%</w:t>
            </w:r>
          </w:p>
        </w:tc>
      </w:tr>
      <w:tr>
        <w:trPr>
          <w:trHeight w:val="204"/>
        </w:trPr>
        <w:tc>
          <w:tcPr>
            <w:tcW w:w="464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income</w:t>
            </w:r>
          </w:p>
        </w:tc>
        <w:tc>
          <w:tcPr>
            <w:tcW w:w="17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64"/>
              <w:spacing w:after="0"/>
              <w:rPr>
                <w:sz w:val="20"/>
                <w:szCs w:val="20"/>
                <w:color w:val="auto"/>
              </w:rPr>
            </w:pPr>
            <w:r>
              <w:rPr>
                <w:rFonts w:ascii="Arial" w:cs="Arial" w:eastAsia="Arial" w:hAnsi="Arial"/>
                <w:sz w:val="16"/>
                <w:szCs w:val="16"/>
                <w:b w:val="1"/>
                <w:bCs w:val="1"/>
                <w:color w:val="auto"/>
              </w:rPr>
              <w:t>88,523</w:t>
            </w:r>
          </w:p>
        </w:tc>
        <w:tc>
          <w:tcPr>
            <w:tcW w:w="560" w:type="dxa"/>
            <w:vAlign w:val="bottom"/>
            <w:shd w:val="clear" w:color="auto" w:fill="E5E5E5"/>
          </w:tcPr>
          <w:p>
            <w:pPr>
              <w:spacing w:after="0"/>
              <w:rPr>
                <w:sz w:val="17"/>
                <w:szCs w:val="17"/>
                <w:color w:val="auto"/>
              </w:rPr>
            </w:pPr>
          </w:p>
        </w:tc>
        <w:tc>
          <w:tcPr>
            <w:tcW w:w="13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rPr>
              <w:t>83,383</w:t>
            </w:r>
          </w:p>
        </w:tc>
        <w:tc>
          <w:tcPr>
            <w:tcW w:w="1200" w:type="dxa"/>
            <w:vAlign w:val="bottom"/>
            <w:shd w:val="clear" w:color="auto" w:fill="E5E5E5"/>
          </w:tcPr>
          <w:p>
            <w:pPr>
              <w:jc w:val="right"/>
              <w:ind w:right="25"/>
              <w:spacing w:after="0"/>
              <w:rPr>
                <w:sz w:val="20"/>
                <w:szCs w:val="20"/>
                <w:color w:val="auto"/>
              </w:rPr>
            </w:pPr>
            <w:r>
              <w:rPr>
                <w:rFonts w:ascii="Arial" w:cs="Arial" w:eastAsia="Arial" w:hAnsi="Arial"/>
                <w:sz w:val="16"/>
                <w:szCs w:val="16"/>
                <w:color w:val="auto"/>
              </w:rPr>
              <w:t>6%</w:t>
            </w:r>
          </w:p>
        </w:tc>
      </w:tr>
      <w:tr>
        <w:trPr>
          <w:trHeight w:val="204"/>
        </w:trPr>
        <w:tc>
          <w:tcPr>
            <w:tcW w:w="46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74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b w:val="1"/>
                <w:bCs w:val="1"/>
                <w:color w:val="auto"/>
              </w:rPr>
              <w:t>72,361</w:t>
            </w:r>
          </w:p>
        </w:tc>
        <w:tc>
          <w:tcPr>
            <w:tcW w:w="560" w:type="dxa"/>
            <w:vAlign w:val="bottom"/>
          </w:tcPr>
          <w:p>
            <w:pPr>
              <w:spacing w:after="0"/>
              <w:rPr>
                <w:sz w:val="17"/>
                <w:szCs w:val="17"/>
                <w:color w:val="auto"/>
              </w:rPr>
            </w:pPr>
          </w:p>
        </w:tc>
        <w:tc>
          <w:tcPr>
            <w:tcW w:w="1380" w:type="dxa"/>
            <w:vAlign w:val="bottom"/>
          </w:tcPr>
          <w:p>
            <w:pPr>
              <w:jc w:val="right"/>
              <w:ind w:right="384"/>
              <w:spacing w:after="0"/>
              <w:rPr>
                <w:sz w:val="20"/>
                <w:szCs w:val="20"/>
                <w:color w:val="auto"/>
              </w:rPr>
            </w:pPr>
            <w:r>
              <w:rPr>
                <w:rFonts w:ascii="Arial" w:cs="Arial" w:eastAsia="Arial" w:hAnsi="Arial"/>
                <w:sz w:val="16"/>
                <w:szCs w:val="16"/>
                <w:color w:val="auto"/>
              </w:rPr>
              <w:t>72,738</w:t>
            </w: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(1)%</w:t>
            </w:r>
          </w:p>
        </w:tc>
      </w:tr>
      <w:tr>
        <w:trPr>
          <w:trHeight w:val="204"/>
        </w:trPr>
        <w:tc>
          <w:tcPr>
            <w:tcW w:w="4640" w:type="dxa"/>
            <w:vAlign w:val="bottom"/>
            <w:shd w:val="clear" w:color="auto" w:fill="E5E5E5"/>
          </w:tcPr>
          <w:p>
            <w:pPr>
              <w:ind w:left="20"/>
              <w:spacing w:after="0"/>
              <w:rPr>
                <w:sz w:val="20"/>
                <w:szCs w:val="20"/>
                <w:color w:val="auto"/>
              </w:rPr>
            </w:pPr>
            <w:r>
              <w:rPr>
                <w:rFonts w:ascii="Arial" w:cs="Arial" w:eastAsia="Arial" w:hAnsi="Arial"/>
                <w:sz w:val="16"/>
                <w:szCs w:val="16"/>
                <w:color w:val="auto"/>
              </w:rPr>
              <w:t>Diluted earnings per share</w:t>
            </w:r>
          </w:p>
        </w:tc>
        <w:tc>
          <w:tcPr>
            <w:tcW w:w="17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44"/>
              <w:spacing w:after="0"/>
              <w:rPr>
                <w:sz w:val="20"/>
                <w:szCs w:val="20"/>
                <w:color w:val="auto"/>
              </w:rPr>
            </w:pPr>
            <w:r>
              <w:rPr>
                <w:rFonts w:ascii="Arial" w:cs="Arial" w:eastAsia="Arial" w:hAnsi="Arial"/>
                <w:sz w:val="16"/>
                <w:szCs w:val="16"/>
                <w:b w:val="1"/>
                <w:bCs w:val="1"/>
                <w:color w:val="auto"/>
              </w:rPr>
              <w:t>9.68</w:t>
            </w:r>
          </w:p>
        </w:tc>
        <w:tc>
          <w:tcPr>
            <w:tcW w:w="560" w:type="dxa"/>
            <w:vAlign w:val="bottom"/>
            <w:shd w:val="clear" w:color="auto" w:fill="E5E5E5"/>
          </w:tcPr>
          <w:p>
            <w:pPr>
              <w:spacing w:after="0"/>
              <w:rPr>
                <w:sz w:val="17"/>
                <w:szCs w:val="17"/>
                <w:color w:val="auto"/>
              </w:rPr>
            </w:pPr>
          </w:p>
        </w:tc>
        <w:tc>
          <w:tcPr>
            <w:tcW w:w="13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rPr>
              <w:t>9.65</w:t>
            </w:r>
          </w:p>
        </w:tc>
        <w:tc>
          <w:tcPr>
            <w:tcW w:w="1200" w:type="dxa"/>
            <w:vAlign w:val="bottom"/>
            <w:shd w:val="clear" w:color="auto" w:fill="E5E5E5"/>
          </w:tcPr>
          <w:p>
            <w:pPr>
              <w:jc w:val="right"/>
              <w:ind w:right="25"/>
              <w:spacing w:after="0"/>
              <w:rPr>
                <w:sz w:val="20"/>
                <w:szCs w:val="20"/>
                <w:color w:val="auto"/>
              </w:rPr>
            </w:pPr>
            <w:r>
              <w:rPr>
                <w:rFonts w:ascii="Arial" w:cs="Arial" w:eastAsia="Arial" w:hAnsi="Arial"/>
                <w:sz w:val="16"/>
                <w:szCs w:val="16"/>
                <w:color w:val="auto"/>
              </w:rPr>
              <w:t>0%</w:t>
            </w:r>
          </w:p>
        </w:tc>
      </w:tr>
      <w:tr>
        <w:trPr>
          <w:trHeight w:val="252"/>
        </w:trPr>
        <w:tc>
          <w:tcPr>
            <w:tcW w:w="4640" w:type="dxa"/>
            <w:vAlign w:val="bottom"/>
          </w:tcPr>
          <w:p>
            <w:pPr>
              <w:ind w:left="20"/>
              <w:spacing w:after="0"/>
              <w:rPr>
                <w:sz w:val="20"/>
                <w:szCs w:val="20"/>
                <w:color w:val="auto"/>
              </w:rPr>
            </w:pPr>
            <w:r>
              <w:rPr>
                <w:rFonts w:ascii="Arial" w:cs="Arial" w:eastAsia="Arial" w:hAnsi="Arial"/>
                <w:sz w:val="16"/>
                <w:szCs w:val="16"/>
                <w:color w:val="auto"/>
              </w:rPr>
              <w:t>Adjusted gross margin (non-GAAP)</w:t>
            </w:r>
          </w:p>
        </w:tc>
        <w:tc>
          <w:tcPr>
            <w:tcW w:w="1740" w:type="dxa"/>
            <w:vAlign w:val="bottom"/>
          </w:tcPr>
          <w:p>
            <w:pPr>
              <w:spacing w:after="0"/>
              <w:rPr>
                <w:sz w:val="21"/>
                <w:szCs w:val="21"/>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b w:val="1"/>
                <w:bCs w:val="1"/>
                <w:color w:val="auto"/>
              </w:rPr>
              <w:t>146,204</w:t>
            </w:r>
          </w:p>
        </w:tc>
        <w:tc>
          <w:tcPr>
            <w:tcW w:w="560" w:type="dxa"/>
            <w:vAlign w:val="bottom"/>
          </w:tcPr>
          <w:p>
            <w:pPr>
              <w:spacing w:after="0"/>
              <w:rPr>
                <w:sz w:val="21"/>
                <w:szCs w:val="21"/>
                <w:color w:val="auto"/>
              </w:rPr>
            </w:pPr>
          </w:p>
        </w:tc>
        <w:tc>
          <w:tcPr>
            <w:tcW w:w="1380" w:type="dxa"/>
            <w:vAlign w:val="bottom"/>
          </w:tcPr>
          <w:p>
            <w:pPr>
              <w:jc w:val="right"/>
              <w:ind w:right="384"/>
              <w:spacing w:after="0"/>
              <w:rPr>
                <w:sz w:val="20"/>
                <w:szCs w:val="20"/>
                <w:color w:val="auto"/>
              </w:rPr>
            </w:pPr>
            <w:r>
              <w:rPr>
                <w:rFonts w:ascii="Arial" w:cs="Arial" w:eastAsia="Arial" w:hAnsi="Arial"/>
                <w:sz w:val="16"/>
                <w:szCs w:val="16"/>
                <w:color w:val="auto"/>
              </w:rPr>
              <w:t>135,620</w:t>
            </w: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8%</w:t>
            </w:r>
          </w:p>
        </w:tc>
      </w:tr>
      <w:tr>
        <w:trPr>
          <w:trHeight w:val="204"/>
        </w:trPr>
        <w:tc>
          <w:tcPr>
            <w:tcW w:w="46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Adjusted operating income (non-GAAP)</w:t>
            </w:r>
          </w:p>
        </w:tc>
        <w:tc>
          <w:tcPr>
            <w:tcW w:w="17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64"/>
              <w:spacing w:after="0"/>
              <w:rPr>
                <w:sz w:val="20"/>
                <w:szCs w:val="20"/>
                <w:color w:val="auto"/>
              </w:rPr>
            </w:pPr>
            <w:r>
              <w:rPr>
                <w:rFonts w:ascii="Arial" w:cs="Arial" w:eastAsia="Arial" w:hAnsi="Arial"/>
                <w:sz w:val="16"/>
                <w:szCs w:val="16"/>
                <w:b w:val="1"/>
                <w:bCs w:val="1"/>
                <w:color w:val="auto"/>
              </w:rPr>
              <w:t>89,694</w:t>
            </w:r>
          </w:p>
        </w:tc>
        <w:tc>
          <w:tcPr>
            <w:tcW w:w="560" w:type="dxa"/>
            <w:vAlign w:val="bottom"/>
            <w:shd w:val="clear" w:color="auto" w:fill="E5E5E5"/>
          </w:tcPr>
          <w:p>
            <w:pPr>
              <w:spacing w:after="0"/>
              <w:rPr>
                <w:sz w:val="17"/>
                <w:szCs w:val="17"/>
                <w:color w:val="auto"/>
              </w:rPr>
            </w:pPr>
          </w:p>
        </w:tc>
        <w:tc>
          <w:tcPr>
            <w:tcW w:w="13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rPr>
              <w:t>83,383</w:t>
            </w:r>
          </w:p>
        </w:tc>
        <w:tc>
          <w:tcPr>
            <w:tcW w:w="1200" w:type="dxa"/>
            <w:vAlign w:val="bottom"/>
            <w:shd w:val="clear" w:color="auto" w:fill="E5E5E5"/>
          </w:tcPr>
          <w:p>
            <w:pPr>
              <w:jc w:val="right"/>
              <w:ind w:right="25"/>
              <w:spacing w:after="0"/>
              <w:rPr>
                <w:sz w:val="20"/>
                <w:szCs w:val="20"/>
                <w:color w:val="auto"/>
              </w:rPr>
            </w:pPr>
            <w:r>
              <w:rPr>
                <w:rFonts w:ascii="Arial" w:cs="Arial" w:eastAsia="Arial" w:hAnsi="Arial"/>
                <w:sz w:val="16"/>
                <w:szCs w:val="16"/>
                <w:color w:val="auto"/>
              </w:rPr>
              <w:t>8%</w:t>
            </w:r>
          </w:p>
        </w:tc>
      </w:tr>
      <w:tr>
        <w:trPr>
          <w:trHeight w:val="204"/>
        </w:trPr>
        <w:tc>
          <w:tcPr>
            <w:tcW w:w="4640" w:type="dxa"/>
            <w:vAlign w:val="bottom"/>
          </w:tcPr>
          <w:p>
            <w:pPr>
              <w:ind w:left="20"/>
              <w:spacing w:after="0"/>
              <w:rPr>
                <w:sz w:val="20"/>
                <w:szCs w:val="20"/>
                <w:color w:val="auto"/>
              </w:rPr>
            </w:pPr>
            <w:r>
              <w:rPr>
                <w:rFonts w:ascii="Arial" w:cs="Arial" w:eastAsia="Arial" w:hAnsi="Arial"/>
                <w:sz w:val="16"/>
                <w:szCs w:val="16"/>
                <w:color w:val="auto"/>
              </w:rPr>
              <w:t>Adjusted net income (non-GAAP)</w:t>
            </w:r>
          </w:p>
        </w:tc>
        <w:tc>
          <w:tcPr>
            <w:tcW w:w="1740" w:type="dxa"/>
            <w:vAlign w:val="bottom"/>
          </w:tcPr>
          <w:p>
            <w:pPr>
              <w:spacing w:after="0"/>
              <w:rPr>
                <w:sz w:val="17"/>
                <w:szCs w:val="17"/>
                <w:color w:val="auto"/>
              </w:rPr>
            </w:pPr>
          </w:p>
        </w:tc>
        <w:tc>
          <w:tcPr>
            <w:tcW w:w="1040" w:type="dxa"/>
            <w:vAlign w:val="bottom"/>
          </w:tcPr>
          <w:p>
            <w:pPr>
              <w:jc w:val="right"/>
              <w:ind w:right="64"/>
              <w:spacing w:after="0"/>
              <w:rPr>
                <w:sz w:val="20"/>
                <w:szCs w:val="20"/>
                <w:color w:val="auto"/>
              </w:rPr>
            </w:pPr>
            <w:r>
              <w:rPr>
                <w:rFonts w:ascii="Arial" w:cs="Arial" w:eastAsia="Arial" w:hAnsi="Arial"/>
                <w:sz w:val="16"/>
                <w:szCs w:val="16"/>
                <w:b w:val="1"/>
                <w:bCs w:val="1"/>
                <w:color w:val="auto"/>
              </w:rPr>
              <w:t>73,307</w:t>
            </w:r>
          </w:p>
        </w:tc>
        <w:tc>
          <w:tcPr>
            <w:tcW w:w="560" w:type="dxa"/>
            <w:vAlign w:val="bottom"/>
          </w:tcPr>
          <w:p>
            <w:pPr>
              <w:spacing w:after="0"/>
              <w:rPr>
                <w:sz w:val="17"/>
                <w:szCs w:val="17"/>
                <w:color w:val="auto"/>
              </w:rPr>
            </w:pPr>
          </w:p>
        </w:tc>
        <w:tc>
          <w:tcPr>
            <w:tcW w:w="1380" w:type="dxa"/>
            <w:vAlign w:val="bottom"/>
          </w:tcPr>
          <w:p>
            <w:pPr>
              <w:jc w:val="right"/>
              <w:ind w:right="384"/>
              <w:spacing w:after="0"/>
              <w:rPr>
                <w:sz w:val="20"/>
                <w:szCs w:val="20"/>
                <w:color w:val="auto"/>
              </w:rPr>
            </w:pPr>
            <w:r>
              <w:rPr>
                <w:rFonts w:ascii="Arial" w:cs="Arial" w:eastAsia="Arial" w:hAnsi="Arial"/>
                <w:sz w:val="16"/>
                <w:szCs w:val="16"/>
                <w:color w:val="auto"/>
              </w:rPr>
              <w:t>69,447</w:t>
            </w:r>
          </w:p>
        </w:tc>
        <w:tc>
          <w:tcPr>
            <w:tcW w:w="1200" w:type="dxa"/>
            <w:vAlign w:val="bottom"/>
          </w:tcPr>
          <w:p>
            <w:pPr>
              <w:jc w:val="right"/>
              <w:ind w:right="25"/>
              <w:spacing w:after="0"/>
              <w:rPr>
                <w:sz w:val="20"/>
                <w:szCs w:val="20"/>
                <w:color w:val="auto"/>
              </w:rPr>
            </w:pPr>
            <w:r>
              <w:rPr>
                <w:rFonts w:ascii="Arial" w:cs="Arial" w:eastAsia="Arial" w:hAnsi="Arial"/>
                <w:sz w:val="16"/>
                <w:szCs w:val="16"/>
                <w:color w:val="auto"/>
              </w:rPr>
              <w:t>6%</w:t>
            </w:r>
          </w:p>
        </w:tc>
      </w:tr>
      <w:tr>
        <w:trPr>
          <w:trHeight w:val="204"/>
        </w:trPr>
        <w:tc>
          <w:tcPr>
            <w:tcW w:w="46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Adjusted diluted earnings per share (non-GAAP)</w:t>
            </w:r>
          </w:p>
        </w:tc>
        <w:tc>
          <w:tcPr>
            <w:tcW w:w="1740" w:type="dxa"/>
            <w:vAlign w:val="bottom"/>
            <w:shd w:val="clear" w:color="auto" w:fill="E5E5E5"/>
          </w:tcPr>
          <w:p>
            <w:pPr>
              <w:spacing w:after="0"/>
              <w:rPr>
                <w:sz w:val="17"/>
                <w:szCs w:val="17"/>
                <w:color w:val="auto"/>
              </w:rPr>
            </w:pPr>
          </w:p>
        </w:tc>
        <w:tc>
          <w:tcPr>
            <w:tcW w:w="1040" w:type="dxa"/>
            <w:vAlign w:val="bottom"/>
            <w:shd w:val="clear" w:color="auto" w:fill="E5E5E5"/>
          </w:tcPr>
          <w:p>
            <w:pPr>
              <w:jc w:val="right"/>
              <w:ind w:right="44"/>
              <w:spacing w:after="0"/>
              <w:rPr>
                <w:sz w:val="20"/>
                <w:szCs w:val="20"/>
                <w:color w:val="auto"/>
              </w:rPr>
            </w:pPr>
            <w:r>
              <w:rPr>
                <w:rFonts w:ascii="Arial" w:cs="Arial" w:eastAsia="Arial" w:hAnsi="Arial"/>
                <w:sz w:val="16"/>
                <w:szCs w:val="16"/>
                <w:b w:val="1"/>
                <w:bCs w:val="1"/>
                <w:color w:val="auto"/>
              </w:rPr>
              <w:t>9.81</w:t>
            </w:r>
          </w:p>
        </w:tc>
        <w:tc>
          <w:tcPr>
            <w:tcW w:w="560" w:type="dxa"/>
            <w:vAlign w:val="bottom"/>
            <w:shd w:val="clear" w:color="auto" w:fill="E5E5E5"/>
          </w:tcPr>
          <w:p>
            <w:pPr>
              <w:spacing w:after="0"/>
              <w:rPr>
                <w:sz w:val="17"/>
                <w:szCs w:val="17"/>
                <w:color w:val="auto"/>
              </w:rPr>
            </w:pPr>
          </w:p>
        </w:tc>
        <w:tc>
          <w:tcPr>
            <w:tcW w:w="1380" w:type="dxa"/>
            <w:vAlign w:val="bottom"/>
            <w:shd w:val="clear" w:color="auto" w:fill="E5E5E5"/>
          </w:tcPr>
          <w:p>
            <w:pPr>
              <w:jc w:val="right"/>
              <w:ind w:right="384"/>
              <w:spacing w:after="0"/>
              <w:rPr>
                <w:sz w:val="20"/>
                <w:szCs w:val="20"/>
                <w:color w:val="auto"/>
              </w:rPr>
            </w:pPr>
            <w:r>
              <w:rPr>
                <w:rFonts w:ascii="Arial" w:cs="Arial" w:eastAsia="Arial" w:hAnsi="Arial"/>
                <w:sz w:val="16"/>
                <w:szCs w:val="16"/>
                <w:color w:val="auto"/>
              </w:rPr>
              <w:t>9.21</w:t>
            </w:r>
          </w:p>
        </w:tc>
        <w:tc>
          <w:tcPr>
            <w:tcW w:w="1200" w:type="dxa"/>
            <w:vAlign w:val="bottom"/>
            <w:shd w:val="clear" w:color="auto" w:fill="E5E5E5"/>
          </w:tcPr>
          <w:p>
            <w:pPr>
              <w:jc w:val="right"/>
              <w:ind w:right="25"/>
              <w:spacing w:after="0"/>
              <w:rPr>
                <w:sz w:val="20"/>
                <w:szCs w:val="20"/>
                <w:color w:val="auto"/>
              </w:rPr>
            </w:pPr>
            <w:r>
              <w:rPr>
                <w:rFonts w:ascii="Arial" w:cs="Arial" w:eastAsia="Arial" w:hAnsi="Arial"/>
                <w:sz w:val="16"/>
                <w:szCs w:val="16"/>
                <w:color w:val="auto"/>
              </w:rPr>
              <w:t>7%</w:t>
            </w:r>
          </w:p>
        </w:tc>
      </w:tr>
    </w:tbl>
    <w:p>
      <w:pPr>
        <w:spacing w:after="0" w:line="233"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Adjusted gross margin, operating income, net income, and diluted earnings per share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non-GAAP financial measures exclude the net income tax benefit related to transfer of intangible properties in the first quarter of fiscal year 2022. Refer to Note 12 – Income Taxes of the Notes to Financial Statements (Part II, Item 8 of this Form 10-K) for further discussion. Refer to the Non-GAAP Financial Measures section below for a reconciliation of our financial results reported in accordance with GAAP to non-GAAP financial results.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8"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Revenue increased $ 13.6 billion or 7% driven by growth in Intelligent Cloud and Productivity and Business Processes, offset in part by a decline in More Personal Computing. Intelligent Cloud revenue increased driven by Azure and other cloud services. Productivity and Business Processes revenue increased driven by Office 365 Commercial and LinkedIn. More Personal Computing revenue decreased driven by Windows and Devices.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 increased $3.2 billion or 5% driven by growth in Microsoft Cloud</w:t>
      </w:r>
      <w:r>
        <w:rPr>
          <w:rFonts w:ascii="Arial" w:cs="Arial" w:eastAsia="Arial" w:hAnsi="Arial"/>
          <w:sz w:val="16"/>
          <w:szCs w:val="16"/>
          <w:u w:val="single" w:color="auto"/>
          <w:color w:val="auto"/>
        </w:rPr>
        <w:t>,</w:t>
      </w:r>
      <w:r>
        <w:rPr>
          <w:rFonts w:ascii="Arial" w:cs="Arial" w:eastAsia="Arial" w:hAnsi="Arial"/>
          <w:sz w:val="16"/>
          <w:szCs w:val="16"/>
          <w:color w:val="auto"/>
        </w:rPr>
        <w:t xml:space="preserve"> offset in part by the change in accounting estimate.</w:t>
      </w:r>
    </w:p>
    <w:p>
      <w:pPr>
        <w:spacing w:after="0" w:line="140"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Gross margin increased $ 10.4 billion or 8% driven by growth in Intelligent Cloud and Productivity and Business Processes and the change in accounting estimate, offset in part by a decline in More Personal Computing.</w:t>
      </w:r>
    </w:p>
    <w:p>
      <w:pPr>
        <w:spacing w:after="0" w:line="46" w:lineRule="exact"/>
        <w:rPr>
          <w:sz w:val="20"/>
          <w:szCs w:val="20"/>
          <w:color w:val="auto"/>
        </w:rPr>
      </w:pPr>
    </w:p>
    <w:p>
      <w:pPr>
        <w:ind w:left="600" w:right="100"/>
        <w:spacing w:after="0" w:line="322" w:lineRule="auto"/>
        <w:rPr>
          <w:sz w:val="20"/>
          <w:szCs w:val="20"/>
          <w:color w:val="auto"/>
        </w:rPr>
      </w:pPr>
      <w:r>
        <w:rPr>
          <w:rFonts w:ascii="Arial" w:cs="Arial" w:eastAsia="Arial" w:hAnsi="Arial"/>
          <w:sz w:val="14"/>
          <w:szCs w:val="14"/>
          <w:color w:val="auto"/>
        </w:rPr>
        <w:t>•Gross margin percentage increased slightly. Excluding the impact of the change in accounting estimate, gross margin percentage decreased 1 point driven by declines in Intelligent Cloud and More Personal Computing, offset in part by sales mix shift between our segments.</w:t>
      </w:r>
    </w:p>
    <w:p>
      <w:pPr>
        <w:ind w:left="600" w:right="160"/>
        <w:spacing w:after="0" w:line="243" w:lineRule="auto"/>
        <w:rPr>
          <w:sz w:val="20"/>
          <w:szCs w:val="20"/>
          <w:color w:val="auto"/>
        </w:rPr>
      </w:pPr>
      <w:r>
        <w:rPr>
          <w:rFonts w:ascii="Arial" w:cs="Arial" w:eastAsia="Arial" w:hAnsi="Arial"/>
          <w:sz w:val="16"/>
          <w:szCs w:val="16"/>
          <w:color w:val="auto"/>
        </w:rPr>
        <w:t>•Microsoft Cloud gross margin percentage increased 2 points to 72%. Excluding the impact of the change in accounting estimate, Microsoft Cloud gross margin percentage decreased slightly driven by a decline in Azure and other cloud services and sales mix shift to Azure and other cloud services</w:t>
      </w:r>
      <w:r>
        <w:rPr>
          <w:rFonts w:ascii="Arial" w:cs="Arial" w:eastAsia="Arial" w:hAnsi="Arial"/>
          <w:sz w:val="16"/>
          <w:szCs w:val="16"/>
          <w:u w:val="single" w:color="auto"/>
          <w:color w:val="auto"/>
        </w:rPr>
        <w:t>,</w:t>
      </w:r>
      <w:r>
        <w:rPr>
          <w:rFonts w:ascii="Arial" w:cs="Arial" w:eastAsia="Arial" w:hAnsi="Arial"/>
          <w:sz w:val="16"/>
          <w:szCs w:val="16"/>
          <w:color w:val="auto"/>
        </w:rPr>
        <w:t xml:space="preserve"> offset in part by improvement in Office 365 Commercial.</w:t>
      </w:r>
    </w:p>
    <w:p>
      <w:pPr>
        <w:spacing w:after="0" w:line="12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Operating expenses increased $5.3 billion or 10% driven by employee severance expenses, 2 points of growth from the Nuance and Xandr acquisitions, investments in cloud engineering, and LinkedIn.</w:t>
      </w:r>
    </w:p>
    <w:p>
      <w:pPr>
        <w:spacing w:after="0" w:line="118" w:lineRule="exact"/>
        <w:rPr>
          <w:sz w:val="20"/>
          <w:szCs w:val="20"/>
          <w:color w:val="auto"/>
        </w:rPr>
      </w:pPr>
    </w:p>
    <w:p>
      <w:pPr>
        <w:ind w:right="700"/>
        <w:spacing w:after="0" w:line="252" w:lineRule="auto"/>
        <w:rPr>
          <w:sz w:val="20"/>
          <w:szCs w:val="20"/>
          <w:color w:val="auto"/>
        </w:rPr>
      </w:pPr>
      <w:r>
        <w:rPr>
          <w:rFonts w:ascii="Arial" w:cs="Arial" w:eastAsia="Arial" w:hAnsi="Arial"/>
          <w:sz w:val="16"/>
          <w:szCs w:val="16"/>
          <w:color w:val="auto"/>
        </w:rPr>
        <w:t>Operating income increased $5.1 billion or 6% driven by growth in Productivity and Business Processes and Intelligent Cloud and the change in accounting estimate, offset in part by a decline in More Personal Computing.</w:t>
      </w:r>
    </w:p>
    <w:p>
      <w:pPr>
        <w:spacing w:after="0" w:line="11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Revenue, gross margin, and operating income included an unfavorable foreign currency impact of 4%, 4%, and 6%, respectively. Cost of revenue and operating expenses both included a favorable foreign currency impact of 2%.</w:t>
      </w:r>
    </w:p>
    <w:p>
      <w:pPr>
        <w:spacing w:after="0" w:line="118"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Current year gross margin, operating income, net income, and diluted EPS were negatively impacted by the Q2 charge, which resulted in decreases of $152 million, $1.2 billion, $946 million, and $0.13, respectively. Prior year net income and diluted EPS were positively impacted by the net tax benefit related to the transfer of intangible properties, which resulted in an increase to net income and diluted EPS of $3.3 billion and $0.44,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SEGMENT RESULTS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40" w:type="dxa"/>
            <w:vAlign w:val="bottom"/>
          </w:tcPr>
          <w:p>
            <w:pPr>
              <w:jc w:val="right"/>
              <w:ind w:right="26"/>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67"/>
        </w:trPr>
        <w:tc>
          <w:tcPr>
            <w:tcW w:w="59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w:t>
            </w: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640" w:type="dxa"/>
            <w:vAlign w:val="bottom"/>
          </w:tcPr>
          <w:p>
            <w:pPr>
              <w:jc w:val="right"/>
              <w:ind w:right="26"/>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324"/>
        </w:trPr>
        <w:tc>
          <w:tcPr>
            <w:tcW w:w="594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 Processes</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69,274</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63,364</w:t>
            </w:r>
          </w:p>
        </w:tc>
        <w:tc>
          <w:tcPr>
            <w:tcW w:w="1640" w:type="dxa"/>
            <w:vAlign w:val="bottom"/>
            <w:shd w:val="clear" w:color="auto" w:fill="E5E5E5"/>
          </w:tcPr>
          <w:p>
            <w:pPr>
              <w:jc w:val="right"/>
              <w:ind w:right="26"/>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87,907</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74,965</w:t>
            </w:r>
          </w:p>
        </w:tc>
        <w:tc>
          <w:tcPr>
            <w:tcW w:w="1640" w:type="dxa"/>
            <w:vAlign w:val="bottom"/>
          </w:tcPr>
          <w:p>
            <w:pPr>
              <w:jc w:val="right"/>
              <w:ind w:right="26"/>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4"/>
        </w:trPr>
        <w:tc>
          <w:tcPr>
            <w:tcW w:w="5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4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54,734</w:t>
            </w:r>
          </w:p>
        </w:tc>
        <w:tc>
          <w:tcPr>
            <w:tcW w:w="2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59,941</w:t>
            </w:r>
          </w:p>
        </w:tc>
        <w:tc>
          <w:tcPr>
            <w:tcW w:w="1640" w:type="dxa"/>
            <w:vAlign w:val="bottom"/>
            <w:shd w:val="clear" w:color="auto" w:fill="E5E5E5"/>
          </w:tcPr>
          <w:p>
            <w:pPr>
              <w:jc w:val="right"/>
              <w:ind w:right="26"/>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58"/>
        </w:trPr>
        <w:tc>
          <w:tcPr>
            <w:tcW w:w="5940" w:type="dxa"/>
            <w:vAlign w:val="bottom"/>
          </w:tcPr>
          <w:p>
            <w:pPr>
              <w:ind w:left="220"/>
              <w:spacing w:after="0"/>
              <w:rPr>
                <w:sz w:val="20"/>
                <w:szCs w:val="20"/>
                <w:color w:val="auto"/>
              </w:rPr>
            </w:pPr>
            <w:r>
              <w:rPr>
                <w:rFonts w:ascii="Arial" w:cs="Arial" w:eastAsia="Arial" w:hAnsi="Arial"/>
                <w:sz w:val="16"/>
                <w:szCs w:val="16"/>
                <w:color w:val="auto"/>
              </w:rPr>
              <w:t>Total</w:t>
            </w:r>
          </w:p>
        </w:tc>
        <w:tc>
          <w:tcPr>
            <w:tcW w:w="440" w:type="dxa"/>
            <w:vAlign w:val="bottom"/>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211,915</w:t>
            </w: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198,270</w:t>
            </w:r>
          </w:p>
        </w:tc>
        <w:tc>
          <w:tcPr>
            <w:tcW w:w="1640" w:type="dxa"/>
            <w:vAlign w:val="bottom"/>
          </w:tcPr>
          <w:p>
            <w:pPr>
              <w:jc w:val="right"/>
              <w:ind w:right="26"/>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66"/>
        </w:trPr>
        <w:tc>
          <w:tcPr>
            <w:tcW w:w="5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Operating Income</w:t>
            </w: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59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594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 Processes</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34,189</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29,690</w:t>
            </w:r>
          </w:p>
        </w:tc>
        <w:tc>
          <w:tcPr>
            <w:tcW w:w="1640" w:type="dxa"/>
            <w:vAlign w:val="bottom"/>
            <w:shd w:val="clear" w:color="auto" w:fill="E5E5E5"/>
          </w:tcPr>
          <w:p>
            <w:pPr>
              <w:jc w:val="right"/>
              <w:ind w:right="26"/>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4"/>
        </w:trPr>
        <w:tc>
          <w:tcPr>
            <w:tcW w:w="594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37,884</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33,203</w:t>
            </w:r>
          </w:p>
        </w:tc>
        <w:tc>
          <w:tcPr>
            <w:tcW w:w="1640" w:type="dxa"/>
            <w:vAlign w:val="bottom"/>
          </w:tcPr>
          <w:p>
            <w:pPr>
              <w:jc w:val="right"/>
              <w:ind w:right="26"/>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7"/>
        </w:trPr>
        <w:tc>
          <w:tcPr>
            <w:tcW w:w="5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44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16,450</w:t>
            </w:r>
          </w:p>
        </w:tc>
        <w:tc>
          <w:tcPr>
            <w:tcW w:w="22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20,490</w:t>
            </w:r>
          </w:p>
        </w:tc>
        <w:tc>
          <w:tcPr>
            <w:tcW w:w="1640" w:type="dxa"/>
            <w:vAlign w:val="bottom"/>
            <w:vMerge w:val="restart"/>
            <w:shd w:val="clear" w:color="auto" w:fill="E5E5E5"/>
          </w:tcPr>
          <w:p>
            <w:pPr>
              <w:jc w:val="right"/>
              <w:ind w:right="26"/>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31"/>
        </w:trPr>
        <w:tc>
          <w:tcPr>
            <w:tcW w:w="594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220" w:type="dxa"/>
            <w:vAlign w:val="bottom"/>
            <w:shd w:val="clear" w:color="auto" w:fill="E5E5E5"/>
          </w:tcPr>
          <w:p>
            <w:pPr>
              <w:spacing w:after="0"/>
              <w:rPr>
                <w:sz w:val="11"/>
                <w:szCs w:val="11"/>
                <w:color w:val="auto"/>
              </w:rPr>
            </w:pPr>
          </w:p>
        </w:tc>
        <w:tc>
          <w:tcPr>
            <w:tcW w:w="440" w:type="dxa"/>
            <w:vAlign w:val="bottom"/>
            <w:shd w:val="clear" w:color="auto" w:fill="E5E5E5"/>
          </w:tcPr>
          <w:p>
            <w:pPr>
              <w:spacing w:after="0"/>
              <w:rPr>
                <w:sz w:val="11"/>
                <w:szCs w:val="11"/>
                <w:color w:val="auto"/>
              </w:rPr>
            </w:pPr>
          </w:p>
        </w:tc>
        <w:tc>
          <w:tcPr>
            <w:tcW w:w="940" w:type="dxa"/>
            <w:vAlign w:val="bottom"/>
            <w:shd w:val="clear" w:color="auto" w:fill="E5E5E5"/>
          </w:tcPr>
          <w:p>
            <w:pPr>
              <w:spacing w:after="0"/>
              <w:rPr>
                <w:sz w:val="11"/>
                <w:szCs w:val="11"/>
                <w:color w:val="auto"/>
              </w:rPr>
            </w:pPr>
          </w:p>
        </w:tc>
        <w:tc>
          <w:tcPr>
            <w:tcW w:w="1640" w:type="dxa"/>
            <w:vAlign w:val="bottom"/>
            <w:vMerge w:val="continue"/>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5940" w:type="dxa"/>
            <w:vAlign w:val="bottom"/>
          </w:tcPr>
          <w:p>
            <w:pPr>
              <w:ind w:left="220"/>
              <w:spacing w:after="0"/>
              <w:rPr>
                <w:sz w:val="20"/>
                <w:szCs w:val="20"/>
                <w:color w:val="auto"/>
              </w:rPr>
            </w:pPr>
            <w:r>
              <w:rPr>
                <w:rFonts w:ascii="Arial" w:cs="Arial" w:eastAsia="Arial" w:hAnsi="Arial"/>
                <w:sz w:val="16"/>
                <w:szCs w:val="16"/>
                <w:color w:val="auto"/>
              </w:rPr>
              <w:t>Total</w:t>
            </w:r>
          </w:p>
        </w:tc>
        <w:tc>
          <w:tcPr>
            <w:tcW w:w="440" w:type="dxa"/>
            <w:vAlign w:val="bottom"/>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88,523</w:t>
            </w: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83,383</w:t>
            </w:r>
          </w:p>
        </w:tc>
        <w:tc>
          <w:tcPr>
            <w:tcW w:w="1640" w:type="dxa"/>
            <w:vAlign w:val="bottom"/>
          </w:tcPr>
          <w:p>
            <w:pPr>
              <w:jc w:val="right"/>
              <w:ind w:right="26"/>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66"/>
        </w:trPr>
        <w:tc>
          <w:tcPr>
            <w:tcW w:w="594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6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4632960</wp:posOffset>
            </wp:positionH>
            <wp:positionV relativeFrom="paragraph">
              <wp:posOffset>-1040765</wp:posOffset>
            </wp:positionV>
            <wp:extent cx="93980" cy="86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-1040765</wp:posOffset>
            </wp:positionV>
            <wp:extent cx="93980" cy="863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4632960</wp:posOffset>
            </wp:positionH>
            <wp:positionV relativeFrom="paragraph">
              <wp:posOffset>-73025</wp:posOffset>
            </wp:positionV>
            <wp:extent cx="93980" cy="863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-73025</wp:posOffset>
            </wp:positionV>
            <wp:extent cx="93980" cy="86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3980" cy="863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Productivity and Business Processes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$5.9 billion or 9%.</w:t>
      </w:r>
    </w:p>
    <w:p>
      <w:pPr>
        <w:spacing w:after="0" w:line="68" w:lineRule="exact"/>
        <w:rPr>
          <w:sz w:val="20"/>
          <w:szCs w:val="20"/>
          <w:color w:val="auto"/>
        </w:rPr>
      </w:pPr>
    </w:p>
    <w:p>
      <w:pPr>
        <w:ind w:left="600" w:right="180"/>
        <w:spacing w:after="0" w:line="243" w:lineRule="auto"/>
        <w:rPr>
          <w:sz w:val="20"/>
          <w:szCs w:val="20"/>
          <w:color w:val="auto"/>
        </w:rPr>
      </w:pPr>
      <w:r>
        <w:rPr>
          <w:rFonts w:ascii="Arial" w:cs="Arial" w:eastAsia="Arial" w:hAnsi="Arial"/>
          <w:sz w:val="16"/>
          <w:szCs w:val="16"/>
          <w:color w:val="auto"/>
        </w:rPr>
        <w:t>•Office Commercial products and cloud services revenue increased $3.7 billion or 10%. Office 365 Commercial revenue grew 13% with seat growth of 11%, driven by small and medium business and frontline worker offerings, as well as growth in revenue per user. Office Commercial products revenue declined 21% driven by continued customer shift to cloud offerings.</w:t>
      </w:r>
    </w:p>
    <w:p>
      <w:pPr>
        <w:spacing w:after="0" w:line="53" w:lineRule="exact"/>
        <w:rPr>
          <w:sz w:val="20"/>
          <w:szCs w:val="20"/>
          <w:color w:val="auto"/>
        </w:rPr>
      </w:pPr>
    </w:p>
    <w:p>
      <w:pPr>
        <w:ind w:left="600" w:right="220"/>
        <w:spacing w:after="0" w:line="252" w:lineRule="auto"/>
        <w:rPr>
          <w:sz w:val="20"/>
          <w:szCs w:val="20"/>
          <w:color w:val="auto"/>
        </w:rPr>
      </w:pPr>
      <w:r>
        <w:rPr>
          <w:rFonts w:ascii="Arial" w:cs="Arial" w:eastAsia="Arial" w:hAnsi="Arial"/>
          <w:sz w:val="16"/>
          <w:szCs w:val="16"/>
          <w:color w:val="auto"/>
        </w:rPr>
        <w:t>•Office Consumer products and cloud services revenue increased $140 million or 2%. Microsoft 365 Consumer subscribers grew 12% to 67.0 million.</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•LinkedIn revenue increased $1.3 billion or 10% driven by Talent Solutions.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•Dynamics products and cloud services revenue increased $750 million or 16% driven by Dynamics 365 growth of 24%.</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increased $4.5 billion or 15%.</w:t>
      </w:r>
    </w:p>
    <w:p>
      <w:pPr>
        <w:spacing w:after="0" w:line="68" w:lineRule="exact"/>
        <w:rPr>
          <w:sz w:val="20"/>
          <w:szCs w:val="20"/>
          <w:color w:val="auto"/>
        </w:rPr>
      </w:pPr>
    </w:p>
    <w:p>
      <w:pPr>
        <w:ind w:left="600" w:right="160"/>
        <w:spacing w:after="0" w:line="243" w:lineRule="auto"/>
        <w:rPr>
          <w:sz w:val="20"/>
          <w:szCs w:val="20"/>
          <w:color w:val="auto"/>
        </w:rPr>
      </w:pPr>
      <w:r>
        <w:rPr>
          <w:rFonts w:ascii="Arial" w:cs="Arial" w:eastAsia="Arial" w:hAnsi="Arial"/>
          <w:sz w:val="16"/>
          <w:szCs w:val="16"/>
          <w:color w:val="auto"/>
        </w:rPr>
        <w:t>•Gross margin increased $5.8 billion or 12% driven by growth in Office 365 Commercial and LinkedIn, as well as the change in accounting estimate. Gross margin percentage increased. Excluding the impact of the change in accounting estimate, gross margin percentage increased slightly driven by improvement in Office 365 Commercial, offset in part by sales mix shift to cloud offerings.</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•Operating expenses increased $1.3 billion or 7% driven by investment in LinkedIn and employee severance expenses.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Revenue, gross margin, and operating income included an unfavorable foreign currency impact of 5%, 5%, and 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Intelligent Cloud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$12.9 billion or 17%.</w:t>
      </w:r>
    </w:p>
    <w:p>
      <w:pPr>
        <w:spacing w:after="0" w:line="68" w:lineRule="exact"/>
        <w:rPr>
          <w:sz w:val="20"/>
          <w:szCs w:val="20"/>
          <w:color w:val="auto"/>
        </w:rPr>
      </w:pPr>
    </w:p>
    <w:p>
      <w:pPr>
        <w:ind w:left="600" w:right="260"/>
        <w:spacing w:after="0" w:line="252" w:lineRule="auto"/>
        <w:rPr>
          <w:sz w:val="20"/>
          <w:szCs w:val="20"/>
          <w:color w:val="auto"/>
        </w:rPr>
      </w:pPr>
      <w:r>
        <w:rPr>
          <w:rFonts w:ascii="Arial" w:cs="Arial" w:eastAsia="Arial" w:hAnsi="Arial"/>
          <w:sz w:val="16"/>
          <w:szCs w:val="16"/>
          <w:color w:val="auto"/>
        </w:rPr>
        <w:t>•Server products and cloud services revenue increased $12.6 billion or 19% driven by Azure and other cloud services. Azure and other cloud services revenue grew 29% driven by growth in our consumption-based services. Server products revenue decreased 1%.</w:t>
      </w:r>
    </w:p>
    <w:p>
      <w:pPr>
        <w:spacing w:after="0" w:line="46" w:lineRule="exact"/>
        <w:rPr>
          <w:sz w:val="20"/>
          <w:szCs w:val="20"/>
          <w:color w:val="auto"/>
        </w:rPr>
      </w:pPr>
    </w:p>
    <w:p>
      <w:pPr>
        <w:ind w:left="600" w:right="580"/>
        <w:spacing w:after="0" w:line="252" w:lineRule="auto"/>
        <w:rPr>
          <w:sz w:val="20"/>
          <w:szCs w:val="20"/>
          <w:color w:val="auto"/>
        </w:rPr>
      </w:pPr>
      <w:r>
        <w:rPr>
          <w:rFonts w:ascii="Arial" w:cs="Arial" w:eastAsia="Arial" w:hAnsi="Arial"/>
          <w:sz w:val="16"/>
          <w:szCs w:val="16"/>
          <w:color w:val="auto"/>
        </w:rPr>
        <w:t>•Enterprise Services revenue increased $315 million or 4% driven by growth in Enterprise Support Services, offset in part by a decline in Industry Solutions (formerly Microsoft Consulting Services).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increased $4.7 billion or 14%.</w:t>
      </w:r>
    </w:p>
    <w:p>
      <w:pPr>
        <w:spacing w:after="0" w:line="68" w:lineRule="exact"/>
        <w:rPr>
          <w:sz w:val="20"/>
          <w:szCs w:val="20"/>
          <w:color w:val="auto"/>
        </w:rPr>
      </w:pPr>
    </w:p>
    <w:p>
      <w:pPr>
        <w:jc w:val="both"/>
        <w:ind w:left="600" w:right="60"/>
        <w:spacing w:after="0" w:line="243" w:lineRule="auto"/>
        <w:rPr>
          <w:sz w:val="20"/>
          <w:szCs w:val="20"/>
          <w:color w:val="auto"/>
        </w:rPr>
      </w:pPr>
      <w:r>
        <w:rPr>
          <w:rFonts w:ascii="Arial" w:cs="Arial" w:eastAsia="Arial" w:hAnsi="Arial"/>
          <w:sz w:val="16"/>
          <w:szCs w:val="16"/>
          <w:color w:val="auto"/>
        </w:rPr>
        <w:t>•Gross margin increased $8.9 billion or 17% driven by growth in Azure and other cloud services and the change in accounting estimate. Gross margin percentage decreased slightly. Excluding the impact of the change in accounting estimate, gross margin percentage decreased 3 points driven by sales mix shift to Azure and other cloud services and a decline in Azure and other cloud services.</w:t>
      </w:r>
    </w:p>
    <w:p>
      <w:pPr>
        <w:spacing w:after="0" w:line="53" w:lineRule="exact"/>
        <w:rPr>
          <w:sz w:val="20"/>
          <w:szCs w:val="20"/>
          <w:color w:val="auto"/>
        </w:rPr>
      </w:pPr>
    </w:p>
    <w:p>
      <w:pPr>
        <w:ind w:left="600" w:right="640"/>
        <w:spacing w:after="0" w:line="252" w:lineRule="auto"/>
        <w:rPr>
          <w:sz w:val="20"/>
          <w:szCs w:val="20"/>
          <w:color w:val="auto"/>
        </w:rPr>
      </w:pPr>
      <w:r>
        <w:rPr>
          <w:rFonts w:ascii="Arial" w:cs="Arial" w:eastAsia="Arial" w:hAnsi="Arial"/>
          <w:sz w:val="16"/>
          <w:szCs w:val="16"/>
          <w:color w:val="auto"/>
        </w:rPr>
        <w:t>•Operating expenses increased $4.2 billion or 21% driven by investments in Azure, 4 points of growth from the Nuance acquisition, and employee severance expenses.</w:t>
      </w:r>
    </w:p>
    <w:p>
      <w:pPr>
        <w:spacing w:after="0" w:line="118"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Revenue, gross margin, and operating income included an unfavorable foreign currency impact of 4%, 4%, and 6%, respectively. Operating expenses included a favorable foreign currency impact of 2%.</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More Personal Computing</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Revenue decreased $5.2 billion or 9%.</w:t>
      </w:r>
    </w:p>
    <w:p>
      <w:pPr>
        <w:spacing w:after="0" w:line="68" w:lineRule="exact"/>
        <w:rPr>
          <w:sz w:val="20"/>
          <w:szCs w:val="20"/>
          <w:color w:val="auto"/>
        </w:rPr>
      </w:pPr>
    </w:p>
    <w:p>
      <w:pPr>
        <w:ind w:left="600" w:right="120"/>
        <w:spacing w:after="0" w:line="243" w:lineRule="auto"/>
        <w:rPr>
          <w:sz w:val="20"/>
          <w:szCs w:val="20"/>
          <w:color w:val="auto"/>
        </w:rPr>
      </w:pPr>
      <w:r>
        <w:rPr>
          <w:rFonts w:ascii="Arial" w:cs="Arial" w:eastAsia="Arial" w:hAnsi="Arial"/>
          <w:sz w:val="16"/>
          <w:szCs w:val="16"/>
          <w:color w:val="auto"/>
        </w:rPr>
        <w:t>•Windows revenue decreased $3.2 billion or 13% driven by a decrease in Windows OEM. Windows OEM revenue decreased 25% as elevated channel inventory levels continued to drive additional weakness beyond declining PC demand. Windows Commercial products and cloud services revenue increased 5% driven by demand for Microsoft 365.</w:t>
      </w:r>
    </w:p>
    <w:p>
      <w:pPr>
        <w:spacing w:after="0" w:line="53" w:lineRule="exact"/>
        <w:rPr>
          <w:sz w:val="20"/>
          <w:szCs w:val="20"/>
          <w:color w:val="auto"/>
        </w:rPr>
      </w:pPr>
    </w:p>
    <w:p>
      <w:pPr>
        <w:ind w:left="600" w:right="140"/>
        <w:spacing w:after="0" w:line="252" w:lineRule="auto"/>
        <w:rPr>
          <w:sz w:val="20"/>
          <w:szCs w:val="20"/>
          <w:color w:val="auto"/>
        </w:rPr>
      </w:pPr>
      <w:r>
        <w:rPr>
          <w:rFonts w:ascii="Arial" w:cs="Arial" w:eastAsia="Arial" w:hAnsi="Arial"/>
          <w:sz w:val="16"/>
          <w:szCs w:val="16"/>
          <w:color w:val="auto"/>
        </w:rPr>
        <w:t>•Devices revenue decreased $1.8 billion or 24% as elevated channel inventory levels continued to drive additional weakness beyond declining PC demand.</w:t>
      </w:r>
    </w:p>
    <w:p>
      <w:pPr>
        <w:spacing w:after="0" w:line="46" w:lineRule="exact"/>
        <w:rPr>
          <w:sz w:val="20"/>
          <w:szCs w:val="20"/>
          <w:color w:val="auto"/>
        </w:rPr>
      </w:pPr>
    </w:p>
    <w:p>
      <w:pPr>
        <w:ind w:left="600" w:right="160"/>
        <w:spacing w:after="0" w:line="243" w:lineRule="auto"/>
        <w:rPr>
          <w:sz w:val="20"/>
          <w:szCs w:val="20"/>
          <w:color w:val="auto"/>
        </w:rPr>
      </w:pPr>
      <w:r>
        <w:rPr>
          <w:rFonts w:ascii="Arial" w:cs="Arial" w:eastAsia="Arial" w:hAnsi="Arial"/>
          <w:sz w:val="16"/>
          <w:szCs w:val="16"/>
          <w:color w:val="auto"/>
        </w:rPr>
        <w:t>•Gaming revenue decreased $764 million or 5% driven by declines in Xbox hardware and Xbox content and services. Xbox hardware revenue decreased 11% driven by lower volume and price of consoles sold. Xbox content and services revenue decreased 3% driven by a decline in first-party content, offset in part by growth in Xbox Game Pass.</w:t>
      </w:r>
    </w:p>
    <w:p>
      <w:pPr>
        <w:spacing w:after="0" w:line="53" w:lineRule="exact"/>
        <w:rPr>
          <w:sz w:val="20"/>
          <w:szCs w:val="20"/>
          <w:color w:val="auto"/>
        </w:rPr>
      </w:pPr>
    </w:p>
    <w:p>
      <w:pPr>
        <w:ind w:left="600" w:right="220"/>
        <w:spacing w:after="0" w:line="252" w:lineRule="auto"/>
        <w:rPr>
          <w:sz w:val="20"/>
          <w:szCs w:val="20"/>
          <w:color w:val="auto"/>
        </w:rPr>
      </w:pPr>
      <w:r>
        <w:rPr>
          <w:rFonts w:ascii="Arial" w:cs="Arial" w:eastAsia="Arial" w:hAnsi="Arial"/>
          <w:sz w:val="16"/>
          <w:szCs w:val="16"/>
          <w:color w:val="auto"/>
        </w:rPr>
        <w:t>•Search and news advertising revenue increased $617 million or 5%. Search and news advertising revenue excluding traffic acquisition costs increased 11% driven by higher search volume and the Xandr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decreased $4.0 billion or 20%.</w:t>
      </w:r>
    </w:p>
    <w:p>
      <w:pPr>
        <w:spacing w:after="0" w:line="68" w:lineRule="exact"/>
        <w:rPr>
          <w:sz w:val="20"/>
          <w:szCs w:val="20"/>
          <w:color w:val="auto"/>
        </w:rPr>
      </w:pPr>
    </w:p>
    <w:p>
      <w:pPr>
        <w:ind w:left="600" w:right="380"/>
        <w:spacing w:after="0" w:line="252" w:lineRule="auto"/>
        <w:rPr>
          <w:sz w:val="20"/>
          <w:szCs w:val="20"/>
          <w:color w:val="auto"/>
        </w:rPr>
      </w:pPr>
      <w:r>
        <w:rPr>
          <w:rFonts w:ascii="Arial" w:cs="Arial" w:eastAsia="Arial" w:hAnsi="Arial"/>
          <w:sz w:val="16"/>
          <w:szCs w:val="16"/>
          <w:color w:val="auto"/>
        </w:rPr>
        <w:t>•Gross margin decreased $4.2 billion or 13% driven by declines in Windows and Devices. Gross margin percentage decreased driven by a decline in Devices.</w:t>
      </w:r>
    </w:p>
    <w:p>
      <w:pPr>
        <w:spacing w:after="0" w:line="46"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•Operating expenses decreased $195 million or 2% driven by a decline in Devices, offset in part by investments in Search and news advertising, including 2 points of growth from the Xandr acquisition.</w:t>
      </w:r>
    </w:p>
    <w:p>
      <w:pPr>
        <w:spacing w:after="0" w:line="118"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Revenue, gross margin, and operating income included an unfavorable foreign currency impact of 3%, 4%, and 6%, respectively. Operating expenses included a favorable foreign currency impact of 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OPERATING EXPENSES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Percentage</w:t>
            </w:r>
          </w:p>
        </w:tc>
      </w:tr>
      <w:tr>
        <w:trPr>
          <w:trHeight w:val="167"/>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w:t>
            </w:r>
          </w:p>
        </w:tc>
        <w:tc>
          <w:tcPr>
            <w:tcW w:w="248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2"/>
                <w:szCs w:val="12"/>
                <w:b w:val="1"/>
                <w:bCs w:val="1"/>
                <w:color w:val="auto"/>
              </w:rPr>
              <w:t>2023</w:t>
            </w:r>
          </w:p>
        </w:tc>
        <w:tc>
          <w:tcPr>
            <w:tcW w:w="600" w:type="dxa"/>
            <w:vAlign w:val="bottom"/>
          </w:tcPr>
          <w:p>
            <w:pPr>
              <w:spacing w:after="0"/>
              <w:rPr>
                <w:sz w:val="14"/>
                <w:szCs w:val="14"/>
                <w:color w:val="auto"/>
              </w:rPr>
            </w:pPr>
          </w:p>
        </w:tc>
        <w:tc>
          <w:tcPr>
            <w:tcW w:w="1340" w:type="dxa"/>
            <w:vAlign w:val="bottom"/>
          </w:tcPr>
          <w:p>
            <w:pPr>
              <w:jc w:val="right"/>
              <w:ind w:right="388"/>
              <w:spacing w:after="0"/>
              <w:rPr>
                <w:sz w:val="20"/>
                <w:szCs w:val="20"/>
                <w:color w:val="auto"/>
              </w:rPr>
            </w:pPr>
            <w:r>
              <w:rPr>
                <w:rFonts w:ascii="Arial" w:cs="Arial" w:eastAsia="Arial" w:hAnsi="Arial"/>
                <w:sz w:val="12"/>
                <w:szCs w:val="12"/>
                <w:b w:val="1"/>
                <w:bCs w:val="1"/>
                <w:color w:val="auto"/>
              </w:rPr>
              <w:t>2022</w:t>
            </w: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Change</w:t>
            </w:r>
          </w:p>
        </w:tc>
      </w:tr>
      <w:tr>
        <w:trPr>
          <w:trHeight w:val="148"/>
        </w:trPr>
        <w:tc>
          <w:tcPr>
            <w:tcW w:w="39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4"/>
        </w:trPr>
        <w:tc>
          <w:tcPr>
            <w:tcW w:w="394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Research and development</w:t>
            </w:r>
          </w:p>
        </w:tc>
        <w:tc>
          <w:tcPr>
            <w:tcW w:w="2480" w:type="dxa"/>
            <w:vAlign w:val="bottom"/>
            <w:shd w:val="clear" w:color="auto" w:fill="E5E5E5"/>
          </w:tcPr>
          <w:p>
            <w:pPr>
              <w:jc w:val="right"/>
              <w:ind w:right="30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6"/>
                <w:szCs w:val="16"/>
                <w:b w:val="1"/>
                <w:bCs w:val="1"/>
                <w:color w:val="auto"/>
              </w:rPr>
              <w:t>27,195</w:t>
            </w:r>
          </w:p>
        </w:tc>
        <w:tc>
          <w:tcPr>
            <w:tcW w:w="600" w:type="dxa"/>
            <w:vAlign w:val="bottom"/>
            <w:shd w:val="clear" w:color="auto" w:fill="E5E5E5"/>
          </w:tcPr>
          <w:p>
            <w:pPr>
              <w:jc w:val="right"/>
              <w:ind w:right="302"/>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E5E5"/>
          </w:tcPr>
          <w:p>
            <w:pPr>
              <w:jc w:val="right"/>
              <w:ind w:right="388"/>
              <w:spacing w:after="0"/>
              <w:rPr>
                <w:sz w:val="20"/>
                <w:szCs w:val="20"/>
                <w:color w:val="auto"/>
              </w:rPr>
            </w:pPr>
            <w:r>
              <w:rPr>
                <w:rFonts w:ascii="Arial" w:cs="Arial" w:eastAsia="Arial" w:hAnsi="Arial"/>
                <w:sz w:val="16"/>
                <w:szCs w:val="16"/>
                <w:color w:val="auto"/>
              </w:rPr>
              <w:t>24,512</w:t>
            </w:r>
          </w:p>
        </w:tc>
        <w:tc>
          <w:tcPr>
            <w:tcW w:w="1200" w:type="dxa"/>
            <w:vAlign w:val="bottom"/>
            <w:shd w:val="clear" w:color="auto" w:fill="E5E5E5"/>
          </w:tcPr>
          <w:p>
            <w:pPr>
              <w:jc w:val="right"/>
              <w:ind w:right="31"/>
              <w:spacing w:after="0"/>
              <w:rPr>
                <w:sz w:val="20"/>
                <w:szCs w:val="20"/>
                <w:color w:val="auto"/>
              </w:rPr>
            </w:pPr>
            <w:r>
              <w:rPr>
                <w:rFonts w:ascii="Arial" w:cs="Arial" w:eastAsia="Arial" w:hAnsi="Arial"/>
                <w:sz w:val="16"/>
                <w:szCs w:val="16"/>
                <w:color w:val="auto"/>
              </w:rPr>
              <w:t>11%</w:t>
            </w:r>
          </w:p>
        </w:tc>
      </w:tr>
      <w:tr>
        <w:trPr>
          <w:trHeight w:val="217"/>
        </w:trPr>
        <w:tc>
          <w:tcPr>
            <w:tcW w:w="3940" w:type="dxa"/>
            <w:vAlign w:val="bottom"/>
          </w:tcPr>
          <w:p>
            <w:pPr>
              <w:ind w:left="20"/>
              <w:spacing w:after="0"/>
              <w:rPr>
                <w:sz w:val="20"/>
                <w:szCs w:val="20"/>
                <w:color w:val="auto"/>
              </w:rPr>
            </w:pPr>
            <w:r>
              <w:rPr>
                <w:rFonts w:ascii="Arial" w:cs="Arial" w:eastAsia="Arial" w:hAnsi="Arial"/>
                <w:sz w:val="16"/>
                <w:szCs w:val="16"/>
                <w:color w:val="auto"/>
              </w:rPr>
              <w:t>As a percent of revenue</w:t>
            </w:r>
          </w:p>
        </w:tc>
        <w:tc>
          <w:tcPr>
            <w:tcW w:w="248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13%</w:t>
            </w:r>
          </w:p>
        </w:tc>
        <w:tc>
          <w:tcPr>
            <w:tcW w:w="600" w:type="dxa"/>
            <w:vAlign w:val="bottom"/>
          </w:tcPr>
          <w:p>
            <w:pPr>
              <w:spacing w:after="0"/>
              <w:rPr>
                <w:sz w:val="18"/>
                <w:szCs w:val="18"/>
                <w:color w:val="auto"/>
              </w:rPr>
            </w:pPr>
          </w:p>
        </w:tc>
        <w:tc>
          <w:tcPr>
            <w:tcW w:w="1340" w:type="dxa"/>
            <w:vAlign w:val="bottom"/>
          </w:tcPr>
          <w:p>
            <w:pPr>
              <w:jc w:val="right"/>
              <w:ind w:right="388"/>
              <w:spacing w:after="0"/>
              <w:rPr>
                <w:sz w:val="20"/>
                <w:szCs w:val="20"/>
                <w:color w:val="auto"/>
              </w:rPr>
            </w:pPr>
            <w:r>
              <w:rPr>
                <w:rFonts w:ascii="Arial" w:cs="Arial" w:eastAsia="Arial" w:hAnsi="Arial"/>
                <w:sz w:val="16"/>
                <w:szCs w:val="16"/>
                <w:color w:val="auto"/>
              </w:rPr>
              <w:t>12%</w:t>
            </w:r>
          </w:p>
        </w:tc>
        <w:tc>
          <w:tcPr>
            <w:tcW w:w="1200" w:type="dxa"/>
            <w:vAlign w:val="bottom"/>
          </w:tcPr>
          <w:p>
            <w:pPr>
              <w:jc w:val="right"/>
              <w:ind w:right="31"/>
              <w:spacing w:after="0"/>
              <w:rPr>
                <w:sz w:val="20"/>
                <w:szCs w:val="20"/>
                <w:color w:val="auto"/>
              </w:rPr>
            </w:pPr>
            <w:r>
              <w:rPr>
                <w:rFonts w:ascii="Arial" w:cs="Arial" w:eastAsia="Arial" w:hAnsi="Arial"/>
                <w:sz w:val="16"/>
                <w:szCs w:val="16"/>
                <w:color w:val="auto"/>
              </w:rPr>
              <w:t>1ppt</w:t>
            </w:r>
          </w:p>
        </w:tc>
      </w:tr>
    </w:tbl>
    <w:p>
      <w:pPr>
        <w:spacing w:after="0" w:line="220"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Research and development expenses include payroll, employee benefits, stock-based compensation expense, and other headcount -related expenses associated with product development. Research and development expenses also include third-party development and programming costs and the amortization of purchased software code and services content.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increased $2.7 billion or 11% driven by investments in cloud engineering and LinkedIn.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Percentage</w:t>
            </w:r>
          </w:p>
        </w:tc>
      </w:tr>
      <w:tr>
        <w:trPr>
          <w:trHeight w:val="167"/>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w:t>
            </w:r>
          </w:p>
        </w:tc>
        <w:tc>
          <w:tcPr>
            <w:tcW w:w="2520" w:type="dxa"/>
            <w:vAlign w:val="bottom"/>
          </w:tcPr>
          <w:p>
            <w:pPr>
              <w:spacing w:after="0"/>
              <w:rPr>
                <w:sz w:val="14"/>
                <w:szCs w:val="14"/>
                <w:color w:val="auto"/>
              </w:rPr>
            </w:pPr>
          </w:p>
        </w:tc>
        <w:tc>
          <w:tcPr>
            <w:tcW w:w="1000" w:type="dxa"/>
            <w:vAlign w:val="bottom"/>
          </w:tcPr>
          <w:p>
            <w:pPr>
              <w:jc w:val="right"/>
              <w:ind w:right="48"/>
              <w:spacing w:after="0"/>
              <w:rPr>
                <w:sz w:val="20"/>
                <w:szCs w:val="20"/>
                <w:color w:val="auto"/>
              </w:rPr>
            </w:pPr>
            <w:r>
              <w:rPr>
                <w:rFonts w:ascii="Arial" w:cs="Arial" w:eastAsia="Arial" w:hAnsi="Arial"/>
                <w:sz w:val="12"/>
                <w:szCs w:val="12"/>
                <w:b w:val="1"/>
                <w:bCs w:val="1"/>
                <w:color w:val="auto"/>
              </w:rPr>
              <w:t>2023</w:t>
            </w:r>
          </w:p>
        </w:tc>
        <w:tc>
          <w:tcPr>
            <w:tcW w:w="600" w:type="dxa"/>
            <w:vAlign w:val="bottom"/>
          </w:tcPr>
          <w:p>
            <w:pPr>
              <w:spacing w:after="0"/>
              <w:rPr>
                <w:sz w:val="14"/>
                <w:szCs w:val="14"/>
                <w:color w:val="auto"/>
              </w:rPr>
            </w:pPr>
          </w:p>
        </w:tc>
        <w:tc>
          <w:tcPr>
            <w:tcW w:w="1320" w:type="dxa"/>
            <w:vAlign w:val="bottom"/>
          </w:tcPr>
          <w:p>
            <w:pPr>
              <w:jc w:val="right"/>
              <w:ind w:right="388"/>
              <w:spacing w:after="0"/>
              <w:rPr>
                <w:sz w:val="20"/>
                <w:szCs w:val="20"/>
                <w:color w:val="auto"/>
              </w:rPr>
            </w:pPr>
            <w:r>
              <w:rPr>
                <w:rFonts w:ascii="Arial" w:cs="Arial" w:eastAsia="Arial" w:hAnsi="Arial"/>
                <w:sz w:val="12"/>
                <w:szCs w:val="12"/>
                <w:b w:val="1"/>
                <w:bCs w:val="1"/>
                <w:color w:val="auto"/>
              </w:rPr>
              <w:t>2022</w:t>
            </w: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Change</w:t>
            </w:r>
          </w:p>
        </w:tc>
      </w:tr>
      <w:tr>
        <w:trPr>
          <w:trHeight w:val="148"/>
        </w:trPr>
        <w:tc>
          <w:tcPr>
            <w:tcW w:w="3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04"/>
        </w:trPr>
        <w:tc>
          <w:tcPr>
            <w:tcW w:w="3920" w:type="dxa"/>
            <w:vAlign w:val="bottom"/>
            <w:shd w:val="clear" w:color="auto" w:fill="E5E5E5"/>
          </w:tcPr>
          <w:p>
            <w:pPr>
              <w:ind w:left="20"/>
              <w:spacing w:after="0"/>
              <w:rPr>
                <w:sz w:val="20"/>
                <w:szCs w:val="20"/>
                <w:color w:val="auto"/>
              </w:rPr>
            </w:pPr>
            <w:r>
              <w:rPr>
                <w:rFonts w:ascii="Arial" w:cs="Arial" w:eastAsia="Arial" w:hAnsi="Arial"/>
                <w:sz w:val="16"/>
                <w:szCs w:val="16"/>
                <w:color w:val="auto"/>
              </w:rPr>
              <w:t>Sales and marketing</w:t>
            </w:r>
          </w:p>
        </w:tc>
        <w:tc>
          <w:tcPr>
            <w:tcW w:w="2520" w:type="dxa"/>
            <w:vAlign w:val="bottom"/>
            <w:shd w:val="clear" w:color="auto" w:fill="E5E5E5"/>
          </w:tcPr>
          <w:p>
            <w:pPr>
              <w:jc w:val="right"/>
              <w:ind w:right="32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48"/>
              <w:spacing w:after="0"/>
              <w:rPr>
                <w:sz w:val="20"/>
                <w:szCs w:val="20"/>
                <w:color w:val="auto"/>
              </w:rPr>
            </w:pPr>
            <w:r>
              <w:rPr>
                <w:rFonts w:ascii="Arial" w:cs="Arial" w:eastAsia="Arial" w:hAnsi="Arial"/>
                <w:sz w:val="16"/>
                <w:szCs w:val="16"/>
                <w:b w:val="1"/>
                <w:bCs w:val="1"/>
                <w:color w:val="auto"/>
              </w:rPr>
              <w:t>22,759</w:t>
            </w:r>
          </w:p>
        </w:tc>
        <w:tc>
          <w:tcPr>
            <w:tcW w:w="6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E5E5"/>
          </w:tcPr>
          <w:p>
            <w:pPr>
              <w:jc w:val="right"/>
              <w:ind w:right="388"/>
              <w:spacing w:after="0"/>
              <w:rPr>
                <w:sz w:val="20"/>
                <w:szCs w:val="20"/>
                <w:color w:val="auto"/>
              </w:rPr>
            </w:pPr>
            <w:r>
              <w:rPr>
                <w:rFonts w:ascii="Arial" w:cs="Arial" w:eastAsia="Arial" w:hAnsi="Arial"/>
                <w:sz w:val="16"/>
                <w:szCs w:val="16"/>
                <w:color w:val="auto"/>
              </w:rPr>
              <w:t>21,825</w:t>
            </w:r>
          </w:p>
        </w:tc>
        <w:tc>
          <w:tcPr>
            <w:tcW w:w="1200" w:type="dxa"/>
            <w:vAlign w:val="bottom"/>
            <w:shd w:val="clear" w:color="auto" w:fill="E5E5E5"/>
          </w:tcPr>
          <w:p>
            <w:pPr>
              <w:jc w:val="right"/>
              <w:ind w:right="31"/>
              <w:spacing w:after="0"/>
              <w:rPr>
                <w:sz w:val="20"/>
                <w:szCs w:val="20"/>
                <w:color w:val="auto"/>
              </w:rPr>
            </w:pPr>
            <w:r>
              <w:rPr>
                <w:rFonts w:ascii="Arial" w:cs="Arial" w:eastAsia="Arial" w:hAnsi="Arial"/>
                <w:sz w:val="16"/>
                <w:szCs w:val="16"/>
                <w:color w:val="auto"/>
              </w:rPr>
              <w:t>4%</w:t>
            </w:r>
          </w:p>
        </w:tc>
      </w:tr>
      <w:tr>
        <w:trPr>
          <w:trHeight w:val="217"/>
        </w:trPr>
        <w:tc>
          <w:tcPr>
            <w:tcW w:w="3920" w:type="dxa"/>
            <w:vAlign w:val="bottom"/>
          </w:tcPr>
          <w:p>
            <w:pPr>
              <w:ind w:left="20"/>
              <w:spacing w:after="0"/>
              <w:rPr>
                <w:sz w:val="20"/>
                <w:szCs w:val="20"/>
                <w:color w:val="auto"/>
              </w:rPr>
            </w:pPr>
            <w:r>
              <w:rPr>
                <w:rFonts w:ascii="Arial" w:cs="Arial" w:eastAsia="Arial" w:hAnsi="Arial"/>
                <w:sz w:val="16"/>
                <w:szCs w:val="16"/>
                <w:color w:val="auto"/>
              </w:rPr>
              <w:t>As a percent of revenue</w:t>
            </w:r>
          </w:p>
        </w:tc>
        <w:tc>
          <w:tcPr>
            <w:tcW w:w="252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6"/>
                <w:szCs w:val="16"/>
                <w:b w:val="1"/>
                <w:bCs w:val="1"/>
                <w:color w:val="auto"/>
              </w:rPr>
              <w:t>11%</w:t>
            </w:r>
          </w:p>
        </w:tc>
        <w:tc>
          <w:tcPr>
            <w:tcW w:w="600" w:type="dxa"/>
            <w:vAlign w:val="bottom"/>
          </w:tcPr>
          <w:p>
            <w:pPr>
              <w:spacing w:after="0"/>
              <w:rPr>
                <w:sz w:val="18"/>
                <w:szCs w:val="18"/>
                <w:color w:val="auto"/>
              </w:rPr>
            </w:pPr>
          </w:p>
        </w:tc>
        <w:tc>
          <w:tcPr>
            <w:tcW w:w="1320" w:type="dxa"/>
            <w:vAlign w:val="bottom"/>
          </w:tcPr>
          <w:p>
            <w:pPr>
              <w:jc w:val="right"/>
              <w:ind w:right="388"/>
              <w:spacing w:after="0"/>
              <w:rPr>
                <w:sz w:val="20"/>
                <w:szCs w:val="20"/>
                <w:color w:val="auto"/>
              </w:rPr>
            </w:pPr>
            <w:r>
              <w:rPr>
                <w:rFonts w:ascii="Arial" w:cs="Arial" w:eastAsia="Arial" w:hAnsi="Arial"/>
                <w:sz w:val="16"/>
                <w:szCs w:val="16"/>
                <w:color w:val="auto"/>
              </w:rPr>
              <w:t>11%</w:t>
            </w:r>
          </w:p>
        </w:tc>
        <w:tc>
          <w:tcPr>
            <w:tcW w:w="1200" w:type="dxa"/>
            <w:vAlign w:val="bottom"/>
          </w:tcPr>
          <w:p>
            <w:pPr>
              <w:jc w:val="right"/>
              <w:ind w:right="31"/>
              <w:spacing w:after="0"/>
              <w:rPr>
                <w:sz w:val="20"/>
                <w:szCs w:val="20"/>
                <w:color w:val="auto"/>
              </w:rPr>
            </w:pPr>
            <w:r>
              <w:rPr>
                <w:rFonts w:ascii="Arial" w:cs="Arial" w:eastAsia="Arial" w:hAnsi="Arial"/>
                <w:sz w:val="16"/>
                <w:szCs w:val="16"/>
                <w:color w:val="auto"/>
              </w:rPr>
              <w:t>0ppt</w:t>
            </w:r>
          </w:p>
        </w:tc>
      </w:tr>
    </w:tbl>
    <w:p>
      <w:pPr>
        <w:spacing w:after="0" w:line="220" w:lineRule="exact"/>
        <w:rPr>
          <w:sz w:val="20"/>
          <w:szCs w:val="20"/>
          <w:color w:val="auto"/>
        </w:rPr>
      </w:pPr>
    </w:p>
    <w:p>
      <w:pPr>
        <w:ind w:right="700"/>
        <w:spacing w:after="0" w:line="322" w:lineRule="auto"/>
        <w:rPr>
          <w:sz w:val="20"/>
          <w:szCs w:val="20"/>
          <w:color w:val="auto"/>
        </w:rPr>
      </w:pPr>
      <w:r>
        <w:rPr>
          <w:rFonts w:ascii="Arial" w:cs="Arial" w:eastAsia="Arial" w:hAnsi="Arial"/>
          <w:sz w:val="14"/>
          <w:szCs w:val="14"/>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8" w:lineRule="exact"/>
        <w:rPr>
          <w:sz w:val="20"/>
          <w:szCs w:val="20"/>
          <w:color w:val="auto"/>
        </w:rPr>
      </w:pPr>
    </w:p>
    <w:p>
      <w:pPr>
        <w:ind w:right="220"/>
        <w:spacing w:after="0" w:line="322" w:lineRule="auto"/>
        <w:rPr>
          <w:sz w:val="20"/>
          <w:szCs w:val="20"/>
          <w:color w:val="auto"/>
        </w:rPr>
      </w:pPr>
      <w:r>
        <w:rPr>
          <w:rFonts w:ascii="Arial" w:cs="Arial" w:eastAsia="Arial" w:hAnsi="Arial"/>
          <w:sz w:val="14"/>
          <w:szCs w:val="14"/>
          <w:color w:val="auto"/>
        </w:rPr>
        <w:t>Sales and marketing expenses increased $934 million or 4% driven by 3 points of growth from the Nuance and Xandr acquisitions and investments in commercial sales, offset in part by a decline in Windows advertising. Sales and marketing included a favorable foreign currency impact of 2%.</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Percentage</w:t>
            </w:r>
          </w:p>
        </w:tc>
      </w:tr>
      <w:tr>
        <w:trPr>
          <w:trHeight w:val="167"/>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w:t>
            </w:r>
          </w:p>
        </w:tc>
        <w:tc>
          <w:tcPr>
            <w:tcW w:w="256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2"/>
                <w:szCs w:val="12"/>
                <w:b w:val="1"/>
                <w:bCs w:val="1"/>
                <w:color w:val="auto"/>
              </w:rPr>
              <w:t>2023</w:t>
            </w:r>
          </w:p>
        </w:tc>
        <w:tc>
          <w:tcPr>
            <w:tcW w:w="640" w:type="dxa"/>
            <w:vAlign w:val="bottom"/>
          </w:tcPr>
          <w:p>
            <w:pPr>
              <w:spacing w:after="0"/>
              <w:rPr>
                <w:sz w:val="14"/>
                <w:szCs w:val="14"/>
                <w:color w:val="auto"/>
              </w:rPr>
            </w:pPr>
          </w:p>
        </w:tc>
        <w:tc>
          <w:tcPr>
            <w:tcW w:w="1300" w:type="dxa"/>
            <w:vAlign w:val="bottom"/>
          </w:tcPr>
          <w:p>
            <w:pPr>
              <w:jc w:val="right"/>
              <w:ind w:right="388"/>
              <w:spacing w:after="0"/>
              <w:rPr>
                <w:sz w:val="20"/>
                <w:szCs w:val="20"/>
                <w:color w:val="auto"/>
              </w:rPr>
            </w:pPr>
            <w:r>
              <w:rPr>
                <w:rFonts w:ascii="Arial" w:cs="Arial" w:eastAsia="Arial" w:hAnsi="Arial"/>
                <w:sz w:val="12"/>
                <w:szCs w:val="12"/>
                <w:b w:val="1"/>
                <w:bCs w:val="1"/>
                <w:color w:val="auto"/>
              </w:rPr>
              <w:t>2022</w:t>
            </w:r>
          </w:p>
        </w:tc>
        <w:tc>
          <w:tcPr>
            <w:tcW w:w="1200" w:type="dxa"/>
            <w:vAlign w:val="bottom"/>
          </w:tcPr>
          <w:p>
            <w:pPr>
              <w:jc w:val="right"/>
              <w:ind w:right="31"/>
              <w:spacing w:after="0"/>
              <w:rPr>
                <w:sz w:val="20"/>
                <w:szCs w:val="20"/>
                <w:color w:val="auto"/>
              </w:rPr>
            </w:pPr>
            <w:r>
              <w:rPr>
                <w:rFonts w:ascii="Arial" w:cs="Arial" w:eastAsia="Arial" w:hAnsi="Arial"/>
                <w:sz w:val="12"/>
                <w:szCs w:val="12"/>
                <w:b w:val="1"/>
                <w:bCs w:val="1"/>
                <w:color w:val="auto"/>
              </w:rPr>
              <w:t>Change</w:t>
            </w:r>
          </w:p>
        </w:tc>
      </w:tr>
      <w:tr>
        <w:trPr>
          <w:trHeight w:val="148"/>
        </w:trPr>
        <w:tc>
          <w:tcPr>
            <w:tcW w:w="39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56"/>
        </w:trPr>
        <w:tc>
          <w:tcPr>
            <w:tcW w:w="392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General and administrative</w:t>
            </w:r>
          </w:p>
        </w:tc>
        <w:tc>
          <w:tcPr>
            <w:tcW w:w="2560" w:type="dxa"/>
            <w:vAlign w:val="bottom"/>
            <w:tcBorders>
              <w:bottom w:val="single" w:sz="8" w:color="E5E5E5"/>
            </w:tcBorders>
            <w:shd w:val="clear" w:color="auto" w:fill="E5E5E5"/>
          </w:tcPr>
          <w:p>
            <w:pPr>
              <w:jc w:val="right"/>
              <w:ind w:right="362"/>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E5E5E5"/>
            </w:tcBorders>
            <w:shd w:val="clear" w:color="auto" w:fill="E5E5E5"/>
          </w:tcPr>
          <w:p>
            <w:pPr>
              <w:jc w:val="right"/>
              <w:ind w:right="48"/>
              <w:spacing w:after="0"/>
              <w:rPr>
                <w:sz w:val="20"/>
                <w:szCs w:val="20"/>
                <w:color w:val="auto"/>
              </w:rPr>
            </w:pPr>
            <w:r>
              <w:rPr>
                <w:rFonts w:ascii="Arial" w:cs="Arial" w:eastAsia="Arial" w:hAnsi="Arial"/>
                <w:sz w:val="16"/>
                <w:szCs w:val="16"/>
                <w:b w:val="1"/>
                <w:bCs w:val="1"/>
                <w:color w:val="auto"/>
              </w:rPr>
              <w:t>7,575</w:t>
            </w:r>
          </w:p>
        </w:tc>
        <w:tc>
          <w:tcPr>
            <w:tcW w:w="640" w:type="dxa"/>
            <w:vAlign w:val="bottom"/>
            <w:tcBorders>
              <w:bottom w:val="single" w:sz="8" w:color="E5E5E5"/>
            </w:tcBorders>
            <w:shd w:val="clear" w:color="auto" w:fill="E5E5E5"/>
          </w:tcPr>
          <w:p>
            <w:pPr>
              <w:jc w:val="right"/>
              <w:ind w:right="342"/>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5E5E5"/>
            </w:tcBorders>
            <w:shd w:val="clear" w:color="auto" w:fill="E5E5E5"/>
          </w:tcPr>
          <w:p>
            <w:pPr>
              <w:jc w:val="right"/>
              <w:ind w:right="388"/>
              <w:spacing w:after="0"/>
              <w:rPr>
                <w:sz w:val="20"/>
                <w:szCs w:val="20"/>
                <w:color w:val="auto"/>
              </w:rPr>
            </w:pPr>
            <w:r>
              <w:rPr>
                <w:rFonts w:ascii="Arial" w:cs="Arial" w:eastAsia="Arial" w:hAnsi="Arial"/>
                <w:sz w:val="16"/>
                <w:szCs w:val="16"/>
                <w:color w:val="auto"/>
              </w:rPr>
              <w:t>5,900</w:t>
            </w:r>
          </w:p>
        </w:tc>
        <w:tc>
          <w:tcPr>
            <w:tcW w:w="1200" w:type="dxa"/>
            <w:vAlign w:val="bottom"/>
            <w:tcBorders>
              <w:bottom w:val="single" w:sz="8" w:color="E5E5E5"/>
            </w:tcBorders>
            <w:shd w:val="clear" w:color="auto" w:fill="E5E5E5"/>
          </w:tcPr>
          <w:p>
            <w:pPr>
              <w:jc w:val="right"/>
              <w:ind w:right="31"/>
              <w:spacing w:after="0"/>
              <w:rPr>
                <w:sz w:val="20"/>
                <w:szCs w:val="20"/>
                <w:color w:val="auto"/>
              </w:rPr>
            </w:pPr>
            <w:r>
              <w:rPr>
                <w:rFonts w:ascii="Arial" w:cs="Arial" w:eastAsia="Arial" w:hAnsi="Arial"/>
                <w:sz w:val="16"/>
                <w:szCs w:val="16"/>
                <w:color w:val="auto"/>
              </w:rPr>
              <w:t>28%</w:t>
            </w:r>
          </w:p>
        </w:tc>
      </w:tr>
      <w:tr>
        <w:trPr>
          <w:trHeight w:val="217"/>
        </w:trPr>
        <w:tc>
          <w:tcPr>
            <w:tcW w:w="3920" w:type="dxa"/>
            <w:vAlign w:val="bottom"/>
          </w:tcPr>
          <w:p>
            <w:pPr>
              <w:ind w:left="20"/>
              <w:spacing w:after="0"/>
              <w:rPr>
                <w:sz w:val="20"/>
                <w:szCs w:val="20"/>
                <w:color w:val="auto"/>
              </w:rPr>
            </w:pPr>
            <w:r>
              <w:rPr>
                <w:rFonts w:ascii="Arial" w:cs="Arial" w:eastAsia="Arial" w:hAnsi="Arial"/>
                <w:sz w:val="16"/>
                <w:szCs w:val="16"/>
                <w:color w:val="auto"/>
              </w:rPr>
              <w:t>As a percent of revenue</w:t>
            </w:r>
          </w:p>
        </w:tc>
        <w:tc>
          <w:tcPr>
            <w:tcW w:w="2560" w:type="dxa"/>
            <w:vAlign w:val="bottom"/>
          </w:tcPr>
          <w:p>
            <w:pPr>
              <w:spacing w:after="0"/>
              <w:rPr>
                <w:sz w:val="18"/>
                <w:szCs w:val="18"/>
                <w:color w:val="auto"/>
              </w:rPr>
            </w:pPr>
          </w:p>
        </w:tc>
        <w:tc>
          <w:tcPr>
            <w:tcW w:w="940" w:type="dxa"/>
            <w:vAlign w:val="bottom"/>
          </w:tcPr>
          <w:p>
            <w:pPr>
              <w:jc w:val="right"/>
              <w:ind w:right="48"/>
              <w:spacing w:after="0"/>
              <w:rPr>
                <w:sz w:val="20"/>
                <w:szCs w:val="20"/>
                <w:color w:val="auto"/>
              </w:rPr>
            </w:pPr>
            <w:r>
              <w:rPr>
                <w:rFonts w:ascii="Arial" w:cs="Arial" w:eastAsia="Arial" w:hAnsi="Arial"/>
                <w:sz w:val="16"/>
                <w:szCs w:val="16"/>
                <w:b w:val="1"/>
                <w:bCs w:val="1"/>
                <w:color w:val="auto"/>
              </w:rPr>
              <w:t>4%</w:t>
            </w:r>
          </w:p>
        </w:tc>
        <w:tc>
          <w:tcPr>
            <w:tcW w:w="640" w:type="dxa"/>
            <w:vAlign w:val="bottom"/>
          </w:tcPr>
          <w:p>
            <w:pPr>
              <w:spacing w:after="0"/>
              <w:rPr>
                <w:sz w:val="18"/>
                <w:szCs w:val="18"/>
                <w:color w:val="auto"/>
              </w:rPr>
            </w:pPr>
          </w:p>
        </w:tc>
        <w:tc>
          <w:tcPr>
            <w:tcW w:w="1300" w:type="dxa"/>
            <w:vAlign w:val="bottom"/>
          </w:tcPr>
          <w:p>
            <w:pPr>
              <w:jc w:val="right"/>
              <w:ind w:right="408"/>
              <w:spacing w:after="0"/>
              <w:rPr>
                <w:sz w:val="20"/>
                <w:szCs w:val="20"/>
                <w:color w:val="auto"/>
              </w:rPr>
            </w:pPr>
            <w:r>
              <w:rPr>
                <w:rFonts w:ascii="Arial" w:cs="Arial" w:eastAsia="Arial" w:hAnsi="Arial"/>
                <w:sz w:val="16"/>
                <w:szCs w:val="16"/>
                <w:color w:val="auto"/>
              </w:rPr>
              <w:t>3%</w:t>
            </w:r>
          </w:p>
        </w:tc>
        <w:tc>
          <w:tcPr>
            <w:tcW w:w="1200" w:type="dxa"/>
            <w:vAlign w:val="bottom"/>
          </w:tcPr>
          <w:p>
            <w:pPr>
              <w:jc w:val="right"/>
              <w:ind w:right="31"/>
              <w:spacing w:after="0"/>
              <w:rPr>
                <w:sz w:val="20"/>
                <w:szCs w:val="20"/>
                <w:color w:val="auto"/>
              </w:rPr>
            </w:pPr>
            <w:r>
              <w:rPr>
                <w:rFonts w:ascii="Arial" w:cs="Arial" w:eastAsia="Arial" w:hAnsi="Arial"/>
                <w:sz w:val="16"/>
                <w:szCs w:val="16"/>
                <w:color w:val="auto"/>
              </w:rPr>
              <w:t>1ppt</w:t>
            </w:r>
          </w:p>
        </w:tc>
      </w:tr>
    </w:tbl>
    <w:p>
      <w:pPr>
        <w:spacing w:after="0" w:line="220"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General and administrative expenses include payroll, employee benefits, stock- based compensation expense, employee severance expense incurred as part of a corporate program, and other headcount -related expenses associated with finance, legal, facilities, certain human resources and other administrative personnel, certain taxes, and legal and other administrative fees.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8"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General and administrative expenses increased $1.7 billion or 28% driven by employee severance expenses and a charge related to a non-public preliminary draft decision provided by the Irish Data Protection Commission. General and administrative included a favorable foreign currency impact of 2%.</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92" w:lineRule="exact"/>
        <w:rPr>
          <w:sz w:val="20"/>
          <w:szCs w:val="20"/>
          <w:color w:val="auto"/>
        </w:rPr>
      </w:pPr>
    </w:p>
    <w:p>
      <w:pPr>
        <w:ind w:left="4040"/>
        <w:spacing w:after="0"/>
        <w:rPr>
          <w:sz w:val="20"/>
          <w:szCs w:val="20"/>
          <w:color w:val="auto"/>
        </w:rPr>
      </w:pPr>
      <w:r>
        <w:rPr>
          <w:rFonts w:ascii="Arial" w:cs="Arial" w:eastAsia="Arial" w:hAnsi="Arial"/>
          <w:sz w:val="16"/>
          <w:szCs w:val="16"/>
          <w:u w:val="single" w:color="auto"/>
          <w:color w:val="auto"/>
        </w:rPr>
        <w:t>OTHER INCOME (EXPENSE), NET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other income (expense), net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71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4"/>
                <w:szCs w:val="24"/>
                <w:color w:val="auto"/>
              </w:rPr>
            </w:pPr>
          </w:p>
        </w:tc>
      </w:tr>
      <w:tr>
        <w:trPr>
          <w:trHeight w:val="76"/>
        </w:trPr>
        <w:tc>
          <w:tcPr>
            <w:tcW w:w="7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Interest and dividends income</w:t>
            </w:r>
          </w:p>
        </w:tc>
        <w:tc>
          <w:tcPr>
            <w:tcW w:w="620" w:type="dxa"/>
            <w:vAlign w:val="bottom"/>
            <w:shd w:val="clear" w:color="auto" w:fill="E5E5E5"/>
          </w:tcPr>
          <w:p>
            <w:pPr>
              <w:jc w:val="right"/>
              <w:ind w:right="4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2,994</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2,094</w:t>
            </w:r>
          </w:p>
        </w:tc>
        <w:tc>
          <w:tcPr>
            <w:tcW w:w="80" w:type="dxa"/>
            <w:vAlign w:val="bottom"/>
            <w:shd w:val="clear" w:color="auto" w:fill="E5E5E5"/>
          </w:tcPr>
          <w:p>
            <w:pPr>
              <w:spacing w:after="0"/>
              <w:rPr>
                <w:sz w:val="17"/>
                <w:szCs w:val="17"/>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(1,968 )</w:t>
            </w:r>
          </w:p>
        </w:tc>
        <w:tc>
          <w:tcPr>
            <w:tcW w:w="6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(2,063 )</w:t>
            </w:r>
          </w:p>
        </w:tc>
      </w:tr>
      <w:tr>
        <w:trPr>
          <w:trHeight w:val="204"/>
        </w:trPr>
        <w:tc>
          <w:tcPr>
            <w:tcW w:w="7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recognized gains on investments</w:t>
            </w:r>
          </w:p>
        </w:tc>
        <w:tc>
          <w:tcPr>
            <w:tcW w:w="6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260</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w:t>
            </w:r>
          </w:p>
        </w:tc>
        <w:tc>
          <w:tcPr>
            <w:tcW w:w="80" w:type="dxa"/>
            <w:vAlign w:val="bottom"/>
            <w:shd w:val="clear" w:color="auto" w:fill="E5E5E5"/>
          </w:tcPr>
          <w:p>
            <w:pPr>
              <w:spacing w:after="0"/>
              <w:rPr>
                <w:sz w:val="17"/>
                <w:szCs w:val="17"/>
                <w:color w:val="auto"/>
              </w:rPr>
            </w:pPr>
          </w:p>
        </w:tc>
      </w:tr>
      <w:tr>
        <w:trPr>
          <w:trHeight w:val="204"/>
        </w:trPr>
        <w:tc>
          <w:tcPr>
            <w:tcW w:w="7100" w:type="dxa"/>
            <w:vAlign w:val="bottom"/>
          </w:tcPr>
          <w:p>
            <w:pPr>
              <w:ind w:left="20"/>
              <w:spacing w:after="0"/>
              <w:rPr>
                <w:sz w:val="20"/>
                <w:szCs w:val="20"/>
                <w:color w:val="auto"/>
              </w:rPr>
            </w:pPr>
            <w:r>
              <w:rPr>
                <w:rFonts w:ascii="Arial" w:cs="Arial" w:eastAsia="Arial" w:hAnsi="Arial"/>
                <w:sz w:val="16"/>
                <w:szCs w:val="16"/>
                <w:color w:val="auto"/>
              </w:rPr>
              <w:t>Net losses on derivatives</w:t>
            </w:r>
          </w:p>
        </w:tc>
        <w:tc>
          <w:tcPr>
            <w:tcW w:w="6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(456 )</w:t>
            </w:r>
          </w:p>
        </w:tc>
        <w:tc>
          <w:tcPr>
            <w:tcW w:w="6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(52 )</w:t>
            </w:r>
          </w:p>
        </w:tc>
      </w:tr>
      <w:tr>
        <w:trPr>
          <w:trHeight w:val="204"/>
        </w:trPr>
        <w:tc>
          <w:tcPr>
            <w:tcW w:w="7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gains (losses) on foreign currency remeasurements</w:t>
            </w:r>
          </w:p>
        </w:tc>
        <w:tc>
          <w:tcPr>
            <w:tcW w:w="6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181</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(75 )</w:t>
            </w:r>
          </w:p>
        </w:tc>
      </w:tr>
      <w:tr>
        <w:trPr>
          <w:trHeight w:val="217"/>
        </w:trPr>
        <w:tc>
          <w:tcPr>
            <w:tcW w:w="7100" w:type="dxa"/>
            <w:vAlign w:val="bottom"/>
          </w:tcPr>
          <w:p>
            <w:pPr>
              <w:ind w:left="20"/>
              <w:spacing w:after="0"/>
              <w:rPr>
                <w:sz w:val="20"/>
                <w:szCs w:val="20"/>
                <w:color w:val="auto"/>
              </w:rPr>
            </w:pPr>
            <w:r>
              <w:rPr>
                <w:rFonts w:ascii="Arial" w:cs="Arial" w:eastAsia="Arial" w:hAnsi="Arial"/>
                <w:sz w:val="16"/>
                <w:szCs w:val="16"/>
                <w:color w:val="auto"/>
              </w:rPr>
              <w:t>Other, net</w:t>
            </w:r>
          </w:p>
        </w:tc>
        <w:tc>
          <w:tcPr>
            <w:tcW w:w="6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(223 )</w:t>
            </w:r>
          </w:p>
        </w:tc>
        <w:tc>
          <w:tcPr>
            <w:tcW w:w="6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(32 )</w:t>
            </w:r>
          </w:p>
        </w:tc>
      </w:tr>
      <w:tr>
        <w:trPr>
          <w:trHeight w:val="131"/>
        </w:trPr>
        <w:tc>
          <w:tcPr>
            <w:tcW w:w="7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1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620" w:type="dxa"/>
            <w:vAlign w:val="bottom"/>
            <w:shd w:val="clear" w:color="auto" w:fill="E5E5E5"/>
          </w:tcPr>
          <w:p>
            <w:pPr>
              <w:jc w:val="right"/>
              <w:ind w:right="4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788</w:t>
            </w:r>
          </w:p>
        </w:tc>
        <w:tc>
          <w:tcPr>
            <w:tcW w:w="220" w:type="dxa"/>
            <w:vAlign w:val="bottom"/>
            <w:shd w:val="clear" w:color="auto" w:fill="E5E5E5"/>
          </w:tcPr>
          <w:p>
            <w:pPr>
              <w:spacing w:after="0"/>
              <w:rPr>
                <w:sz w:val="17"/>
                <w:szCs w:val="17"/>
                <w:color w:val="auto"/>
              </w:rPr>
            </w:pPr>
          </w:p>
        </w:tc>
        <w:tc>
          <w:tcPr>
            <w:tcW w:w="600" w:type="dxa"/>
            <w:vAlign w:val="bottom"/>
            <w:shd w:val="clear" w:color="auto" w:fill="E5E5E5"/>
          </w:tcPr>
          <w:p>
            <w:pPr>
              <w:jc w:val="right"/>
              <w:ind w:right="422"/>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333</w:t>
            </w:r>
          </w:p>
        </w:tc>
        <w:tc>
          <w:tcPr>
            <w:tcW w:w="80" w:type="dxa"/>
            <w:vAlign w:val="bottom"/>
            <w:shd w:val="clear" w:color="auto" w:fill="E5E5E5"/>
          </w:tcPr>
          <w:p>
            <w:pPr>
              <w:spacing w:after="0"/>
              <w:rPr>
                <w:sz w:val="17"/>
                <w:szCs w:val="17"/>
                <w:color w:val="auto"/>
              </w:rPr>
            </w:pPr>
          </w:p>
        </w:tc>
      </w:tr>
      <w:tr>
        <w:trPr>
          <w:trHeight w:val="76"/>
        </w:trPr>
        <w:tc>
          <w:tcPr>
            <w:tcW w:w="7100" w:type="dxa"/>
            <w:vAlign w:val="bottom"/>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5501640</wp:posOffset>
            </wp:positionH>
            <wp:positionV relativeFrom="paragraph">
              <wp:posOffset>-73025</wp:posOffset>
            </wp:positionV>
            <wp:extent cx="93980" cy="86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We use derivative instruments to manage risks related to foreign currencies, equity prices, interest rates, and credit; enhance investment returns; and facilitate portfolio diversification. Gains and losses from changes in fair values of derivatives that are not designated as hedging instruments are primarily recognized in other income (expense), net.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Fiscal Year 2023 Compared with Fiscal Year 2022</w:t>
      </w:r>
    </w:p>
    <w:p>
      <w:pPr>
        <w:spacing w:after="0" w:line="148"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Interest and dividends income increased due to higher yields, offset in part by lower portfolio balances. Interest expense decreased due to a decrease in outstanding long-term debt due to debt maturities. Net recognized gains on investments decreased due to lower gains on equity securities and higher losses on fixed income securities. Net losses on derivatives increased due to losses related to managing strategic investments.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INCOME TAXES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Our effective tax rate for fiscal years 2023 and 2022 was 19% and 13%, respectively. The increase in our effective tax rate was primarily due to a $3.3 billion net income tax benefit in the first quarter of fiscal year 2022 related to the transfer of intangible properties and a decrease in tax benefits relating to stock-based compensation.</w:t>
      </w:r>
    </w:p>
    <w:p>
      <w:pPr>
        <w:spacing w:after="0" w:line="125" w:lineRule="exact"/>
        <w:rPr>
          <w:sz w:val="20"/>
          <w:szCs w:val="20"/>
          <w:color w:val="auto"/>
        </w:rPr>
      </w:pPr>
    </w:p>
    <w:p>
      <w:pPr>
        <w:jc w:val="both"/>
        <w:ind w:right="140"/>
        <w:spacing w:after="0" w:line="243" w:lineRule="auto"/>
        <w:rPr>
          <w:sz w:val="20"/>
          <w:szCs w:val="20"/>
          <w:color w:val="auto"/>
        </w:rPr>
      </w:pPr>
      <w:r>
        <w:rPr>
          <w:rFonts w:ascii="Arial" w:cs="Arial" w:eastAsia="Arial" w:hAnsi="Arial"/>
          <w:sz w:val="16"/>
          <w:szCs w:val="16"/>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tax.</w:t>
      </w:r>
    </w:p>
    <w:p>
      <w:pPr>
        <w:spacing w:after="0" w:line="125"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Our effective tax rate was lower than the U.S. federal statutory rate, primarily due to earnings taxed at lower rates in foreign jurisdictions resulting from producing and distributing our products and services through our foreign regional operations center in Ireland.</w:t>
      </w:r>
    </w:p>
    <w:p>
      <w:pPr>
        <w:spacing w:after="0" w:line="11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The mix of income before income taxes between the U.S. and foreign countries impacted our effective tax rate as a result of the geographic distribution of, and customer demand for, our products and services. In fiscal year 2023, our U.S. income before income taxes was $52.9 billion and our foreign income before income taxes was $36.4 billion. In fiscal year 2022, our U.S. income before income taxes was $47.8 billion and our foreign income before income taxes was $35.9 billion.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 Tax Positions</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7</w:t>
      </w:r>
    </w:p>
    <w:p>
      <w:pPr>
        <w:spacing w:after="0" w:line="320" w:lineRule="exact"/>
        <w:rPr>
          <w:sz w:val="20"/>
          <w:szCs w:val="20"/>
          <w:color w:val="auto"/>
        </w:rPr>
      </w:pPr>
    </w:p>
    <w:p>
      <w:pPr>
        <w:ind w:left="20" w:right="60"/>
        <w:spacing w:after="0" w:line="239" w:lineRule="auto"/>
        <w:rPr>
          <w:sz w:val="20"/>
          <w:szCs w:val="20"/>
          <w:color w:val="auto"/>
        </w:rPr>
      </w:pPr>
      <w:r>
        <w:rPr>
          <w:rFonts w:ascii="Arial" w:cs="Arial" w:eastAsia="Arial" w:hAnsi="Arial"/>
          <w:sz w:val="16"/>
          <w:szCs w:val="16"/>
          <w:color w:val="auto"/>
        </w:rPr>
        <w:t>As of June 30, 2023,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We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8" w:lineRule="exact"/>
        <w:rPr>
          <w:sz w:val="20"/>
          <w:szCs w:val="20"/>
          <w:color w:val="auto"/>
        </w:rPr>
      </w:pPr>
    </w:p>
    <w:p>
      <w:pPr>
        <w:ind w:left="20" w:right="40"/>
        <w:spacing w:after="0" w:line="243" w:lineRule="auto"/>
        <w:rPr>
          <w:sz w:val="20"/>
          <w:szCs w:val="20"/>
          <w:color w:val="auto"/>
        </w:rPr>
      </w:pPr>
      <w:r>
        <w:rPr>
          <w:rFonts w:ascii="Arial" w:cs="Arial" w:eastAsia="Arial" w:hAnsi="Arial"/>
          <w:sz w:val="16"/>
          <w:szCs w:val="16"/>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NON-GAAP FINANCIAL MEASURES</w:t>
      </w:r>
    </w:p>
    <w:p>
      <w:pPr>
        <w:spacing w:after="0" w:line="140" w:lineRule="exact"/>
        <w:rPr>
          <w:sz w:val="20"/>
          <w:szCs w:val="20"/>
          <w:color w:val="auto"/>
        </w:rPr>
      </w:pPr>
    </w:p>
    <w:p>
      <w:pPr>
        <w:ind w:left="20" w:right="40"/>
        <w:spacing w:after="0" w:line="277" w:lineRule="auto"/>
        <w:rPr>
          <w:sz w:val="20"/>
          <w:szCs w:val="20"/>
          <w:color w:val="auto"/>
        </w:rPr>
      </w:pPr>
      <w:r>
        <w:rPr>
          <w:rFonts w:ascii="Arial" w:cs="Arial" w:eastAsia="Arial" w:hAnsi="Arial"/>
          <w:sz w:val="14"/>
          <w:szCs w:val="14"/>
          <w:color w:val="auto"/>
        </w:rPr>
        <w:t>Adjusted gross margin, operating income, net income, and diluted EPS are non-GAAP financial measures. Current year non-GAAP financial measures exclude the impact of the Q2 charge, which includes employee severance expenses, impairment charges resulting from changes to our hardware portfolio, and costs related to lease consolidation activities. Prior year non -GAAP financial measures exclude the net income tax benefit related to transfer of intangible properties in the first quarter of fiscal year 2022. We believe these non-GAAP measures aid investors by providing additional insight into our operational performance and help clarify trends affecting our business. For comparability of reporting, management considers non -GAAP measures in conjunction with GAAP financial results in evaluating business performance. These non-GAAP financial measures presented should not be considered a substitute for, or superior to, the measures of financial performance prepared in accordance with GAAP.</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reconciles our financial results reported in accordance with GAAP to non-GAAP financial results: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Percentage</w:t>
            </w:r>
          </w:p>
        </w:tc>
        <w:tc>
          <w:tcPr>
            <w:tcW w:w="0" w:type="dxa"/>
            <w:vAlign w:val="bottom"/>
          </w:tcPr>
          <w:p>
            <w:pPr>
              <w:spacing w:after="0"/>
              <w:rPr>
                <w:sz w:val="1"/>
                <w:szCs w:val="1"/>
                <w:color w:val="auto"/>
              </w:rPr>
            </w:pPr>
          </w:p>
        </w:tc>
      </w:tr>
      <w:tr>
        <w:trPr>
          <w:trHeight w:val="167"/>
        </w:trPr>
        <w:tc>
          <w:tcPr>
            <w:tcW w:w="58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percentages and per share amounts)</w:t>
            </w:r>
          </w:p>
        </w:tc>
        <w:tc>
          <w:tcPr>
            <w:tcW w:w="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5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Gross margin</w:t>
            </w:r>
          </w:p>
        </w:tc>
        <w:tc>
          <w:tcPr>
            <w:tcW w:w="460" w:type="dxa"/>
            <w:vAlign w:val="bottom"/>
            <w:shd w:val="clear" w:color="auto" w:fill="E5E5E5"/>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146,052</w:t>
            </w:r>
          </w:p>
        </w:tc>
        <w:tc>
          <w:tcPr>
            <w:tcW w:w="6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135,620</w:t>
            </w:r>
          </w:p>
        </w:tc>
        <w:tc>
          <w:tcPr>
            <w:tcW w:w="5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840" w:type="dxa"/>
            <w:vAlign w:val="bottom"/>
          </w:tcPr>
          <w:p>
            <w:pPr>
              <w:ind w:left="20"/>
              <w:spacing w:after="0"/>
              <w:rPr>
                <w:sz w:val="20"/>
                <w:szCs w:val="20"/>
                <w:color w:val="auto"/>
              </w:rPr>
            </w:pPr>
            <w:r>
              <w:rPr>
                <w:rFonts w:ascii="Arial" w:cs="Arial" w:eastAsia="Arial" w:hAnsi="Arial"/>
                <w:sz w:val="16"/>
                <w:szCs w:val="16"/>
                <w:color w:val="auto"/>
              </w:rPr>
              <w:t>Severance, hardware-related impairment, and lease consolidation costs</w:t>
            </w: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152</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Adjusted gross margin (non-GAAP)</w:t>
            </w:r>
          </w:p>
        </w:tc>
        <w:tc>
          <w:tcPr>
            <w:tcW w:w="460" w:type="dxa"/>
            <w:vAlign w:val="bottom"/>
            <w:shd w:val="clear" w:color="auto" w:fill="E5E5E5"/>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146,204</w:t>
            </w:r>
          </w:p>
        </w:tc>
        <w:tc>
          <w:tcPr>
            <w:tcW w:w="6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135,620</w:t>
            </w:r>
          </w:p>
        </w:tc>
        <w:tc>
          <w:tcPr>
            <w:tcW w:w="5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584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58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88,523</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83,383</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Severance, hardware-related impairment, and lease consolidation costs</w:t>
            </w: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1,171</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5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840" w:type="dxa"/>
            <w:vAlign w:val="bottom"/>
          </w:tcPr>
          <w:p>
            <w:pPr>
              <w:ind w:left="20"/>
              <w:spacing w:after="0"/>
              <w:rPr>
                <w:sz w:val="20"/>
                <w:szCs w:val="20"/>
                <w:color w:val="auto"/>
              </w:rPr>
            </w:pPr>
            <w:r>
              <w:rPr>
                <w:rFonts w:ascii="Arial" w:cs="Arial" w:eastAsia="Arial" w:hAnsi="Arial"/>
                <w:sz w:val="16"/>
                <w:szCs w:val="16"/>
                <w:color w:val="auto"/>
              </w:rPr>
              <w:t>Adjusted operating income (non-GAAP)</w:t>
            </w: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89,694</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83,383</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8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E5E5E5"/>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72,361</w:t>
            </w:r>
          </w:p>
        </w:tc>
        <w:tc>
          <w:tcPr>
            <w:tcW w:w="6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72,738</w:t>
            </w:r>
          </w:p>
        </w:tc>
        <w:tc>
          <w:tcPr>
            <w:tcW w:w="5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6"/>
                <w:szCs w:val="16"/>
                <w:color w:val="auto"/>
              </w:rPr>
              <w:t>Severance, hardware-related impairment, and lease consolidation costs</w:t>
            </w:r>
          </w:p>
        </w:tc>
        <w:tc>
          <w:tcPr>
            <w:tcW w:w="4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946</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5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 tax benefit related to transfer of intangible properties</w:t>
            </w: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6"/>
                <w:szCs w:val="16"/>
                <w:color w:val="auto"/>
              </w:rPr>
              <w:t>(3,291 )</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840" w:type="dxa"/>
            <w:vAlign w:val="bottom"/>
          </w:tcPr>
          <w:p>
            <w:pPr>
              <w:ind w:left="220"/>
              <w:spacing w:after="0"/>
              <w:rPr>
                <w:sz w:val="20"/>
                <w:szCs w:val="20"/>
                <w:color w:val="auto"/>
              </w:rPr>
            </w:pPr>
            <w:r>
              <w:rPr>
                <w:rFonts w:ascii="Arial" w:cs="Arial" w:eastAsia="Arial" w:hAnsi="Arial"/>
                <w:sz w:val="16"/>
                <w:szCs w:val="16"/>
                <w:color w:val="auto"/>
              </w:rPr>
              <w:t>Adjusted net income (non-GAAP)</w:t>
            </w: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73,307</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69,447</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8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5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9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Diluted earnings per share</w:t>
            </w:r>
          </w:p>
        </w:tc>
        <w:tc>
          <w:tcPr>
            <w:tcW w:w="460" w:type="dxa"/>
            <w:vAlign w:val="bottom"/>
            <w:shd w:val="clear" w:color="auto" w:fill="E5E5E5"/>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9.68</w:t>
            </w:r>
          </w:p>
        </w:tc>
        <w:tc>
          <w:tcPr>
            <w:tcW w:w="6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9.65</w:t>
            </w:r>
          </w:p>
        </w:tc>
        <w:tc>
          <w:tcPr>
            <w:tcW w:w="520" w:type="dxa"/>
            <w:vAlign w:val="bottom"/>
            <w:shd w:val="clear" w:color="auto" w:fill="E5E5E5"/>
          </w:tcPr>
          <w:p>
            <w:pPr>
              <w:spacing w:after="0"/>
              <w:rPr>
                <w:sz w:val="17"/>
                <w:szCs w:val="17"/>
                <w:color w:val="auto"/>
              </w:rPr>
            </w:pP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tcPr>
          <w:p>
            <w:pPr>
              <w:ind w:left="20"/>
              <w:spacing w:after="0"/>
              <w:rPr>
                <w:sz w:val="20"/>
                <w:szCs w:val="20"/>
                <w:color w:val="auto"/>
              </w:rPr>
            </w:pPr>
            <w:r>
              <w:rPr>
                <w:rFonts w:ascii="Arial" w:cs="Arial" w:eastAsia="Arial" w:hAnsi="Arial"/>
                <w:sz w:val="16"/>
                <w:szCs w:val="16"/>
                <w:color w:val="auto"/>
              </w:rPr>
              <w:t>Severance, hardware-related impairment, and lease consolidation costs</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0.13</w:t>
            </w: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4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 tax benefit related to transfer of intangible properties</w:t>
            </w:r>
          </w:p>
        </w:tc>
        <w:tc>
          <w:tcPr>
            <w:tcW w:w="46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1460" w:type="dxa"/>
            <w:vAlign w:val="bottom"/>
            <w:gridSpan w:val="2"/>
            <w:shd w:val="clear" w:color="auto" w:fill="E5E5E5"/>
          </w:tcPr>
          <w:p>
            <w:pPr>
              <w:jc w:val="right"/>
              <w:ind w:right="460"/>
              <w:spacing w:after="0"/>
              <w:rPr>
                <w:sz w:val="20"/>
                <w:szCs w:val="20"/>
                <w:color w:val="auto"/>
              </w:rPr>
            </w:pPr>
            <w:r>
              <w:rPr>
                <w:rFonts w:ascii="Arial" w:cs="Arial" w:eastAsia="Arial" w:hAnsi="Arial"/>
                <w:sz w:val="16"/>
                <w:szCs w:val="16"/>
                <w:color w:val="auto"/>
              </w:rPr>
              <w:t>(0.44 )</w:t>
            </w:r>
          </w:p>
        </w:tc>
        <w:tc>
          <w:tcPr>
            <w:tcW w:w="11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5840" w:type="dxa"/>
            <w:vAlign w:val="bottom"/>
          </w:tcPr>
          <w:p>
            <w:pPr>
              <w:ind w:left="220"/>
              <w:spacing w:after="0"/>
              <w:rPr>
                <w:sz w:val="20"/>
                <w:szCs w:val="20"/>
                <w:color w:val="auto"/>
              </w:rPr>
            </w:pPr>
            <w:r>
              <w:rPr>
                <w:rFonts w:ascii="Arial" w:cs="Arial" w:eastAsia="Arial" w:hAnsi="Arial"/>
                <w:sz w:val="16"/>
                <w:szCs w:val="16"/>
                <w:color w:val="auto"/>
              </w:rPr>
              <w:t>Adjusted diluted earnings per share (non-GAAP)</w:t>
            </w:r>
          </w:p>
        </w:tc>
        <w:tc>
          <w:tcPr>
            <w:tcW w:w="460" w:type="dxa"/>
            <w:vAlign w:val="bottom"/>
          </w:tcPr>
          <w:p>
            <w:pPr>
              <w:jc w:val="right"/>
              <w:ind w:right="282"/>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9.81</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9.21</w:t>
            </w:r>
          </w:p>
        </w:tc>
        <w:tc>
          <w:tcPr>
            <w:tcW w:w="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58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-2138680</wp:posOffset>
            </wp:positionV>
            <wp:extent cx="93980" cy="863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-2138680</wp:posOffset>
            </wp:positionV>
            <wp:extent cx="93980" cy="863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-1551940</wp:posOffset>
            </wp:positionV>
            <wp:extent cx="93980" cy="863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-1551940</wp:posOffset>
            </wp:positionV>
            <wp:extent cx="93980" cy="863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-789305</wp:posOffset>
            </wp:positionV>
            <wp:extent cx="93980" cy="863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-789305</wp:posOffset>
            </wp:positionV>
            <wp:extent cx="93980" cy="863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-73025</wp:posOffset>
            </wp:positionV>
            <wp:extent cx="93980" cy="86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-73025</wp:posOffset>
            </wp:positionV>
            <wp:extent cx="93980" cy="863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636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Not meaningful.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57150</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73" w:right="68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LIQUIDITY AND CAPITAL RESOURCES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Investments</w:t>
      </w:r>
    </w:p>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Cash, cash equivalents, and short-term investments totaled $111.3 billion and $104.8 billion as of June 30, 2023 and 2022, respectively. Equity investments were $ 9.9 billion and $6.9 billion as of June 30, 2023 and 2022,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 -income indices. The settlement risk related to these investments is insignificant given that the short-term investments held are primarily highly liquid investment-grade fixed-income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 -backed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 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Cash from operations decreased $1.5 billion to $87.6 billion for fiscal year 2023, mainly due to an increase in cash paid to employees and suppliers and cash used to pay income taxes, offset in part by an increase in cash received from customers. Cash used in financing decreased $14.9 billion to $43.9 billion for fiscal year 2023, mainly due to a $10.5 billion decrease in common stock repurchases and a $6.3 billion decrease in repayments of debt, offset in part by a $1.7 billion increase in dividends paid. Cash used in investing decreased $7.6 billion to $22.7 billion for fiscal year 2023, due to a $20.4 billion decrease in cash used for acquisitions of companies, net of cash acquired, and purchases of intangible and other assets, offset in part by a $8.2 billion decrease in cash from net investment purchases, sales, and maturities, and a $4.2 billion increase in additions to property and equipment.</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Proceeds</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We issue debt to take advantage of favorable pricing and liquidity in the debt markets, reflecting our credit rating and the low interest rate environment. The proceeds of these issuances were or will be used for general corporate purposes, which may include, among other things, funding for working capital, capital expenditures, repurchases of capital stock, acquisitions, and repayment of existing debt. Refer to Note 11 – Debt of the Notes to Financial Statements (Part II, Item 8 of this Form 10-K)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Unearned Revenue</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 Refer to Note 1 – Accounting Policies of the Notes to Financial Statements (Part II, Item 8 of this Form 10-K) for further discussion.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outlines the expected future recognition of unearned revenue as of June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1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9100" w:type="dxa"/>
            <w:vAlign w:val="bottom"/>
          </w:tcPr>
          <w:p>
            <w:pPr>
              <w:ind w:left="20"/>
              <w:spacing w:after="0"/>
              <w:rPr>
                <w:sz w:val="20"/>
                <w:szCs w:val="20"/>
                <w:color w:val="auto"/>
              </w:rPr>
            </w:pPr>
            <w:r>
              <w:rPr>
                <w:rFonts w:ascii="Arial" w:cs="Arial" w:eastAsia="Arial" w:hAnsi="Arial"/>
                <w:sz w:val="12"/>
                <w:szCs w:val="12"/>
                <w:b w:val="1"/>
                <w:bCs w:val="1"/>
                <w:color w:val="auto"/>
              </w:rPr>
              <w:t>Three Months Ending</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9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9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September 30, 2023</w:t>
            </w:r>
          </w:p>
        </w:tc>
        <w:tc>
          <w:tcPr>
            <w:tcW w:w="500" w:type="dxa"/>
            <w:vAlign w:val="bottom"/>
            <w:shd w:val="clear" w:color="auto" w:fill="E5E5E5"/>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19,673</w:t>
            </w:r>
          </w:p>
        </w:tc>
        <w:tc>
          <w:tcPr>
            <w:tcW w:w="80" w:type="dxa"/>
            <w:vAlign w:val="bottom"/>
            <w:shd w:val="clear" w:color="auto" w:fill="E5E5E5"/>
          </w:tcPr>
          <w:p>
            <w:pPr>
              <w:spacing w:after="0"/>
              <w:rPr>
                <w:sz w:val="17"/>
                <w:szCs w:val="17"/>
                <w:color w:val="auto"/>
              </w:rPr>
            </w:pPr>
          </w:p>
        </w:tc>
      </w:tr>
      <w:tr>
        <w:trPr>
          <w:trHeight w:val="204"/>
        </w:trPr>
        <w:tc>
          <w:tcPr>
            <w:tcW w:w="9100" w:type="dxa"/>
            <w:vAlign w:val="bottom"/>
          </w:tcPr>
          <w:p>
            <w:pPr>
              <w:ind w:left="20"/>
              <w:spacing w:after="0"/>
              <w:rPr>
                <w:sz w:val="20"/>
                <w:szCs w:val="20"/>
                <w:color w:val="auto"/>
              </w:rPr>
            </w:pPr>
            <w:r>
              <w:rPr>
                <w:rFonts w:ascii="Arial" w:cs="Arial" w:eastAsia="Arial" w:hAnsi="Arial"/>
                <w:sz w:val="16"/>
                <w:szCs w:val="16"/>
                <w:color w:val="auto"/>
              </w:rPr>
              <w:t>December 31, 2023</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15,600</w:t>
            </w:r>
          </w:p>
        </w:tc>
        <w:tc>
          <w:tcPr>
            <w:tcW w:w="80" w:type="dxa"/>
            <w:vAlign w:val="bottom"/>
          </w:tcPr>
          <w:p>
            <w:pPr>
              <w:spacing w:after="0"/>
              <w:rPr>
                <w:sz w:val="17"/>
                <w:szCs w:val="17"/>
                <w:color w:val="auto"/>
              </w:rPr>
            </w:pPr>
          </w:p>
        </w:tc>
      </w:tr>
      <w:tr>
        <w:trPr>
          <w:trHeight w:val="204"/>
        </w:trPr>
        <w:tc>
          <w:tcPr>
            <w:tcW w:w="9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March 31, 2024</w:t>
            </w:r>
          </w:p>
        </w:tc>
        <w:tc>
          <w:tcPr>
            <w:tcW w:w="50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10,801</w:t>
            </w:r>
          </w:p>
        </w:tc>
        <w:tc>
          <w:tcPr>
            <w:tcW w:w="80" w:type="dxa"/>
            <w:vAlign w:val="bottom"/>
            <w:shd w:val="clear" w:color="auto" w:fill="E5E5E5"/>
          </w:tcPr>
          <w:p>
            <w:pPr>
              <w:spacing w:after="0"/>
              <w:rPr>
                <w:sz w:val="17"/>
                <w:szCs w:val="17"/>
                <w:color w:val="auto"/>
              </w:rPr>
            </w:pPr>
          </w:p>
        </w:tc>
      </w:tr>
      <w:tr>
        <w:trPr>
          <w:trHeight w:val="204"/>
        </w:trPr>
        <w:tc>
          <w:tcPr>
            <w:tcW w:w="9100" w:type="dxa"/>
            <w:vAlign w:val="bottom"/>
          </w:tcPr>
          <w:p>
            <w:pPr>
              <w:ind w:left="20"/>
              <w:spacing w:after="0"/>
              <w:rPr>
                <w:sz w:val="20"/>
                <w:szCs w:val="20"/>
                <w:color w:val="auto"/>
              </w:rPr>
            </w:pPr>
            <w:r>
              <w:rPr>
                <w:rFonts w:ascii="Arial" w:cs="Arial" w:eastAsia="Arial" w:hAnsi="Arial"/>
                <w:sz w:val="16"/>
                <w:szCs w:val="16"/>
                <w:color w:val="auto"/>
              </w:rPr>
              <w:t>June 30, 2024</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4,827</w:t>
            </w:r>
          </w:p>
        </w:tc>
        <w:tc>
          <w:tcPr>
            <w:tcW w:w="80" w:type="dxa"/>
            <w:vAlign w:val="bottom"/>
          </w:tcPr>
          <w:p>
            <w:pPr>
              <w:spacing w:after="0"/>
              <w:rPr>
                <w:sz w:val="17"/>
                <w:szCs w:val="17"/>
                <w:color w:val="auto"/>
              </w:rPr>
            </w:pPr>
          </w:p>
        </w:tc>
      </w:tr>
      <w:tr>
        <w:trPr>
          <w:trHeight w:val="204"/>
        </w:trPr>
        <w:tc>
          <w:tcPr>
            <w:tcW w:w="9100" w:type="dxa"/>
            <w:vAlign w:val="bottom"/>
            <w:shd w:val="clear" w:color="auto" w:fill="E5E5E5"/>
          </w:tcPr>
          <w:p>
            <w:pPr>
              <w:ind w:left="20"/>
              <w:spacing w:after="0"/>
              <w:rPr>
                <w:sz w:val="20"/>
                <w:szCs w:val="20"/>
                <w:color w:val="auto"/>
              </w:rPr>
            </w:pPr>
            <w:r>
              <w:rPr>
                <w:rFonts w:ascii="Arial" w:cs="Arial" w:eastAsia="Arial" w:hAnsi="Arial"/>
                <w:sz w:val="16"/>
                <w:szCs w:val="16"/>
                <w:color w:val="auto"/>
              </w:rPr>
              <w:t>Thereafter</w:t>
            </w:r>
          </w:p>
        </w:tc>
        <w:tc>
          <w:tcPr>
            <w:tcW w:w="50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2,912</w:t>
            </w:r>
          </w:p>
        </w:tc>
        <w:tc>
          <w:tcPr>
            <w:tcW w:w="80" w:type="dxa"/>
            <w:vAlign w:val="bottom"/>
            <w:shd w:val="clear" w:color="auto" w:fill="E5E5E5"/>
          </w:tcPr>
          <w:p>
            <w:pPr>
              <w:spacing w:after="0"/>
              <w:rPr>
                <w:sz w:val="17"/>
                <w:szCs w:val="17"/>
                <w:color w:val="auto"/>
              </w:rPr>
            </w:pPr>
          </w:p>
        </w:tc>
      </w:tr>
      <w:tr>
        <w:trPr>
          <w:trHeight w:val="358"/>
        </w:trPr>
        <w:tc>
          <w:tcPr>
            <w:tcW w:w="9100" w:type="dxa"/>
            <w:vAlign w:val="bottom"/>
          </w:tcPr>
          <w:p>
            <w:pPr>
              <w:ind w:left="220"/>
              <w:spacing w:after="0"/>
              <w:rPr>
                <w:sz w:val="20"/>
                <w:szCs w:val="20"/>
                <w:color w:val="auto"/>
              </w:rPr>
            </w:pPr>
            <w:r>
              <w:rPr>
                <w:rFonts w:ascii="Arial" w:cs="Arial" w:eastAsia="Arial" w:hAnsi="Arial"/>
                <w:sz w:val="16"/>
                <w:szCs w:val="16"/>
                <w:color w:val="auto"/>
              </w:rPr>
              <w:t>Total</w:t>
            </w:r>
          </w:p>
        </w:tc>
        <w:tc>
          <w:tcPr>
            <w:tcW w:w="500" w:type="dxa"/>
            <w:vAlign w:val="bottom"/>
          </w:tcPr>
          <w:p>
            <w:pPr>
              <w:jc w:val="right"/>
              <w:ind w:right="322"/>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53,813</w:t>
            </w:r>
          </w:p>
        </w:tc>
        <w:tc>
          <w:tcPr>
            <w:tcW w:w="80" w:type="dxa"/>
            <w:vAlign w:val="bottom"/>
          </w:tcPr>
          <w:p>
            <w:pPr>
              <w:spacing w:after="0"/>
              <w:rPr>
                <w:sz w:val="24"/>
                <w:szCs w:val="24"/>
                <w:color w:val="auto"/>
              </w:rPr>
            </w:pPr>
          </w:p>
        </w:tc>
      </w:tr>
      <w:tr>
        <w:trPr>
          <w:trHeight w:val="66"/>
        </w:trPr>
        <w:tc>
          <w:tcPr>
            <w:tcW w:w="9100" w:type="dxa"/>
            <w:vAlign w:val="bottom"/>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jc w:val="both"/>
        <w:ind w:right="80"/>
        <w:spacing w:after="0" w:line="295" w:lineRule="auto"/>
        <w:rPr>
          <w:sz w:val="20"/>
          <w:szCs w:val="20"/>
          <w:color w:val="auto"/>
        </w:rPr>
      </w:pPr>
      <w:r>
        <w:rPr>
          <w:rFonts w:ascii="Arial" w:cs="Arial" w:eastAsia="Arial" w:hAnsi="Arial"/>
          <w:sz w:val="14"/>
          <w:szCs w:val="14"/>
          <w:color w:val="auto"/>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13 – Unearned Revenue of the Notes to Financial Statements (Part II, Item 8 of this Form 10-K) for further discussion.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 and Other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payments due by fiscal year for our outstanding contractual obligations as of June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Thereafter</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ind w:left="560"/>
              <w:spacing w:after="0"/>
              <w:rPr>
                <w:sz w:val="20"/>
                <w:szCs w:val="20"/>
                <w:color w:val="auto"/>
              </w:rPr>
            </w:pPr>
            <w:r>
              <w:rPr>
                <w:rFonts w:ascii="Arial" w:cs="Arial" w:eastAsia="Arial" w:hAnsi="Arial"/>
                <w:sz w:val="12"/>
                <w:szCs w:val="12"/>
                <w:b w:val="1"/>
                <w:bCs w:val="1"/>
                <w:color w:val="auto"/>
              </w:rPr>
              <w:t>Total</w:t>
            </w:r>
          </w:p>
        </w:tc>
      </w:tr>
      <w:tr>
        <w:trPr>
          <w:trHeight w:val="148"/>
        </w:trPr>
        <w:tc>
          <w:tcPr>
            <w:tcW w:w="6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04"/>
        </w:trPr>
        <w:tc>
          <w:tcPr>
            <w:tcW w:w="6220" w:type="dxa"/>
            <w:vAlign w:val="bottom"/>
            <w:shd w:val="clear" w:color="auto" w:fill="E5E5E5"/>
          </w:tcPr>
          <w:p>
            <w:pPr>
              <w:ind w:left="20"/>
              <w:spacing w:after="0" w:line="204" w:lineRule="exact"/>
              <w:rPr>
                <w:sz w:val="20"/>
                <w:szCs w:val="20"/>
                <w:color w:val="auto"/>
              </w:rPr>
            </w:pPr>
            <w:r>
              <w:rPr>
                <w:rFonts w:ascii="Arial" w:cs="Arial" w:eastAsia="Arial" w:hAnsi="Arial"/>
                <w:sz w:val="16"/>
                <w:szCs w:val="16"/>
                <w:color w:val="auto"/>
              </w:rPr>
              <w:t xml:space="preserve">Long-term debt: </w:t>
            </w:r>
            <w:r>
              <w:rPr>
                <w:rFonts w:ascii="Arial" w:cs="Arial" w:eastAsia="Arial" w:hAnsi="Arial"/>
                <w:sz w:val="21"/>
                <w:szCs w:val="21"/>
                <w:color w:val="auto"/>
                <w:vertAlign w:val="superscript"/>
              </w:rPr>
              <w:t>(a)</w:t>
            </w:r>
          </w:p>
        </w:tc>
        <w:tc>
          <w:tcPr>
            <w:tcW w:w="4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r>
      <w:tr>
        <w:trPr>
          <w:trHeight w:val="204"/>
        </w:trPr>
        <w:tc>
          <w:tcPr>
            <w:tcW w:w="6220" w:type="dxa"/>
            <w:vAlign w:val="bottom"/>
          </w:tcPr>
          <w:p>
            <w:pPr>
              <w:ind w:left="220"/>
              <w:spacing w:after="0"/>
              <w:rPr>
                <w:sz w:val="20"/>
                <w:szCs w:val="20"/>
                <w:color w:val="auto"/>
              </w:rPr>
            </w:pPr>
            <w:r>
              <w:rPr>
                <w:rFonts w:ascii="Arial" w:cs="Arial" w:eastAsia="Arial" w:hAnsi="Arial"/>
                <w:sz w:val="16"/>
                <w:szCs w:val="16"/>
                <w:color w:val="auto"/>
              </w:rPr>
              <w:t>Principal payments</w:t>
            </w:r>
          </w:p>
        </w:tc>
        <w:tc>
          <w:tcPr>
            <w:tcW w:w="460" w:type="dxa"/>
            <w:vAlign w:val="bottom"/>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5,250</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47,616</w:t>
            </w:r>
          </w:p>
        </w:tc>
        <w:tc>
          <w:tcPr>
            <w:tcW w:w="6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52,866</w:t>
            </w:r>
          </w:p>
        </w:tc>
        <w:tc>
          <w:tcPr>
            <w:tcW w:w="140" w:type="dxa"/>
            <w:vAlign w:val="bottom"/>
          </w:tcPr>
          <w:p>
            <w:pPr>
              <w:spacing w:after="0"/>
              <w:rPr>
                <w:sz w:val="17"/>
                <w:szCs w:val="17"/>
                <w:color w:val="auto"/>
              </w:rPr>
            </w:pPr>
          </w:p>
        </w:tc>
      </w:tr>
      <w:tr>
        <w:trPr>
          <w:trHeight w:val="204"/>
        </w:trPr>
        <w:tc>
          <w:tcPr>
            <w:tcW w:w="62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Interest payments</w:t>
            </w:r>
          </w:p>
        </w:tc>
        <w:tc>
          <w:tcPr>
            <w:tcW w:w="4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1,379</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19,746</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21,125</w:t>
            </w:r>
          </w:p>
        </w:tc>
        <w:tc>
          <w:tcPr>
            <w:tcW w:w="140" w:type="dxa"/>
            <w:vAlign w:val="bottom"/>
            <w:shd w:val="clear" w:color="auto" w:fill="E5E5E5"/>
          </w:tcPr>
          <w:p>
            <w:pPr>
              <w:spacing w:after="0"/>
              <w:rPr>
                <w:sz w:val="17"/>
                <w:szCs w:val="17"/>
                <w:color w:val="auto"/>
              </w:rPr>
            </w:pPr>
          </w:p>
        </w:tc>
      </w:tr>
      <w:tr>
        <w:trPr>
          <w:trHeight w:val="204"/>
        </w:trPr>
        <w:tc>
          <w:tcPr>
            <w:tcW w:w="622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Construction commitments </w:t>
            </w:r>
            <w:r>
              <w:rPr>
                <w:rFonts w:ascii="Arial" w:cs="Arial" w:eastAsia="Arial" w:hAnsi="Arial"/>
                <w:sz w:val="21"/>
                <w:szCs w:val="21"/>
                <w:color w:val="auto"/>
                <w:vertAlign w:val="superscript"/>
              </w:rPr>
              <w:t>(b)</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12,237</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1,218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13,455</w:t>
            </w:r>
          </w:p>
        </w:tc>
        <w:tc>
          <w:tcPr>
            <w:tcW w:w="140" w:type="dxa"/>
            <w:vAlign w:val="bottom"/>
          </w:tcPr>
          <w:p>
            <w:pPr>
              <w:spacing w:after="0"/>
              <w:rPr>
                <w:sz w:val="17"/>
                <w:szCs w:val="17"/>
                <w:color w:val="auto"/>
              </w:rPr>
            </w:pPr>
          </w:p>
        </w:tc>
      </w:tr>
      <w:tr>
        <w:trPr>
          <w:trHeight w:val="204"/>
        </w:trPr>
        <w:tc>
          <w:tcPr>
            <w:tcW w:w="6220" w:type="dxa"/>
            <w:vAlign w:val="bottom"/>
            <w:shd w:val="clear" w:color="auto" w:fill="E5E5E5"/>
          </w:tcPr>
          <w:p>
            <w:pPr>
              <w:ind w:left="20"/>
              <w:spacing w:after="0" w:line="204" w:lineRule="exact"/>
              <w:rPr>
                <w:sz w:val="20"/>
                <w:szCs w:val="20"/>
                <w:color w:val="auto"/>
              </w:rPr>
            </w:pPr>
            <w:r>
              <w:rPr>
                <w:rFonts w:ascii="Arial" w:cs="Arial" w:eastAsia="Arial" w:hAnsi="Arial"/>
                <w:sz w:val="16"/>
                <w:szCs w:val="16"/>
                <w:color w:val="auto"/>
              </w:rPr>
              <w:t xml:space="preserve">Operating and finance leases, including imputed interest </w:t>
            </w:r>
            <w:r>
              <w:rPr>
                <w:rFonts w:ascii="Arial" w:cs="Arial" w:eastAsia="Arial" w:hAnsi="Arial"/>
                <w:sz w:val="21"/>
                <w:szCs w:val="21"/>
                <w:color w:val="auto"/>
                <w:vertAlign w:val="superscript"/>
              </w:rPr>
              <w:t>(c)</w:t>
            </w:r>
          </w:p>
        </w:tc>
        <w:tc>
          <w:tcPr>
            <w:tcW w:w="4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5,988</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73,852</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79,840</w:t>
            </w:r>
          </w:p>
        </w:tc>
        <w:tc>
          <w:tcPr>
            <w:tcW w:w="140" w:type="dxa"/>
            <w:vAlign w:val="bottom"/>
            <w:shd w:val="clear" w:color="auto" w:fill="E5E5E5"/>
          </w:tcPr>
          <w:p>
            <w:pPr>
              <w:spacing w:after="0"/>
              <w:rPr>
                <w:sz w:val="17"/>
                <w:szCs w:val="17"/>
                <w:color w:val="auto"/>
              </w:rPr>
            </w:pPr>
          </w:p>
        </w:tc>
      </w:tr>
      <w:tr>
        <w:trPr>
          <w:trHeight w:val="276"/>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xml:space="preserve">Purchase commitments </w:t>
            </w:r>
            <w:r>
              <w:rPr>
                <w:rFonts w:ascii="Arial" w:cs="Arial" w:eastAsia="Arial" w:hAnsi="Arial"/>
                <w:sz w:val="21"/>
                <w:szCs w:val="21"/>
                <w:color w:val="auto"/>
                <w:vertAlign w:val="superscript"/>
              </w:rPr>
              <w:t>(d)</w:t>
            </w: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64,703</w:t>
            </w: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3,115</w:t>
            </w:r>
          </w:p>
        </w:tc>
        <w:tc>
          <w:tcPr>
            <w:tcW w:w="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67,818</w:t>
            </w:r>
          </w:p>
        </w:tc>
        <w:tc>
          <w:tcPr>
            <w:tcW w:w="140" w:type="dxa"/>
            <w:vAlign w:val="bottom"/>
          </w:tcPr>
          <w:p>
            <w:pPr>
              <w:spacing w:after="0"/>
              <w:rPr>
                <w:sz w:val="24"/>
                <w:szCs w:val="24"/>
                <w:color w:val="auto"/>
              </w:rPr>
            </w:pPr>
          </w:p>
        </w:tc>
      </w:tr>
      <w:tr>
        <w:trPr>
          <w:trHeight w:val="64"/>
        </w:trPr>
        <w:tc>
          <w:tcPr>
            <w:tcW w:w="6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r>
      <w:tr>
        <w:trPr>
          <w:trHeight w:val="204"/>
        </w:trPr>
        <w:tc>
          <w:tcPr>
            <w:tcW w:w="62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460" w:type="dxa"/>
            <w:vAlign w:val="bottom"/>
            <w:shd w:val="clear" w:color="auto" w:fill="E5E5E5"/>
          </w:tcPr>
          <w:p>
            <w:pPr>
              <w:jc w:val="right"/>
              <w:ind w:right="308"/>
              <w:spacing w:after="0"/>
              <w:rPr>
                <w:sz w:val="20"/>
                <w:szCs w:val="20"/>
                <w:color w:val="auto"/>
              </w:rPr>
            </w:pPr>
            <w:r>
              <w:rPr>
                <w:rFonts w:ascii="Arial" w:cs="Arial" w:eastAsia="Arial" w:hAnsi="Arial"/>
                <w:sz w:val="14"/>
                <w:szCs w:val="14"/>
                <w:b w:val="1"/>
                <w:bCs w:val="1"/>
                <w:color w:val="auto"/>
                <w:w w:val="76"/>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89,557</w:t>
            </w:r>
          </w:p>
        </w:tc>
        <w:tc>
          <w:tcPr>
            <w:tcW w:w="56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145,547</w:t>
            </w:r>
          </w:p>
        </w:tc>
        <w:tc>
          <w:tcPr>
            <w:tcW w:w="600" w:type="dxa"/>
            <w:vAlign w:val="bottom"/>
            <w:gridSpan w:val="2"/>
            <w:shd w:val="clear" w:color="auto" w:fill="E5E5E5"/>
          </w:tcPr>
          <w:p>
            <w:pPr>
              <w:jc w:val="right"/>
              <w:ind w:right="280"/>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235,104</w:t>
            </w:r>
          </w:p>
        </w:tc>
        <w:tc>
          <w:tcPr>
            <w:tcW w:w="140" w:type="dxa"/>
            <w:vAlign w:val="bottom"/>
            <w:shd w:val="clear" w:color="auto" w:fill="E5E5E5"/>
          </w:tcPr>
          <w:p>
            <w:pPr>
              <w:spacing w:after="0"/>
              <w:rPr>
                <w:sz w:val="17"/>
                <w:szCs w:val="17"/>
                <w:color w:val="auto"/>
              </w:rPr>
            </w:pPr>
          </w:p>
        </w:tc>
      </w:tr>
      <w:tr>
        <w:trPr>
          <w:trHeight w:val="76"/>
        </w:trPr>
        <w:tc>
          <w:tcPr>
            <w:tcW w:w="622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-301625</wp:posOffset>
            </wp:positionV>
            <wp:extent cx="93980" cy="78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7874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-301625</wp:posOffset>
            </wp:positionV>
            <wp:extent cx="93980" cy="78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78740"/>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-301625</wp:posOffset>
            </wp:positionV>
            <wp:extent cx="116840" cy="78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6840" cy="78740"/>
                    </a:xfrm>
                    <a:prstGeom prst="rect">
                      <a:avLst/>
                    </a:prstGeom>
                    <a:noFill/>
                  </pic:spPr>
                </pic:pic>
              </a:graphicData>
            </a:graphic>
          </wp:anchor>
        </w:drawing>
        <w:drawing>
          <wp:anchor simplePos="0" relativeHeight="251657728" behindDoc="1" locked="0" layoutInCell="0" allowOverlap="1">
            <wp:simplePos x="0" y="0"/>
            <wp:positionH relativeFrom="column">
              <wp:posOffset>4770120</wp:posOffset>
            </wp:positionH>
            <wp:positionV relativeFrom="paragraph">
              <wp:posOffset>-73025</wp:posOffset>
            </wp:positionV>
            <wp:extent cx="93980" cy="86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5677535</wp:posOffset>
            </wp:positionH>
            <wp:positionV relativeFrom="paragraph">
              <wp:posOffset>-73025</wp:posOffset>
            </wp:positionV>
            <wp:extent cx="93980" cy="863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6607175</wp:posOffset>
            </wp:positionH>
            <wp:positionV relativeFrom="paragraph">
              <wp:posOffset>-73025</wp:posOffset>
            </wp:positionV>
            <wp:extent cx="116840" cy="863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6840" cy="8636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Refer to Note 11 – Debt of the Notes to Financial Statements (Part II, Item 8 of this Form 10-K).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i w:val="1"/>
          <w:iCs w:val="1"/>
          <w:color w:val="auto"/>
        </w:rPr>
        <w:t>Refer to Note 7 – Property and Equipment of the Notes to Financial Statements (Part II, Item 8 of this Form 10-K).</w:t>
      </w:r>
    </w:p>
    <w:p>
      <w:pPr>
        <w:spacing w:after="0" w:line="234" w:lineRule="auto"/>
        <w:rPr>
          <w:sz w:val="20"/>
          <w:szCs w:val="20"/>
          <w:color w:val="auto"/>
        </w:rPr>
      </w:pPr>
      <w:r>
        <w:rPr>
          <w:rFonts w:ascii="Arial" w:cs="Arial" w:eastAsia="Arial" w:hAnsi="Arial"/>
          <w:sz w:val="16"/>
          <w:szCs w:val="16"/>
          <w:color w:val="auto"/>
        </w:rPr>
        <w:t>(c)</w:t>
      </w:r>
      <w:r>
        <w:rPr>
          <w:rFonts w:ascii="Arial" w:cs="Arial" w:eastAsia="Arial" w:hAnsi="Arial"/>
          <w:sz w:val="16"/>
          <w:szCs w:val="16"/>
          <w:i w:val="1"/>
          <w:iCs w:val="1"/>
          <w:color w:val="auto"/>
        </w:rPr>
        <w:t>Refer to Note 14 – Leases of the Notes to Financial Statements (Part II, Item 8 of this Form 10-K).</w:t>
      </w:r>
    </w:p>
    <w:p>
      <w:pPr>
        <w:spacing w:after="0" w:line="1" w:lineRule="exact"/>
        <w:rPr>
          <w:sz w:val="20"/>
          <w:szCs w:val="20"/>
          <w:color w:val="auto"/>
        </w:rPr>
      </w:pPr>
    </w:p>
    <w:p>
      <w:pPr>
        <w:ind w:right="660"/>
        <w:spacing w:after="0" w:line="239" w:lineRule="auto"/>
        <w:rPr>
          <w:sz w:val="20"/>
          <w:szCs w:val="20"/>
          <w:color w:val="auto"/>
        </w:rPr>
      </w:pPr>
      <w:r>
        <w:rPr>
          <w:rFonts w:ascii="Arial" w:cs="Arial" w:eastAsia="Arial" w:hAnsi="Arial"/>
          <w:sz w:val="16"/>
          <w:szCs w:val="16"/>
          <w:color w:val="auto"/>
        </w:rPr>
        <w:t>(d)</w:t>
      </w:r>
      <w:r>
        <w:rPr>
          <w:rFonts w:ascii="Arial" w:cs="Arial" w:eastAsia="Arial" w:hAnsi="Arial"/>
          <w:sz w:val="16"/>
          <w:szCs w:val="16"/>
          <w:i w:val="1"/>
          <w:iCs w:val="1"/>
          <w:color w:val="auto"/>
        </w:rPr>
        <w:t>Purchase commitments primarily relate to datacenters and include open purchase orders and take-or-pay contracts that are not presented as</w:t>
      </w:r>
      <w:r>
        <w:rPr>
          <w:rFonts w:ascii="Arial" w:cs="Arial" w:eastAsia="Arial" w:hAnsi="Arial"/>
          <w:sz w:val="16"/>
          <w:szCs w:val="16"/>
          <w:color w:val="auto"/>
        </w:rPr>
        <w:t xml:space="preserve"> </w:t>
      </w:r>
      <w:r>
        <w:rPr>
          <w:rFonts w:ascii="Arial" w:cs="Arial" w:eastAsia="Arial" w:hAnsi="Arial"/>
          <w:sz w:val="16"/>
          <w:szCs w:val="16"/>
          <w:i w:val="1"/>
          <w:iCs w:val="1"/>
          <w:color w:val="auto"/>
        </w:rPr>
        <w:t>construction commitments above.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14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As a result of the TCJA, we are required to pay a one-time transition tax on deferred foreign income not previously subject to U.S. income tax. Under the TCJA, the transition tax is payable in interest -free installments over eight years, with 8% due in each of the first five years, 15% in year six, 20% in year seven, and 25% in year eight. We have paid transition tax of $7.7 billion, which included $1.5 billion for fiscal year 2023. The remaining transition tax of $10.5 billion is payable over the next three years, with $2.7 billion payable within 12 months.</w:t>
      </w:r>
    </w:p>
    <w:p>
      <w:pPr>
        <w:spacing w:after="0" w:line="128"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In fiscal year 2023, we paid cash tax of $4.8 billion due to the mandatory capitalization for tax purposes of research and development expenditures enacted by the TCJA and effective on July 1, 2022.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4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During fiscal years 2023 and 2022, we repurchased 69 million shares and 95 million shares of our common stock for $18.4 billion and $28.0 billion, respectively, through our share repurchase programs. All repurchases were made using cash resources. As of June 30, 2023, $ 22.3 billion remained of our $60 billion share repurchase program. Refer to Note 16 – Stockholders’ Equity of the Notes to Financial Statements (Part II, Item 8 of this Form 10-K) for further discussion.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During fiscal year 2023 and 2022, our Board of Directors declared quarterly dividends of $0.68 per share and $0.62 per share, totaling $20.2 billion and $18.6 billion, respectively. We intend to continue returning capital to shareholders in the form of dividends, subject to declaration by our Board of Directors. Refer to Note 16 – Stockholders’ Equity of the Notes to Financial Statements (Part II, Item 8 of this Form 10-K)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Planned Uses of Capital</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On January 18, 2022, we entered into a definitive agreement to acquire Activision Blizzard, Inc. (“Activision Blizzard”) for $95.00 per share in an all-cash transaction valued at $68.7 billion, inclusive of Activision Blizzard’s net cash. The acquisition has been approved by Activision Blizzard’s shareholders. We continue to work toward closing the transaction subject to obtaining required regulatory approvals and satisfaction of other customary closing conditions. Microsoft and Activision Blizzard have jointly agreed to extend the merger agreement through October 18, 2023 to allow for additional time to resolve remaining regulatory concerns.</w:t>
      </w:r>
    </w:p>
    <w:p>
      <w:pPr>
        <w:spacing w:after="0" w:line="12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CRITICAL ACCOUNTING ESTIMATES</w:t>
      </w:r>
    </w:p>
    <w:p>
      <w:pPr>
        <w:spacing w:after="0" w:line="140"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inventories.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27"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8"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Due to the various benefits from and the nature of our SA program, judgment is required to assess the pattern of delivery, including the exercise pattern of certain benefits across our portfolio of customers.</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Investment Securities</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27"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4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spacing w:after="0" w:line="128"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14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Other Contingencies</w:t>
      </w:r>
    </w:p>
    <w:p>
      <w:pPr>
        <w:spacing w:after="0" w:line="148"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54" w:name="page55"/>
    <w:bookmarkEnd w:id="54"/>
    <w:p>
      <w:pPr>
        <w:jc w:val="center"/>
        <w:ind w:right="2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Item 7</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4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These reviews include analysis of demand forecasts, product life cycle status, product development plans, current sales levels, pricing strategy, and component cost trends. If our review indicates a reduction in utility below carrying value, we reduce our inventory to a new cost basis through a charge to cost of revenue.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55" w:name="page56"/>
    <w:bookmarkEnd w:id="55"/>
    <w:p>
      <w:pPr>
        <w:jc w:val="center"/>
        <w:ind w:right="-1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Item 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MANAGEMENT’S RESPONSIBILITY FOR FINANCIAL STATEMENTS</w:t>
      </w:r>
    </w:p>
    <w:p>
      <w:pPr>
        <w:spacing w:after="0" w:line="148" w:lineRule="exact"/>
        <w:rPr>
          <w:sz w:val="20"/>
          <w:szCs w:val="20"/>
          <w:color w:val="auto"/>
        </w:rPr>
      </w:pPr>
    </w:p>
    <w:p>
      <w:pPr>
        <w:jc w:val="both"/>
        <w:ind w:right="240"/>
        <w:spacing w:after="0" w:line="243" w:lineRule="auto"/>
        <w:rPr>
          <w:sz w:val="20"/>
          <w:szCs w:val="20"/>
          <w:color w:val="auto"/>
        </w:rPr>
      </w:pPr>
      <w:r>
        <w:rPr>
          <w:rFonts w:ascii="Arial" w:cs="Arial" w:eastAsia="Arial" w:hAnsi="Arial"/>
          <w:sz w:val="16"/>
          <w:szCs w:val="16"/>
          <w:color w:val="auto"/>
        </w:rPr>
        <w:t>Management is responsible for the preparation of the consolidated financial statements and related information that are presented in this report. The consolidated financial statements, which include amounts based on management’s estimates and judgments, have been prepared in conformity with accounting principles generally accepted in the United States of America.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Company designs and maintains accounting and internal control systems to provide reasonable assurance at reasonable cost that assets are safeguarded against loss from unauthorized use or disposition, and that the financial records are reliable for preparing consolidated financial statements and maintaining accountability for assets. These systems are augmented by written policies, an organizational structure providing division of responsibilities, careful selection and training of qualified personnel, and a program of internal audits.</w:t>
      </w:r>
    </w:p>
    <w:p>
      <w:pPr>
        <w:spacing w:after="0" w:line="128" w:lineRule="exact"/>
        <w:rPr>
          <w:sz w:val="20"/>
          <w:szCs w:val="20"/>
          <w:color w:val="auto"/>
        </w:rPr>
      </w:pPr>
    </w:p>
    <w:p>
      <w:pPr>
        <w:jc w:val="both"/>
        <w:ind w:right="180"/>
        <w:spacing w:after="0" w:line="243" w:lineRule="auto"/>
        <w:rPr>
          <w:sz w:val="20"/>
          <w:szCs w:val="20"/>
          <w:color w:val="auto"/>
        </w:rPr>
      </w:pPr>
      <w:r>
        <w:rPr>
          <w:rFonts w:ascii="Arial" w:cs="Arial" w:eastAsia="Arial" w:hAnsi="Arial"/>
          <w:sz w:val="16"/>
          <w:szCs w:val="16"/>
          <w:color w:val="auto"/>
        </w:rPr>
        <w:t>The Company engaged Deloitte &amp; Touche LLP, an independent registered public accounting firm, to audit and render an opinion on the consolidated financial statements and internal control over financial reporting in accordance with the standards of the Public Company Accounting Oversight Board (United States).</w:t>
      </w:r>
    </w:p>
    <w:p>
      <w:pPr>
        <w:spacing w:after="0" w:line="125"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The Board of Directors, through its Audit Committee, consisting solely of independent directors of the Company, meets periodically with management, internal auditors, and our independent registered public accounting firm to ensure that each is meeting its responsibilities and to discuss matters concerning internal controls and financial reporting. Deloitte &amp; Touche LLP and the internal auditors each have full and free access to the Audit Committee.</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Satya Nadella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Amy E. Hood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 Chief Financial Officer</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Alice L. Jolla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Vice President and Chief Accounting Officer</w:t>
      </w: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60"/>
          </w:cols>
          <w:pgMar w:left="660" w:top="573" w:right="780" w:bottom="1440" w:gutter="0" w:footer="0" w:header="0"/>
        </w:sectPr>
      </w:pPr>
    </w:p>
    <w:bookmarkStart w:id="56" w:name="page57"/>
    <w:bookmarkEnd w:id="56"/>
    <w:p>
      <w:pPr>
        <w:ind w:left="508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7A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RISKS</w:t>
      </w:r>
    </w:p>
    <w:p>
      <w:pPr>
        <w:spacing w:after="0" w:line="140"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We are exposed to economic risk from foreign exchange rates, interest rates, credit risk, and equity prices. We use derivatives instruments to manage these risks, however, they may still impact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Currencies</w:t>
      </w:r>
    </w:p>
    <w:p>
      <w:pPr>
        <w:spacing w:after="0" w:line="14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14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w:t>
      </w:r>
    </w:p>
    <w:p>
      <w:pPr>
        <w:spacing w:after="0" w:line="148"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Our fixed- income portfolio is diversified and consists primarily of investment-grade securities. We manage credit exposures relative to broad-based indices to facilitate portfolio diversification.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in our equity investments portfolio are subject to price risk.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SENSITIVITY ANALYSIS</w:t>
      </w:r>
    </w:p>
    <w:p>
      <w:pPr>
        <w:spacing w:after="0" w:line="140"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 following table sets forth the potential loss in future earnings or fair values, including associated derivatives, resulting from hypothetical changes in relevant market rates or prices: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6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14"/>
        </w:trPr>
        <w:tc>
          <w:tcPr>
            <w:tcW w:w="26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Arial" w:cs="Arial" w:eastAsia="Arial" w:hAnsi="Arial"/>
                <w:sz w:val="12"/>
                <w:szCs w:val="12"/>
                <w:b w:val="1"/>
                <w:bCs w:val="1"/>
                <w:color w:val="auto"/>
              </w:rPr>
              <w:t>June 30,</w:t>
            </w:r>
          </w:p>
        </w:tc>
        <w:tc>
          <w:tcPr>
            <w:tcW w:w="1260" w:type="dxa"/>
            <w:vAlign w:val="bottom"/>
          </w:tcPr>
          <w:p>
            <w:pPr>
              <w:spacing w:after="0"/>
              <w:rPr>
                <w:sz w:val="24"/>
                <w:szCs w:val="24"/>
                <w:color w:val="auto"/>
              </w:rPr>
            </w:pPr>
          </w:p>
        </w:tc>
      </w:tr>
      <w:tr>
        <w:trPr>
          <w:trHeight w:val="167"/>
        </w:trPr>
        <w:tc>
          <w:tcPr>
            <w:tcW w:w="2660" w:type="dxa"/>
            <w:vAlign w:val="bottom"/>
          </w:tcPr>
          <w:p>
            <w:pPr>
              <w:ind w:left="20"/>
              <w:spacing w:after="0"/>
              <w:rPr>
                <w:sz w:val="20"/>
                <w:szCs w:val="20"/>
                <w:color w:val="auto"/>
              </w:rPr>
            </w:pPr>
            <w:r>
              <w:rPr>
                <w:rFonts w:ascii="Arial" w:cs="Arial" w:eastAsia="Arial" w:hAnsi="Arial"/>
                <w:sz w:val="12"/>
                <w:szCs w:val="12"/>
                <w:b w:val="1"/>
                <w:bCs w:val="1"/>
                <w:color w:val="auto"/>
              </w:rPr>
              <w:t>Risk Categories</w:t>
            </w:r>
          </w:p>
        </w:tc>
        <w:tc>
          <w:tcPr>
            <w:tcW w:w="4720" w:type="dxa"/>
            <w:vAlign w:val="bottom"/>
          </w:tcPr>
          <w:p>
            <w:pPr>
              <w:ind w:left="460"/>
              <w:spacing w:after="0"/>
              <w:rPr>
                <w:sz w:val="20"/>
                <w:szCs w:val="20"/>
                <w:color w:val="auto"/>
              </w:rPr>
            </w:pPr>
            <w:r>
              <w:rPr>
                <w:rFonts w:ascii="Arial" w:cs="Arial" w:eastAsia="Arial" w:hAnsi="Arial"/>
                <w:sz w:val="12"/>
                <w:szCs w:val="12"/>
                <w:b w:val="1"/>
                <w:bCs w:val="1"/>
                <w:color w:val="auto"/>
              </w:rPr>
              <w:t>Hypothetical Change</w:t>
            </w:r>
          </w:p>
        </w:tc>
        <w:tc>
          <w:tcPr>
            <w:tcW w:w="920" w:type="dxa"/>
            <w:vAlign w:val="bottom"/>
          </w:tcPr>
          <w:p>
            <w:pPr>
              <w:spacing w:after="0"/>
              <w:rPr>
                <w:sz w:val="14"/>
                <w:szCs w:val="14"/>
                <w:color w:val="auto"/>
              </w:rPr>
            </w:pPr>
          </w:p>
        </w:tc>
        <w:tc>
          <w:tcPr>
            <w:tcW w:w="1000" w:type="dxa"/>
            <w:vAlign w:val="bottom"/>
          </w:tcPr>
          <w:p>
            <w:pPr>
              <w:jc w:val="right"/>
              <w:ind w:right="147"/>
              <w:spacing w:after="0"/>
              <w:rPr>
                <w:sz w:val="20"/>
                <w:szCs w:val="20"/>
                <w:color w:val="auto"/>
              </w:rPr>
            </w:pPr>
            <w:r>
              <w:rPr>
                <w:rFonts w:ascii="Arial" w:cs="Arial" w:eastAsia="Arial" w:hAnsi="Arial"/>
                <w:sz w:val="12"/>
                <w:szCs w:val="12"/>
                <w:b w:val="1"/>
                <w:bCs w:val="1"/>
                <w:color w:val="auto"/>
              </w:rPr>
              <w:t>2023</w:t>
            </w:r>
          </w:p>
        </w:tc>
        <w:tc>
          <w:tcPr>
            <w:tcW w:w="1260" w:type="dxa"/>
            <w:vAlign w:val="bottom"/>
          </w:tcPr>
          <w:p>
            <w:pPr>
              <w:ind w:left="120"/>
              <w:spacing w:after="0"/>
              <w:rPr>
                <w:sz w:val="20"/>
                <w:szCs w:val="20"/>
                <w:color w:val="auto"/>
              </w:rPr>
            </w:pPr>
            <w:r>
              <w:rPr>
                <w:rFonts w:ascii="Arial" w:cs="Arial" w:eastAsia="Arial" w:hAnsi="Arial"/>
                <w:sz w:val="12"/>
                <w:szCs w:val="12"/>
                <w:b w:val="1"/>
                <w:bCs w:val="1"/>
                <w:color w:val="auto"/>
              </w:rPr>
              <w:t>Impact</w:t>
            </w:r>
          </w:p>
        </w:tc>
      </w:tr>
      <w:tr>
        <w:trPr>
          <w:trHeight w:val="76"/>
        </w:trPr>
        <w:tc>
          <w:tcPr>
            <w:tcW w:w="2660" w:type="dxa"/>
            <w:vAlign w:val="bottom"/>
          </w:tcPr>
          <w:p>
            <w:pPr>
              <w:spacing w:after="0"/>
              <w:rPr>
                <w:sz w:val="6"/>
                <w:szCs w:val="6"/>
                <w:color w:val="auto"/>
              </w:rPr>
            </w:pPr>
          </w:p>
        </w:tc>
        <w:tc>
          <w:tcPr>
            <w:tcW w:w="4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r>
      <w:tr>
        <w:trPr>
          <w:trHeight w:val="216"/>
        </w:trPr>
        <w:tc>
          <w:tcPr>
            <w:tcW w:w="266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currency – Revenue</w:t>
            </w:r>
          </w:p>
        </w:tc>
        <w:tc>
          <w:tcPr>
            <w:tcW w:w="47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10% decrease in foreign exchange rates</w:t>
            </w:r>
          </w:p>
        </w:tc>
        <w:tc>
          <w:tcPr>
            <w:tcW w:w="920" w:type="dxa"/>
            <w:vAlign w:val="bottom"/>
            <w:shd w:val="clear" w:color="auto" w:fill="E5E5E5"/>
          </w:tcPr>
          <w:p>
            <w:pPr>
              <w:jc w:val="right"/>
              <w:ind w:right="222"/>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5E5E5"/>
          </w:tcPr>
          <w:p>
            <w:pPr>
              <w:jc w:val="right"/>
              <w:ind w:right="67"/>
              <w:spacing w:after="0"/>
              <w:rPr>
                <w:sz w:val="20"/>
                <w:szCs w:val="20"/>
                <w:color w:val="auto"/>
              </w:rPr>
            </w:pPr>
            <w:r>
              <w:rPr>
                <w:rFonts w:ascii="Arial" w:cs="Arial" w:eastAsia="Arial" w:hAnsi="Arial"/>
                <w:sz w:val="16"/>
                <w:szCs w:val="16"/>
                <w:b w:val="1"/>
                <w:bCs w:val="1"/>
                <w:color w:val="auto"/>
              </w:rPr>
              <w:t>(8,122 )</w:t>
            </w:r>
          </w:p>
        </w:tc>
        <w:tc>
          <w:tcPr>
            <w:tcW w:w="12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Earnings</w:t>
            </w:r>
          </w:p>
        </w:tc>
      </w:tr>
      <w:tr>
        <w:trPr>
          <w:trHeight w:val="204"/>
        </w:trPr>
        <w:tc>
          <w:tcPr>
            <w:tcW w:w="2660" w:type="dxa"/>
            <w:vAlign w:val="bottom"/>
          </w:tcPr>
          <w:p>
            <w:pPr>
              <w:ind w:left="20"/>
              <w:spacing w:after="0"/>
              <w:rPr>
                <w:sz w:val="20"/>
                <w:szCs w:val="20"/>
                <w:color w:val="auto"/>
              </w:rPr>
            </w:pPr>
            <w:r>
              <w:rPr>
                <w:rFonts w:ascii="Arial" w:cs="Arial" w:eastAsia="Arial" w:hAnsi="Arial"/>
                <w:sz w:val="16"/>
                <w:szCs w:val="16"/>
                <w:color w:val="auto"/>
              </w:rPr>
              <w:t>Foreign currency – Investments</w:t>
            </w:r>
          </w:p>
        </w:tc>
        <w:tc>
          <w:tcPr>
            <w:tcW w:w="4720" w:type="dxa"/>
            <w:vAlign w:val="bottom"/>
          </w:tcPr>
          <w:p>
            <w:pPr>
              <w:ind w:left="460"/>
              <w:spacing w:after="0"/>
              <w:rPr>
                <w:sz w:val="20"/>
                <w:szCs w:val="20"/>
                <w:color w:val="auto"/>
              </w:rPr>
            </w:pPr>
            <w:r>
              <w:rPr>
                <w:rFonts w:ascii="Arial" w:cs="Arial" w:eastAsia="Arial" w:hAnsi="Arial"/>
                <w:sz w:val="16"/>
                <w:szCs w:val="16"/>
                <w:color w:val="auto"/>
              </w:rPr>
              <w:t>10% decrease in foreign exchange rates</w:t>
            </w:r>
          </w:p>
        </w:tc>
        <w:tc>
          <w:tcPr>
            <w:tcW w:w="920" w:type="dxa"/>
            <w:vAlign w:val="bottom"/>
          </w:tcPr>
          <w:p>
            <w:pPr>
              <w:spacing w:after="0"/>
              <w:rPr>
                <w:sz w:val="17"/>
                <w:szCs w:val="17"/>
                <w:color w:val="auto"/>
              </w:rPr>
            </w:pPr>
          </w:p>
        </w:tc>
        <w:tc>
          <w:tcPr>
            <w:tcW w:w="1000" w:type="dxa"/>
            <w:vAlign w:val="bottom"/>
          </w:tcPr>
          <w:p>
            <w:pPr>
              <w:jc w:val="right"/>
              <w:ind w:right="67"/>
              <w:spacing w:after="0"/>
              <w:rPr>
                <w:sz w:val="20"/>
                <w:szCs w:val="20"/>
                <w:color w:val="auto"/>
              </w:rPr>
            </w:pPr>
            <w:r>
              <w:rPr>
                <w:rFonts w:ascii="Arial" w:cs="Arial" w:eastAsia="Arial" w:hAnsi="Arial"/>
                <w:sz w:val="16"/>
                <w:szCs w:val="16"/>
                <w:b w:val="1"/>
                <w:bCs w:val="1"/>
                <w:color w:val="auto"/>
              </w:rPr>
              <w:t>(29 )</w:t>
            </w:r>
          </w:p>
        </w:tc>
        <w:tc>
          <w:tcPr>
            <w:tcW w:w="1260" w:type="dxa"/>
            <w:vAlign w:val="bottom"/>
          </w:tcPr>
          <w:p>
            <w:pPr>
              <w:ind w:left="120"/>
              <w:spacing w:after="0"/>
              <w:rPr>
                <w:sz w:val="20"/>
                <w:szCs w:val="20"/>
                <w:color w:val="auto"/>
              </w:rPr>
            </w:pPr>
            <w:r>
              <w:rPr>
                <w:rFonts w:ascii="Arial" w:cs="Arial" w:eastAsia="Arial" w:hAnsi="Arial"/>
                <w:sz w:val="16"/>
                <w:szCs w:val="16"/>
                <w:color w:val="auto"/>
              </w:rPr>
              <w:t>Fair Value</w:t>
            </w:r>
          </w:p>
        </w:tc>
      </w:tr>
      <w:tr>
        <w:trPr>
          <w:trHeight w:val="204"/>
        </w:trPr>
        <w:tc>
          <w:tcPr>
            <w:tcW w:w="266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Interest rate</w:t>
            </w:r>
          </w:p>
        </w:tc>
        <w:tc>
          <w:tcPr>
            <w:tcW w:w="47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100 basis point increase in U.S. treasury interest rates</w:t>
            </w:r>
          </w:p>
        </w:tc>
        <w:tc>
          <w:tcPr>
            <w:tcW w:w="92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67"/>
              <w:spacing w:after="0"/>
              <w:rPr>
                <w:sz w:val="20"/>
                <w:szCs w:val="20"/>
                <w:color w:val="auto"/>
              </w:rPr>
            </w:pPr>
            <w:r>
              <w:rPr>
                <w:rFonts w:ascii="Arial" w:cs="Arial" w:eastAsia="Arial" w:hAnsi="Arial"/>
                <w:sz w:val="16"/>
                <w:szCs w:val="16"/>
                <w:b w:val="1"/>
                <w:bCs w:val="1"/>
                <w:color w:val="auto"/>
              </w:rPr>
              <w:t>(1,832 )</w:t>
            </w:r>
          </w:p>
        </w:tc>
        <w:tc>
          <w:tcPr>
            <w:tcW w:w="12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Fair Value</w:t>
            </w:r>
          </w:p>
        </w:tc>
      </w:tr>
      <w:tr>
        <w:trPr>
          <w:trHeight w:val="204"/>
        </w:trPr>
        <w:tc>
          <w:tcPr>
            <w:tcW w:w="2660" w:type="dxa"/>
            <w:vAlign w:val="bottom"/>
          </w:tcPr>
          <w:p>
            <w:pPr>
              <w:ind w:left="20"/>
              <w:spacing w:after="0"/>
              <w:rPr>
                <w:sz w:val="20"/>
                <w:szCs w:val="20"/>
                <w:color w:val="auto"/>
              </w:rPr>
            </w:pPr>
            <w:r>
              <w:rPr>
                <w:rFonts w:ascii="Arial" w:cs="Arial" w:eastAsia="Arial" w:hAnsi="Arial"/>
                <w:sz w:val="16"/>
                <w:szCs w:val="16"/>
                <w:color w:val="auto"/>
              </w:rPr>
              <w:t>Credit</w:t>
            </w:r>
          </w:p>
        </w:tc>
        <w:tc>
          <w:tcPr>
            <w:tcW w:w="4720" w:type="dxa"/>
            <w:vAlign w:val="bottom"/>
          </w:tcPr>
          <w:p>
            <w:pPr>
              <w:ind w:left="460"/>
              <w:spacing w:after="0"/>
              <w:rPr>
                <w:sz w:val="20"/>
                <w:szCs w:val="20"/>
                <w:color w:val="auto"/>
              </w:rPr>
            </w:pPr>
            <w:r>
              <w:rPr>
                <w:rFonts w:ascii="Arial" w:cs="Arial" w:eastAsia="Arial" w:hAnsi="Arial"/>
                <w:sz w:val="16"/>
                <w:szCs w:val="16"/>
                <w:color w:val="auto"/>
              </w:rPr>
              <w:t>100 basis point increase in credit spreads</w:t>
            </w:r>
          </w:p>
        </w:tc>
        <w:tc>
          <w:tcPr>
            <w:tcW w:w="920" w:type="dxa"/>
            <w:vAlign w:val="bottom"/>
          </w:tcPr>
          <w:p>
            <w:pPr>
              <w:spacing w:after="0"/>
              <w:rPr>
                <w:sz w:val="17"/>
                <w:szCs w:val="17"/>
                <w:color w:val="auto"/>
              </w:rPr>
            </w:pPr>
          </w:p>
        </w:tc>
        <w:tc>
          <w:tcPr>
            <w:tcW w:w="1000" w:type="dxa"/>
            <w:vAlign w:val="bottom"/>
          </w:tcPr>
          <w:p>
            <w:pPr>
              <w:jc w:val="right"/>
              <w:ind w:right="67"/>
              <w:spacing w:after="0"/>
              <w:rPr>
                <w:sz w:val="20"/>
                <w:szCs w:val="20"/>
                <w:color w:val="auto"/>
              </w:rPr>
            </w:pPr>
            <w:r>
              <w:rPr>
                <w:rFonts w:ascii="Arial" w:cs="Arial" w:eastAsia="Arial" w:hAnsi="Arial"/>
                <w:sz w:val="16"/>
                <w:szCs w:val="16"/>
                <w:b w:val="1"/>
                <w:bCs w:val="1"/>
                <w:color w:val="auto"/>
              </w:rPr>
              <w:t>(354 )</w:t>
            </w:r>
          </w:p>
        </w:tc>
        <w:tc>
          <w:tcPr>
            <w:tcW w:w="1260" w:type="dxa"/>
            <w:vAlign w:val="bottom"/>
          </w:tcPr>
          <w:p>
            <w:pPr>
              <w:ind w:left="120"/>
              <w:spacing w:after="0"/>
              <w:rPr>
                <w:sz w:val="20"/>
                <w:szCs w:val="20"/>
                <w:color w:val="auto"/>
              </w:rPr>
            </w:pPr>
            <w:r>
              <w:rPr>
                <w:rFonts w:ascii="Arial" w:cs="Arial" w:eastAsia="Arial" w:hAnsi="Arial"/>
                <w:sz w:val="16"/>
                <w:szCs w:val="16"/>
                <w:color w:val="auto"/>
              </w:rPr>
              <w:t>Fair Value</w:t>
            </w:r>
          </w:p>
        </w:tc>
      </w:tr>
      <w:tr>
        <w:trPr>
          <w:trHeight w:val="204"/>
        </w:trPr>
        <w:tc>
          <w:tcPr>
            <w:tcW w:w="2660" w:type="dxa"/>
            <w:vAlign w:val="bottom"/>
            <w:shd w:val="clear" w:color="auto" w:fill="E5E5E5"/>
          </w:tcPr>
          <w:p>
            <w:pPr>
              <w:ind w:left="20"/>
              <w:spacing w:after="0"/>
              <w:rPr>
                <w:sz w:val="20"/>
                <w:szCs w:val="20"/>
                <w:color w:val="auto"/>
              </w:rPr>
            </w:pPr>
            <w:r>
              <w:rPr>
                <w:rFonts w:ascii="Arial" w:cs="Arial" w:eastAsia="Arial" w:hAnsi="Arial"/>
                <w:sz w:val="16"/>
                <w:szCs w:val="16"/>
                <w:color w:val="auto"/>
              </w:rPr>
              <w:t>Equity</w:t>
            </w:r>
          </w:p>
        </w:tc>
        <w:tc>
          <w:tcPr>
            <w:tcW w:w="4720" w:type="dxa"/>
            <w:vAlign w:val="bottom"/>
            <w:shd w:val="clear" w:color="auto" w:fill="E5E5E5"/>
          </w:tcPr>
          <w:p>
            <w:pPr>
              <w:ind w:left="460"/>
              <w:spacing w:after="0"/>
              <w:rPr>
                <w:sz w:val="20"/>
                <w:szCs w:val="20"/>
                <w:color w:val="auto"/>
              </w:rPr>
            </w:pPr>
            <w:r>
              <w:rPr>
                <w:rFonts w:ascii="Arial" w:cs="Arial" w:eastAsia="Arial" w:hAnsi="Arial"/>
                <w:sz w:val="16"/>
                <w:szCs w:val="16"/>
                <w:color w:val="auto"/>
              </w:rPr>
              <w:t>10% decrease in equity market prices</w:t>
            </w:r>
          </w:p>
        </w:tc>
        <w:tc>
          <w:tcPr>
            <w:tcW w:w="920" w:type="dxa"/>
            <w:vAlign w:val="bottom"/>
            <w:shd w:val="clear" w:color="auto" w:fill="E5E5E5"/>
          </w:tcPr>
          <w:p>
            <w:pPr>
              <w:spacing w:after="0"/>
              <w:rPr>
                <w:sz w:val="17"/>
                <w:szCs w:val="17"/>
                <w:color w:val="auto"/>
              </w:rPr>
            </w:pPr>
          </w:p>
        </w:tc>
        <w:tc>
          <w:tcPr>
            <w:tcW w:w="1000" w:type="dxa"/>
            <w:vAlign w:val="bottom"/>
            <w:shd w:val="clear" w:color="auto" w:fill="E5E5E5"/>
          </w:tcPr>
          <w:p>
            <w:pPr>
              <w:jc w:val="right"/>
              <w:ind w:right="67"/>
              <w:spacing w:after="0"/>
              <w:rPr>
                <w:sz w:val="20"/>
                <w:szCs w:val="20"/>
                <w:color w:val="auto"/>
              </w:rPr>
            </w:pPr>
            <w:r>
              <w:rPr>
                <w:rFonts w:ascii="Arial" w:cs="Arial" w:eastAsia="Arial" w:hAnsi="Arial"/>
                <w:sz w:val="16"/>
                <w:szCs w:val="16"/>
                <w:b w:val="1"/>
                <w:bCs w:val="1"/>
                <w:color w:val="auto"/>
              </w:rPr>
              <w:t>(705 )</w:t>
            </w:r>
          </w:p>
        </w:tc>
        <w:tc>
          <w:tcPr>
            <w:tcW w:w="1260" w:type="dxa"/>
            <w:vAlign w:val="bottom"/>
            <w:shd w:val="clear" w:color="auto" w:fill="E5E5E5"/>
          </w:tcPr>
          <w:p>
            <w:pPr>
              <w:ind w:left="120"/>
              <w:spacing w:after="0"/>
              <w:rPr>
                <w:sz w:val="20"/>
                <w:szCs w:val="20"/>
                <w:color w:val="auto"/>
              </w:rPr>
            </w:pPr>
            <w:r>
              <w:rPr>
                <w:rFonts w:ascii="Arial" w:cs="Arial" w:eastAsia="Arial" w:hAnsi="Arial"/>
                <w:sz w:val="16"/>
                <w:szCs w:val="16"/>
                <w:color w:val="auto"/>
              </w:rPr>
              <w:t>Earnings</w:t>
            </w:r>
          </w:p>
        </w:tc>
      </w:tr>
      <w:tr>
        <w:trPr>
          <w:trHeight w:val="602"/>
        </w:trPr>
        <w:tc>
          <w:tcPr>
            <w:tcW w:w="2660" w:type="dxa"/>
            <w:vAlign w:val="bottom"/>
          </w:tcPr>
          <w:p>
            <w:pPr>
              <w:spacing w:after="0"/>
              <w:rPr>
                <w:sz w:val="24"/>
                <w:szCs w:val="24"/>
                <w:color w:val="auto"/>
              </w:rPr>
            </w:pPr>
          </w:p>
        </w:tc>
        <w:tc>
          <w:tcPr>
            <w:tcW w:w="4720" w:type="dxa"/>
            <w:vAlign w:val="bottom"/>
          </w:tcPr>
          <w:p>
            <w:pPr>
              <w:ind w:left="2560"/>
              <w:spacing w:after="0"/>
              <w:rPr>
                <w:sz w:val="20"/>
                <w:szCs w:val="20"/>
                <w:color w:val="auto"/>
              </w:rPr>
            </w:pPr>
            <w:r>
              <w:rPr>
                <w:rFonts w:ascii="Arial" w:cs="Arial" w:eastAsia="Arial" w:hAnsi="Arial"/>
                <w:sz w:val="13"/>
                <w:szCs w:val="13"/>
                <w:color w:val="auto"/>
              </w:rPr>
              <w:t>57</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6"/>
        </w:trPr>
        <w:tc>
          <w:tcPr>
            <w:tcW w:w="2660" w:type="dxa"/>
            <w:vAlign w:val="bottom"/>
            <w:tcBorders>
              <w:bottom w:val="single" w:sz="8" w:color="EEEEEE"/>
            </w:tcBorders>
          </w:tcPr>
          <w:p>
            <w:pPr>
              <w:spacing w:after="0"/>
              <w:rPr>
                <w:sz w:val="9"/>
                <w:szCs w:val="9"/>
                <w:color w:val="auto"/>
              </w:rPr>
            </w:pPr>
          </w:p>
        </w:tc>
        <w:tc>
          <w:tcPr>
            <w:tcW w:w="4720" w:type="dxa"/>
            <w:vAlign w:val="bottom"/>
            <w:tcBorders>
              <w:bottom w:val="single" w:sz="8" w:color="EEEEEE"/>
            </w:tcBorders>
          </w:tcPr>
          <w:p>
            <w:pPr>
              <w:spacing w:after="0"/>
              <w:rPr>
                <w:sz w:val="9"/>
                <w:szCs w:val="9"/>
                <w:color w:val="auto"/>
              </w:rPr>
            </w:pPr>
          </w:p>
        </w:tc>
        <w:tc>
          <w:tcPr>
            <w:tcW w:w="920" w:type="dxa"/>
            <w:vAlign w:val="bottom"/>
            <w:tcBorders>
              <w:bottom w:val="single" w:sz="8" w:color="EEEEEE"/>
            </w:tcBorders>
          </w:tcPr>
          <w:p>
            <w:pPr>
              <w:spacing w:after="0"/>
              <w:rPr>
                <w:sz w:val="9"/>
                <w:szCs w:val="9"/>
                <w:color w:val="auto"/>
              </w:rPr>
            </w:pPr>
          </w:p>
        </w:tc>
        <w:tc>
          <w:tcPr>
            <w:tcW w:w="1000" w:type="dxa"/>
            <w:vAlign w:val="bottom"/>
            <w:tcBorders>
              <w:bottom w:val="single" w:sz="8" w:color="EEEEEE"/>
            </w:tcBorders>
          </w:tcPr>
          <w:p>
            <w:pPr>
              <w:spacing w:after="0"/>
              <w:rPr>
                <w:sz w:val="9"/>
                <w:szCs w:val="9"/>
                <w:color w:val="auto"/>
              </w:rPr>
            </w:pPr>
          </w:p>
        </w:tc>
        <w:tc>
          <w:tcPr>
            <w:tcW w:w="126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ITEM 8. FINANCIAL STATEMENTS AND SUPPLEMENTARY DATA</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INCOME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 share amounts)</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Product</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64,699</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72,732</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71,074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Service and other</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147,216</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125,538</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97,014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560" w:type="dxa"/>
            <w:vAlign w:val="bottom"/>
          </w:tcPr>
          <w:p>
            <w:pPr>
              <w:ind w:left="400"/>
              <w:spacing w:after="0"/>
              <w:rPr>
                <w:sz w:val="20"/>
                <w:szCs w:val="20"/>
                <w:color w:val="auto"/>
              </w:rPr>
            </w:pPr>
            <w:r>
              <w:rPr>
                <w:rFonts w:ascii="Arial" w:cs="Arial" w:eastAsia="Arial" w:hAnsi="Arial"/>
                <w:sz w:val="16"/>
                <w:szCs w:val="16"/>
                <w:color w:val="auto"/>
              </w:rPr>
              <w:t>Total revenue</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211,915</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198,270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168,088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Cost of revenue:</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Product</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17,804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19,064</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Service and other</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48,059</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43,586</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34,013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560" w:type="dxa"/>
            <w:vAlign w:val="bottom"/>
          </w:tcPr>
          <w:p>
            <w:pPr>
              <w:ind w:left="400"/>
              <w:spacing w:after="0"/>
              <w:rPr>
                <w:sz w:val="20"/>
                <w:szCs w:val="20"/>
                <w:color w:val="auto"/>
              </w:rPr>
            </w:pPr>
            <w:r>
              <w:rPr>
                <w:rFonts w:ascii="Arial" w:cs="Arial" w:eastAsia="Arial" w:hAnsi="Arial"/>
                <w:sz w:val="16"/>
                <w:szCs w:val="16"/>
                <w:color w:val="auto"/>
              </w:rPr>
              <w:t>Total cost of revenue</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65,863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62,650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52,232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Gross margin</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146,052</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135,620</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115,856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27,195</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24,512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20,716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6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22,759</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21,825</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20,117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7,575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5,900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88,523</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83,383</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69,916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89,311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83,716</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71,102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16,950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72,361</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72,738</w:t>
            </w:r>
          </w:p>
        </w:tc>
        <w:tc>
          <w:tcPr>
            <w:tcW w:w="54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61,271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560" w:type="dxa"/>
            <w:vAlign w:val="bottom"/>
            <w:vMerge w:val="restart"/>
          </w:tcPr>
          <w:p>
            <w:pPr>
              <w:ind w:left="20"/>
              <w:spacing w:after="0"/>
              <w:rPr>
                <w:sz w:val="20"/>
                <w:szCs w:val="20"/>
                <w:color w:val="auto"/>
              </w:rPr>
            </w:pPr>
            <w:r>
              <w:rPr>
                <w:rFonts w:ascii="Arial" w:cs="Arial" w:eastAsia="Arial" w:hAnsi="Arial"/>
                <w:sz w:val="16"/>
                <w:szCs w:val="16"/>
                <w:color w:val="auto"/>
              </w:rPr>
              <w:t>Earnings per share:</w:t>
            </w:r>
          </w:p>
        </w:tc>
        <w:tc>
          <w:tcPr>
            <w:tcW w:w="3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6560" w:type="dxa"/>
            <w:vAlign w:val="bottom"/>
            <w:vMerge w:val="continue"/>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9.72</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9.70</w:t>
            </w:r>
          </w:p>
        </w:tc>
        <w:tc>
          <w:tcPr>
            <w:tcW w:w="54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9.65</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6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7,446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7,496</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7,472</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7,540</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7,608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-941705</wp:posOffset>
            </wp:positionV>
            <wp:extent cx="93980" cy="863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-941705</wp:posOffset>
            </wp:positionV>
            <wp:extent cx="86360" cy="863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-941705</wp:posOffset>
            </wp:positionV>
            <wp:extent cx="86360" cy="863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Refer to accompanying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COMPREHENSIVE INCOME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24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240" w:type="dxa"/>
            <w:vAlign w:val="bottom"/>
          </w:tcPr>
          <w:p>
            <w:pPr>
              <w:spacing w:after="0"/>
              <w:rPr>
                <w:sz w:val="6"/>
                <w:szCs w:val="6"/>
                <w:color w:val="auto"/>
              </w:rPr>
            </w:pPr>
          </w:p>
        </w:tc>
        <w:tc>
          <w:tcPr>
            <w:tcW w:w="2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w:t>
            </w:r>
          </w:p>
        </w:tc>
        <w:tc>
          <w:tcPr>
            <w:tcW w:w="272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72,361</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72,738</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61,271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42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Net change related to derivatives</w:t>
            </w:r>
          </w:p>
        </w:tc>
        <w:tc>
          <w:tcPr>
            <w:tcW w:w="23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(14)</w:t>
            </w: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40" w:type="dxa"/>
            <w:vAlign w:val="bottom"/>
          </w:tcPr>
          <w:p>
            <w:pPr>
              <w:ind w:left="220"/>
              <w:spacing w:after="0"/>
              <w:rPr>
                <w:sz w:val="20"/>
                <w:szCs w:val="20"/>
                <w:color w:val="auto"/>
              </w:rPr>
            </w:pPr>
            <w:r>
              <w:rPr>
                <w:rFonts w:ascii="Arial" w:cs="Arial" w:eastAsia="Arial" w:hAnsi="Arial"/>
                <w:sz w:val="16"/>
                <w:szCs w:val="16"/>
                <w:color w:val="auto"/>
              </w:rPr>
              <w:t>Net change related to investments</w:t>
            </w: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(1,444)</w:t>
            </w:r>
          </w:p>
        </w:tc>
        <w:tc>
          <w:tcPr>
            <w:tcW w:w="3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(5,360)</w:t>
            </w:r>
          </w:p>
        </w:tc>
        <w:tc>
          <w:tcPr>
            <w:tcW w:w="3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(2,266)</w:t>
            </w:r>
          </w:p>
        </w:tc>
        <w:tc>
          <w:tcPr>
            <w:tcW w:w="0" w:type="dxa"/>
            <w:vAlign w:val="bottom"/>
          </w:tcPr>
          <w:p>
            <w:pPr>
              <w:spacing w:after="0"/>
              <w:rPr>
                <w:sz w:val="1"/>
                <w:szCs w:val="1"/>
                <w:color w:val="auto"/>
              </w:rPr>
            </w:pPr>
          </w:p>
        </w:tc>
      </w:tr>
      <w:tr>
        <w:trPr>
          <w:trHeight w:val="204"/>
        </w:trPr>
        <w:tc>
          <w:tcPr>
            <w:tcW w:w="42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Translation adjustments and other</w:t>
            </w:r>
          </w:p>
        </w:tc>
        <w:tc>
          <w:tcPr>
            <w:tcW w:w="23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(207 )</w:t>
            </w:r>
          </w:p>
        </w:tc>
        <w:tc>
          <w:tcPr>
            <w:tcW w:w="38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(1,146)</w:t>
            </w:r>
          </w:p>
        </w:tc>
        <w:tc>
          <w:tcPr>
            <w:tcW w:w="3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873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4240" w:type="dxa"/>
            <w:vAlign w:val="bottom"/>
          </w:tcPr>
          <w:p>
            <w:pPr>
              <w:ind w:left="400"/>
              <w:spacing w:after="0"/>
              <w:rPr>
                <w:sz w:val="20"/>
                <w:szCs w:val="20"/>
                <w:color w:val="auto"/>
              </w:rPr>
            </w:pPr>
            <w:r>
              <w:rPr>
                <w:rFonts w:ascii="Arial" w:cs="Arial" w:eastAsia="Arial" w:hAnsi="Arial"/>
                <w:sz w:val="16"/>
                <w:szCs w:val="16"/>
                <w:color w:val="auto"/>
              </w:rPr>
              <w:t>Other comprehensive loss</w:t>
            </w: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(1,665)</w:t>
            </w:r>
          </w:p>
        </w:tc>
        <w:tc>
          <w:tcPr>
            <w:tcW w:w="38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(6,500)</w:t>
            </w:r>
          </w:p>
        </w:tc>
        <w:tc>
          <w:tcPr>
            <w:tcW w:w="3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(1,374)</w:t>
            </w:r>
          </w:p>
        </w:tc>
        <w:tc>
          <w:tcPr>
            <w:tcW w:w="0" w:type="dxa"/>
            <w:vAlign w:val="bottom"/>
          </w:tcPr>
          <w:p>
            <w:pPr>
              <w:spacing w:after="0"/>
              <w:rPr>
                <w:sz w:val="1"/>
                <w:szCs w:val="1"/>
                <w:color w:val="auto"/>
              </w:rPr>
            </w:pPr>
          </w:p>
        </w:tc>
      </w:tr>
      <w:tr>
        <w:trPr>
          <w:trHeight w:val="134"/>
        </w:trPr>
        <w:tc>
          <w:tcPr>
            <w:tcW w:w="4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2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Comprehensive income</w:t>
            </w:r>
          </w:p>
        </w:tc>
        <w:tc>
          <w:tcPr>
            <w:tcW w:w="272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70,696</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66,238</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59,897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4240" w:type="dxa"/>
            <w:vAlign w:val="bottom"/>
            <w:vMerge w:val="restart"/>
          </w:tcPr>
          <w:p>
            <w:pPr>
              <w:spacing w:after="0"/>
              <w:rPr>
                <w:sz w:val="20"/>
                <w:szCs w:val="20"/>
                <w:color w:val="auto"/>
              </w:rPr>
            </w:pPr>
            <w:r>
              <w:rPr>
                <w:rFonts w:ascii="Arial" w:cs="Arial" w:eastAsia="Arial" w:hAnsi="Arial"/>
                <w:sz w:val="16"/>
                <w:szCs w:val="16"/>
                <w:color w:val="auto"/>
              </w:rPr>
              <w:t>Refer to accompanying notes.</w:t>
            </w:r>
          </w:p>
        </w:tc>
        <w:tc>
          <w:tcPr>
            <w:tcW w:w="232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42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40" w:type="dxa"/>
            <w:vAlign w:val="bottom"/>
          </w:tcPr>
          <w:p>
            <w:pPr>
              <w:spacing w:after="0"/>
              <w:rPr>
                <w:sz w:val="24"/>
                <w:szCs w:val="24"/>
                <w:color w:val="auto"/>
              </w:rPr>
            </w:pPr>
          </w:p>
        </w:tc>
        <w:tc>
          <w:tcPr>
            <w:tcW w:w="2320" w:type="dxa"/>
            <w:vAlign w:val="bottom"/>
          </w:tcPr>
          <w:p>
            <w:pPr>
              <w:jc w:val="right"/>
              <w:ind w:right="1126"/>
              <w:spacing w:after="0"/>
              <w:rPr>
                <w:sz w:val="20"/>
                <w:szCs w:val="20"/>
                <w:color w:val="auto"/>
              </w:rPr>
            </w:pPr>
            <w:r>
              <w:rPr>
                <w:rFonts w:ascii="Arial" w:cs="Arial" w:eastAsia="Arial" w:hAnsi="Arial"/>
                <w:sz w:val="13"/>
                <w:szCs w:val="13"/>
                <w:color w:val="auto"/>
              </w:rPr>
              <w:t>59</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240" w:type="dxa"/>
            <w:vAlign w:val="bottom"/>
            <w:tcBorders>
              <w:bottom w:val="single" w:sz="8" w:color="EEEEEE"/>
            </w:tcBorders>
          </w:tcPr>
          <w:p>
            <w:pPr>
              <w:spacing w:after="0"/>
              <w:rPr>
                <w:sz w:val="9"/>
                <w:szCs w:val="9"/>
                <w:color w:val="auto"/>
              </w:rPr>
            </w:pPr>
          </w:p>
        </w:tc>
        <w:tc>
          <w:tcPr>
            <w:tcW w:w="2320" w:type="dxa"/>
            <w:vAlign w:val="bottom"/>
            <w:tcBorders>
              <w:bottom w:val="single" w:sz="8" w:color="EEEEEE"/>
            </w:tcBorders>
          </w:tcPr>
          <w:p>
            <w:pPr>
              <w:spacing w:after="0"/>
              <w:rPr>
                <w:sz w:val="9"/>
                <w:szCs w:val="9"/>
                <w:color w:val="auto"/>
              </w:rPr>
            </w:pPr>
          </w:p>
        </w:tc>
        <w:tc>
          <w:tcPr>
            <w:tcW w:w="40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-591185</wp:posOffset>
            </wp:positionV>
            <wp:extent cx="93980" cy="863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-591185</wp:posOffset>
            </wp:positionV>
            <wp:extent cx="86360" cy="863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-591185</wp:posOffset>
            </wp:positionV>
            <wp:extent cx="86360" cy="863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08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34,704</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13,931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76,558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Total cash, cash equivalents, and short-term investments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111,262</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104,757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 xml:space="preserve">Accounts receivable, net of allowance for doubtful accounts of </w:t>
            </w:r>
            <w:r>
              <w:rPr>
                <w:rFonts w:ascii="Arial" w:cs="Arial" w:eastAsia="Arial" w:hAnsi="Arial"/>
                <w:sz w:val="16"/>
                <w:szCs w:val="16"/>
                <w:b w:val="1"/>
                <w:bCs w:val="1"/>
                <w:color w:val="auto"/>
              </w:rPr>
              <w:t>$650</w:t>
            </w:r>
            <w:r>
              <w:rPr>
                <w:rFonts w:ascii="Arial" w:cs="Arial" w:eastAsia="Arial" w:hAnsi="Arial"/>
                <w:sz w:val="16"/>
                <w:szCs w:val="16"/>
                <w:color w:val="auto"/>
              </w:rPr>
              <w:t xml:space="preserve"> and $633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48,688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2,500</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3,742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21,807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184,257</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169,684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 xml:space="preserve">Property and equipment, net of accumulated depreciation of </w:t>
            </w:r>
            <w:r>
              <w:rPr>
                <w:rFonts w:ascii="Arial" w:cs="Arial" w:eastAsia="Arial" w:hAnsi="Arial"/>
                <w:sz w:val="16"/>
                <w:szCs w:val="16"/>
                <w:b w:val="1"/>
                <w:bCs w:val="1"/>
                <w:color w:val="auto"/>
              </w:rPr>
              <w:t>$68,251</w:t>
            </w:r>
            <w:r>
              <w:rPr>
                <w:rFonts w:ascii="Arial" w:cs="Arial" w:eastAsia="Arial" w:hAnsi="Arial"/>
                <w:sz w:val="16"/>
                <w:szCs w:val="16"/>
                <w:color w:val="auto"/>
              </w:rPr>
              <w:t xml:space="preserve"> and $59,660</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95,641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14,346</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13,148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9,879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Goodwill</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67,886</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67,524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9,366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assets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30,601</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21,897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80" w:type="dxa"/>
            <w:vAlign w:val="bottom"/>
          </w:tcPr>
          <w:p>
            <w:pPr>
              <w:ind w:left="78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411,976</w:t>
            </w:r>
          </w:p>
        </w:tc>
        <w:tc>
          <w:tcPr>
            <w:tcW w:w="240" w:type="dxa"/>
            <w:vAlign w:val="bottom"/>
          </w:tcPr>
          <w:p>
            <w:pPr>
              <w:spacing w:after="0"/>
              <w:rPr>
                <w:sz w:val="24"/>
                <w:szCs w:val="24"/>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364,840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80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8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18,095</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19,000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5,247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Accrued compensation</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11,009</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10,661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Short-term income taxes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4,152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Short-term unearned revenue</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50,901</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45,538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0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14,745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40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104,149</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95,082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41,990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47,032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Long-term income taxes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25,560</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26,069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Long-term unearned revenue</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2,912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Deferred income taxes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433</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12,728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17,981</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15,526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08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205,753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198,298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Commitments and contingencies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 xml:space="preserve">Common stock and paid-in capital – shares authorized 24,000; outstanding </w:t>
            </w:r>
            <w:r>
              <w:rPr>
                <w:rFonts w:ascii="Arial" w:cs="Arial" w:eastAsia="Arial" w:hAnsi="Arial"/>
                <w:sz w:val="16"/>
                <w:szCs w:val="16"/>
                <w:b w:val="1"/>
                <w:bCs w:val="1"/>
                <w:color w:val="auto"/>
              </w:rPr>
              <w:t>7,432</w:t>
            </w:r>
            <w:r>
              <w:rPr>
                <w:rFonts w:ascii="Arial" w:cs="Arial" w:eastAsia="Arial" w:hAnsi="Arial"/>
                <w:sz w:val="16"/>
                <w:szCs w:val="16"/>
                <w:color w:val="auto"/>
              </w:rPr>
              <w:t xml:space="preserve"> and 7,464</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93,718</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86,939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118,848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84,281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(6,343)</w:t>
            </w:r>
          </w:p>
        </w:tc>
        <w:tc>
          <w:tcPr>
            <w:tcW w:w="30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(4,678)</w:t>
            </w:r>
          </w:p>
        </w:tc>
        <w:tc>
          <w:tcPr>
            <w:tcW w:w="0" w:type="dxa"/>
            <w:vAlign w:val="bottom"/>
          </w:tcPr>
          <w:p>
            <w:pPr>
              <w:spacing w:after="0"/>
              <w:rPr>
                <w:sz w:val="1"/>
                <w:szCs w:val="1"/>
                <w:color w:val="auto"/>
              </w:rPr>
            </w:pPr>
          </w:p>
        </w:tc>
      </w:tr>
      <w:tr>
        <w:trPr>
          <w:trHeight w:val="358"/>
        </w:trPr>
        <w:tc>
          <w:tcPr>
            <w:tcW w:w="8080" w:type="dxa"/>
            <w:vAlign w:val="bottom"/>
          </w:tcPr>
          <w:p>
            <w:pPr>
              <w:ind w:left="600"/>
              <w:spacing w:after="0"/>
              <w:rPr>
                <w:sz w:val="20"/>
                <w:szCs w:val="20"/>
                <w:color w:val="auto"/>
              </w:rPr>
            </w:pPr>
            <w:r>
              <w:rPr>
                <w:rFonts w:ascii="Arial" w:cs="Arial" w:eastAsia="Arial" w:hAnsi="Arial"/>
                <w:sz w:val="16"/>
                <w:szCs w:val="16"/>
                <w:color w:val="auto"/>
              </w:rPr>
              <w:t>Total stockholders’ equity</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206,223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166,542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8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E5E5E5"/>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411,976</w:t>
            </w:r>
          </w:p>
        </w:tc>
        <w:tc>
          <w:tcPr>
            <w:tcW w:w="24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364,840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080" w:type="dxa"/>
            <w:vAlign w:val="bottom"/>
            <w:vMerge w:val="restart"/>
          </w:tcPr>
          <w:p>
            <w:pPr>
              <w:spacing w:after="0"/>
              <w:rPr>
                <w:sz w:val="20"/>
                <w:szCs w:val="20"/>
                <w:color w:val="auto"/>
              </w:rPr>
            </w:pPr>
            <w:r>
              <w:rPr>
                <w:rFonts w:ascii="Arial" w:cs="Arial" w:eastAsia="Arial" w:hAnsi="Arial"/>
                <w:sz w:val="16"/>
                <w:szCs w:val="16"/>
                <w:color w:val="auto"/>
              </w:rPr>
              <w:t>Refer to accompanying notes.</w:t>
            </w: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8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080" w:type="dxa"/>
            <w:vAlign w:val="bottom"/>
          </w:tcPr>
          <w:p>
            <w:pPr>
              <w:ind w:left="5220"/>
              <w:spacing w:after="0"/>
              <w:rPr>
                <w:sz w:val="20"/>
                <w:szCs w:val="20"/>
                <w:color w:val="auto"/>
              </w:rPr>
            </w:pPr>
            <w:r>
              <w:rPr>
                <w:rFonts w:ascii="Arial" w:cs="Arial" w:eastAsia="Arial" w:hAnsi="Arial"/>
                <w:sz w:val="13"/>
                <w:szCs w:val="13"/>
                <w:color w:val="auto"/>
              </w:rPr>
              <w:t>60</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808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24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-4135755</wp:posOffset>
            </wp:positionV>
            <wp:extent cx="101600" cy="863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160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-4135755</wp:posOffset>
            </wp:positionV>
            <wp:extent cx="86360" cy="863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5807075</wp:posOffset>
            </wp:positionH>
            <wp:positionV relativeFrom="paragraph">
              <wp:posOffset>-591185</wp:posOffset>
            </wp:positionV>
            <wp:extent cx="101600" cy="863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160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-591185</wp:posOffset>
            </wp:positionV>
            <wp:extent cx="86360" cy="863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CASH FLOWS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Operations</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72,361</w:t>
            </w:r>
          </w:p>
        </w:tc>
        <w:tc>
          <w:tcPr>
            <w:tcW w:w="22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72,738</w:t>
            </w:r>
          </w:p>
        </w:tc>
        <w:tc>
          <w:tcPr>
            <w:tcW w:w="200" w:type="dxa"/>
            <w:vAlign w:val="bottom"/>
          </w:tcPr>
          <w:p>
            <w:pPr>
              <w:spacing w:after="0"/>
              <w:rPr>
                <w:sz w:val="17"/>
                <w:szCs w:val="17"/>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61,271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Adjustments to reconcile net income to net cash from operations:</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Depreciation, amortization, and other</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13,861</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14,460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9,611</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7,502</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6,118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Net recognized losses (gains) on investments and derivatives</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(409 )</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(6,059)</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(5,702)</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203"/>
        </w:trPr>
        <w:tc>
          <w:tcPr>
            <w:tcW w:w="65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(4,087)</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(6,834)</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04"/>
        </w:trPr>
        <w:tc>
          <w:tcPr>
            <w:tcW w:w="6560" w:type="dxa"/>
            <w:vAlign w:val="bottom"/>
          </w:tcPr>
          <w:p>
            <w:pPr>
              <w:ind w:left="40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1,242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(1,123)</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(737 )</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Other current assets</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(1,991)</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(709 )</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(932 )</w:t>
            </w:r>
          </w:p>
        </w:tc>
        <w:tc>
          <w:tcPr>
            <w:tcW w:w="0" w:type="dxa"/>
            <w:vAlign w:val="bottom"/>
          </w:tcPr>
          <w:p>
            <w:pPr>
              <w:spacing w:after="0"/>
              <w:rPr>
                <w:sz w:val="1"/>
                <w:szCs w:val="1"/>
                <w:color w:val="auto"/>
              </w:rPr>
            </w:pPr>
          </w:p>
        </w:tc>
      </w:tr>
      <w:tr>
        <w:trPr>
          <w:trHeight w:val="204"/>
        </w:trPr>
        <w:tc>
          <w:tcPr>
            <w:tcW w:w="6560" w:type="dxa"/>
            <w:vAlign w:val="bottom"/>
          </w:tcPr>
          <w:p>
            <w:pPr>
              <w:ind w:left="400"/>
              <w:spacing w:after="0"/>
              <w:rPr>
                <w:sz w:val="20"/>
                <w:szCs w:val="20"/>
                <w:color w:val="auto"/>
              </w:rPr>
            </w:pPr>
            <w:r>
              <w:rPr>
                <w:rFonts w:ascii="Arial" w:cs="Arial" w:eastAsia="Arial" w:hAnsi="Arial"/>
                <w:sz w:val="16"/>
                <w:szCs w:val="16"/>
                <w:color w:val="auto"/>
              </w:rPr>
              <w:t>Other long-term assets</w:t>
            </w: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(2,833)</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(2,805)</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(3,459)</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(2,721)</w:t>
            </w: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2,943</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400"/>
              <w:spacing w:after="0"/>
              <w:rPr>
                <w:sz w:val="20"/>
                <w:szCs w:val="20"/>
                <w:color w:val="auto"/>
              </w:rPr>
            </w:pPr>
            <w:r>
              <w:rPr>
                <w:rFonts w:ascii="Arial" w:cs="Arial" w:eastAsia="Arial" w:hAnsi="Arial"/>
                <w:sz w:val="16"/>
                <w:szCs w:val="16"/>
                <w:color w:val="auto"/>
              </w:rPr>
              <w:t>Unearned revenue</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5,535</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5,109</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4,633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Income taxes</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(358 )</w:t>
            </w: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696</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(2,309)</w:t>
            </w:r>
          </w:p>
        </w:tc>
        <w:tc>
          <w:tcPr>
            <w:tcW w:w="0" w:type="dxa"/>
            <w:vAlign w:val="bottom"/>
          </w:tcPr>
          <w:p>
            <w:pPr>
              <w:spacing w:after="0"/>
              <w:rPr>
                <w:sz w:val="1"/>
                <w:szCs w:val="1"/>
                <w:color w:val="auto"/>
              </w:rPr>
            </w:pPr>
          </w:p>
        </w:tc>
      </w:tr>
      <w:tr>
        <w:trPr>
          <w:trHeight w:val="204"/>
        </w:trPr>
        <w:tc>
          <w:tcPr>
            <w:tcW w:w="6560" w:type="dxa"/>
            <w:vAlign w:val="bottom"/>
          </w:tcPr>
          <w:p>
            <w:pPr>
              <w:ind w:left="400"/>
              <w:spacing w:after="0"/>
              <w:rPr>
                <w:sz w:val="20"/>
                <w:szCs w:val="20"/>
                <w:color w:val="auto"/>
              </w:rPr>
            </w:pPr>
            <w:r>
              <w:rPr>
                <w:rFonts w:ascii="Arial" w:cs="Arial" w:eastAsia="Arial" w:hAnsi="Arial"/>
                <w:sz w:val="16"/>
                <w:szCs w:val="16"/>
                <w:color w:val="auto"/>
              </w:rPr>
              <w:t>Other current liabilities</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2,272</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2,344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Other long-term liabilities</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553</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825</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1,402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560" w:type="dxa"/>
            <w:vAlign w:val="bottom"/>
          </w:tcPr>
          <w:p>
            <w:pPr>
              <w:ind w:left="600"/>
              <w:spacing w:after="0"/>
              <w:rPr>
                <w:sz w:val="20"/>
                <w:szCs w:val="20"/>
                <w:color w:val="auto"/>
              </w:rPr>
            </w:pPr>
            <w:r>
              <w:rPr>
                <w:rFonts w:ascii="Arial" w:cs="Arial" w:eastAsia="Arial" w:hAnsi="Arial"/>
                <w:sz w:val="16"/>
                <w:szCs w:val="16"/>
                <w:color w:val="auto"/>
              </w:rPr>
              <w:t>Net cash from operations</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87,582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89,035</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76,740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Financing</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Cash premium on debt exchange</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(1,754)</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Repayments of debt</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(2,750)</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(9,023)</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1,866</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1,841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Common stock repurchased</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(22,245 )</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(32,696 )</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(27,385 )</w:t>
            </w: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Common stock cash dividends paid</w:t>
            </w: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(19,800 )</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(18,135 )</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(16,521 )</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(1,006)</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(863 )</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(769 )</w:t>
            </w:r>
          </w:p>
        </w:tc>
        <w:tc>
          <w:tcPr>
            <w:tcW w:w="0" w:type="dxa"/>
            <w:vAlign w:val="bottom"/>
          </w:tcPr>
          <w:p>
            <w:pPr>
              <w:spacing w:after="0"/>
              <w:rPr>
                <w:sz w:val="1"/>
                <w:szCs w:val="1"/>
                <w:color w:val="auto"/>
              </w:rPr>
            </w:pPr>
          </w:p>
        </w:tc>
      </w:tr>
      <w:tr>
        <w:trPr>
          <w:trHeight w:val="358"/>
        </w:trPr>
        <w:tc>
          <w:tcPr>
            <w:tcW w:w="6560" w:type="dxa"/>
            <w:vAlign w:val="bottom"/>
          </w:tcPr>
          <w:p>
            <w:pPr>
              <w:ind w:left="600"/>
              <w:spacing w:after="0"/>
              <w:rPr>
                <w:sz w:val="20"/>
                <w:szCs w:val="20"/>
                <w:color w:val="auto"/>
              </w:rPr>
            </w:pPr>
            <w:r>
              <w:rPr>
                <w:rFonts w:ascii="Arial" w:cs="Arial" w:eastAsia="Arial" w:hAnsi="Arial"/>
                <w:sz w:val="16"/>
                <w:szCs w:val="16"/>
                <w:color w:val="auto"/>
              </w:rPr>
              <w:t>Net cash used in financing</w:t>
            </w:r>
          </w:p>
        </w:tc>
        <w:tc>
          <w:tcPr>
            <w:tcW w:w="3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(43,935 )</w:t>
            </w:r>
          </w:p>
        </w:tc>
        <w:tc>
          <w:tcPr>
            <w:tcW w:w="3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(58,876 )</w:t>
            </w: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(48,486 )</w:t>
            </w: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Investing</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Additions to property and equipment</w:t>
            </w: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(28,107 )</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(23,886 )</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(20,622 )</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w w:val="99"/>
              </w:rPr>
              <w:t>Acquisition of companies, net of cash acquired, and purchases of intangible and other assets</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(1,670)</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(22,038 )</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36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(37,651 )</w:t>
            </w:r>
          </w:p>
        </w:tc>
        <w:tc>
          <w:tcPr>
            <w:tcW w:w="36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(26,456 )</w:t>
            </w:r>
          </w:p>
        </w:tc>
        <w:tc>
          <w:tcPr>
            <w:tcW w:w="36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(62,924 )</w:t>
            </w: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Maturities of investments</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33,510</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16,451</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51,792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0"/>
              <w:spacing w:after="0"/>
              <w:rPr>
                <w:sz w:val="20"/>
                <w:szCs w:val="20"/>
                <w:color w:val="auto"/>
              </w:rPr>
            </w:pPr>
            <w:r>
              <w:rPr>
                <w:rFonts w:ascii="Arial" w:cs="Arial" w:eastAsia="Arial" w:hAnsi="Arial"/>
                <w:sz w:val="16"/>
                <w:szCs w:val="16"/>
                <w:color w:val="auto"/>
              </w:rPr>
              <w:t>Sales of investments</w:t>
            </w:r>
          </w:p>
        </w:tc>
        <w:tc>
          <w:tcPr>
            <w:tcW w:w="3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14,354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28,443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net</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(3,116)</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(2,825)</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(922 )</w:t>
            </w:r>
          </w:p>
        </w:tc>
        <w:tc>
          <w:tcPr>
            <w:tcW w:w="0" w:type="dxa"/>
            <w:vAlign w:val="bottom"/>
          </w:tcPr>
          <w:p>
            <w:pPr>
              <w:spacing w:after="0"/>
              <w:rPr>
                <w:sz w:val="1"/>
                <w:szCs w:val="1"/>
                <w:color w:val="auto"/>
              </w:rPr>
            </w:pPr>
          </w:p>
        </w:tc>
      </w:tr>
      <w:tr>
        <w:trPr>
          <w:trHeight w:val="358"/>
        </w:trPr>
        <w:tc>
          <w:tcPr>
            <w:tcW w:w="6560" w:type="dxa"/>
            <w:vAlign w:val="bottom"/>
          </w:tcPr>
          <w:p>
            <w:pPr>
              <w:ind w:left="600"/>
              <w:spacing w:after="0"/>
              <w:rPr>
                <w:sz w:val="20"/>
                <w:szCs w:val="20"/>
                <w:color w:val="auto"/>
              </w:rPr>
            </w:pPr>
            <w:r>
              <w:rPr>
                <w:rFonts w:ascii="Arial" w:cs="Arial" w:eastAsia="Arial" w:hAnsi="Arial"/>
                <w:sz w:val="16"/>
                <w:szCs w:val="16"/>
                <w:color w:val="auto"/>
              </w:rPr>
              <w:t>Net cash used in investing</w:t>
            </w:r>
          </w:p>
        </w:tc>
        <w:tc>
          <w:tcPr>
            <w:tcW w:w="36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(22,680 )</w:t>
            </w:r>
          </w:p>
        </w:tc>
        <w:tc>
          <w:tcPr>
            <w:tcW w:w="3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(30,311 )</w:t>
            </w:r>
          </w:p>
        </w:tc>
        <w:tc>
          <w:tcPr>
            <w:tcW w:w="360" w:type="dxa"/>
            <w:vAlign w:val="bottom"/>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(27,577 )</w:t>
            </w:r>
          </w:p>
        </w:tc>
        <w:tc>
          <w:tcPr>
            <w:tcW w:w="0" w:type="dxa"/>
            <w:vAlign w:val="bottom"/>
          </w:tcPr>
          <w:p>
            <w:pPr>
              <w:spacing w:after="0"/>
              <w:rPr>
                <w:sz w:val="1"/>
                <w:szCs w:val="1"/>
                <w:color w:val="auto"/>
              </w:rPr>
            </w:pPr>
          </w:p>
        </w:tc>
      </w:tr>
      <w:tr>
        <w:trPr>
          <w:trHeight w:val="134"/>
        </w:trPr>
        <w:tc>
          <w:tcPr>
            <w:tcW w:w="6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Effect of foreign exchange rates on cash and cash equivalents</w:t>
            </w:r>
          </w:p>
        </w:tc>
        <w:tc>
          <w:tcPr>
            <w:tcW w:w="36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(194 )</w:t>
            </w:r>
          </w:p>
        </w:tc>
        <w:tc>
          <w:tcPr>
            <w:tcW w:w="3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(141 )</w:t>
            </w:r>
          </w:p>
        </w:tc>
        <w:tc>
          <w:tcPr>
            <w:tcW w:w="36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48"/>
        </w:trPr>
        <w:tc>
          <w:tcPr>
            <w:tcW w:w="656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20,773</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(293 )</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13,931</w:t>
            </w:r>
          </w:p>
        </w:tc>
        <w:tc>
          <w:tcPr>
            <w:tcW w:w="2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14,224</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13,576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56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Pr>
          <w:p>
            <w:pPr>
              <w:jc w:val="right"/>
              <w:ind w:right="182"/>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34,704</w:t>
            </w:r>
          </w:p>
        </w:tc>
        <w:tc>
          <w:tcPr>
            <w:tcW w:w="22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13,931</w:t>
            </w:r>
          </w:p>
        </w:tc>
        <w:tc>
          <w:tcPr>
            <w:tcW w:w="20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14,224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560" w:type="dxa"/>
            <w:vAlign w:val="bottom"/>
            <w:vMerge w:val="restart"/>
          </w:tcPr>
          <w:p>
            <w:pPr>
              <w:spacing w:after="0"/>
              <w:rPr>
                <w:sz w:val="20"/>
                <w:szCs w:val="20"/>
                <w:color w:val="auto"/>
              </w:rPr>
            </w:pPr>
            <w:r>
              <w:rPr>
                <w:rFonts w:ascii="Arial" w:cs="Arial" w:eastAsia="Arial" w:hAnsi="Arial"/>
                <w:sz w:val="16"/>
                <w:szCs w:val="16"/>
                <w:color w:val="auto"/>
              </w:rPr>
              <w:t>Refer to accompanying notes.</w:t>
            </w: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6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560" w:type="dxa"/>
            <w:vAlign w:val="bottom"/>
          </w:tcPr>
          <w:p>
            <w:pPr>
              <w:ind w:left="5220"/>
              <w:spacing w:after="0"/>
              <w:rPr>
                <w:sz w:val="20"/>
                <w:szCs w:val="20"/>
                <w:color w:val="auto"/>
              </w:rPr>
            </w:pPr>
            <w:r>
              <w:rPr>
                <w:rFonts w:ascii="Arial" w:cs="Arial" w:eastAsia="Arial" w:hAnsi="Arial"/>
                <w:sz w:val="13"/>
                <w:szCs w:val="13"/>
                <w:color w:val="auto"/>
              </w:rPr>
              <w:t>61</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656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80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80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-591185</wp:posOffset>
            </wp:positionV>
            <wp:extent cx="93980" cy="863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-591185</wp:posOffset>
            </wp:positionV>
            <wp:extent cx="86360" cy="863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-591185</wp:posOffset>
            </wp:positionV>
            <wp:extent cx="86360" cy="863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STOCKHOLDERS’ EQUITY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per share amounts)</w:t>
            </w:r>
          </w:p>
        </w:tc>
        <w:tc>
          <w:tcPr>
            <w:tcW w:w="2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444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r>
      <w:tr>
        <w:trPr>
          <w:trHeight w:val="76"/>
        </w:trPr>
        <w:tc>
          <w:tcPr>
            <w:tcW w:w="44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Common stock and paid-in capital</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86,939</w:t>
            </w:r>
          </w:p>
        </w:tc>
        <w:tc>
          <w:tcPr>
            <w:tcW w:w="22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83,111</w:t>
            </w:r>
          </w:p>
        </w:tc>
        <w:tc>
          <w:tcPr>
            <w:tcW w:w="2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80,552</w:t>
            </w:r>
          </w:p>
        </w:tc>
        <w:tc>
          <w:tcPr>
            <w:tcW w:w="80" w:type="dxa"/>
            <w:vAlign w:val="bottom"/>
          </w:tcPr>
          <w:p>
            <w:pPr>
              <w:spacing w:after="0"/>
              <w:rPr>
                <w:sz w:val="17"/>
                <w:szCs w:val="17"/>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Common stock issued</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1,866</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1,841</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1,963</w:t>
            </w:r>
          </w:p>
        </w:tc>
        <w:tc>
          <w:tcPr>
            <w:tcW w:w="80" w:type="dxa"/>
            <w:vAlign w:val="bottom"/>
            <w:shd w:val="clear" w:color="auto" w:fill="E5E5E5"/>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(4,696)</w:t>
            </w: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(5,688)</w:t>
            </w:r>
          </w:p>
        </w:tc>
        <w:tc>
          <w:tcPr>
            <w:tcW w:w="3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(5,539)</w:t>
            </w: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Stock-based compensation expense</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9,611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7,502</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6,118</w:t>
            </w:r>
          </w:p>
        </w:tc>
        <w:tc>
          <w:tcPr>
            <w:tcW w:w="80" w:type="dxa"/>
            <w:vAlign w:val="bottom"/>
            <w:shd w:val="clear" w:color="auto" w:fill="E5E5E5"/>
          </w:tcPr>
          <w:p>
            <w:pPr>
              <w:spacing w:after="0"/>
              <w:rPr>
                <w:sz w:val="17"/>
                <w:szCs w:val="17"/>
                <w:color w:val="auto"/>
              </w:rPr>
            </w:pPr>
          </w:p>
        </w:tc>
      </w:tr>
      <w:tr>
        <w:trPr>
          <w:trHeight w:val="238"/>
        </w:trPr>
        <w:tc>
          <w:tcPr>
            <w:tcW w:w="4440" w:type="dxa"/>
            <w:vAlign w:val="bottom"/>
          </w:tcPr>
          <w:p>
            <w:pPr>
              <w:ind w:left="20"/>
              <w:spacing w:after="0"/>
              <w:rPr>
                <w:sz w:val="20"/>
                <w:szCs w:val="20"/>
                <w:color w:val="auto"/>
              </w:rPr>
            </w:pPr>
            <w:r>
              <w:rPr>
                <w:rFonts w:ascii="Arial" w:cs="Arial" w:eastAsia="Arial" w:hAnsi="Arial"/>
                <w:sz w:val="16"/>
                <w:szCs w:val="16"/>
                <w:color w:val="auto"/>
              </w:rPr>
              <w:t>Other, net</w:t>
            </w:r>
          </w:p>
        </w:tc>
        <w:tc>
          <w:tcPr>
            <w:tcW w:w="2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(2 )</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r>
      <w:tr>
        <w:trPr>
          <w:trHeight w:val="134"/>
        </w:trPr>
        <w:tc>
          <w:tcPr>
            <w:tcW w:w="4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4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Balance, end of period</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93,718</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86,939</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83,111</w:t>
            </w:r>
          </w:p>
        </w:tc>
        <w:tc>
          <w:tcPr>
            <w:tcW w:w="80" w:type="dxa"/>
            <w:vAlign w:val="bottom"/>
            <w:shd w:val="clear" w:color="auto" w:fill="E5E5E5"/>
          </w:tcPr>
          <w:p>
            <w:pPr>
              <w:spacing w:after="0"/>
              <w:rPr>
                <w:sz w:val="17"/>
                <w:szCs w:val="17"/>
                <w:color w:val="auto"/>
              </w:rPr>
            </w:pPr>
          </w:p>
        </w:tc>
      </w:tr>
      <w:tr>
        <w:trPr>
          <w:trHeight w:val="348"/>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Retained earnings</w:t>
            </w: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84,281</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57,055</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34,566</w:t>
            </w:r>
          </w:p>
        </w:tc>
        <w:tc>
          <w:tcPr>
            <w:tcW w:w="80" w:type="dxa"/>
            <w:vAlign w:val="bottom"/>
            <w:shd w:val="clear" w:color="auto" w:fill="E5E5E5"/>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72,361</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72,738</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61,271</w:t>
            </w:r>
          </w:p>
        </w:tc>
        <w:tc>
          <w:tcPr>
            <w:tcW w:w="80" w:type="dxa"/>
            <w:vAlign w:val="bottom"/>
          </w:tcPr>
          <w:p>
            <w:pPr>
              <w:spacing w:after="0"/>
              <w:rPr>
                <w:sz w:val="17"/>
                <w:szCs w:val="17"/>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Common stock cash dividends</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(20,226 )</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(18,552 )</w:t>
            </w: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(16,871 )</w:t>
            </w: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Common stock repurchased</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(17,568 )</w:t>
            </w:r>
          </w:p>
        </w:tc>
        <w:tc>
          <w:tcPr>
            <w:tcW w:w="3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(26,960 )</w:t>
            </w:r>
          </w:p>
        </w:tc>
        <w:tc>
          <w:tcPr>
            <w:tcW w:w="34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(21,879 )</w:t>
            </w: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(32)</w:t>
            </w:r>
          </w:p>
        </w:tc>
      </w:tr>
      <w:tr>
        <w:trPr>
          <w:trHeight w:val="358"/>
        </w:trPr>
        <w:tc>
          <w:tcPr>
            <w:tcW w:w="4440" w:type="dxa"/>
            <w:vAlign w:val="bottom"/>
          </w:tcPr>
          <w:p>
            <w:pPr>
              <w:ind w:left="220"/>
              <w:spacing w:after="0"/>
              <w:rPr>
                <w:sz w:val="20"/>
                <w:szCs w:val="20"/>
                <w:color w:val="auto"/>
              </w:rPr>
            </w:pPr>
            <w:r>
              <w:rPr>
                <w:rFonts w:ascii="Arial" w:cs="Arial" w:eastAsia="Arial" w:hAnsi="Arial"/>
                <w:sz w:val="16"/>
                <w:szCs w:val="16"/>
                <w:color w:val="auto"/>
              </w:rPr>
              <w:t>Balance, end of period</w:t>
            </w: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118,848</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84,281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57,055</w:t>
            </w:r>
          </w:p>
        </w:tc>
        <w:tc>
          <w:tcPr>
            <w:tcW w:w="80" w:type="dxa"/>
            <w:vAlign w:val="bottom"/>
          </w:tcPr>
          <w:p>
            <w:pPr>
              <w:spacing w:after="0"/>
              <w:rPr>
                <w:sz w:val="24"/>
                <w:szCs w:val="24"/>
                <w:color w:val="auto"/>
              </w:rPr>
            </w:pPr>
          </w:p>
        </w:tc>
      </w:tr>
      <w:tr>
        <w:trPr>
          <w:trHeight w:val="134"/>
        </w:trPr>
        <w:tc>
          <w:tcPr>
            <w:tcW w:w="4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Accumulated other comprehensive income (loss)</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r>
      <w:tr>
        <w:trPr>
          <w:trHeight w:val="204"/>
        </w:trPr>
        <w:tc>
          <w:tcPr>
            <w:tcW w:w="44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(4,678)</w:t>
            </w: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1,822</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3,186</w:t>
            </w:r>
          </w:p>
        </w:tc>
        <w:tc>
          <w:tcPr>
            <w:tcW w:w="80" w:type="dxa"/>
            <w:vAlign w:val="bottom"/>
          </w:tcPr>
          <w:p>
            <w:pPr>
              <w:spacing w:after="0"/>
              <w:rPr>
                <w:sz w:val="17"/>
                <w:szCs w:val="17"/>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comprehensive loss</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(1,665)</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(6,500)</w:t>
            </w:r>
          </w:p>
        </w:tc>
        <w:tc>
          <w:tcPr>
            <w:tcW w:w="34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(1,374)</w:t>
            </w:r>
          </w:p>
        </w:tc>
      </w:tr>
      <w:tr>
        <w:trPr>
          <w:trHeight w:val="217"/>
        </w:trPr>
        <w:tc>
          <w:tcPr>
            <w:tcW w:w="4440" w:type="dxa"/>
            <w:vAlign w:val="bottom"/>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r>
      <w:tr>
        <w:trPr>
          <w:trHeight w:val="131"/>
        </w:trPr>
        <w:tc>
          <w:tcPr>
            <w:tcW w:w="44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44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Balance, end of period</w:t>
            </w:r>
          </w:p>
        </w:tc>
        <w:tc>
          <w:tcPr>
            <w:tcW w:w="21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(6,343)</w:t>
            </w:r>
          </w:p>
        </w:tc>
        <w:tc>
          <w:tcPr>
            <w:tcW w:w="34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(4,678)</w:t>
            </w:r>
          </w:p>
        </w:tc>
        <w:tc>
          <w:tcPr>
            <w:tcW w:w="3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1,822</w:t>
            </w:r>
          </w:p>
        </w:tc>
        <w:tc>
          <w:tcPr>
            <w:tcW w:w="80" w:type="dxa"/>
            <w:vAlign w:val="bottom"/>
            <w:shd w:val="clear" w:color="auto" w:fill="E5E5E5"/>
          </w:tcPr>
          <w:p>
            <w:pPr>
              <w:spacing w:after="0"/>
              <w:rPr>
                <w:sz w:val="17"/>
                <w:szCs w:val="17"/>
                <w:color w:val="auto"/>
              </w:rPr>
            </w:pPr>
          </w:p>
        </w:tc>
      </w:tr>
      <w:tr>
        <w:trPr>
          <w:trHeight w:val="358"/>
        </w:trPr>
        <w:tc>
          <w:tcPr>
            <w:tcW w:w="444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246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206,223</w:t>
            </w:r>
          </w:p>
        </w:tc>
        <w:tc>
          <w:tcPr>
            <w:tcW w:w="220" w:type="dxa"/>
            <w:vAlign w:val="bottom"/>
          </w:tcPr>
          <w:p>
            <w:pPr>
              <w:spacing w:after="0"/>
              <w:rPr>
                <w:sz w:val="24"/>
                <w:szCs w:val="24"/>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166,542</w:t>
            </w:r>
          </w:p>
        </w:tc>
        <w:tc>
          <w:tcPr>
            <w:tcW w:w="200" w:type="dxa"/>
            <w:vAlign w:val="bottom"/>
          </w:tcPr>
          <w:p>
            <w:pPr>
              <w:spacing w:after="0"/>
              <w:rPr>
                <w:sz w:val="24"/>
                <w:szCs w:val="24"/>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141,988</w:t>
            </w:r>
          </w:p>
        </w:tc>
        <w:tc>
          <w:tcPr>
            <w:tcW w:w="80" w:type="dxa"/>
            <w:vAlign w:val="bottom"/>
          </w:tcPr>
          <w:p>
            <w:pPr>
              <w:spacing w:after="0"/>
              <w:rPr>
                <w:sz w:val="24"/>
                <w:szCs w:val="24"/>
                <w:color w:val="auto"/>
              </w:rPr>
            </w:pPr>
          </w:p>
        </w:tc>
      </w:tr>
      <w:tr>
        <w:trPr>
          <w:trHeight w:val="66"/>
        </w:trPr>
        <w:tc>
          <w:tcPr>
            <w:tcW w:w="4440" w:type="dxa"/>
            <w:vAlign w:val="bottom"/>
          </w:tcPr>
          <w:p>
            <w:pPr>
              <w:spacing w:after="0"/>
              <w:rPr>
                <w:sz w:val="5"/>
                <w:szCs w:val="5"/>
                <w:color w:val="auto"/>
              </w:rPr>
            </w:pPr>
          </w:p>
        </w:tc>
        <w:tc>
          <w:tcPr>
            <w:tcW w:w="2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72"/>
        </w:trPr>
        <w:tc>
          <w:tcPr>
            <w:tcW w:w="4440" w:type="dxa"/>
            <w:vAlign w:val="bottom"/>
          </w:tcPr>
          <w:p>
            <w:pPr>
              <w:spacing w:after="0"/>
              <w:rPr>
                <w:sz w:val="6"/>
                <w:szCs w:val="6"/>
                <w:color w:val="auto"/>
              </w:rPr>
            </w:pPr>
          </w:p>
        </w:tc>
        <w:tc>
          <w:tcPr>
            <w:tcW w:w="2460" w:type="dxa"/>
            <w:vAlign w:val="bottom"/>
            <w:gridSpan w:val="2"/>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4440" w:type="dxa"/>
            <w:vAlign w:val="bottom"/>
            <w:shd w:val="clear" w:color="auto" w:fill="E5E5E5"/>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24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2.72</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2.24</w:t>
            </w:r>
          </w:p>
        </w:tc>
        <w:tc>
          <w:tcPr>
            <w:tcW w:w="80" w:type="dxa"/>
            <w:vAlign w:val="bottom"/>
            <w:shd w:val="clear" w:color="auto" w:fill="E5E5E5"/>
          </w:tcPr>
          <w:p>
            <w:pPr>
              <w:spacing w:after="0"/>
              <w:rPr>
                <w:sz w:val="17"/>
                <w:szCs w:val="17"/>
                <w:color w:val="auto"/>
              </w:rPr>
            </w:pPr>
          </w:p>
        </w:tc>
      </w:tr>
      <w:tr>
        <w:trPr>
          <w:trHeight w:val="430"/>
        </w:trPr>
        <w:tc>
          <w:tcPr>
            <w:tcW w:w="4440" w:type="dxa"/>
            <w:vAlign w:val="bottom"/>
          </w:tcPr>
          <w:p>
            <w:pPr>
              <w:spacing w:after="0"/>
              <w:rPr>
                <w:sz w:val="20"/>
                <w:szCs w:val="20"/>
                <w:color w:val="auto"/>
              </w:rPr>
            </w:pPr>
            <w:r>
              <w:rPr>
                <w:rFonts w:ascii="Arial" w:cs="Arial" w:eastAsia="Arial" w:hAnsi="Arial"/>
                <w:sz w:val="16"/>
                <w:szCs w:val="16"/>
                <w:color w:val="auto"/>
              </w:rPr>
              <w:t>Refer to accompanying notes.</w:t>
            </w: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0"/>
        </w:trPr>
        <w:tc>
          <w:tcPr>
            <w:tcW w:w="4440" w:type="dxa"/>
            <w:vAlign w:val="bottom"/>
          </w:tcPr>
          <w:p>
            <w:pPr>
              <w:spacing w:after="0"/>
              <w:rPr>
                <w:sz w:val="24"/>
                <w:szCs w:val="24"/>
                <w:color w:val="auto"/>
              </w:rPr>
            </w:pPr>
          </w:p>
        </w:tc>
        <w:tc>
          <w:tcPr>
            <w:tcW w:w="2120" w:type="dxa"/>
            <w:vAlign w:val="bottom"/>
          </w:tcPr>
          <w:p>
            <w:pPr>
              <w:jc w:val="right"/>
              <w:ind w:right="1125"/>
              <w:spacing w:after="0"/>
              <w:rPr>
                <w:sz w:val="20"/>
                <w:szCs w:val="20"/>
                <w:color w:val="auto"/>
              </w:rPr>
            </w:pPr>
            <w:r>
              <w:rPr>
                <w:rFonts w:ascii="Arial" w:cs="Arial" w:eastAsia="Arial" w:hAnsi="Arial"/>
                <w:sz w:val="13"/>
                <w:szCs w:val="13"/>
                <w:color w:val="auto"/>
              </w:rPr>
              <w:t>62</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6"/>
        </w:trPr>
        <w:tc>
          <w:tcPr>
            <w:tcW w:w="4440" w:type="dxa"/>
            <w:vAlign w:val="bottom"/>
            <w:tcBorders>
              <w:bottom w:val="single" w:sz="8" w:color="EEEEEE"/>
            </w:tcBorders>
          </w:tcPr>
          <w:p>
            <w:pPr>
              <w:spacing w:after="0"/>
              <w:rPr>
                <w:sz w:val="9"/>
                <w:szCs w:val="9"/>
                <w:color w:val="auto"/>
              </w:rPr>
            </w:pPr>
          </w:p>
        </w:tc>
        <w:tc>
          <w:tcPr>
            <w:tcW w:w="212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840" w:type="dxa"/>
            <w:vAlign w:val="bottom"/>
            <w:tcBorders>
              <w:bottom w:val="single" w:sz="8" w:color="EEEEEE"/>
            </w:tcBorders>
          </w:tcPr>
          <w:p>
            <w:pPr>
              <w:spacing w:after="0"/>
              <w:rPr>
                <w:sz w:val="9"/>
                <w:szCs w:val="9"/>
                <w:color w:val="auto"/>
              </w:rPr>
            </w:pPr>
          </w:p>
        </w:tc>
        <w:tc>
          <w:tcPr>
            <w:tcW w:w="22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-812165</wp:posOffset>
            </wp:positionV>
            <wp:extent cx="93980" cy="863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-812165</wp:posOffset>
            </wp:positionV>
            <wp:extent cx="86360" cy="863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-812165</wp:posOffset>
            </wp:positionV>
            <wp:extent cx="86360" cy="863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2" w:name="page63"/>
    <w:bookmarkEnd w:id="62"/>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FINANCIAL STATEMENTS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NOTE 1 — ACCOUNTING POLICIES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Principles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Our consolidated financial statements and accompanying notes are prepared in accordance with accounting principles generally accepted in the United States of America (“GAAP”).</w:t>
      </w:r>
    </w:p>
    <w:p>
      <w:pPr>
        <w:spacing w:after="0" w:line="11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We have recast certain prior period amounts to conform to the current period presentation. The recast of these prior period amounts had no impact on our consolidated balance sheets, consolidated income statements, or consolidated cash flows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consolidated financial statements include the accounts of Microsoft Corporation and its subsidiaries. Intercompany transactions and balances have been eliminated.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(“SSP”)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spacing w:after="0" w:line="103"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In July 2022, we completed an assessment of the useful lives of our server and network equipment. Due to investments in software that increased efficiencies in how we operate our server and network equipment, as well as advances in technology, we determined we should increase the estimated useful lives of both server and network equipment from four years to six years. This change in accounting estimate was effective beginning fiscal year 2023. Based on the carrying amount of server and network equipment included in property and equipment, net as of June 30, 2022, the effect of this change in estimate for fiscal year 2023 was an increase in operating income of $3.7 billion and net income of $3.0 billion, or $0.40 per both basic and diluted share.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Currencies</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Assets and liabilities recorded in foreign currencies are translated at the exchange rate on the balance sheet date. Revenue and expenses are translated at average rates of exchange prevailing during the year. Translation adjustments resulting from this process are recorded to other comprehensive income.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Revenue and Service and Other Revenue</w:t>
      </w:r>
    </w:p>
    <w:p>
      <w:pPr>
        <w:spacing w:after="0" w:line="14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Product revenue includes sales from operating systems, cross-device productivity and collaboration applications, server applications, business solution applications, desktop and server management tools, software development tools, video games, and hardware such as PCs, tablets, gaming and entertainment consoles, other intelligent devices, and related accessories.</w:t>
      </w:r>
    </w:p>
    <w:p>
      <w:pPr>
        <w:spacing w:after="0" w:line="125" w:lineRule="exact"/>
        <w:rPr>
          <w:sz w:val="20"/>
          <w:szCs w:val="20"/>
          <w:color w:val="auto"/>
        </w:rPr>
      </w:pPr>
    </w:p>
    <w:p>
      <w:pPr>
        <w:ind w:right="360"/>
        <w:spacing w:after="0" w:line="243" w:lineRule="auto"/>
        <w:rPr>
          <w:sz w:val="20"/>
          <w:szCs w:val="20"/>
          <w:color w:val="auto"/>
        </w:rPr>
      </w:pPr>
      <w:r>
        <w:rPr>
          <w:rFonts w:ascii="Arial" w:cs="Arial" w:eastAsia="Arial" w:hAnsi="Arial"/>
          <w:sz w:val="16"/>
          <w:szCs w:val="16"/>
          <w:color w:val="auto"/>
        </w:rPr>
        <w:t>Service and other revenue includes sales from cloud- based solutions that provide customers with software, services, platforms, and content such as Office 365, Azure, Dynamics 365, and Xbox; solution support; and consulting services. Service and other revenue also includes sales from online advertising and LinkedIn.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48"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Revenue is recognized upon transfer of control of promised products or services to customers in an amount that reflects the consideration we expect to receive in exchange for those products or services. We enter into contracts that can include various combinations of products and services, which are generally capable of being distinct and accounted for as separate performance obligations. Revenue is recognized net of allowances for returns and any taxes collected from customers, which are subsequently remitted to governmental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Nature of Products and Services</w:t>
      </w:r>
    </w:p>
    <w:p>
      <w:pPr>
        <w:spacing w:after="0" w:line="146"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color w:val="auto"/>
        </w:rPr>
        <w:t>Licenses for on-premises software provide the customer with a right to use the software as it exists when made available to the customer. Customers may purchase perpetual licenses or subscribe to licenses, which provide customers with the same functionality and differ mainly in the duration over which the customer benefits from the software. Revenue from distinct on-premises licenses is recognized upfront at the point in time when the software is made available to the customer. In cases where we allocate revenue to software updates, primarily because the updates are provided at no additional charge, revenue is recognized as the updates are provided, which is generally ratably over the estimated life of the related device or license.</w:t>
      </w:r>
    </w:p>
    <w:p>
      <w:pPr>
        <w:spacing w:after="0" w:line="102"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Certain volume licensing programs, including Enterprise Agreements, include on-premises licenses combined with Software Assurance (“SA”). SA conveys rights to new software and upgrades released over the contract period and provides support, tools, and training to help customers deploy and use products more efficiently. On- premises licenses are considered distinct performance obligations when sold with SA. Revenue allocated to SA is generally recognized ratably over the contract period as customers simultaneously consume and receive benefits, given that SA comprises distinct performance obligations that are satisfied over time.</w:t>
      </w:r>
    </w:p>
    <w:p>
      <w:pPr>
        <w:spacing w:after="0" w:line="12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Cloud services, which allow customers to use hosted software over the contract period without taking possession of the software, are provided on either a subscription or consumption basis. Revenue related to cloud services provided on a subscription basis is recognized ratably over the contract period. Revenue related to cloud services provided on a consumption basis, such as the amount of storage used in a period, is recognized based on the customer utilization of such resources. When cloud services require a significant level of integration and interdependency with software and the individual components are not considered distinct, all revenue is recognized over the period in which the cloud services are provided.</w:t>
      </w:r>
    </w:p>
    <w:p>
      <w:pPr>
        <w:spacing w:after="0" w:line="12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Revenue from search advertising is recognized when the advertisement appears in the search results or when the action necessary to earn the revenue has been completed. Revenue from consulting services is recognized as services are provided.</w:t>
      </w:r>
    </w:p>
    <w:p>
      <w:pPr>
        <w:spacing w:after="0" w:line="11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Our hardware is generally highly dependent on, and interrelated with, the underlying operating system and cannot function without the operating system. In these cases, the hardware and software license are accounted for as a single performance obligation and revenue is recognized at the point in time when ownership is transferred to resellers or directly to end customers through retail stores and online marketplaces.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Refer to Note 19 – Segment Information and Geographic Data for further information, including revenue by significant product and service offering.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Significant Judgments</w:t>
      </w:r>
    </w:p>
    <w:p>
      <w:pPr>
        <w:spacing w:after="0" w:line="14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Judgment is required to determine the SSP for each distinct performance obligation. We use a single amount to estimate SSP for items that are not sold separately, including on -premises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spacing w:after="0" w:line="128"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spacing w:after="0" w:line="12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Due to the various benefits from and the nature of our SA program, judgment is required to assess the pattern of delivery, including the exercise pattern of certain benefits across our portfolio of customers.</w:t>
      </w:r>
    </w:p>
    <w:p>
      <w:pPr>
        <w:spacing w:after="0" w:line="118" w:lineRule="exact"/>
        <w:rPr>
          <w:sz w:val="20"/>
          <w:szCs w:val="20"/>
          <w:color w:val="auto"/>
        </w:rPr>
      </w:pPr>
    </w:p>
    <w:p>
      <w:pPr>
        <w:jc w:val="both"/>
        <w:spacing w:after="0"/>
        <w:rPr>
          <w:sz w:val="20"/>
          <w:szCs w:val="20"/>
          <w:color w:val="auto"/>
        </w:rPr>
      </w:pPr>
      <w:r>
        <w:rPr>
          <w:rFonts w:ascii="Arial" w:cs="Arial" w:eastAsia="Arial" w:hAnsi="Arial"/>
          <w:sz w:val="16"/>
          <w:szCs w:val="16"/>
          <w:color w:val="auto"/>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 and Other Receivables</w:t>
      </w:r>
    </w:p>
    <w:p>
      <w:pPr>
        <w:spacing w:after="0" w:line="14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Timing of revenue recognition may differ from the timing of invoicing to customers. We record a receivable when revenue is recognized prior to invoicing, or unearned revenue when revenue is recognized subsequent to invoicing. For multi-year agreements, we generally invoice customers annually at the beginning of each annual coverage period. We record a receivable related to revenue recognized for multi-year on-premises licenses as we have an unconditional right to invoice and receive payment in the future related to those licenses.</w:t>
      </w:r>
    </w:p>
    <w:p>
      <w:pPr>
        <w:spacing w:after="0" w:line="12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Unearned revenue comprises mainly unearned revenue related to volume licensing programs, which may include SA and cloud services. Unearned revenue is generally invoiced annually at the beginning of each contract period for multi-year agreements and recognized ratably over the coverage period. Unearned revenue also includes payments for consulting services to be performed in the future, LinkedIn subscriptions, Office 365 subscriptions, Xbox subscriptions, Windows post-delivery support, Dynamics business solutions, and other offerings for which we have been paid in advance and earn the revenue when we transfer control of the product or service.</w:t>
      </w:r>
    </w:p>
    <w:p>
      <w:pPr>
        <w:spacing w:after="0" w:line="128" w:lineRule="exact"/>
        <w:rPr>
          <w:sz w:val="20"/>
          <w:szCs w:val="20"/>
          <w:color w:val="auto"/>
        </w:rPr>
      </w:pPr>
    </w:p>
    <w:p>
      <w:pPr>
        <w:ind w:right="360"/>
        <w:spacing w:after="0" w:line="252" w:lineRule="auto"/>
        <w:rPr>
          <w:sz w:val="20"/>
          <w:szCs w:val="20"/>
          <w:color w:val="auto"/>
        </w:rPr>
      </w:pPr>
      <w:r>
        <w:rPr>
          <w:rFonts w:ascii="Arial" w:cs="Arial" w:eastAsia="Arial" w:hAnsi="Arial"/>
          <w:sz w:val="16"/>
          <w:szCs w:val="16"/>
          <w:color w:val="auto"/>
        </w:rPr>
        <w:t>Refer to Note 13 – Unearned Revenue for further information, including unearned revenue by segment and changes in unearned revenue during the period.</w:t>
      </w:r>
    </w:p>
    <w:p>
      <w:pPr>
        <w:spacing w:after="0" w:line="11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Payment terms and conditions vary by contract type, although terms generally include a requirement of payment within 30 to 60 days. In instances where the timing of revenue recognition differs from the timing of invoicing, we have determined our contracts generally do not include a significant financing component. The primary purpose of our invoicing terms is to provide customers with simplified and predictable ways of purchasing our products and services, not to receive financing from our customers or to provide customers with financing. Examples include invoicing at the beginning of a subscription term with revenue recognized ratably over the contract period, and multi-year on-premises licenses that are invoiced annually with revenue recognized upfront.</w:t>
      </w:r>
    </w:p>
    <w:p>
      <w:pPr>
        <w:spacing w:after="0" w:line="13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As of June 30, 2023 and 2022, long- term accounts receivable, net of allowance for doubtful accounts, was $4.5 billion and $3.8 billion, respectively, and is included in other long-term assets in our consolidated balance sheets.</w:t>
      </w:r>
    </w:p>
    <w:p>
      <w:pPr>
        <w:spacing w:after="0" w:line="118" w:lineRule="exact"/>
        <w:rPr>
          <w:sz w:val="20"/>
          <w:szCs w:val="20"/>
          <w:color w:val="auto"/>
        </w:rPr>
      </w:pPr>
    </w:p>
    <w:p>
      <w:pPr>
        <w:ind w:right="620"/>
        <w:spacing w:after="0" w:line="252" w:lineRule="auto"/>
        <w:rPr>
          <w:sz w:val="20"/>
          <w:szCs w:val="20"/>
          <w:color w:val="auto"/>
        </w:rPr>
      </w:pPr>
      <w:r>
        <w:rPr>
          <w:rFonts w:ascii="Arial" w:cs="Arial" w:eastAsia="Arial" w:hAnsi="Arial"/>
          <w:sz w:val="16"/>
          <w:szCs w:val="16"/>
          <w:color w:val="auto"/>
        </w:rPr>
        <w:t>The allowance for doubtful accounts reflects our best estimate of probable losses inherent in the accounts receivable balance. We determine the allowance based on known troubled accounts, historical experience, and other currently available evidence.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65" w:name="page66"/>
    <w:bookmarkEnd w:id="65"/>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doubtful accounts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50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6"/>
                <w:szCs w:val="16"/>
                <w:b w:val="1"/>
                <w:bCs w:val="1"/>
                <w:color w:val="auto"/>
              </w:rPr>
              <w:t>710</w:t>
            </w:r>
          </w:p>
        </w:tc>
        <w:tc>
          <w:tcPr>
            <w:tcW w:w="18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798</w:t>
            </w:r>
          </w:p>
        </w:tc>
        <w:tc>
          <w:tcPr>
            <w:tcW w:w="2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40" w:type="dxa"/>
            <w:vAlign w:val="bottom"/>
          </w:tcPr>
          <w:p>
            <w:pPr>
              <w:ind w:left="220"/>
              <w:spacing w:after="0"/>
              <w:rPr>
                <w:sz w:val="20"/>
                <w:szCs w:val="20"/>
                <w:color w:val="auto"/>
              </w:rPr>
            </w:pPr>
            <w:r>
              <w:rPr>
                <w:rFonts w:ascii="Arial" w:cs="Arial" w:eastAsia="Arial" w:hAnsi="Arial"/>
                <w:sz w:val="16"/>
                <w:szCs w:val="16"/>
                <w:color w:val="auto"/>
              </w:rPr>
              <w:t>Charged to costs and other</w:t>
            </w: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258</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Write-offs</w:t>
            </w:r>
          </w:p>
        </w:tc>
        <w:tc>
          <w:tcPr>
            <w:tcW w:w="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(252 )</w:t>
            </w:r>
          </w:p>
        </w:tc>
        <w:tc>
          <w:tcPr>
            <w:tcW w:w="4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880" w:type="dxa"/>
            <w:vAlign w:val="bottom"/>
            <w:gridSpan w:val="3"/>
            <w:shd w:val="clear" w:color="auto" w:fill="E5E5E5"/>
          </w:tcPr>
          <w:p>
            <w:pPr>
              <w:jc w:val="right"/>
              <w:ind w:right="120"/>
              <w:spacing w:after="0"/>
              <w:rPr>
                <w:sz w:val="20"/>
                <w:szCs w:val="20"/>
                <w:color w:val="auto"/>
              </w:rPr>
            </w:pPr>
            <w:r>
              <w:rPr>
                <w:rFonts w:ascii="Arial" w:cs="Arial" w:eastAsia="Arial" w:hAnsi="Arial"/>
                <w:sz w:val="16"/>
                <w:szCs w:val="16"/>
                <w:color w:val="auto"/>
              </w:rPr>
              <w:t>(245 )</w:t>
            </w:r>
          </w:p>
        </w:tc>
        <w:tc>
          <w:tcPr>
            <w:tcW w:w="2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(252 )</w:t>
            </w:r>
          </w:p>
        </w:tc>
        <w:tc>
          <w:tcPr>
            <w:tcW w:w="0" w:type="dxa"/>
            <w:vAlign w:val="bottom"/>
          </w:tcPr>
          <w:p>
            <w:pPr>
              <w:spacing w:after="0"/>
              <w:rPr>
                <w:sz w:val="1"/>
                <w:szCs w:val="1"/>
                <w:color w:val="auto"/>
              </w:rPr>
            </w:pPr>
          </w:p>
        </w:tc>
      </w:tr>
      <w:tr>
        <w:trPr>
          <w:trHeight w:val="358"/>
        </w:trPr>
        <w:tc>
          <w:tcPr>
            <w:tcW w:w="65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50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716</w:t>
            </w:r>
          </w:p>
        </w:tc>
        <w:tc>
          <w:tcPr>
            <w:tcW w:w="180" w:type="dxa"/>
            <w:vAlign w:val="bottom"/>
          </w:tcPr>
          <w:p>
            <w:pPr>
              <w:spacing w:after="0"/>
              <w:rPr>
                <w:sz w:val="24"/>
                <w:szCs w:val="24"/>
                <w:color w:val="auto"/>
              </w:rPr>
            </w:pPr>
          </w:p>
        </w:tc>
        <w:tc>
          <w:tcPr>
            <w:tcW w:w="5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710</w:t>
            </w:r>
          </w:p>
        </w:tc>
        <w:tc>
          <w:tcPr>
            <w:tcW w:w="200" w:type="dxa"/>
            <w:vAlign w:val="bottom"/>
          </w:tcPr>
          <w:p>
            <w:pPr>
              <w:spacing w:after="0"/>
              <w:rPr>
                <w:sz w:val="24"/>
                <w:szCs w:val="24"/>
                <w:color w:val="auto"/>
              </w:rPr>
            </w:pPr>
          </w:p>
        </w:tc>
        <w:tc>
          <w:tcPr>
            <w:tcW w:w="4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540" w:type="dxa"/>
            <w:vAlign w:val="bottom"/>
            <w:vMerge w:val="restart"/>
          </w:tcPr>
          <w:p>
            <w:pPr>
              <w:spacing w:after="0"/>
              <w:rPr>
                <w:sz w:val="20"/>
                <w:szCs w:val="20"/>
                <w:color w:val="auto"/>
              </w:rPr>
            </w:pPr>
            <w:r>
              <w:rPr>
                <w:rFonts w:ascii="Arial" w:cs="Arial" w:eastAsia="Arial" w:hAnsi="Arial"/>
                <w:sz w:val="16"/>
                <w:szCs w:val="16"/>
                <w:color w:val="auto"/>
              </w:rPr>
              <w:t>Allowance for doubtful accounts included in our consolidated balance sheets:</w:t>
            </w:r>
          </w:p>
        </w:tc>
        <w:tc>
          <w:tcPr>
            <w:tcW w:w="4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65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4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4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Accounts receivable, net of allowance for doubtful accounts</w:t>
            </w:r>
          </w:p>
        </w:tc>
        <w:tc>
          <w:tcPr>
            <w:tcW w:w="500" w:type="dxa"/>
            <w:vAlign w:val="bottom"/>
            <w:gridSpan w:val="2"/>
            <w:shd w:val="clear" w:color="auto" w:fill="E5E5E5"/>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650</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4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633</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4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54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500" w:type="dxa"/>
            <w:vAlign w:val="bottom"/>
            <w:gridSpan w:val="2"/>
            <w:shd w:val="clear" w:color="auto" w:fill="E5E5E5"/>
          </w:tcPr>
          <w:p>
            <w:pPr>
              <w:jc w:val="right"/>
              <w:ind w:right="400"/>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716</w:t>
            </w:r>
          </w:p>
        </w:tc>
        <w:tc>
          <w:tcPr>
            <w:tcW w:w="2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520" w:type="dxa"/>
            <w:vAlign w:val="bottom"/>
            <w:gridSpan w:val="2"/>
            <w:shd w:val="clear" w:color="auto" w:fill="E5E5E5"/>
          </w:tcPr>
          <w:p>
            <w:pPr>
              <w:jc w:val="right"/>
              <w:ind w:right="4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710</w:t>
            </w:r>
          </w:p>
        </w:tc>
        <w:tc>
          <w:tcPr>
            <w:tcW w:w="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80" w:type="dxa"/>
            <w:vAlign w:val="bottom"/>
            <w:gridSpan w:val="2"/>
            <w:shd w:val="clear" w:color="auto" w:fill="E5E5E5"/>
          </w:tcPr>
          <w:p>
            <w:pPr>
              <w:jc w:val="right"/>
              <w:ind w:right="38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54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4907280</wp:posOffset>
            </wp:positionH>
            <wp:positionV relativeFrom="paragraph">
              <wp:posOffset>-1323340</wp:posOffset>
            </wp:positionV>
            <wp:extent cx="93980" cy="863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-1323340</wp:posOffset>
            </wp:positionV>
            <wp:extent cx="93980" cy="863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-1323340</wp:posOffset>
            </wp:positionV>
            <wp:extent cx="86360" cy="863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-73025</wp:posOffset>
            </wp:positionV>
            <wp:extent cx="93980" cy="863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-73025</wp:posOffset>
            </wp:positionV>
            <wp:extent cx="93980" cy="863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As of June 30, 2023 and 2022, other receivables related to activities to facilitate the purchase of server components were $9.2 billion and $6.1 billion, respectively, and are included in other current assets in our consolidated balance sheets.</w:t>
      </w:r>
    </w:p>
    <w:p>
      <w:pPr>
        <w:spacing w:after="0" w:line="11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record financing receivables when we offer certain of our customers the option to acquire our software products and services offerings through a financing program in a limited number of countries. As of June 30, 2023 and 2022, our financing receivables, net were $5.3 billion and $4.1 billion, respectively, for short-term and long-term financing receivables, which are included in other current assets and other long- term assets in our consolidated balance sheets. We record an allowance to cover expected losses based on troubled accounts, historical experience, and other currently available evidence.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Assets Recognized from Costs to Obtain a Contract with a Customer</w:t>
      </w:r>
    </w:p>
    <w:p>
      <w:pPr>
        <w:spacing w:after="0" w:line="14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recognize an asset for the incremental costs of obtaining a contract with a customer if we expect the benefit of those costs to be longer than one year. We have determined that certain sales incentive programs meet the requirements to be capitalized. Total capitalized costs to obtain a contract were immaterial during the periods presented and are included in other current and long-term assets in our consolidated balance sheets.</w:t>
      </w:r>
    </w:p>
    <w:p>
      <w:pPr>
        <w:spacing w:after="0" w:line="125"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We apply a practical expedient to expense costs as incurred for costs to obtain a contract with a customer when the amortization period would have been one year or less. These costs include our internal sales organization compensation program and certain partner sales incentive programs as we have determined annual compensation is commensurate with annual sales activities.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Revenue</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Cost of revenue includes: manufacturing and distribution costs for products sold and programs licensed; operating costs related to product support service centers and product distribution centers; costs incurred to include software on PCs sold by original equipment manufacturers (“OEM”), to drive traffic to our websites, and to acquire online advertising space; costs incurred to support and maintain cloud-based and other online products and services, including datacenter costs and royalties; warranty costs; inventory valuation adjustments; costs associated with the delivery of consulting services; and the amortization of capitalized software development costs. Capitalized software development costs are amortized over the estimated lives of the products.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Warranty</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We provide for the estimated costs of fulfilling our obligations under hardware and software warranties at the time the related revenue is recognized. For hardware warranties, we estimate the costs based on historical and projected product failure rates, historical and projected repair costs, and knowledge of specific product failures (if any). The specific hardware warranty terms and conditions vary depending upon the product sold and the country in which we do business, but generally include parts and labor over a period generally ranging from 90 days to three years. For software warranties, we estimate the costs to provide bug fixes, such as security patches, over the estimated life of the software. We regularly reevaluate our estimates to assess the adequacy of the recorded warranty liabilities and adjust the amounts as necessary.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Research and development expenses include payroll, employee benefits, stock-based compensation expense, and other headcount -related expenses associated with product development. Research and development expenses also include third -party development and programming costs and the amortization of purchased software code and services content. Such costs related to software development are included in research and development expense until the point that technological feasibility is reached, which for our software products, is generally shortly before the products are released to production. Once technological feasibility is reached, such costs are capitalized and amortized to cost of revenue over the estimated lives of the products.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48"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Sales and marketing expenses include payroll, employee benefits, stock-based compensation expense, and other headcount-related expenses associated with sales and marketing personnel, and the costs of advertising, promotions, trade shows, seminars, and other programs. Advertising costs are expensed as incurred. Advertising expense was $904 million, $1.5 billion, and $1.5 billion in fiscal years 2023, 2022, and 2021,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Compensation cost for stock awards, which include restricted stock units (“RSUs”) and performance stock units (“PSUs”), is measured at the fair value on the grant date and recognized as expense, net of estimated forfeitures, over the related service or performance period. The fair value of stock awards is based on the quoted price of our common stock on the grant date less the present value of expected dividends not received during the vesting period. We measure the fair value of PSUs using a Monte Carlo valuation model. Compensation cost for RSUs is recognized using the straight-line method and for PSUs is recognized using the accelerated method.</w:t>
      </w:r>
    </w:p>
    <w:p>
      <w:pPr>
        <w:spacing w:after="0" w:line="12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Compensation expense for the employee stock purchase plan (“ESPP”) is measured as the discount the employee is entitled to upon purchase and is recognized in the period of purchase.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Severance</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On January 18, 2023, we announced a decision to reduce our overall workforce by approximately 10,000 jobs through the third quarter of fiscal year 2023. During the three months ended December 31, 2022, we recorded $800 million of employee severance expenses related to these job eliminations as part of an ongoing employee benefit plan. These employee severance expenses were incurred as part of a corporate program, and were included in general and administrative expenses in our consolidated income statements and allocated to our segments based on relative gross margin. Refer to Note 19 – Segment Information and Geographic Data for further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48"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Income tax expense includes U.S. and international income taxes, and interest and penalties on uncertain tax positions. Certain income and expenses are not reported in tax returns and financial statements in the same year. The tax effect of such temporary differences is reported as deferred income taxes. Deferred tax assets are reported net of a valuation allowance when it is more likely than not that a tax benefit will not be realized. All deferred income taxes are classified as long-term in our consolidated balance sheets.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Instruments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Investments</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spacing w:after="0" w:line="128" w:lineRule="exact"/>
        <w:rPr>
          <w:sz w:val="20"/>
          <w:szCs w:val="20"/>
          <w:color w:val="auto"/>
        </w:rPr>
      </w:pPr>
    </w:p>
    <w:p>
      <w:pPr>
        <w:spacing w:after="0" w:line="276" w:lineRule="auto"/>
        <w:rPr>
          <w:sz w:val="20"/>
          <w:szCs w:val="20"/>
          <w:color w:val="auto"/>
        </w:rPr>
      </w:pPr>
      <w:r>
        <w:rPr>
          <w:rFonts w:ascii="Arial" w:cs="Arial" w:eastAsia="Arial" w:hAnsi="Arial"/>
          <w:sz w:val="14"/>
          <w:szCs w:val="14"/>
          <w:color w:val="auto"/>
        </w:rPr>
        <w:t>Debt investments are classified as available-for- 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Derivatives</w:t>
      </w:r>
    </w:p>
    <w:p>
      <w:pPr>
        <w:spacing w:after="0" w:line="148" w:lineRule="exact"/>
        <w:rPr>
          <w:sz w:val="20"/>
          <w:szCs w:val="20"/>
          <w:color w:val="auto"/>
        </w:rPr>
      </w:pPr>
    </w:p>
    <w:p>
      <w:pPr>
        <w:ind w:right="660"/>
        <w:spacing w:after="0" w:line="252" w:lineRule="auto"/>
        <w:rPr>
          <w:sz w:val="20"/>
          <w:szCs w:val="20"/>
          <w:color w:val="auto"/>
        </w:rPr>
      </w:pPr>
      <w:r>
        <w:rPr>
          <w:rFonts w:ascii="Arial" w:cs="Arial" w:eastAsia="Arial" w:hAnsi="Arial"/>
          <w:sz w:val="16"/>
          <w:szCs w:val="16"/>
          <w:color w:val="auto"/>
        </w:rPr>
        <w:t>Derivative instruments are recognized as either assets or liabilities and measured at fair value. The accounting for changes in the fair value of a derivative depends on the intended use of the derivative and the resulting designation.</w:t>
      </w:r>
    </w:p>
    <w:p>
      <w:pPr>
        <w:spacing w:after="0" w:line="11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spacing w:after="0" w:line="125"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spacing w:after="0" w:line="125"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For derivative instruments that are not designated as hedges, gains and losses from changes in fair values are primarily recognized in other income (expense), net.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48"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spacing w:after="0" w:line="47" w:lineRule="exact"/>
        <w:rPr>
          <w:sz w:val="20"/>
          <w:szCs w:val="20"/>
          <w:color w:val="auto"/>
        </w:rPr>
      </w:pPr>
    </w:p>
    <w:p>
      <w:pPr>
        <w:ind w:left="600" w:right="2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Level 1</w:t>
      </w:r>
      <w:r>
        <w:rPr>
          <w:rFonts w:ascii="Arial" w:cs="Arial" w:eastAsia="Arial" w:hAnsi="Arial"/>
          <w:sz w:val="16"/>
          <w:szCs w:val="16"/>
          <w:color w:val="auto"/>
        </w:rPr>
        <w:t xml:space="preserve"> – 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spacing w:after="0" w:line="44" w:lineRule="exact"/>
        <w:rPr>
          <w:sz w:val="20"/>
          <w:szCs w:val="20"/>
          <w:color w:val="auto"/>
        </w:rPr>
      </w:pPr>
    </w:p>
    <w:p>
      <w:pPr>
        <w:ind w:left="600" w:right="40"/>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Level 2</w:t>
      </w:r>
      <w:r>
        <w:rPr>
          <w:rFonts w:ascii="Arial" w:cs="Arial" w:eastAsia="Arial" w:hAnsi="Arial"/>
          <w:sz w:val="16"/>
          <w:szCs w:val="16"/>
          <w:color w:val="auto"/>
        </w:rPr>
        <w:t xml:space="preserve">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spacing w:after="0" w:line="53" w:lineRule="exact"/>
        <w:rPr>
          <w:sz w:val="20"/>
          <w:szCs w:val="20"/>
          <w:color w:val="auto"/>
        </w:rPr>
      </w:pPr>
    </w:p>
    <w:p>
      <w:pPr>
        <w:ind w:left="600" w:right="40"/>
        <w:spacing w:after="0" w:line="24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Level 3</w:t>
      </w:r>
      <w:r>
        <w:rPr>
          <w:rFonts w:ascii="Arial" w:cs="Arial" w:eastAsia="Arial" w:hAnsi="Arial"/>
          <w:sz w:val="16"/>
          <w:szCs w:val="16"/>
          <w:color w:val="auto"/>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spacing w:after="0" w:line="127" w:lineRule="exact"/>
        <w:rPr>
          <w:sz w:val="20"/>
          <w:szCs w:val="20"/>
          <w:color w:val="auto"/>
        </w:rPr>
      </w:pPr>
    </w:p>
    <w:p>
      <w:pPr>
        <w:jc w:val="both"/>
        <w:ind w:right="200"/>
        <w:spacing w:after="0" w:line="243" w:lineRule="auto"/>
        <w:rPr>
          <w:sz w:val="20"/>
          <w:szCs w:val="20"/>
          <w:color w:val="auto"/>
        </w:rPr>
      </w:pPr>
      <w:r>
        <w:rPr>
          <w:rFonts w:ascii="Arial" w:cs="Arial" w:eastAsia="Arial" w:hAnsi="Arial"/>
          <w:sz w:val="16"/>
          <w:szCs w:val="16"/>
          <w:color w:val="auto"/>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Our other current financial assets and current financial liabilities have fair values that approximate their carrying values.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14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Inventories are stated at average cost, subject to the lower of cost or net realizable value. Cost includes materials, labor, and manufacturing overhead related to the purchase and production of inventories. Net realizable value is the estimated selling price less estimated costs of completion, disposal, and transportation. We regularly review inventory quantities on hand, future purchase commitments with our suppliers, and the estimated utility of our inventory. If our review indicates a reduction in utility below carrying value, we reduce our inventory to a new cost basis through a charge to cost of revenue.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is stated at cost less accumulated depreciation, and depreciated using the straight-line method over the shorter of the estimated useful life of the asset or the lease term. The estimated useful lives of our property and equipment are generally as follows: computer software developed or acquired for internal use, three years; computer equipment, two to six years; buildings and improvements, five to 15 years; leasehold improvements, three to 20 years; and furniture and equipment, one to 10 years. Land is not depreciated.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48" w:lineRule="exact"/>
        <w:rPr>
          <w:sz w:val="20"/>
          <w:szCs w:val="20"/>
          <w:color w:val="auto"/>
        </w:rPr>
      </w:pPr>
    </w:p>
    <w:p>
      <w:pPr>
        <w:ind w:right="440"/>
        <w:spacing w:after="0" w:line="243"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other current liabilities, and operating lease liabilities in our consolidated balance sheets. Finance leases are included in property and equipment, other current liabilities, and other long-term liabilities in our consolidated balance sheets.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generally use our incremental borrowing rate based on the estimated rate of interest for collateralized borrowing over a similar term of the lease payments at commencement date.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101"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We have lease agreements with lease and non-lease components, which are generally accounted for separately. For certain equipment leases, such as vehicles, we account for the lease and non- lease components as a single lease component. Additionally, for certain equipment leases, we apply a portfolio approach to effectively account for the operating lease ROU assets and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Our intangible assets are subject to amortization and are amortized using the straight-line method over their estimated period of benefit, ranging from one to 20 years. We evaluate the recoverability of intangible assets periodically by taking into account events or circumstances that may warrant revised estimates of useful lives or that indicate the asset may be impaired.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NOTE 2 — EARNINGS PER SHARE</w:t>
      </w:r>
    </w:p>
    <w:p>
      <w:pPr>
        <w:spacing w:after="0" w:line="140"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basic and diluted EPS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(In millions, except earnings per share)</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income available for common shareholders (A)</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72,361</w:t>
            </w:r>
          </w:p>
        </w:tc>
        <w:tc>
          <w:tcPr>
            <w:tcW w:w="54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72,738</w:t>
            </w:r>
          </w:p>
        </w:tc>
        <w:tc>
          <w:tcPr>
            <w:tcW w:w="52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61,271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68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6880" w:type="dxa"/>
            <w:vAlign w:val="bottom"/>
          </w:tcPr>
          <w:p>
            <w:pPr>
              <w:ind w:left="20"/>
              <w:spacing w:after="0"/>
              <w:rPr>
                <w:sz w:val="20"/>
                <w:szCs w:val="20"/>
                <w:color w:val="auto"/>
              </w:rPr>
            </w:pPr>
            <w:r>
              <w:rPr>
                <w:rFonts w:ascii="Arial" w:cs="Arial" w:eastAsia="Arial" w:hAnsi="Arial"/>
                <w:sz w:val="16"/>
                <w:szCs w:val="16"/>
                <w:color w:val="auto"/>
              </w:rPr>
              <w:t>Weighted average outstanding shares of common stock (B)</w:t>
            </w: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7,446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7,496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Dilutive effect of stock-based awards</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w:t>
            </w:r>
          </w:p>
        </w:tc>
        <w:tc>
          <w:tcPr>
            <w:tcW w:w="1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80" w:type="dxa"/>
            <w:vAlign w:val="bottom"/>
          </w:tcPr>
          <w:p>
            <w:pPr>
              <w:ind w:left="20"/>
              <w:spacing w:after="0"/>
              <w:rPr>
                <w:sz w:val="20"/>
                <w:szCs w:val="20"/>
                <w:color w:val="auto"/>
              </w:rPr>
            </w:pPr>
            <w:r>
              <w:rPr>
                <w:rFonts w:ascii="Arial" w:cs="Arial" w:eastAsia="Arial" w:hAnsi="Arial"/>
                <w:sz w:val="16"/>
                <w:szCs w:val="16"/>
                <w:color w:val="auto"/>
              </w:rPr>
              <w:t>Common stock and common stock equivalents (C)</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7,472</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7,540</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Earnings Per Share</w:t>
            </w: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68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6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6880" w:type="dxa"/>
            <w:vAlign w:val="bottom"/>
            <w:tcBorders>
              <w:bottom w:val="single" w:sz="8" w:color="E5E5E5"/>
            </w:tcBorders>
            <w:shd w:val="clear" w:color="auto" w:fill="E5E5E5"/>
          </w:tcPr>
          <w:p>
            <w:pPr>
              <w:ind w:left="20"/>
              <w:spacing w:after="0"/>
              <w:rPr>
                <w:sz w:val="20"/>
                <w:szCs w:val="20"/>
                <w:color w:val="auto"/>
              </w:rPr>
            </w:pPr>
            <w:r>
              <w:rPr>
                <w:rFonts w:ascii="Arial" w:cs="Arial" w:eastAsia="Arial" w:hAnsi="Arial"/>
                <w:sz w:val="16"/>
                <w:szCs w:val="16"/>
                <w:color w:val="auto"/>
              </w:rPr>
              <w:t>Basic (A/B)</w:t>
            </w:r>
          </w:p>
        </w:tc>
        <w:tc>
          <w:tcPr>
            <w:tcW w:w="340" w:type="dxa"/>
            <w:vAlign w:val="bottom"/>
            <w:tcBorders>
              <w:bottom w:val="single" w:sz="8" w:color="E5E5E5"/>
            </w:tcBorders>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b w:val="1"/>
                <w:bCs w:val="1"/>
                <w:color w:val="auto"/>
              </w:rPr>
              <w:t>9.72</w:t>
            </w:r>
          </w:p>
        </w:tc>
        <w:tc>
          <w:tcPr>
            <w:tcW w:w="54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9.70</w:t>
            </w:r>
          </w:p>
        </w:tc>
        <w:tc>
          <w:tcPr>
            <w:tcW w:w="520" w:type="dxa"/>
            <w:vAlign w:val="bottom"/>
            <w:tcBorders>
              <w:bottom w:val="single" w:sz="8" w:color="E5E5E5"/>
            </w:tcBorders>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5E5E5"/>
            </w:tcBorders>
            <w:shd w:val="clear" w:color="auto" w:fill="E5E5E5"/>
          </w:tcPr>
          <w:p>
            <w:pPr>
              <w:jc w:val="right"/>
              <w:spacing w:after="0"/>
              <w:rPr>
                <w:sz w:val="20"/>
                <w:szCs w:val="20"/>
                <w:color w:val="auto"/>
              </w:rPr>
            </w:pPr>
            <w:r>
              <w:rPr>
                <w:rFonts w:ascii="Arial" w:cs="Arial" w:eastAsia="Arial" w:hAnsi="Arial"/>
                <w:sz w:val="16"/>
                <w:szCs w:val="16"/>
                <w:color w:val="auto"/>
              </w:rPr>
              <w:t>8.12</w:t>
            </w:r>
          </w:p>
        </w:tc>
        <w:tc>
          <w:tcPr>
            <w:tcW w:w="80" w:type="dxa"/>
            <w:vAlign w:val="bottom"/>
            <w:tcBorders>
              <w:bottom w:val="single" w:sz="8" w:color="E5E5E5"/>
            </w:tcBorders>
            <w:shd w:val="clear" w:color="auto" w:fill="E5E5E5"/>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880" w:type="dxa"/>
            <w:vAlign w:val="bottom"/>
          </w:tcPr>
          <w:p>
            <w:pPr>
              <w:ind w:left="20"/>
              <w:spacing w:after="0"/>
              <w:rPr>
                <w:sz w:val="20"/>
                <w:szCs w:val="20"/>
                <w:color w:val="auto"/>
              </w:rPr>
            </w:pPr>
            <w:r>
              <w:rPr>
                <w:rFonts w:ascii="Arial" w:cs="Arial" w:eastAsia="Arial" w:hAnsi="Arial"/>
                <w:sz w:val="16"/>
                <w:szCs w:val="16"/>
                <w:color w:val="auto"/>
              </w:rPr>
              <w:t>Diluted (A/C)</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9.68</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9.65</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-1148715</wp:posOffset>
            </wp:positionV>
            <wp:extent cx="93980" cy="711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7112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-1148715</wp:posOffset>
            </wp:positionV>
            <wp:extent cx="86360" cy="711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6360" cy="7112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-1148715</wp:posOffset>
            </wp:positionV>
            <wp:extent cx="86360" cy="711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6360" cy="7112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-591820</wp:posOffset>
            </wp:positionV>
            <wp:extent cx="93980" cy="863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-591820</wp:posOffset>
            </wp:positionV>
            <wp:extent cx="86360" cy="863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-591820</wp:posOffset>
            </wp:positionV>
            <wp:extent cx="86360" cy="863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0" w:lineRule="exact"/>
        <w:rPr>
          <w:sz w:val="20"/>
          <w:szCs w:val="20"/>
          <w:color w:val="auto"/>
        </w:rPr>
      </w:pPr>
    </w:p>
    <w:p>
      <w:pPr>
        <w:ind w:left="5220" w:right="1940" w:hanging="5208"/>
        <w:spacing w:after="0" w:line="460" w:lineRule="auto"/>
        <w:rPr>
          <w:sz w:val="20"/>
          <w:szCs w:val="20"/>
          <w:color w:val="auto"/>
        </w:rPr>
      </w:pPr>
      <w:r>
        <w:rPr>
          <w:rFonts w:ascii="Arial" w:cs="Arial" w:eastAsia="Arial" w:hAnsi="Arial"/>
          <w:sz w:val="16"/>
          <w:szCs w:val="16"/>
          <w:color w:val="auto"/>
        </w:rPr>
        <w:t xml:space="preserve">Anti-dilutive stock-based awards excluded from the calculations of diluted EPS were immaterial during the periods presented. </w:t>
      </w: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-59055</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92" w:lineRule="exact"/>
        <w:rPr>
          <w:sz w:val="20"/>
          <w:szCs w:val="20"/>
          <w:color w:val="auto"/>
        </w:rPr>
      </w:pPr>
    </w:p>
    <w:p>
      <w:pPr>
        <w:ind w:left="3640"/>
        <w:spacing w:after="0"/>
        <w:rPr>
          <w:sz w:val="20"/>
          <w:szCs w:val="20"/>
          <w:color w:val="auto"/>
        </w:rPr>
      </w:pPr>
      <w:r>
        <w:rPr>
          <w:rFonts w:ascii="Arial" w:cs="Arial" w:eastAsia="Arial" w:hAnsi="Arial"/>
          <w:sz w:val="16"/>
          <w:szCs w:val="16"/>
          <w:u w:val="single" w:color="auto"/>
          <w:color w:val="auto"/>
        </w:rPr>
        <w:t>NOTE 3 — OTHER INCOME (EXPENSE), NET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other income (expense), net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9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Interest and dividends income</w:t>
            </w:r>
          </w:p>
        </w:tc>
        <w:tc>
          <w:tcPr>
            <w:tcW w:w="226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2,994</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2,094</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2,131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(1,968)</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(2,063)</w:t>
            </w:r>
          </w:p>
        </w:tc>
        <w:tc>
          <w:tcPr>
            <w:tcW w:w="3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(2,346)</w:t>
            </w: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recognized gains on investments</w:t>
            </w:r>
          </w:p>
        </w:tc>
        <w:tc>
          <w:tcPr>
            <w:tcW w:w="19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260</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Net gains (losses) on derivatives</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(456 )</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gains (losses) on foreign currency remeasurements</w:t>
            </w:r>
          </w:p>
        </w:tc>
        <w:tc>
          <w:tcPr>
            <w:tcW w:w="19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181</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(75)</w:t>
            </w:r>
          </w:p>
        </w:tc>
        <w:tc>
          <w:tcPr>
            <w:tcW w:w="3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80" w:type="dxa"/>
            <w:vAlign w:val="bottom"/>
          </w:tcPr>
          <w:p>
            <w:pPr>
              <w:ind w:left="20"/>
              <w:spacing w:after="0"/>
              <w:rPr>
                <w:sz w:val="20"/>
                <w:szCs w:val="20"/>
                <w:color w:val="auto"/>
              </w:rPr>
            </w:pPr>
            <w:r>
              <w:rPr>
                <w:rFonts w:ascii="Arial" w:cs="Arial" w:eastAsia="Arial" w:hAnsi="Arial"/>
                <w:sz w:val="16"/>
                <w:szCs w:val="16"/>
                <w:color w:val="auto"/>
              </w:rPr>
              <w:t>Other, net</w:t>
            </w: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(223 )</w:t>
            </w: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9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226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788</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333</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1,186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Net Recognized Gains (Losses) on Investments</w:t>
            </w:r>
          </w:p>
        </w:tc>
        <w:tc>
          <w:tcPr>
            <w:tcW w:w="19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2"/>
        </w:trPr>
        <w:tc>
          <w:tcPr>
            <w:tcW w:w="49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4980" w:type="dxa"/>
            <w:vAlign w:val="bottom"/>
          </w:tcPr>
          <w:p>
            <w:pPr>
              <w:spacing w:after="0"/>
              <w:rPr>
                <w:sz w:val="20"/>
                <w:szCs w:val="20"/>
                <w:color w:val="auto"/>
              </w:rPr>
            </w:pPr>
            <w:r>
              <w:rPr>
                <w:rFonts w:ascii="Arial" w:cs="Arial" w:eastAsia="Arial" w:hAnsi="Arial"/>
                <w:sz w:val="16"/>
                <w:szCs w:val="16"/>
                <w:color w:val="auto"/>
              </w:rPr>
              <w:t>Net recognized gains (losses) on debt investments were as follows:</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980" w:type="dxa"/>
            <w:vAlign w:val="bottom"/>
          </w:tcPr>
          <w:p>
            <w:pPr>
              <w:spacing w:after="0"/>
              <w:rPr>
                <w:sz w:val="6"/>
                <w:szCs w:val="6"/>
                <w:color w:val="auto"/>
              </w:rPr>
            </w:pPr>
          </w:p>
        </w:tc>
        <w:tc>
          <w:tcPr>
            <w:tcW w:w="226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Realized gains from sales of available-for-sale securities</w:t>
            </w:r>
          </w:p>
        </w:tc>
        <w:tc>
          <w:tcPr>
            <w:tcW w:w="226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162</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Realized losses from sales of available-for-sale securities</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(124 )</w:t>
            </w:r>
          </w:p>
        </w:tc>
        <w:tc>
          <w:tcPr>
            <w:tcW w:w="36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(138 )</w:t>
            </w:r>
          </w:p>
        </w:tc>
        <w:tc>
          <w:tcPr>
            <w:tcW w:w="3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Impairments and allowance for credit losses</w:t>
            </w:r>
          </w:p>
        </w:tc>
        <w:tc>
          <w:tcPr>
            <w:tcW w:w="19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(10)</w:t>
            </w:r>
          </w:p>
        </w:tc>
        <w:tc>
          <w:tcPr>
            <w:tcW w:w="3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(81)</w:t>
            </w:r>
          </w:p>
        </w:tc>
        <w:tc>
          <w:tcPr>
            <w:tcW w:w="3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358"/>
        </w:trPr>
        <w:tc>
          <w:tcPr>
            <w:tcW w:w="4980" w:type="dxa"/>
            <w:vAlign w:val="bottom"/>
          </w:tcPr>
          <w:p>
            <w:pPr>
              <w:ind w:left="220"/>
              <w:spacing w:after="0"/>
              <w:rPr>
                <w:sz w:val="20"/>
                <w:szCs w:val="20"/>
                <w:color w:val="auto"/>
              </w:rPr>
            </w:pPr>
            <w:r>
              <w:rPr>
                <w:rFonts w:ascii="Arial" w:cs="Arial" w:eastAsia="Arial" w:hAnsi="Arial"/>
                <w:sz w:val="16"/>
                <w:szCs w:val="16"/>
                <w:color w:val="auto"/>
              </w:rPr>
              <w:t>Total</w:t>
            </w:r>
          </w:p>
        </w:tc>
        <w:tc>
          <w:tcPr>
            <w:tcW w:w="2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(98)</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980" w:type="dxa"/>
            <w:vAlign w:val="bottom"/>
            <w:vMerge w:val="restart"/>
          </w:tcPr>
          <w:p>
            <w:pPr>
              <w:spacing w:after="0"/>
              <w:rPr>
                <w:sz w:val="20"/>
                <w:szCs w:val="20"/>
                <w:color w:val="auto"/>
              </w:rPr>
            </w:pPr>
            <w:r>
              <w:rPr>
                <w:rFonts w:ascii="Arial" w:cs="Arial" w:eastAsia="Arial" w:hAnsi="Arial"/>
                <w:sz w:val="16"/>
                <w:szCs w:val="16"/>
                <w:color w:val="auto"/>
              </w:rPr>
              <w:t>Net recognized gains (losses) on equity investments were as follows:</w:t>
            </w:r>
          </w:p>
        </w:tc>
        <w:tc>
          <w:tcPr>
            <w:tcW w:w="19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49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980" w:type="dxa"/>
            <w:vAlign w:val="bottom"/>
          </w:tcPr>
          <w:p>
            <w:pPr>
              <w:spacing w:after="0"/>
              <w:rPr>
                <w:sz w:val="6"/>
                <w:szCs w:val="6"/>
                <w:color w:val="auto"/>
              </w:rPr>
            </w:pPr>
          </w:p>
        </w:tc>
        <w:tc>
          <w:tcPr>
            <w:tcW w:w="2260" w:type="dxa"/>
            <w:vAlign w:val="bottom"/>
            <w:gridSpan w:val="2"/>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Net realized gains on investments sold</w:t>
            </w:r>
          </w:p>
        </w:tc>
        <w:tc>
          <w:tcPr>
            <w:tcW w:w="226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75</w:t>
            </w:r>
          </w:p>
        </w:tc>
        <w:tc>
          <w:tcPr>
            <w:tcW w:w="20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Net unrealized gains on investments still held</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303</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509</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1,057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shd w:val="clear" w:color="auto" w:fill="E5E5E5"/>
          </w:tcPr>
          <w:p>
            <w:pPr>
              <w:ind w:left="20"/>
              <w:spacing w:after="0"/>
              <w:rPr>
                <w:sz w:val="20"/>
                <w:szCs w:val="20"/>
                <w:color w:val="auto"/>
              </w:rPr>
            </w:pPr>
            <w:r>
              <w:rPr>
                <w:rFonts w:ascii="Arial" w:cs="Arial" w:eastAsia="Arial" w:hAnsi="Arial"/>
                <w:sz w:val="16"/>
                <w:szCs w:val="16"/>
                <w:color w:val="auto"/>
              </w:rPr>
              <w:t>Impairments of investments</w:t>
            </w:r>
          </w:p>
        </w:tc>
        <w:tc>
          <w:tcPr>
            <w:tcW w:w="190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(20)</w:t>
            </w:r>
          </w:p>
        </w:tc>
        <w:tc>
          <w:tcPr>
            <w:tcW w:w="36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(20)</w:t>
            </w:r>
          </w:p>
        </w:tc>
        <w:tc>
          <w:tcPr>
            <w:tcW w:w="360" w:type="dxa"/>
            <w:vAlign w:val="bottom"/>
            <w:shd w:val="clear" w:color="auto" w:fill="E5E5E5"/>
          </w:tcPr>
          <w:p>
            <w:pPr>
              <w:spacing w:after="0"/>
              <w:rPr>
                <w:sz w:val="17"/>
                <w:szCs w:val="17"/>
                <w:color w:val="auto"/>
              </w:rPr>
            </w:pPr>
          </w:p>
        </w:tc>
        <w:tc>
          <w:tcPr>
            <w:tcW w:w="7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58"/>
        </w:trPr>
        <w:tc>
          <w:tcPr>
            <w:tcW w:w="4980" w:type="dxa"/>
            <w:vAlign w:val="bottom"/>
          </w:tcPr>
          <w:p>
            <w:pPr>
              <w:ind w:left="220"/>
              <w:spacing w:after="0"/>
              <w:rPr>
                <w:sz w:val="20"/>
                <w:szCs w:val="20"/>
                <w:color w:val="auto"/>
              </w:rPr>
            </w:pPr>
            <w:r>
              <w:rPr>
                <w:rFonts w:ascii="Arial" w:cs="Arial" w:eastAsia="Arial" w:hAnsi="Arial"/>
                <w:sz w:val="16"/>
                <w:szCs w:val="16"/>
                <w:color w:val="auto"/>
              </w:rPr>
              <w:t>Total</w:t>
            </w:r>
          </w:p>
        </w:tc>
        <w:tc>
          <w:tcPr>
            <w:tcW w:w="22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358</w:t>
            </w:r>
          </w:p>
        </w:tc>
        <w:tc>
          <w:tcPr>
            <w:tcW w:w="20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518</w:t>
            </w:r>
          </w:p>
        </w:tc>
        <w:tc>
          <w:tcPr>
            <w:tcW w:w="180" w:type="dxa"/>
            <w:vAlign w:val="bottom"/>
          </w:tcPr>
          <w:p>
            <w:pPr>
              <w:spacing w:after="0"/>
              <w:rPr>
                <w:sz w:val="24"/>
                <w:szCs w:val="24"/>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4980" w:type="dxa"/>
            <w:vAlign w:val="bottom"/>
          </w:tcPr>
          <w:p>
            <w:pPr>
              <w:spacing w:after="0"/>
              <w:rPr>
                <w:sz w:val="5"/>
                <w:szCs w:val="5"/>
                <w:color w:val="auto"/>
              </w:rPr>
            </w:pPr>
          </w:p>
        </w:tc>
        <w:tc>
          <w:tcPr>
            <w:tcW w:w="1900" w:type="dxa"/>
            <w:vAlign w:val="bottom"/>
            <w:vMerge w:val="restart"/>
          </w:tcPr>
          <w:p>
            <w:pPr>
              <w:jc w:val="right"/>
              <w:ind w:right="1444"/>
              <w:spacing w:after="0"/>
              <w:rPr>
                <w:sz w:val="20"/>
                <w:szCs w:val="20"/>
                <w:color w:val="auto"/>
              </w:rPr>
            </w:pPr>
            <w:r>
              <w:rPr>
                <w:rFonts w:ascii="Arial" w:cs="Arial" w:eastAsia="Arial" w:hAnsi="Arial"/>
                <w:sz w:val="13"/>
                <w:szCs w:val="13"/>
                <w:color w:val="auto"/>
              </w:rPr>
              <w:t>71</w:t>
            </w: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0"/>
        </w:trPr>
        <w:tc>
          <w:tcPr>
            <w:tcW w:w="49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980" w:type="dxa"/>
            <w:vAlign w:val="bottom"/>
            <w:tcBorders>
              <w:bottom w:val="single" w:sz="8" w:color="EEEEEE"/>
            </w:tcBorders>
          </w:tcPr>
          <w:p>
            <w:pPr>
              <w:spacing w:after="0"/>
              <w:rPr>
                <w:sz w:val="9"/>
                <w:szCs w:val="9"/>
                <w:color w:val="auto"/>
              </w:rPr>
            </w:pPr>
          </w:p>
        </w:tc>
        <w:tc>
          <w:tcPr>
            <w:tcW w:w="190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72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72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360" w:type="dxa"/>
            <w:vAlign w:val="bottom"/>
            <w:tcBorders>
              <w:bottom w:val="single" w:sz="8" w:color="EEEEEE"/>
            </w:tcBorders>
          </w:tcPr>
          <w:p>
            <w:pPr>
              <w:spacing w:after="0"/>
              <w:rPr>
                <w:sz w:val="9"/>
                <w:szCs w:val="9"/>
                <w:color w:val="auto"/>
              </w:rPr>
            </w:pPr>
          </w:p>
        </w:tc>
        <w:tc>
          <w:tcPr>
            <w:tcW w:w="70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-3495675</wp:posOffset>
            </wp:positionV>
            <wp:extent cx="93980" cy="863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-3495675</wp:posOffset>
            </wp:positionV>
            <wp:extent cx="86360" cy="863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-3495675</wp:posOffset>
            </wp:positionV>
            <wp:extent cx="86360" cy="863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-1864360</wp:posOffset>
            </wp:positionV>
            <wp:extent cx="93980" cy="863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-1864360</wp:posOffset>
            </wp:positionV>
            <wp:extent cx="86360" cy="863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-1864360</wp:posOffset>
            </wp:positionV>
            <wp:extent cx="86360" cy="863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-484505</wp:posOffset>
            </wp:positionV>
            <wp:extent cx="93980" cy="863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-484505</wp:posOffset>
            </wp:positionV>
            <wp:extent cx="86360" cy="863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-484505</wp:posOffset>
            </wp:positionV>
            <wp:extent cx="86360" cy="863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 4 — INVESTMENTS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Components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investments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Cash</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080" w:type="dxa"/>
            <w:vAlign w:val="bottom"/>
          </w:tcPr>
          <w:p>
            <w:pPr>
              <w:jc w:val="right"/>
              <w:ind w:right="290"/>
              <w:spacing w:after="0"/>
              <w:rPr>
                <w:sz w:val="20"/>
                <w:szCs w:val="20"/>
                <w:color w:val="auto"/>
              </w:rPr>
            </w:pPr>
            <w:r>
              <w:rPr>
                <w:rFonts w:ascii="Arial" w:cs="Arial" w:eastAsia="Arial" w:hAnsi="Arial"/>
                <w:sz w:val="12"/>
                <w:szCs w:val="12"/>
                <w:b w:val="1"/>
                <w:bCs w:val="1"/>
                <w:color w:val="auto"/>
              </w:rPr>
              <w:t>Fair Value</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Adjusted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Unrealized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Unrealized</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Recorded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and Cash</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Short-term</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7"/>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jc w:val="right"/>
              <w:ind w:right="410"/>
              <w:spacing w:after="0"/>
              <w:rPr>
                <w:sz w:val="20"/>
                <w:szCs w:val="20"/>
                <w:color w:val="auto"/>
              </w:rPr>
            </w:pPr>
            <w:r>
              <w:rPr>
                <w:rFonts w:ascii="Arial" w:cs="Arial" w:eastAsia="Arial" w:hAnsi="Arial"/>
                <w:sz w:val="12"/>
                <w:szCs w:val="12"/>
                <w:b w:val="1"/>
                <w:bCs w:val="1"/>
                <w:color w:val="auto"/>
              </w:rPr>
              <w:t>Level</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Cost Basis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Gains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Losses</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Basis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Equivalents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Investments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Investments</w:t>
            </w:r>
          </w:p>
        </w:tc>
        <w:tc>
          <w:tcPr>
            <w:tcW w:w="0" w:type="dxa"/>
            <w:vAlign w:val="bottom"/>
          </w:tcPr>
          <w:p>
            <w:pPr>
              <w:spacing w:after="0"/>
              <w:rPr>
                <w:sz w:val="1"/>
                <w:szCs w:val="1"/>
                <w:color w:val="auto"/>
              </w:rPr>
            </w:pPr>
          </w:p>
        </w:tc>
      </w:tr>
      <w:tr>
        <w:trPr>
          <w:trHeight w:val="324"/>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June 30, 2023</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Changes in Fair Value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Recorded in Other</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Comprehensive Income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16,589</w:t>
            </w:r>
          </w:p>
        </w:tc>
        <w:tc>
          <w:tcPr>
            <w:tcW w:w="38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16,589</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12,231</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4,358</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2,701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2,701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2,657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U.S. government securities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1</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65,237</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b w:val="1"/>
                <w:bCs w:val="1"/>
                <w:color w:val="auto"/>
              </w:rPr>
              <w:t>(3,870 )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61,369</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2,991</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58,378</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Arial" w:cs="Arial" w:eastAsia="Arial" w:hAnsi="Arial"/>
                <w:sz w:val="14"/>
                <w:szCs w:val="14"/>
                <w:color w:val="auto"/>
              </w:rPr>
              <w:t>U.S. agency securities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2,703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2,703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1,809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Foreign government bonds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498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b w:val="1"/>
                <w:bCs w:val="1"/>
                <w:color w:val="auto"/>
              </w:rPr>
              <w:t>(24 )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475</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475</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00" w:type="dxa"/>
            <w:vAlign w:val="bottom"/>
          </w:tcPr>
          <w:p>
            <w:pPr>
              <w:ind w:left="20"/>
              <w:spacing w:after="0"/>
              <w:rPr>
                <w:sz w:val="20"/>
                <w:szCs w:val="20"/>
                <w:color w:val="auto"/>
              </w:rPr>
            </w:pPr>
            <w:r>
              <w:rPr>
                <w:rFonts w:ascii="Arial" w:cs="Arial" w:eastAsia="Arial" w:hAnsi="Arial"/>
                <w:sz w:val="14"/>
                <w:szCs w:val="14"/>
                <w:color w:val="auto"/>
              </w:rPr>
              <w:t>Mortgage- and asset-</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220"/>
              <w:spacing w:after="0"/>
              <w:rPr>
                <w:sz w:val="20"/>
                <w:szCs w:val="20"/>
                <w:color w:val="auto"/>
              </w:rPr>
            </w:pPr>
            <w:r>
              <w:rPr>
                <w:rFonts w:ascii="Arial" w:cs="Arial" w:eastAsia="Arial" w:hAnsi="Arial"/>
                <w:sz w:val="14"/>
                <w:szCs w:val="14"/>
                <w:color w:val="auto"/>
              </w:rPr>
              <w:t>backed securities</w:t>
            </w:r>
          </w:p>
        </w:tc>
        <w:tc>
          <w:tcPr>
            <w:tcW w:w="1080" w:type="dxa"/>
            <w:vAlign w:val="bottom"/>
            <w:vMerge w:val="restart"/>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(39 )</w:t>
            </w:r>
          </w:p>
        </w:tc>
        <w:tc>
          <w:tcPr>
            <w:tcW w:w="2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786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9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Corporate notes and bonds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10,809</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b w:val="1"/>
                <w:bCs w:val="1"/>
                <w:color w:val="auto"/>
              </w:rPr>
              <w:t>(583 )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10,234</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10,234</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tcPr>
          <w:p>
            <w:pPr>
              <w:ind w:left="20"/>
              <w:spacing w:after="0"/>
              <w:rPr>
                <w:sz w:val="20"/>
                <w:szCs w:val="20"/>
                <w:color w:val="auto"/>
              </w:rPr>
            </w:pPr>
            <w:r>
              <w:rPr>
                <w:rFonts w:ascii="Arial" w:cs="Arial" w:eastAsia="Arial" w:hAnsi="Arial"/>
                <w:sz w:val="14"/>
                <w:szCs w:val="14"/>
                <w:color w:val="auto"/>
              </w:rPr>
              <w:t>Corporate notes and bonds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285</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b w:val="1"/>
                <w:bCs w:val="1"/>
                <w:color w:val="auto"/>
              </w:rPr>
              <w:t>(18 )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268</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261</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Arial" w:cs="Arial" w:eastAsia="Arial" w:hAnsi="Arial"/>
                <w:sz w:val="14"/>
                <w:szCs w:val="14"/>
                <w:color w:val="auto"/>
              </w:rPr>
              <w:t>Municipal securities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(16 )</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87</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Total debt investments</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99,869</w:t>
            </w:r>
          </w:p>
        </w:tc>
        <w:tc>
          <w:tcPr>
            <w:tcW w:w="38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13</w:t>
            </w:r>
          </w:p>
        </w:tc>
        <w:tc>
          <w:tcPr>
            <w:tcW w:w="320" w:type="dxa"/>
            <w:vAlign w:val="bottom"/>
            <w:gridSpan w:val="2"/>
            <w:shd w:val="clear" w:color="auto" w:fill="E5E5E5"/>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b w:val="1"/>
                <w:bCs w:val="1"/>
                <w:color w:val="auto"/>
              </w:rPr>
              <w:t>(4,550 )</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95,332</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18,780</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76,552</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Changes in Fair Value</w:t>
            </w:r>
          </w:p>
        </w:tc>
        <w:tc>
          <w:tcPr>
            <w:tcW w:w="10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Recorded in Net Income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Equity investments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1</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10,138</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7,446</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2,692</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90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080" w:type="dxa"/>
            <w:vAlign w:val="bottom"/>
          </w:tcPr>
          <w:p>
            <w:pPr>
              <w:jc w:val="right"/>
              <w:ind w:right="33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7,187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7,187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1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Total equity investments</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17,325</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7,446</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9,879</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20"/>
              <w:spacing w:after="0"/>
              <w:rPr>
                <w:sz w:val="20"/>
                <w:szCs w:val="20"/>
                <w:color w:val="auto"/>
              </w:rPr>
            </w:pPr>
            <w:r>
              <w:rPr>
                <w:rFonts w:ascii="Arial" w:cs="Arial" w:eastAsia="Arial" w:hAnsi="Arial"/>
                <w:sz w:val="14"/>
                <w:szCs w:val="14"/>
                <w:color w:val="auto"/>
              </w:rPr>
              <w:t>Cash</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8,478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8,478</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line="192" w:lineRule="exact"/>
              <w:rPr>
                <w:sz w:val="20"/>
                <w:szCs w:val="20"/>
                <w:color w:val="auto"/>
              </w:rPr>
            </w:pPr>
            <w:r>
              <w:rPr>
                <w:rFonts w:ascii="Arial" w:cs="Arial" w:eastAsia="Arial" w:hAnsi="Arial"/>
                <w:sz w:val="14"/>
                <w:szCs w:val="14"/>
                <w:color w:val="auto"/>
              </w:rPr>
              <w:t xml:space="preserve">Derivatives, net </w:t>
            </w:r>
            <w:r>
              <w:rPr>
                <w:rFonts w:ascii="Arial" w:cs="Arial" w:eastAsia="Arial" w:hAnsi="Arial"/>
                <w:sz w:val="19"/>
                <w:szCs w:val="19"/>
                <w:color w:val="auto"/>
                <w:vertAlign w:val="superscript"/>
              </w:rPr>
              <w:t>(a)</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1900" w:type="dxa"/>
            <w:vAlign w:val="bottom"/>
          </w:tcPr>
          <w:p>
            <w:pPr>
              <w:ind w:left="220"/>
              <w:spacing w:after="0"/>
              <w:rPr>
                <w:sz w:val="20"/>
                <w:szCs w:val="20"/>
                <w:color w:val="auto"/>
              </w:rPr>
            </w:pPr>
            <w:r>
              <w:rPr>
                <w:rFonts w:ascii="Arial" w:cs="Arial" w:eastAsia="Arial" w:hAnsi="Arial"/>
                <w:sz w:val="14"/>
                <w:szCs w:val="14"/>
                <w:color w:val="auto"/>
              </w:rPr>
              <w:t>Total</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121,141</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34,704</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76,558</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9,879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restart"/>
          </w:tcPr>
          <w:p>
            <w:pPr>
              <w:jc w:val="right"/>
              <w:ind w:right="550"/>
              <w:spacing w:after="0"/>
              <w:rPr>
                <w:sz w:val="20"/>
                <w:szCs w:val="20"/>
                <w:color w:val="auto"/>
              </w:rPr>
            </w:pPr>
            <w:r>
              <w:rPr>
                <w:rFonts w:ascii="Arial" w:cs="Arial" w:eastAsia="Arial" w:hAnsi="Arial"/>
                <w:sz w:val="13"/>
                <w:szCs w:val="13"/>
                <w:color w:val="auto"/>
                <w:w w:val="82"/>
              </w:rPr>
              <w:t>72</w:t>
            </w: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0"/>
        </w:trPr>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900" w:type="dxa"/>
            <w:vAlign w:val="bottom"/>
            <w:tcBorders>
              <w:bottom w:val="single" w:sz="8" w:color="EEEEEE"/>
            </w:tcBorders>
          </w:tcPr>
          <w:p>
            <w:pPr>
              <w:spacing w:after="0"/>
              <w:rPr>
                <w:sz w:val="7"/>
                <w:szCs w:val="7"/>
                <w:color w:val="auto"/>
              </w:rPr>
            </w:pPr>
          </w:p>
        </w:tc>
        <w:tc>
          <w:tcPr>
            <w:tcW w:w="108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7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0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160" w:type="dxa"/>
            <w:vAlign w:val="bottom"/>
            <w:tcBorders>
              <w:bottom w:val="single" w:sz="8" w:color="EEEEEE"/>
            </w:tcBorders>
          </w:tcPr>
          <w:p>
            <w:pPr>
              <w:spacing w:after="0"/>
              <w:rPr>
                <w:sz w:val="7"/>
                <w:szCs w:val="7"/>
                <w:color w:val="auto"/>
              </w:rPr>
            </w:pPr>
          </w:p>
        </w:tc>
        <w:tc>
          <w:tcPr>
            <w:tcW w:w="78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-1856740</wp:posOffset>
            </wp:positionV>
            <wp:extent cx="93980" cy="863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-1856740</wp:posOffset>
            </wp:positionV>
            <wp:extent cx="93980" cy="863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-1856740</wp:posOffset>
            </wp:positionV>
            <wp:extent cx="93980" cy="863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-1856740</wp:posOffset>
            </wp:positionV>
            <wp:extent cx="93980" cy="863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-1856740</wp:posOffset>
            </wp:positionV>
            <wp:extent cx="86360" cy="863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-1856740</wp:posOffset>
            </wp:positionV>
            <wp:extent cx="86360" cy="863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-1856740</wp:posOffset>
            </wp:positionV>
            <wp:extent cx="86360" cy="863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-1033145</wp:posOffset>
            </wp:positionV>
            <wp:extent cx="93980" cy="863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-1033145</wp:posOffset>
            </wp:positionV>
            <wp:extent cx="86360" cy="863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-1033145</wp:posOffset>
            </wp:positionV>
            <wp:extent cx="86360" cy="863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-1033145</wp:posOffset>
            </wp:positionV>
            <wp:extent cx="86360" cy="863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-469265</wp:posOffset>
            </wp:positionV>
            <wp:extent cx="93980" cy="863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-469265</wp:posOffset>
            </wp:positionV>
            <wp:extent cx="86360" cy="863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-469265</wp:posOffset>
            </wp:positionV>
            <wp:extent cx="86360" cy="863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-469265</wp:posOffset>
            </wp:positionV>
            <wp:extent cx="86360" cy="863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Cash</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Pr>
          <w:p>
            <w:pPr>
              <w:spacing w:after="0"/>
              <w:rPr>
                <w:sz w:val="13"/>
                <w:szCs w:val="13"/>
                <w:color w:val="auto"/>
              </w:rPr>
            </w:pPr>
          </w:p>
        </w:tc>
        <w:tc>
          <w:tcPr>
            <w:tcW w:w="1080" w:type="dxa"/>
            <w:vAlign w:val="bottom"/>
          </w:tcPr>
          <w:p>
            <w:pPr>
              <w:jc w:val="right"/>
              <w:ind w:right="290"/>
              <w:spacing w:after="0"/>
              <w:rPr>
                <w:sz w:val="20"/>
                <w:szCs w:val="20"/>
                <w:color w:val="auto"/>
              </w:rPr>
            </w:pPr>
            <w:r>
              <w:rPr>
                <w:rFonts w:ascii="Arial" w:cs="Arial" w:eastAsia="Arial" w:hAnsi="Arial"/>
                <w:sz w:val="12"/>
                <w:szCs w:val="12"/>
                <w:b w:val="1"/>
                <w:bCs w:val="1"/>
                <w:color w:val="auto"/>
              </w:rPr>
              <w:t>Fair Value</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Adjusted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Unrealized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Unrealized</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Recorded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and Cash</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Short-term</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67"/>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jc w:val="right"/>
              <w:ind w:right="410"/>
              <w:spacing w:after="0"/>
              <w:rPr>
                <w:sz w:val="20"/>
                <w:szCs w:val="20"/>
                <w:color w:val="auto"/>
              </w:rPr>
            </w:pPr>
            <w:r>
              <w:rPr>
                <w:rFonts w:ascii="Arial" w:cs="Arial" w:eastAsia="Arial" w:hAnsi="Arial"/>
                <w:sz w:val="12"/>
                <w:szCs w:val="12"/>
                <w:b w:val="1"/>
                <w:bCs w:val="1"/>
                <w:color w:val="auto"/>
              </w:rPr>
              <w:t>Level</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Cost Basis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Losses</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Basis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Equivalents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Investments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Investments</w:t>
            </w:r>
          </w:p>
        </w:tc>
        <w:tc>
          <w:tcPr>
            <w:tcW w:w="0" w:type="dxa"/>
            <w:vAlign w:val="bottom"/>
          </w:tcPr>
          <w:p>
            <w:pPr>
              <w:spacing w:after="0"/>
              <w:rPr>
                <w:sz w:val="1"/>
                <w:szCs w:val="1"/>
                <w:color w:val="auto"/>
              </w:rPr>
            </w:pPr>
          </w:p>
        </w:tc>
      </w:tr>
      <w:tr>
        <w:trPr>
          <w:trHeight w:val="324"/>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June 30, 2022</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Changes in Fair Value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Recorded in Other</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Comprehensive Income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Commercial paper</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2,500</w:t>
            </w:r>
          </w:p>
        </w:tc>
        <w:tc>
          <w:tcPr>
            <w:tcW w:w="38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2,500</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2,498</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Arial" w:cs="Arial" w:eastAsia="Arial" w:hAnsi="Arial"/>
                <w:sz w:val="14"/>
                <w:szCs w:val="14"/>
                <w:color w:val="auto"/>
              </w:rPr>
              <w:t>Certificates of deposit</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2,071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2,071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U.S. government securities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1</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79,696</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29</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(2,178 )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77,547</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77,538</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Arial" w:cs="Arial" w:eastAsia="Arial" w:hAnsi="Arial"/>
                <w:sz w:val="14"/>
                <w:szCs w:val="14"/>
                <w:color w:val="auto"/>
              </w:rPr>
              <w:t>U.S. agency securities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(9 )</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410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Foreign government bonds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506</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(24 )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482</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900" w:type="dxa"/>
            <w:vAlign w:val="bottom"/>
          </w:tcPr>
          <w:p>
            <w:pPr>
              <w:ind w:left="20"/>
              <w:spacing w:after="0"/>
              <w:rPr>
                <w:sz w:val="20"/>
                <w:szCs w:val="20"/>
                <w:color w:val="auto"/>
              </w:rPr>
            </w:pPr>
            <w:r>
              <w:rPr>
                <w:rFonts w:ascii="Arial" w:cs="Arial" w:eastAsia="Arial" w:hAnsi="Arial"/>
                <w:sz w:val="14"/>
                <w:szCs w:val="14"/>
                <w:color w:val="auto"/>
              </w:rPr>
              <w:t>Mortgage- and asset-</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00" w:type="dxa"/>
            <w:vAlign w:val="bottom"/>
          </w:tcPr>
          <w:p>
            <w:pPr>
              <w:ind w:left="220"/>
              <w:spacing w:after="0"/>
              <w:rPr>
                <w:sz w:val="20"/>
                <w:szCs w:val="20"/>
                <w:color w:val="auto"/>
              </w:rPr>
            </w:pPr>
            <w:r>
              <w:rPr>
                <w:rFonts w:ascii="Arial" w:cs="Arial" w:eastAsia="Arial" w:hAnsi="Arial"/>
                <w:sz w:val="14"/>
                <w:szCs w:val="14"/>
                <w:color w:val="auto"/>
              </w:rPr>
              <w:t>backed securities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(30 )</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Corporate notes and bonds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11,661</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(554 )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11,111</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11,111</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00" w:type="dxa"/>
            <w:vAlign w:val="bottom"/>
          </w:tcPr>
          <w:p>
            <w:pPr>
              <w:ind w:left="20"/>
              <w:spacing w:after="0"/>
              <w:rPr>
                <w:sz w:val="20"/>
                <w:szCs w:val="20"/>
                <w:color w:val="auto"/>
              </w:rPr>
            </w:pPr>
            <w:r>
              <w:rPr>
                <w:rFonts w:ascii="Arial" w:cs="Arial" w:eastAsia="Arial" w:hAnsi="Arial"/>
                <w:sz w:val="14"/>
                <w:szCs w:val="14"/>
                <w:color w:val="auto"/>
              </w:rPr>
              <w:t>Corporate notes and bonds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Municipal securities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2</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368</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19</w:t>
            </w: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(13 )</w:t>
            </w: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374</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374</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00" w:type="dxa"/>
            <w:vAlign w:val="bottom"/>
          </w:tcPr>
          <w:p>
            <w:pPr>
              <w:ind w:left="20"/>
              <w:spacing w:after="0"/>
              <w:rPr>
                <w:sz w:val="20"/>
                <w:szCs w:val="20"/>
                <w:color w:val="auto"/>
              </w:rPr>
            </w:pPr>
            <w:r>
              <w:rPr>
                <w:rFonts w:ascii="Arial" w:cs="Arial" w:eastAsia="Arial" w:hAnsi="Arial"/>
                <w:sz w:val="14"/>
                <w:szCs w:val="14"/>
                <w:color w:val="auto"/>
              </w:rPr>
              <w:t>Municipal securities</w:t>
            </w:r>
          </w:p>
        </w:tc>
        <w:tc>
          <w:tcPr>
            <w:tcW w:w="1080" w:type="dxa"/>
            <w:vAlign w:val="bottom"/>
          </w:tcPr>
          <w:p>
            <w:pPr>
              <w:jc w:val="right"/>
              <w:ind w:right="290"/>
              <w:spacing w:after="0"/>
              <w:rPr>
                <w:sz w:val="20"/>
                <w:szCs w:val="20"/>
                <w:color w:val="auto"/>
              </w:rPr>
            </w:pPr>
            <w:r>
              <w:rPr>
                <w:rFonts w:ascii="Arial" w:cs="Arial" w:eastAsia="Arial" w:hAnsi="Arial"/>
                <w:sz w:val="14"/>
                <w:szCs w:val="14"/>
                <w:color w:val="auto"/>
              </w:rPr>
              <w:t>Level 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(6 )</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Total debt investments</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98,118</w:t>
            </w:r>
          </w:p>
        </w:tc>
        <w:tc>
          <w:tcPr>
            <w:tcW w:w="38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53</w:t>
            </w:r>
          </w:p>
        </w:tc>
        <w:tc>
          <w:tcPr>
            <w:tcW w:w="38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E5E5E5"/>
          </w:tcPr>
          <w:p>
            <w:pPr>
              <w:jc w:val="right"/>
              <w:ind w:right="140"/>
              <w:spacing w:after="0"/>
              <w:rPr>
                <w:sz w:val="20"/>
                <w:szCs w:val="20"/>
                <w:color w:val="auto"/>
              </w:rPr>
            </w:pPr>
            <w:r>
              <w:rPr>
                <w:rFonts w:ascii="Arial" w:cs="Arial" w:eastAsia="Arial" w:hAnsi="Arial"/>
                <w:sz w:val="14"/>
                <w:szCs w:val="14"/>
                <w:color w:val="auto"/>
              </w:rPr>
              <w:t>(2,814 )</w:t>
            </w: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95,357</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4,539</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90,818</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Changes in Fair Value</w:t>
            </w:r>
          </w:p>
        </w:tc>
        <w:tc>
          <w:tcPr>
            <w:tcW w:w="10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19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1900" w:type="dxa"/>
            <w:vAlign w:val="bottom"/>
          </w:tcPr>
          <w:p>
            <w:pPr>
              <w:ind w:left="220"/>
              <w:spacing w:after="0"/>
              <w:rPr>
                <w:sz w:val="20"/>
                <w:szCs w:val="20"/>
                <w:color w:val="auto"/>
              </w:rPr>
            </w:pPr>
            <w:r>
              <w:rPr>
                <w:rFonts w:ascii="Arial" w:cs="Arial" w:eastAsia="Arial" w:hAnsi="Arial"/>
                <w:sz w:val="12"/>
                <w:szCs w:val="12"/>
                <w:b w:val="1"/>
                <w:bCs w:val="1"/>
                <w:color w:val="auto"/>
              </w:rPr>
              <w:t>Recorded in Net Income</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0"/>
              <w:spacing w:after="0"/>
              <w:rPr>
                <w:sz w:val="20"/>
                <w:szCs w:val="20"/>
                <w:color w:val="auto"/>
              </w:rPr>
            </w:pPr>
            <w:r>
              <w:rPr>
                <w:rFonts w:ascii="Arial" w:cs="Arial" w:eastAsia="Arial" w:hAnsi="Arial"/>
                <w:sz w:val="14"/>
                <w:szCs w:val="14"/>
                <w:color w:val="auto"/>
              </w:rPr>
              <w:t>Equity investments</w:t>
            </w:r>
          </w:p>
        </w:tc>
        <w:tc>
          <w:tcPr>
            <w:tcW w:w="1080" w:type="dxa"/>
            <w:vAlign w:val="bottom"/>
            <w:shd w:val="clear" w:color="auto" w:fill="E5E5E5"/>
          </w:tcPr>
          <w:p>
            <w:pPr>
              <w:jc w:val="right"/>
              <w:ind w:right="290"/>
              <w:spacing w:after="0"/>
              <w:rPr>
                <w:sz w:val="20"/>
                <w:szCs w:val="20"/>
                <w:color w:val="auto"/>
              </w:rPr>
            </w:pPr>
            <w:r>
              <w:rPr>
                <w:rFonts w:ascii="Arial" w:cs="Arial" w:eastAsia="Arial" w:hAnsi="Arial"/>
                <w:sz w:val="14"/>
                <w:szCs w:val="14"/>
                <w:color w:val="auto"/>
              </w:rPr>
              <w:t>Level 1</w:t>
            </w: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1,590</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1,134</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456</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00" w:type="dxa"/>
            <w:vAlign w:val="bottom"/>
          </w:tcPr>
          <w:p>
            <w:pPr>
              <w:ind w:left="20"/>
              <w:spacing w:after="0"/>
              <w:rPr>
                <w:sz w:val="20"/>
                <w:szCs w:val="20"/>
                <w:color w:val="auto"/>
              </w:rPr>
            </w:pPr>
            <w:r>
              <w:rPr>
                <w:rFonts w:ascii="Arial" w:cs="Arial" w:eastAsia="Arial" w:hAnsi="Arial"/>
                <w:sz w:val="14"/>
                <w:szCs w:val="14"/>
                <w:color w:val="auto"/>
              </w:rPr>
              <w:t>Equity investments</w:t>
            </w:r>
          </w:p>
        </w:tc>
        <w:tc>
          <w:tcPr>
            <w:tcW w:w="1080" w:type="dxa"/>
            <w:vAlign w:val="bottom"/>
          </w:tcPr>
          <w:p>
            <w:pPr>
              <w:jc w:val="right"/>
              <w:ind w:right="33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6,435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1900" w:type="dxa"/>
            <w:vAlign w:val="bottom"/>
            <w:shd w:val="clear" w:color="auto" w:fill="E5E5E5"/>
          </w:tcPr>
          <w:p>
            <w:pPr>
              <w:ind w:left="220"/>
              <w:spacing w:after="0"/>
              <w:rPr>
                <w:sz w:val="20"/>
                <w:szCs w:val="20"/>
                <w:color w:val="auto"/>
              </w:rPr>
            </w:pPr>
            <w:r>
              <w:rPr>
                <w:rFonts w:ascii="Arial" w:cs="Arial" w:eastAsia="Arial" w:hAnsi="Arial"/>
                <w:sz w:val="14"/>
                <w:szCs w:val="14"/>
                <w:color w:val="auto"/>
              </w:rPr>
              <w:t>Total equity investments</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8,025</w:t>
            </w:r>
          </w:p>
        </w:tc>
        <w:tc>
          <w:tcPr>
            <w:tcW w:w="400" w:type="dxa"/>
            <w:vAlign w:val="bottom"/>
            <w:gridSpan w:val="2"/>
            <w:shd w:val="clear" w:color="auto" w:fill="E5E5E5"/>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1,134</w:t>
            </w:r>
          </w:p>
        </w:tc>
        <w:tc>
          <w:tcPr>
            <w:tcW w:w="340" w:type="dxa"/>
            <w:vAlign w:val="bottom"/>
            <w:gridSpan w:val="2"/>
            <w:shd w:val="clear" w:color="auto" w:fill="E5E5E5"/>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360" w:type="dxa"/>
            <w:vAlign w:val="bottom"/>
            <w:gridSpan w:val="2"/>
            <w:shd w:val="clear" w:color="auto" w:fill="E5E5E5"/>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6,891</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9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900" w:type="dxa"/>
            <w:vAlign w:val="bottom"/>
          </w:tcPr>
          <w:p>
            <w:pPr>
              <w:ind w:left="20"/>
              <w:spacing w:after="0"/>
              <w:rPr>
                <w:sz w:val="20"/>
                <w:szCs w:val="20"/>
                <w:color w:val="auto"/>
              </w:rPr>
            </w:pPr>
            <w:r>
              <w:rPr>
                <w:rFonts w:ascii="Arial" w:cs="Arial" w:eastAsia="Arial" w:hAnsi="Arial"/>
                <w:sz w:val="14"/>
                <w:szCs w:val="14"/>
                <w:color w:val="auto"/>
              </w:rPr>
              <w:t>Cash</w:t>
            </w: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8,258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8,258</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E5E5E5"/>
          </w:tcPr>
          <w:p>
            <w:pPr>
              <w:ind w:left="20"/>
              <w:spacing w:after="0" w:line="195" w:lineRule="exact"/>
              <w:rPr>
                <w:sz w:val="20"/>
                <w:szCs w:val="20"/>
                <w:color w:val="auto"/>
              </w:rPr>
            </w:pPr>
            <w:r>
              <w:rPr>
                <w:rFonts w:ascii="Arial" w:cs="Arial" w:eastAsia="Arial" w:hAnsi="Arial"/>
                <w:sz w:val="14"/>
                <w:szCs w:val="14"/>
                <w:color w:val="auto"/>
              </w:rPr>
              <w:t xml:space="preserve">Derivatives, net </w:t>
            </w:r>
            <w:r>
              <w:rPr>
                <w:rFonts w:ascii="Arial" w:cs="Arial" w:eastAsia="Arial" w:hAnsi="Arial"/>
                <w:sz w:val="19"/>
                <w:szCs w:val="19"/>
                <w:color w:val="auto"/>
                <w:vertAlign w:val="superscript"/>
              </w:rPr>
              <w:t>(a)</w:t>
            </w:r>
          </w:p>
        </w:tc>
        <w:tc>
          <w:tcPr>
            <w:tcW w:w="10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68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E5E5E5"/>
          </w:tcPr>
          <w:p>
            <w:pPr>
              <w:spacing w:after="0"/>
              <w:rPr>
                <w:sz w:val="16"/>
                <w:szCs w:val="16"/>
                <w:color w:val="auto"/>
              </w:rPr>
            </w:pPr>
          </w:p>
        </w:tc>
        <w:tc>
          <w:tcPr>
            <w:tcW w:w="18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18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E5E5E5"/>
          </w:tcPr>
          <w:p>
            <w:pPr>
              <w:spacing w:after="0"/>
              <w:rPr>
                <w:sz w:val="16"/>
                <w:szCs w:val="16"/>
                <w:color w:val="auto"/>
              </w:rPr>
            </w:pPr>
          </w:p>
        </w:tc>
        <w:tc>
          <w:tcPr>
            <w:tcW w:w="160" w:type="dxa"/>
            <w:vAlign w:val="bottom"/>
            <w:shd w:val="clear" w:color="auto" w:fill="E5E5E5"/>
          </w:tcPr>
          <w:p>
            <w:pPr>
              <w:spacing w:after="0"/>
              <w:rPr>
                <w:sz w:val="16"/>
                <w:szCs w:val="16"/>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330"/>
        </w:trPr>
        <w:tc>
          <w:tcPr>
            <w:tcW w:w="1900" w:type="dxa"/>
            <w:vAlign w:val="bottom"/>
          </w:tcPr>
          <w:p>
            <w:pPr>
              <w:ind w:left="220"/>
              <w:spacing w:after="0"/>
              <w:rPr>
                <w:sz w:val="20"/>
                <w:szCs w:val="20"/>
                <w:color w:val="auto"/>
              </w:rPr>
            </w:pPr>
            <w:r>
              <w:rPr>
                <w:rFonts w:ascii="Arial" w:cs="Arial" w:eastAsia="Arial" w:hAnsi="Arial"/>
                <w:sz w:val="14"/>
                <w:szCs w:val="14"/>
                <w:color w:val="auto"/>
              </w:rPr>
              <w:t>Total</w:t>
            </w: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111,648</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13,931</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90,826</w:t>
            </w: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6,891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-1460500</wp:posOffset>
            </wp:positionV>
            <wp:extent cx="93980" cy="863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-1460500</wp:posOffset>
            </wp:positionV>
            <wp:extent cx="93980" cy="863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-1460500</wp:posOffset>
            </wp:positionV>
            <wp:extent cx="93980" cy="863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-1460500</wp:posOffset>
            </wp:positionV>
            <wp:extent cx="93980" cy="863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-1460500</wp:posOffset>
            </wp:positionV>
            <wp:extent cx="86360" cy="863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-1460500</wp:posOffset>
            </wp:positionV>
            <wp:extent cx="86360" cy="863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-1460500</wp:posOffset>
            </wp:positionV>
            <wp:extent cx="86360" cy="863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-636905</wp:posOffset>
            </wp:positionV>
            <wp:extent cx="93980" cy="863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-636905</wp:posOffset>
            </wp:positionV>
            <wp:extent cx="86360" cy="863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-636905</wp:posOffset>
            </wp:positionV>
            <wp:extent cx="86360" cy="863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-636905</wp:posOffset>
            </wp:positionV>
            <wp:extent cx="86360" cy="863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-73025</wp:posOffset>
            </wp:positionV>
            <wp:extent cx="93980" cy="863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-73025</wp:posOffset>
            </wp:positionV>
            <wp:extent cx="86360" cy="863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-73025</wp:posOffset>
            </wp:positionV>
            <wp:extent cx="86360" cy="863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Refer to Note 5 – Derivatives for further information on the fair value of our derivative instruments.</w:t>
      </w:r>
    </w:p>
    <w:p>
      <w:pPr>
        <w:spacing w:after="0" w:line="170"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Equity investments presented as “Other” in the tables above include investments without readily determinable fair values measured using the equity method or measured at cost with adjustments for observable changes in price or impairments, and investments measured at fair value using net asset value as a practical expedient which are not categorized in the fair value hierarchy. As of June 30, 2023 and 2022, equity investments without readily determinable fair values measured at cost with adjustments for observable changes in price or impairments were $4.2 billion and $3.8 billion, respectively.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Unrealized Losses on Debt Investments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Debt investments with continuous unrealized losses for less than 12 months and 12 months or greater and their related fair values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Less than 12 Months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12 Months or Greater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Total</w:t>
            </w:r>
          </w:p>
        </w:tc>
      </w:tr>
      <w:tr>
        <w:trPr>
          <w:trHeight w:val="156"/>
        </w:trPr>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Unrealized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Unrealized</w:t>
            </w:r>
          </w:p>
        </w:tc>
      </w:tr>
      <w:tr>
        <w:trPr>
          <w:trHeight w:val="167"/>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Losses</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Losses</w:t>
            </w:r>
          </w:p>
        </w:tc>
      </w:tr>
      <w:tr>
        <w:trPr>
          <w:trHeight w:val="324"/>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June 30, 2023</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3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 government and agency securities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7,950</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(336 )</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45,273</w:t>
            </w:r>
          </w:p>
        </w:tc>
        <w:tc>
          <w:tcPr>
            <w:tcW w:w="4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(3,534)</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53,223</w:t>
            </w:r>
          </w:p>
        </w:tc>
        <w:tc>
          <w:tcPr>
            <w:tcW w:w="46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(3,870)</w:t>
            </w:r>
          </w:p>
        </w:tc>
      </w:tr>
      <w:tr>
        <w:trPr>
          <w:trHeight w:val="204"/>
        </w:trPr>
        <w:tc>
          <w:tcPr>
            <w:tcW w:w="3080" w:type="dxa"/>
            <w:vAlign w:val="bottom"/>
          </w:tcPr>
          <w:p>
            <w:pPr>
              <w:ind w:left="20"/>
              <w:spacing w:after="0"/>
              <w:rPr>
                <w:sz w:val="20"/>
                <w:szCs w:val="20"/>
                <w:color w:val="auto"/>
              </w:rPr>
            </w:pPr>
            <w:r>
              <w:rPr>
                <w:rFonts w:ascii="Arial" w:cs="Arial" w:eastAsia="Arial" w:hAnsi="Arial"/>
                <w:sz w:val="16"/>
                <w:szCs w:val="16"/>
                <w:color w:val="auto"/>
              </w:rPr>
              <w:t>Foreign government bonds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391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(19)</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468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(24)</w:t>
            </w:r>
          </w:p>
        </w:tc>
      </w:tr>
      <w:tr>
        <w:trPr>
          <w:trHeight w:val="204"/>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Mortgage- and asset-backed securities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257</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(5)</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412</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(34)</w:t>
            </w:r>
          </w:p>
        </w:tc>
        <w:tc>
          <w:tcPr>
            <w:tcW w:w="26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669</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(39)</w:t>
            </w:r>
          </w:p>
        </w:tc>
      </w:tr>
      <w:tr>
        <w:trPr>
          <w:trHeight w:val="204"/>
        </w:trPr>
        <w:tc>
          <w:tcPr>
            <w:tcW w:w="30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2,326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(49)</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7,336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(534 )</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9,662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(583 )</w:t>
            </w:r>
          </w:p>
        </w:tc>
      </w:tr>
      <w:tr>
        <w:trPr>
          <w:trHeight w:val="264"/>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Municipal securities</w:t>
            </w:r>
          </w:p>
        </w:tc>
        <w:tc>
          <w:tcPr>
            <w:tcW w:w="280" w:type="dxa"/>
            <w:vAlign w:val="bottom"/>
            <w:shd w:val="clear" w:color="auto" w:fill="E5E5E5"/>
          </w:tcPr>
          <w:p>
            <w:pPr>
              <w:spacing w:after="0"/>
              <w:rPr>
                <w:sz w:val="22"/>
                <w:szCs w:val="22"/>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w:t>
            </w:r>
          </w:p>
        </w:tc>
        <w:tc>
          <w:tcPr>
            <w:tcW w:w="22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000" w:type="dxa"/>
            <w:vAlign w:val="bottom"/>
            <w:gridSpan w:val="2"/>
            <w:shd w:val="clear" w:color="auto" w:fill="E5E5E5"/>
          </w:tcPr>
          <w:p>
            <w:pPr>
              <w:jc w:val="right"/>
              <w:ind w:right="140"/>
              <w:spacing w:after="0" w:line="264" w:lineRule="exact"/>
              <w:rPr>
                <w:sz w:val="20"/>
                <w:szCs w:val="20"/>
                <w:color w:val="auto"/>
              </w:rPr>
            </w:pPr>
            <w:r>
              <w:rPr>
                <w:rFonts w:ascii="Arial" w:cs="Arial" w:eastAsia="Arial" w:hAnsi="Arial"/>
                <w:sz w:val="15"/>
                <w:szCs w:val="15"/>
                <w:b w:val="1"/>
                <w:bCs w:val="1"/>
                <w:color w:val="auto"/>
              </w:rPr>
              <w:t xml:space="preserve">(3 </w:t>
            </w:r>
            <w:r>
              <w:rPr>
                <w:rFonts w:ascii="Arial" w:cs="Arial" w:eastAsia="Arial" w:hAnsi="Arial"/>
                <w:sz w:val="30"/>
                <w:szCs w:val="30"/>
                <w:b w:val="1"/>
                <w:bCs w:val="1"/>
                <w:color w:val="auto"/>
                <w:vertAlign w:val="superscript"/>
              </w:rPr>
              <w:t>)</w:t>
            </w:r>
          </w:p>
        </w:tc>
        <w:tc>
          <w:tcPr>
            <w:tcW w:w="300" w:type="dxa"/>
            <w:vAlign w:val="bottom"/>
            <w:shd w:val="clear" w:color="auto" w:fill="E5E5E5"/>
          </w:tcPr>
          <w:p>
            <w:pPr>
              <w:spacing w:after="0"/>
              <w:rPr>
                <w:sz w:val="22"/>
                <w:szCs w:val="22"/>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186</w:t>
            </w:r>
          </w:p>
        </w:tc>
        <w:tc>
          <w:tcPr>
            <w:tcW w:w="220" w:type="dxa"/>
            <w:vAlign w:val="bottom"/>
            <w:shd w:val="clear" w:color="auto" w:fill="E5E5E5"/>
          </w:tcPr>
          <w:p>
            <w:pPr>
              <w:spacing w:after="0"/>
              <w:rPr>
                <w:sz w:val="22"/>
                <w:szCs w:val="22"/>
                <w:color w:val="auto"/>
              </w:rPr>
            </w:pPr>
          </w:p>
        </w:tc>
        <w:tc>
          <w:tcPr>
            <w:tcW w:w="260" w:type="dxa"/>
            <w:vAlign w:val="bottom"/>
            <w:shd w:val="clear" w:color="auto" w:fill="E5E5E5"/>
          </w:tcPr>
          <w:p>
            <w:pPr>
              <w:spacing w:after="0"/>
              <w:rPr>
                <w:sz w:val="22"/>
                <w:szCs w:val="22"/>
                <w:color w:val="auto"/>
              </w:rPr>
            </w:pPr>
          </w:p>
        </w:tc>
        <w:tc>
          <w:tcPr>
            <w:tcW w:w="1000" w:type="dxa"/>
            <w:vAlign w:val="bottom"/>
            <w:gridSpan w:val="2"/>
            <w:shd w:val="clear" w:color="auto" w:fill="E5E5E5"/>
          </w:tcPr>
          <w:p>
            <w:pPr>
              <w:jc w:val="right"/>
              <w:ind w:right="140"/>
              <w:spacing w:after="0" w:line="264" w:lineRule="exact"/>
              <w:rPr>
                <w:sz w:val="20"/>
                <w:szCs w:val="20"/>
                <w:color w:val="auto"/>
              </w:rPr>
            </w:pPr>
            <w:r>
              <w:rPr>
                <w:rFonts w:ascii="Arial" w:cs="Arial" w:eastAsia="Arial" w:hAnsi="Arial"/>
                <w:sz w:val="15"/>
                <w:szCs w:val="15"/>
                <w:b w:val="1"/>
                <w:bCs w:val="1"/>
                <w:color w:val="auto"/>
              </w:rPr>
              <w:t xml:space="preserve">(31 </w:t>
            </w:r>
            <w:r>
              <w:rPr>
                <w:rFonts w:ascii="Arial" w:cs="Arial" w:eastAsia="Arial" w:hAnsi="Arial"/>
                <w:sz w:val="30"/>
                <w:szCs w:val="30"/>
                <w:b w:val="1"/>
                <w:bCs w:val="1"/>
                <w:color w:val="auto"/>
                <w:vertAlign w:val="superscript"/>
              </w:rPr>
              <w:t>)</w:t>
            </w:r>
          </w:p>
        </w:tc>
        <w:tc>
          <w:tcPr>
            <w:tcW w:w="260" w:type="dxa"/>
            <w:vAlign w:val="bottom"/>
            <w:shd w:val="clear" w:color="auto" w:fill="E5E5E5"/>
          </w:tcPr>
          <w:p>
            <w:pPr>
              <w:spacing w:after="0"/>
              <w:rPr>
                <w:sz w:val="22"/>
                <w:szCs w:val="22"/>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297</w:t>
            </w:r>
          </w:p>
        </w:tc>
        <w:tc>
          <w:tcPr>
            <w:tcW w:w="18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860" w:type="dxa"/>
            <w:vAlign w:val="bottom"/>
            <w:gridSpan w:val="2"/>
            <w:shd w:val="clear" w:color="auto" w:fill="E5E5E5"/>
          </w:tcPr>
          <w:p>
            <w:pPr>
              <w:jc w:val="right"/>
              <w:ind w:right="20"/>
              <w:spacing w:after="0" w:line="264" w:lineRule="exact"/>
              <w:rPr>
                <w:sz w:val="20"/>
                <w:szCs w:val="20"/>
                <w:color w:val="auto"/>
              </w:rPr>
            </w:pPr>
            <w:r>
              <w:rPr>
                <w:rFonts w:ascii="Arial" w:cs="Arial" w:eastAsia="Arial" w:hAnsi="Arial"/>
                <w:sz w:val="15"/>
                <w:szCs w:val="15"/>
                <w:b w:val="1"/>
                <w:bCs w:val="1"/>
                <w:color w:val="auto"/>
              </w:rPr>
              <w:t xml:space="preserve">(34 </w:t>
            </w:r>
            <w:r>
              <w:rPr>
                <w:rFonts w:ascii="Arial" w:cs="Arial" w:eastAsia="Arial" w:hAnsi="Arial"/>
                <w:sz w:val="30"/>
                <w:szCs w:val="30"/>
                <w:b w:val="1"/>
                <w:bCs w:val="1"/>
                <w:color w:val="auto"/>
                <w:vertAlign w:val="superscript"/>
              </w:rPr>
              <w:t>)</w:t>
            </w:r>
          </w:p>
        </w:tc>
      </w:tr>
      <w:tr>
        <w:trPr>
          <w:trHeight w:val="358"/>
        </w:trPr>
        <w:tc>
          <w:tcPr>
            <w:tcW w:w="308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10,721</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(398 )</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53,598</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(4,152)</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64,319</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(4,550)</w:t>
            </w:r>
          </w:p>
        </w:tc>
      </w:tr>
      <w:tr>
        <w:trPr>
          <w:trHeight w:val="66"/>
        </w:trPr>
        <w:tc>
          <w:tcPr>
            <w:tcW w:w="30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60" w:type="dxa"/>
            <w:vAlign w:val="bottom"/>
            <w:tcBorders>
              <w:bottom w:val="single" w:sz="8" w:color="auto"/>
            </w:tcBorders>
            <w:gridSpan w:val="2"/>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68"/>
        </w:trPr>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Less than 12 Months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12 Months or Greater</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7"/>
        </w:trPr>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Total</w:t>
            </w:r>
          </w:p>
        </w:tc>
      </w:tr>
      <w:tr>
        <w:trPr>
          <w:trHeight w:val="156"/>
        </w:trPr>
        <w:tc>
          <w:tcPr>
            <w:tcW w:w="3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Unrealized</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Unrealized</w:t>
            </w:r>
          </w:p>
        </w:tc>
        <w:tc>
          <w:tcPr>
            <w:tcW w:w="2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Unrealized</w:t>
            </w:r>
          </w:p>
        </w:tc>
      </w:tr>
      <w:tr>
        <w:trPr>
          <w:trHeight w:val="167"/>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Losses</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Losses</w:t>
            </w:r>
          </w:p>
        </w:tc>
        <w:tc>
          <w:tcPr>
            <w:tcW w:w="2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Losses</w:t>
            </w:r>
          </w:p>
        </w:tc>
      </w:tr>
      <w:tr>
        <w:trPr>
          <w:trHeight w:val="324"/>
        </w:trPr>
        <w:tc>
          <w:tcPr>
            <w:tcW w:w="3080" w:type="dxa"/>
            <w:vAlign w:val="bottom"/>
          </w:tcPr>
          <w:p>
            <w:pPr>
              <w:ind w:left="20"/>
              <w:spacing w:after="0"/>
              <w:rPr>
                <w:sz w:val="20"/>
                <w:szCs w:val="20"/>
                <w:color w:val="auto"/>
              </w:rPr>
            </w:pPr>
            <w:r>
              <w:rPr>
                <w:rFonts w:ascii="Arial" w:cs="Arial" w:eastAsia="Arial" w:hAnsi="Arial"/>
                <w:sz w:val="12"/>
                <w:szCs w:val="12"/>
                <w:b w:val="1"/>
                <w:bCs w:val="1"/>
                <w:color w:val="auto"/>
              </w:rPr>
              <w:t>June 30, 2022</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3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1000" w:type="dxa"/>
            <w:vAlign w:val="bottom"/>
            <w:gridSpan w:val="2"/>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gridSpan w:val="2"/>
          </w:tcPr>
          <w:p>
            <w:pPr>
              <w:spacing w:after="0"/>
              <w:rPr>
                <w:sz w:val="6"/>
                <w:szCs w:val="6"/>
                <w:color w:val="auto"/>
              </w:rPr>
            </w:pPr>
          </w:p>
        </w:tc>
        <w:tc>
          <w:tcPr>
            <w:tcW w:w="860" w:type="dxa"/>
            <w:vAlign w:val="bottom"/>
            <w:gridSpan w:val="2"/>
          </w:tcPr>
          <w:p>
            <w:pPr>
              <w:spacing w:after="0"/>
              <w:rPr>
                <w:sz w:val="6"/>
                <w:szCs w:val="6"/>
                <w:color w:val="auto"/>
              </w:rPr>
            </w:pPr>
          </w:p>
        </w:tc>
      </w:tr>
      <w:tr>
        <w:trPr>
          <w:trHeight w:val="204"/>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 government and agency securities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59,092</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(1,835)</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2,210</w:t>
            </w:r>
          </w:p>
        </w:tc>
        <w:tc>
          <w:tcPr>
            <w:tcW w:w="4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(352 )</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61,302</w:t>
            </w:r>
          </w:p>
        </w:tc>
        <w:tc>
          <w:tcPr>
            <w:tcW w:w="46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(2,187)</w:t>
            </w: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Foreign government bonds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(6 )</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r>
      <w:tr>
        <w:trPr>
          <w:trHeight w:val="205"/>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Mortgage- and asset-backed securities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510</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(26)</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(4 )</w:t>
            </w:r>
          </w:p>
        </w:tc>
        <w:tc>
          <w:tcPr>
            <w:tcW w:w="26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551</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(30)</w:t>
            </w:r>
          </w:p>
        </w:tc>
      </w:tr>
      <w:tr>
        <w:trPr>
          <w:trHeight w:val="203"/>
        </w:trPr>
        <w:tc>
          <w:tcPr>
            <w:tcW w:w="308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9,443</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(477 )</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10,229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(554 )</w:t>
            </w:r>
          </w:p>
        </w:tc>
      </w:tr>
      <w:tr>
        <w:trPr>
          <w:trHeight w:val="205"/>
        </w:trPr>
        <w:tc>
          <w:tcPr>
            <w:tcW w:w="3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Municipal securities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178</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(12)</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(7 )</w:t>
            </w:r>
          </w:p>
        </w:tc>
        <w:tc>
          <w:tcPr>
            <w:tcW w:w="26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252</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(19)</w:t>
            </w:r>
          </w:p>
        </w:tc>
      </w:tr>
      <w:tr>
        <w:trPr>
          <w:trHeight w:val="346"/>
        </w:trPr>
        <w:tc>
          <w:tcPr>
            <w:tcW w:w="308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69,641</w:t>
            </w: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(2,368)</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3,138</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(446 )</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72,779</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(2,814)</w:t>
            </w:r>
          </w:p>
        </w:tc>
      </w:tr>
      <w:tr>
        <w:trPr>
          <w:trHeight w:val="78"/>
        </w:trPr>
        <w:tc>
          <w:tcPr>
            <w:tcW w:w="30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-1795780</wp:posOffset>
            </wp:positionV>
            <wp:extent cx="93980" cy="863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-1795780</wp:posOffset>
            </wp:positionV>
            <wp:extent cx="93980" cy="863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-1795780</wp:posOffset>
            </wp:positionV>
            <wp:extent cx="93980" cy="863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-1795780</wp:posOffset>
            </wp:positionV>
            <wp:extent cx="86360" cy="863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-1795780</wp:posOffset>
            </wp:positionV>
            <wp:extent cx="86360" cy="863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-1795780</wp:posOffset>
            </wp:positionV>
            <wp:extent cx="86360" cy="86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-73025</wp:posOffset>
            </wp:positionV>
            <wp:extent cx="93980" cy="863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3436620</wp:posOffset>
            </wp:positionH>
            <wp:positionV relativeFrom="paragraph">
              <wp:posOffset>-73025</wp:posOffset>
            </wp:positionV>
            <wp:extent cx="93980" cy="863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-73025</wp:posOffset>
            </wp:positionV>
            <wp:extent cx="93980" cy="863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5067300</wp:posOffset>
            </wp:positionH>
            <wp:positionV relativeFrom="paragraph">
              <wp:posOffset>-73025</wp:posOffset>
            </wp:positionV>
            <wp:extent cx="86360" cy="863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Unrealized losses from fixed-income securities are primarily attributable to changes in interest rates. Management does not believe any remaining unrealized losses represent impairments based on our evaluation of available evidence.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Investment Maturities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Adjusted</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Estimated</w:t>
            </w:r>
          </w:p>
        </w:tc>
        <w:tc>
          <w:tcPr>
            <w:tcW w:w="0" w:type="dxa"/>
            <w:vAlign w:val="bottom"/>
          </w:tcPr>
          <w:p>
            <w:pPr>
              <w:spacing w:after="0"/>
              <w:rPr>
                <w:sz w:val="1"/>
                <w:szCs w:val="1"/>
                <w:color w:val="auto"/>
              </w:rPr>
            </w:pPr>
          </w:p>
        </w:tc>
      </w:tr>
      <w:tr>
        <w:trPr>
          <w:trHeight w:val="167"/>
        </w:trPr>
        <w:tc>
          <w:tcPr>
            <w:tcW w:w="39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Cost Basis</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324"/>
        </w:trPr>
        <w:tc>
          <w:tcPr>
            <w:tcW w:w="3900" w:type="dxa"/>
            <w:vAlign w:val="bottom"/>
          </w:tcPr>
          <w:p>
            <w:pPr>
              <w:ind w:left="20"/>
              <w:spacing w:after="0"/>
              <w:rPr>
                <w:sz w:val="20"/>
                <w:szCs w:val="20"/>
                <w:color w:val="auto"/>
              </w:rPr>
            </w:pPr>
            <w:r>
              <w:rPr>
                <w:rFonts w:ascii="Arial" w:cs="Arial" w:eastAsia="Arial" w:hAnsi="Arial"/>
                <w:sz w:val="12"/>
                <w:szCs w:val="12"/>
                <w:b w:val="1"/>
                <w:bCs w:val="1"/>
                <w:color w:val="auto"/>
              </w:rPr>
              <w:t>June 30, 2023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900" w:type="dxa"/>
            <w:vAlign w:val="bottom"/>
          </w:tcPr>
          <w:p>
            <w:pPr>
              <w:spacing w:after="0"/>
              <w:rPr>
                <w:sz w:val="6"/>
                <w:szCs w:val="6"/>
                <w:color w:val="auto"/>
              </w:rPr>
            </w:pPr>
          </w:p>
        </w:tc>
        <w:tc>
          <w:tcPr>
            <w:tcW w:w="3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Due in one year or less</w:t>
            </w:r>
          </w:p>
        </w:tc>
        <w:tc>
          <w:tcPr>
            <w:tcW w:w="402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38,182</w:t>
            </w:r>
          </w:p>
        </w:tc>
        <w:tc>
          <w:tcPr>
            <w:tcW w:w="6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38,048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3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47,127</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44,490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Due after five years through 10 years</w:t>
            </w:r>
          </w:p>
        </w:tc>
        <w:tc>
          <w:tcPr>
            <w:tcW w:w="36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13,262</w:t>
            </w:r>
          </w:p>
        </w:tc>
        <w:tc>
          <w:tcPr>
            <w:tcW w:w="24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11,628</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00" w:type="dxa"/>
            <w:vAlign w:val="bottom"/>
          </w:tcPr>
          <w:p>
            <w:pPr>
              <w:ind w:left="20"/>
              <w:spacing w:after="0"/>
              <w:rPr>
                <w:sz w:val="20"/>
                <w:szCs w:val="20"/>
                <w:color w:val="auto"/>
              </w:rPr>
            </w:pPr>
            <w:r>
              <w:rPr>
                <w:rFonts w:ascii="Arial" w:cs="Arial" w:eastAsia="Arial" w:hAnsi="Arial"/>
                <w:sz w:val="16"/>
                <w:szCs w:val="16"/>
                <w:color w:val="auto"/>
              </w:rPr>
              <w:t>Due after 10 years</w:t>
            </w:r>
          </w:p>
        </w:tc>
        <w:tc>
          <w:tcPr>
            <w:tcW w:w="3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1,298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9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9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4020" w:type="dxa"/>
            <w:vAlign w:val="bottom"/>
            <w:gridSpan w:val="2"/>
            <w:shd w:val="clear" w:color="auto" w:fill="E5E5E5"/>
          </w:tcPr>
          <w:p>
            <w:pPr>
              <w:jc w:val="right"/>
              <w:ind w:right="30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99,869</w:t>
            </w:r>
          </w:p>
        </w:tc>
        <w:tc>
          <w:tcPr>
            <w:tcW w:w="66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95,332</w:t>
            </w:r>
          </w:p>
        </w:tc>
        <w:tc>
          <w:tcPr>
            <w:tcW w:w="10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3900" w:type="dxa"/>
            <w:vAlign w:val="bottom"/>
          </w:tcPr>
          <w:p>
            <w:pPr>
              <w:spacing w:after="0"/>
              <w:rPr>
                <w:sz w:val="6"/>
                <w:szCs w:val="6"/>
                <w:color w:val="auto"/>
              </w:rPr>
            </w:pPr>
          </w:p>
        </w:tc>
        <w:tc>
          <w:tcPr>
            <w:tcW w:w="3620" w:type="dxa"/>
            <w:vAlign w:val="bottom"/>
            <w:vMerge w:val="restart"/>
          </w:tcPr>
          <w:p>
            <w:pPr>
              <w:jc w:val="right"/>
              <w:ind w:right="2086"/>
              <w:spacing w:after="0"/>
              <w:rPr>
                <w:sz w:val="20"/>
                <w:szCs w:val="20"/>
                <w:color w:val="auto"/>
              </w:rPr>
            </w:pPr>
            <w:r>
              <w:rPr>
                <w:rFonts w:ascii="Arial" w:cs="Arial" w:eastAsia="Arial" w:hAnsi="Arial"/>
                <w:sz w:val="13"/>
                <w:szCs w:val="13"/>
                <w:color w:val="auto"/>
              </w:rPr>
              <w:t>74</w:t>
            </w:r>
          </w:p>
        </w:tc>
        <w:tc>
          <w:tcPr>
            <w:tcW w:w="4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0"/>
        </w:trPr>
        <w:tc>
          <w:tcPr>
            <w:tcW w:w="390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900" w:type="dxa"/>
            <w:vAlign w:val="bottom"/>
            <w:tcBorders>
              <w:bottom w:val="single" w:sz="8" w:color="EEEEEE"/>
            </w:tcBorders>
          </w:tcPr>
          <w:p>
            <w:pPr>
              <w:spacing w:after="0"/>
              <w:rPr>
                <w:sz w:val="9"/>
                <w:szCs w:val="9"/>
                <w:color w:val="auto"/>
              </w:rPr>
            </w:pPr>
          </w:p>
        </w:tc>
        <w:tc>
          <w:tcPr>
            <w:tcW w:w="3620" w:type="dxa"/>
            <w:vAlign w:val="bottom"/>
            <w:tcBorders>
              <w:bottom w:val="single" w:sz="8" w:color="EEEEEE"/>
            </w:tcBorders>
          </w:tcPr>
          <w:p>
            <w:pPr>
              <w:spacing w:after="0"/>
              <w:rPr>
                <w:sz w:val="9"/>
                <w:szCs w:val="9"/>
                <w:color w:val="auto"/>
              </w:rPr>
            </w:pPr>
          </w:p>
        </w:tc>
        <w:tc>
          <w:tcPr>
            <w:tcW w:w="400" w:type="dxa"/>
            <w:vAlign w:val="bottom"/>
            <w:tcBorders>
              <w:bottom w:val="single" w:sz="8" w:color="EEEEEE"/>
            </w:tcBorders>
          </w:tcPr>
          <w:p>
            <w:pPr>
              <w:spacing w:after="0"/>
              <w:rPr>
                <w:sz w:val="9"/>
                <w:szCs w:val="9"/>
                <w:color w:val="auto"/>
              </w:rPr>
            </w:pPr>
          </w:p>
        </w:tc>
        <w:tc>
          <w:tcPr>
            <w:tcW w:w="960" w:type="dxa"/>
            <w:vAlign w:val="bottom"/>
            <w:tcBorders>
              <w:bottom w:val="single" w:sz="8" w:color="EEEEEE"/>
            </w:tcBorders>
          </w:tcPr>
          <w:p>
            <w:pPr>
              <w:spacing w:after="0"/>
              <w:rPr>
                <w:sz w:val="9"/>
                <w:szCs w:val="9"/>
                <w:color w:val="auto"/>
              </w:rPr>
            </w:pPr>
          </w:p>
        </w:tc>
        <w:tc>
          <w:tcPr>
            <w:tcW w:w="240" w:type="dxa"/>
            <w:vAlign w:val="bottom"/>
            <w:tcBorders>
              <w:bottom w:val="single" w:sz="8" w:color="EEEEEE"/>
            </w:tcBorders>
          </w:tcPr>
          <w:p>
            <w:pPr>
              <w:spacing w:after="0"/>
              <w:rPr>
                <w:sz w:val="9"/>
                <w:szCs w:val="9"/>
                <w:color w:val="auto"/>
              </w:rPr>
            </w:pPr>
          </w:p>
        </w:tc>
        <w:tc>
          <w:tcPr>
            <w:tcW w:w="420" w:type="dxa"/>
            <w:vAlign w:val="bottom"/>
            <w:tcBorders>
              <w:bottom w:val="single" w:sz="8" w:color="EEEEEE"/>
            </w:tcBorders>
          </w:tcPr>
          <w:p>
            <w:pPr>
              <w:spacing w:after="0"/>
              <w:rPr>
                <w:sz w:val="9"/>
                <w:szCs w:val="9"/>
                <w:color w:val="auto"/>
              </w:rPr>
            </w:pPr>
          </w:p>
        </w:tc>
        <w:tc>
          <w:tcPr>
            <w:tcW w:w="92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-484505</wp:posOffset>
            </wp:positionV>
            <wp:extent cx="101600" cy="863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1600" cy="86360"/>
                    </a:xfrm>
                    <a:prstGeom prst="rect">
                      <a:avLst/>
                    </a:prstGeom>
                    <a:noFill/>
                  </pic:spPr>
                </pic:pic>
              </a:graphicData>
            </a:graphic>
          </wp:anchor>
        </w:drawing>
        <w:drawing>
          <wp:anchor simplePos="0" relativeHeight="251657728" behindDoc="1" locked="0" layoutInCell="0" allowOverlap="1">
            <wp:simplePos x="0" y="0"/>
            <wp:positionH relativeFrom="column">
              <wp:posOffset>6630035</wp:posOffset>
            </wp:positionH>
            <wp:positionV relativeFrom="paragraph">
              <wp:posOffset>-484505</wp:posOffset>
            </wp:positionV>
            <wp:extent cx="93980" cy="863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NOTE 5 — DERIVATIVES</w:t>
      </w:r>
    </w:p>
    <w:p>
      <w:pPr>
        <w:spacing w:after="0" w:line="14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Currencies</w:t>
      </w:r>
    </w:p>
    <w:p>
      <w:pPr>
        <w:spacing w:after="0" w:line="14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Certain forecasted transactions, assets, and liabilities are exposed to foreign currency risk. We monitor our foreign currency exposures daily to maximize the economic effectiveness of our foreign currency hedge positions.</w:t>
      </w:r>
    </w:p>
    <w:p>
      <w:pPr>
        <w:spacing w:after="0" w:line="118" w:lineRule="exact"/>
        <w:rPr>
          <w:sz w:val="20"/>
          <w:szCs w:val="20"/>
          <w:color w:val="auto"/>
        </w:rPr>
      </w:pPr>
    </w:p>
    <w:p>
      <w:pPr>
        <w:ind w:right="460"/>
        <w:spacing w:after="0" w:line="243" w:lineRule="auto"/>
        <w:rPr>
          <w:sz w:val="20"/>
          <w:szCs w:val="20"/>
          <w:color w:val="auto"/>
        </w:rPr>
      </w:pPr>
      <w:r>
        <w:rPr>
          <w:rFonts w:ascii="Arial" w:cs="Arial" w:eastAsia="Arial" w:hAnsi="Arial"/>
          <w:sz w:val="16"/>
          <w:szCs w:val="16"/>
          <w:color w:val="auto"/>
        </w:rPr>
        <w:t>Foreign currency risks related to certain non-U.S. dollar-denominated investments are hedged using foreign exchange forward contracts that are designated as fair value hedging instruments. Foreign currency risks related to certain Euro-denominated debt are hedged using foreign exchange forward contracts that are designated as cash flow hedging instruments.</w:t>
      </w:r>
    </w:p>
    <w:p>
      <w:pPr>
        <w:spacing w:after="0" w:line="12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Certain options and forwards not designated as hedging instruments are also used to manage the variability in foreign exchange rates on certain balance sheet amounts and to manage other foreign currency exposures.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148" w:lineRule="exact"/>
        <w:rPr>
          <w:sz w:val="20"/>
          <w:szCs w:val="20"/>
          <w:color w:val="auto"/>
        </w:rPr>
      </w:pPr>
    </w:p>
    <w:p>
      <w:pPr>
        <w:ind w:right="620"/>
        <w:spacing w:after="0" w:line="252" w:lineRule="auto"/>
        <w:rPr>
          <w:sz w:val="20"/>
          <w:szCs w:val="20"/>
          <w:color w:val="auto"/>
        </w:rPr>
      </w:pPr>
      <w:r>
        <w:rPr>
          <w:rFonts w:ascii="Arial" w:cs="Arial" w:eastAsia="Arial" w:hAnsi="Arial"/>
          <w:sz w:val="16"/>
          <w:szCs w:val="16"/>
          <w:color w:val="auto"/>
        </w:rPr>
        <w:t>Interest rate risks related to certain fixed-rate debt are hedged using interest rate swaps that are designated as fair value hedging instruments to effectively convert the fixed interest rates to floating interest rates.</w:t>
      </w:r>
    </w:p>
    <w:p>
      <w:pPr>
        <w:spacing w:after="0" w:line="118"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48"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Securities held in our equity investments portfolio are subject to market price risk. At times, we may hold options, futures, and swap contracts. These contracts are not designated as hedging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Credit-Risk-Related Contingent Features</w:t>
      </w:r>
    </w:p>
    <w:p>
      <w:pPr>
        <w:spacing w:after="0" w:line="148"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Certain of our counterparty agreements for derivative instruments contain provisions that require our issued and outstanding long-term unsecured debt to maintain an investment grade credit rating and require us to maintain minimum liquidity of $1.0 billion. To the extent we fail to meet these requirements, we will be required to post collateral, similar to the standard convention related to over-the- counter derivatives. As of June 30, 2023, our long-term unsecured debt rating was AAA, and cash investments were in excess of $1.0 billion. As a result, no collateral was required to be posted.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notional amounts of our outstanding derivative instruments measured in U.S. dollar equivalents: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June 30,</w:t>
            </w:r>
          </w:p>
        </w:tc>
        <w:tc>
          <w:tcPr>
            <w:tcW w:w="28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67"/>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Designated as Hedging Instruments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 purchased</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3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1,492</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Interest rate contracts purchased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Not Designated as Hedging Instruments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 purchased</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7,874</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10,322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6"/>
                <w:szCs w:val="16"/>
                <w:color w:val="auto"/>
              </w:rPr>
              <w:t>Foreign exchange contracts sold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25,159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Equity contracts purchased</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3,867</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1,131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6"/>
                <w:szCs w:val="16"/>
                <w:color w:val="auto"/>
              </w:rPr>
              <w:t>Equity contracts sold</w:t>
            </w: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2,154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contracts purchased</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spacing w:after="0"/>
              <w:rPr>
                <w:sz w:val="17"/>
                <w:szCs w:val="17"/>
                <w:color w:val="auto"/>
              </w:rPr>
            </w:pP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1,224</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1,642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Other contracts sold</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581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1"/>
        </w:trPr>
        <w:tc>
          <w:tcPr>
            <w:tcW w:w="5620" w:type="dxa"/>
            <w:vAlign w:val="bottom"/>
          </w:tcPr>
          <w:p>
            <w:pPr>
              <w:spacing w:after="0"/>
              <w:rPr>
                <w:sz w:val="20"/>
                <w:szCs w:val="20"/>
                <w:color w:val="auto"/>
              </w:rPr>
            </w:pPr>
            <w:r>
              <w:rPr>
                <w:rFonts w:ascii="Arial" w:cs="Arial" w:eastAsia="Arial" w:hAnsi="Arial"/>
                <w:sz w:val="16"/>
                <w:szCs w:val="16"/>
                <w:b w:val="1"/>
                <w:bCs w:val="1"/>
                <w:color w:val="auto"/>
              </w:rPr>
              <w:t>Fair Values of Derivative Instruments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5620" w:type="dxa"/>
            <w:vAlign w:val="bottom"/>
          </w:tcPr>
          <w:p>
            <w:pPr>
              <w:spacing w:after="0"/>
              <w:rPr>
                <w:sz w:val="20"/>
                <w:szCs w:val="20"/>
                <w:color w:val="auto"/>
              </w:rPr>
            </w:pPr>
            <w:r>
              <w:rPr>
                <w:rFonts w:ascii="Arial" w:cs="Arial" w:eastAsia="Arial" w:hAnsi="Arial"/>
                <w:sz w:val="16"/>
                <w:szCs w:val="16"/>
                <w:color w:val="auto"/>
              </w:rPr>
              <w:t>The following table presents our derivative instruments:</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5620" w:type="dxa"/>
            <w:vAlign w:val="bottom"/>
          </w:tcPr>
          <w:p>
            <w:pPr>
              <w:ind w:left="6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Derivative</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Liabilities</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Assets</w:t>
            </w:r>
          </w:p>
        </w:tc>
        <w:tc>
          <w:tcPr>
            <w:tcW w:w="28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Liabilities</w:t>
            </w:r>
          </w:p>
        </w:tc>
        <w:tc>
          <w:tcPr>
            <w:tcW w:w="0" w:type="dxa"/>
            <w:vAlign w:val="bottom"/>
          </w:tcPr>
          <w:p>
            <w:pPr>
              <w:spacing w:after="0"/>
              <w:rPr>
                <w:sz w:val="1"/>
                <w:szCs w:val="1"/>
                <w:color w:val="auto"/>
              </w:rPr>
            </w:pPr>
          </w:p>
        </w:tc>
      </w:tr>
      <w:tr>
        <w:trPr>
          <w:trHeight w:val="314"/>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June 30,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67"/>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Designated as Hedging Instruments</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shd w:val="clear" w:color="auto" w:fill="E5E5E5"/>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(67)</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Interest rate contracts</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620" w:type="dxa"/>
            <w:vAlign w:val="bottom"/>
          </w:tcPr>
          <w:p>
            <w:pPr>
              <w:ind w:left="20"/>
              <w:spacing w:after="0"/>
              <w:rPr>
                <w:sz w:val="20"/>
                <w:szCs w:val="20"/>
                <w:color w:val="auto"/>
              </w:rPr>
            </w:pPr>
            <w:r>
              <w:rPr>
                <w:rFonts w:ascii="Arial" w:cs="Arial" w:eastAsia="Arial" w:hAnsi="Arial"/>
                <w:sz w:val="12"/>
                <w:szCs w:val="12"/>
                <w:b w:val="1"/>
                <w:bCs w:val="1"/>
                <w:color w:val="auto"/>
              </w:rPr>
              <w:t>Not Designated as Hedging Instruments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249</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(332 )</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333</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(362 )</w:t>
            </w: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6"/>
                <w:szCs w:val="16"/>
                <w:color w:val="auto"/>
              </w:rPr>
              <w:t>Equity contracts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(400 )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contracts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(6)</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48"/>
        </w:trPr>
        <w:tc>
          <w:tcPr>
            <w:tcW w:w="5620" w:type="dxa"/>
            <w:vAlign w:val="bottom"/>
          </w:tcPr>
          <w:p>
            <w:pPr>
              <w:ind w:left="220"/>
              <w:spacing w:after="0"/>
              <w:rPr>
                <w:sz w:val="20"/>
                <w:szCs w:val="20"/>
                <w:color w:val="auto"/>
              </w:rPr>
            </w:pPr>
            <w:r>
              <w:rPr>
                <w:rFonts w:ascii="Arial" w:cs="Arial" w:eastAsia="Arial" w:hAnsi="Arial"/>
                <w:sz w:val="16"/>
                <w:szCs w:val="16"/>
                <w:color w:val="auto"/>
              </w:rPr>
              <w:t>Gross amounts of derivatives</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469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(805 )</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(551 )</w:t>
            </w: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Gross amounts of derivatives offset in the balance sheet</w:t>
            </w:r>
          </w:p>
        </w:tc>
        <w:tc>
          <w:tcPr>
            <w:tcW w:w="280" w:type="dxa"/>
            <w:vAlign w:val="bottom"/>
            <w:shd w:val="clear" w:color="auto" w:fill="E5E5E5"/>
          </w:tcPr>
          <w:p>
            <w:pPr>
              <w:spacing w:after="0"/>
              <w:rPr>
                <w:sz w:val="17"/>
                <w:szCs w:val="17"/>
                <w:color w:val="auto"/>
              </w:rPr>
            </w:pPr>
          </w:p>
        </w:tc>
        <w:tc>
          <w:tcPr>
            <w:tcW w:w="10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(202 )</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206</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6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(130 )</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20" w:type="dxa"/>
            <w:vAlign w:val="bottom"/>
          </w:tcPr>
          <w:p>
            <w:pPr>
              <w:ind w:left="20"/>
              <w:spacing w:after="0"/>
              <w:rPr>
                <w:sz w:val="20"/>
                <w:szCs w:val="20"/>
                <w:color w:val="auto"/>
              </w:rPr>
            </w:pPr>
            <w:r>
              <w:rPr>
                <w:rFonts w:ascii="Arial" w:cs="Arial" w:eastAsia="Arial" w:hAnsi="Arial"/>
                <w:sz w:val="16"/>
                <w:szCs w:val="16"/>
                <w:color w:val="auto"/>
              </w:rPr>
              <w:t>Cash collateral received</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(125 )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31"/>
        </w:trPr>
        <w:tc>
          <w:tcPr>
            <w:tcW w:w="5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Net amounts of derivatives</w:t>
            </w:r>
          </w:p>
        </w:tc>
        <w:tc>
          <w:tcPr>
            <w:tcW w:w="280" w:type="dxa"/>
            <w:vAlign w:val="bottom"/>
            <w:shd w:val="clear" w:color="auto" w:fill="E5E5E5"/>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267</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(724 )</w:t>
            </w: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226</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(493 )</w:t>
            </w:r>
          </w:p>
        </w:tc>
        <w:tc>
          <w:tcPr>
            <w:tcW w:w="0" w:type="dxa"/>
            <w:vAlign w:val="bottom"/>
          </w:tcPr>
          <w:p>
            <w:pPr>
              <w:spacing w:after="0"/>
              <w:rPr>
                <w:sz w:val="1"/>
                <w:szCs w:val="1"/>
                <w:color w:val="auto"/>
              </w:rPr>
            </w:pPr>
          </w:p>
        </w:tc>
      </w:tr>
      <w:tr>
        <w:trPr>
          <w:trHeight w:val="76"/>
        </w:trPr>
        <w:tc>
          <w:tcPr>
            <w:tcW w:w="5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Reported as</w:t>
            </w: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5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5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Short-term investments</w:t>
            </w:r>
          </w:p>
        </w:tc>
        <w:tc>
          <w:tcPr>
            <w:tcW w:w="280" w:type="dxa"/>
            <w:vAlign w:val="bottom"/>
            <w:shd w:val="clear" w:color="auto" w:fill="E5E5E5"/>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7"/>
                <w:szCs w:val="17"/>
                <w:color w:val="auto"/>
              </w:rPr>
            </w:pPr>
          </w:p>
        </w:tc>
        <w:tc>
          <w:tcPr>
            <w:tcW w:w="36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245</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6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(341 )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(298 )</w:t>
            </w:r>
          </w:p>
        </w:tc>
        <w:tc>
          <w:tcPr>
            <w:tcW w:w="0" w:type="dxa"/>
            <w:vAlign w:val="bottom"/>
          </w:tcPr>
          <w:p>
            <w:pPr>
              <w:spacing w:after="0"/>
              <w:rPr>
                <w:sz w:val="1"/>
                <w:szCs w:val="1"/>
                <w:color w:val="auto"/>
              </w:rPr>
            </w:pPr>
          </w:p>
        </w:tc>
      </w:tr>
      <w:tr>
        <w:trPr>
          <w:trHeight w:val="204"/>
        </w:trPr>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b w:val="1"/>
                <w:bCs w:val="1"/>
                <w:color w:val="auto"/>
              </w:rPr>
              <w:t>(383 )</w:t>
            </w:r>
          </w:p>
        </w:tc>
        <w:tc>
          <w:tcPr>
            <w:tcW w:w="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18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358"/>
        </w:trPr>
        <w:tc>
          <w:tcPr>
            <w:tcW w:w="562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2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(724 )</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226</w:t>
            </w:r>
          </w:p>
        </w:tc>
        <w:tc>
          <w:tcPr>
            <w:tcW w:w="1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(493 )</w:t>
            </w:r>
          </w:p>
        </w:tc>
        <w:tc>
          <w:tcPr>
            <w:tcW w:w="0" w:type="dxa"/>
            <w:vAlign w:val="bottom"/>
          </w:tcPr>
          <w:p>
            <w:pPr>
              <w:spacing w:after="0"/>
              <w:rPr>
                <w:sz w:val="1"/>
                <w:szCs w:val="1"/>
                <w:color w:val="auto"/>
              </w:rPr>
            </w:pPr>
          </w:p>
        </w:tc>
      </w:tr>
      <w:tr>
        <w:trPr>
          <w:trHeight w:val="66"/>
        </w:trPr>
        <w:tc>
          <w:tcPr>
            <w:tcW w:w="56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4229100</wp:posOffset>
            </wp:positionH>
            <wp:positionV relativeFrom="paragraph">
              <wp:posOffset>-1209040</wp:posOffset>
            </wp:positionV>
            <wp:extent cx="93980" cy="863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-1209040</wp:posOffset>
            </wp:positionV>
            <wp:extent cx="93980" cy="863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-1209040</wp:posOffset>
            </wp:positionV>
            <wp:extent cx="86360" cy="863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-1209040</wp:posOffset>
            </wp:positionV>
            <wp:extent cx="86360" cy="863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-73025</wp:posOffset>
            </wp:positionV>
            <wp:extent cx="93980" cy="863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5044440</wp:posOffset>
            </wp:positionH>
            <wp:positionV relativeFrom="paragraph">
              <wp:posOffset>-73025</wp:posOffset>
            </wp:positionV>
            <wp:extent cx="93980" cy="863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Gross derivative assets and liabilities subject to legally enforceable master netting agreements for which we have elected to offset were $442 million and $804 million, respectively, as of June 30, 2023, and $343 million and $550 million, respectively, as of June 30, 2022.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fair value of our derivatives instruments on a gross basis: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4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50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2"/>
                <w:szCs w:val="12"/>
                <w:b w:val="1"/>
                <w:bCs w:val="1"/>
                <w:color w:val="auto"/>
              </w:rPr>
              <w:t>Level 1</w:t>
            </w:r>
          </w:p>
        </w:tc>
        <w:tc>
          <w:tcPr>
            <w:tcW w:w="500" w:type="dxa"/>
            <w:vAlign w:val="bottom"/>
          </w:tcPr>
          <w:p>
            <w:pPr>
              <w:spacing w:after="0"/>
              <w:rPr>
                <w:sz w:val="14"/>
                <w:szCs w:val="14"/>
                <w:color w:val="auto"/>
              </w:rPr>
            </w:pPr>
          </w:p>
        </w:tc>
        <w:tc>
          <w:tcPr>
            <w:tcW w:w="840" w:type="dxa"/>
            <w:vAlign w:val="bottom"/>
          </w:tcPr>
          <w:p>
            <w:pPr>
              <w:jc w:val="right"/>
              <w:ind w:right="86"/>
              <w:spacing w:after="0"/>
              <w:rPr>
                <w:sz w:val="20"/>
                <w:szCs w:val="20"/>
                <w:color w:val="auto"/>
              </w:rPr>
            </w:pPr>
            <w:r>
              <w:rPr>
                <w:rFonts w:ascii="Arial" w:cs="Arial" w:eastAsia="Arial" w:hAnsi="Arial"/>
                <w:sz w:val="12"/>
                <w:szCs w:val="12"/>
                <w:b w:val="1"/>
                <w:bCs w:val="1"/>
                <w:color w:val="auto"/>
              </w:rPr>
              <w:t>Level 2</w:t>
            </w:r>
          </w:p>
        </w:tc>
        <w:tc>
          <w:tcPr>
            <w:tcW w:w="440" w:type="dxa"/>
            <w:vAlign w:val="bottom"/>
          </w:tcPr>
          <w:p>
            <w:pPr>
              <w:spacing w:after="0"/>
              <w:rPr>
                <w:sz w:val="14"/>
                <w:szCs w:val="14"/>
                <w:color w:val="auto"/>
              </w:rPr>
            </w:pPr>
          </w:p>
        </w:tc>
        <w:tc>
          <w:tcPr>
            <w:tcW w:w="780" w:type="dxa"/>
            <w:vAlign w:val="bottom"/>
          </w:tcPr>
          <w:p>
            <w:pPr>
              <w:jc w:val="right"/>
              <w:ind w:right="46"/>
              <w:spacing w:after="0"/>
              <w:rPr>
                <w:sz w:val="20"/>
                <w:szCs w:val="20"/>
                <w:color w:val="auto"/>
              </w:rPr>
            </w:pPr>
            <w:r>
              <w:rPr>
                <w:rFonts w:ascii="Arial" w:cs="Arial" w:eastAsia="Arial" w:hAnsi="Arial"/>
                <w:sz w:val="12"/>
                <w:szCs w:val="12"/>
                <w:b w:val="1"/>
                <w:bCs w:val="1"/>
                <w:color w:val="auto"/>
              </w:rPr>
              <w:t>Level 3</w:t>
            </w:r>
          </w:p>
        </w:tc>
        <w:tc>
          <w:tcPr>
            <w:tcW w:w="500" w:type="dxa"/>
            <w:vAlign w:val="bottom"/>
          </w:tcPr>
          <w:p>
            <w:pPr>
              <w:spacing w:after="0"/>
              <w:rPr>
                <w:sz w:val="14"/>
                <w:szCs w:val="14"/>
                <w:color w:val="auto"/>
              </w:rPr>
            </w:pPr>
          </w:p>
        </w:tc>
        <w:tc>
          <w:tcPr>
            <w:tcW w:w="720" w:type="dxa"/>
            <w:vAlign w:val="bottom"/>
          </w:tcPr>
          <w:p>
            <w:pPr>
              <w:jc w:val="right"/>
              <w:ind w:right="26"/>
              <w:spacing w:after="0"/>
              <w:rPr>
                <w:sz w:val="20"/>
                <w:szCs w:val="20"/>
                <w:color w:val="auto"/>
              </w:rPr>
            </w:pPr>
            <w:r>
              <w:rPr>
                <w:rFonts w:ascii="Arial" w:cs="Arial" w:eastAsia="Arial" w:hAnsi="Arial"/>
                <w:sz w:val="12"/>
                <w:szCs w:val="12"/>
                <w:b w:val="1"/>
                <w:bCs w:val="1"/>
                <w:color w:val="auto"/>
              </w:rPr>
              <w:t>Total</w:t>
            </w:r>
          </w:p>
        </w:tc>
      </w:tr>
      <w:tr>
        <w:trPr>
          <w:trHeight w:val="324"/>
        </w:trPr>
        <w:tc>
          <w:tcPr>
            <w:tcW w:w="3480" w:type="dxa"/>
            <w:vAlign w:val="bottom"/>
          </w:tcPr>
          <w:p>
            <w:pPr>
              <w:ind w:left="20"/>
              <w:spacing w:after="0"/>
              <w:rPr>
                <w:sz w:val="20"/>
                <w:szCs w:val="20"/>
                <w:color w:val="auto"/>
              </w:rPr>
            </w:pPr>
            <w:r>
              <w:rPr>
                <w:rFonts w:ascii="Arial" w:cs="Arial" w:eastAsia="Arial" w:hAnsi="Arial"/>
                <w:sz w:val="12"/>
                <w:szCs w:val="12"/>
                <w:b w:val="1"/>
                <w:bCs w:val="1"/>
                <w:color w:val="auto"/>
              </w:rPr>
              <w:t>June 30, 2023</w:t>
            </w: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76"/>
        </w:trPr>
        <w:tc>
          <w:tcPr>
            <w:tcW w:w="34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204"/>
        </w:trPr>
        <w:tc>
          <w:tcPr>
            <w:tcW w:w="34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Derivative assets</w:t>
            </w:r>
          </w:p>
        </w:tc>
        <w:tc>
          <w:tcPr>
            <w:tcW w:w="2500" w:type="dxa"/>
            <w:vAlign w:val="bottom"/>
            <w:shd w:val="clear" w:color="auto" w:fill="E5E5E5"/>
          </w:tcPr>
          <w:p>
            <w:pPr>
              <w:jc w:val="right"/>
              <w:ind w:right="202"/>
              <w:spacing w:after="0"/>
              <w:rPr>
                <w:sz w:val="20"/>
                <w:szCs w:val="20"/>
                <w:color w:val="auto"/>
              </w:rPr>
            </w:pPr>
            <w:r>
              <w:rPr>
                <w:rFonts w:ascii="Arial" w:cs="Arial" w:eastAsia="Arial" w:hAnsi="Arial"/>
                <w:sz w:val="16"/>
                <w:szCs w:val="16"/>
                <w:b w:val="1"/>
                <w:bCs w:val="1"/>
                <w:color w:val="auto"/>
              </w:rPr>
              <w:t>$</w:t>
            </w:r>
          </w:p>
        </w:tc>
        <w:tc>
          <w:tcPr>
            <w:tcW w:w="800" w:type="dxa"/>
            <w:vAlign w:val="bottom"/>
            <w:shd w:val="clear" w:color="auto" w:fill="E5E5E5"/>
          </w:tcPr>
          <w:p>
            <w:pPr>
              <w:jc w:val="right"/>
              <w:ind w:right="26"/>
              <w:spacing w:after="0"/>
              <w:rPr>
                <w:sz w:val="20"/>
                <w:szCs w:val="20"/>
                <w:color w:val="auto"/>
              </w:rPr>
            </w:pPr>
            <w:r>
              <w:rPr>
                <w:rFonts w:ascii="Arial" w:cs="Arial" w:eastAsia="Arial" w:hAnsi="Arial"/>
                <w:sz w:val="16"/>
                <w:szCs w:val="16"/>
                <w:b w:val="1"/>
                <w:bCs w:val="1"/>
                <w:color w:val="auto"/>
              </w:rPr>
              <w:t>0</w:t>
            </w:r>
          </w:p>
        </w:tc>
        <w:tc>
          <w:tcPr>
            <w:tcW w:w="500" w:type="dxa"/>
            <w:vAlign w:val="bottom"/>
            <w:shd w:val="clear" w:color="auto" w:fill="E5E5E5"/>
          </w:tcPr>
          <w:p>
            <w:pPr>
              <w:jc w:val="right"/>
              <w:ind w:right="202"/>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E5E5E5"/>
          </w:tcPr>
          <w:p>
            <w:pPr>
              <w:jc w:val="right"/>
              <w:ind w:right="86"/>
              <w:spacing w:after="0"/>
              <w:rPr>
                <w:sz w:val="20"/>
                <w:szCs w:val="20"/>
                <w:color w:val="auto"/>
              </w:rPr>
            </w:pPr>
            <w:r>
              <w:rPr>
                <w:rFonts w:ascii="Arial" w:cs="Arial" w:eastAsia="Arial" w:hAnsi="Arial"/>
                <w:sz w:val="16"/>
                <w:szCs w:val="16"/>
                <w:b w:val="1"/>
                <w:bCs w:val="1"/>
                <w:color w:val="auto"/>
              </w:rPr>
              <w:t>462</w:t>
            </w:r>
          </w:p>
        </w:tc>
        <w:tc>
          <w:tcPr>
            <w:tcW w:w="440" w:type="dxa"/>
            <w:vAlign w:val="bottom"/>
            <w:shd w:val="clear" w:color="auto" w:fill="E5E5E5"/>
          </w:tcPr>
          <w:p>
            <w:pPr>
              <w:jc w:val="right"/>
              <w:ind w:right="182"/>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ind w:right="46"/>
              <w:spacing w:after="0"/>
              <w:rPr>
                <w:sz w:val="20"/>
                <w:szCs w:val="20"/>
                <w:color w:val="auto"/>
              </w:rPr>
            </w:pPr>
            <w:r>
              <w:rPr>
                <w:rFonts w:ascii="Arial" w:cs="Arial" w:eastAsia="Arial" w:hAnsi="Arial"/>
                <w:sz w:val="16"/>
                <w:szCs w:val="16"/>
                <w:b w:val="1"/>
                <w:bCs w:val="1"/>
                <w:color w:val="auto"/>
              </w:rPr>
              <w:t>7</w:t>
            </w:r>
          </w:p>
        </w:tc>
        <w:tc>
          <w:tcPr>
            <w:tcW w:w="50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5E5E5"/>
          </w:tcPr>
          <w:p>
            <w:pPr>
              <w:jc w:val="right"/>
              <w:ind w:right="26"/>
              <w:spacing w:after="0"/>
              <w:rPr>
                <w:sz w:val="20"/>
                <w:szCs w:val="20"/>
                <w:color w:val="auto"/>
              </w:rPr>
            </w:pPr>
            <w:r>
              <w:rPr>
                <w:rFonts w:ascii="Arial" w:cs="Arial" w:eastAsia="Arial" w:hAnsi="Arial"/>
                <w:sz w:val="16"/>
                <w:szCs w:val="16"/>
                <w:b w:val="1"/>
                <w:bCs w:val="1"/>
                <w:color w:val="auto"/>
              </w:rPr>
              <w:t>469</w:t>
            </w:r>
          </w:p>
        </w:tc>
      </w:tr>
      <w:tr>
        <w:trPr>
          <w:trHeight w:val="217"/>
        </w:trPr>
        <w:tc>
          <w:tcPr>
            <w:tcW w:w="348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500" w:type="dxa"/>
            <w:vAlign w:val="bottom"/>
          </w:tcPr>
          <w:p>
            <w:pPr>
              <w:spacing w:after="0"/>
              <w:rPr>
                <w:sz w:val="18"/>
                <w:szCs w:val="18"/>
                <w:color w:val="auto"/>
              </w:rPr>
            </w:pPr>
          </w:p>
        </w:tc>
        <w:tc>
          <w:tcPr>
            <w:tcW w:w="800" w:type="dxa"/>
            <w:vAlign w:val="bottom"/>
          </w:tcPr>
          <w:p>
            <w:pPr>
              <w:jc w:val="right"/>
              <w:ind w:right="26"/>
              <w:spacing w:after="0"/>
              <w:rPr>
                <w:sz w:val="20"/>
                <w:szCs w:val="20"/>
                <w:color w:val="auto"/>
              </w:rPr>
            </w:pPr>
            <w:r>
              <w:rPr>
                <w:rFonts w:ascii="Arial" w:cs="Arial" w:eastAsia="Arial" w:hAnsi="Arial"/>
                <w:sz w:val="16"/>
                <w:szCs w:val="16"/>
                <w:b w:val="1"/>
                <w:bCs w:val="1"/>
                <w:color w:val="auto"/>
              </w:rPr>
              <w:t>0</w:t>
            </w:r>
          </w:p>
        </w:tc>
        <w:tc>
          <w:tcPr>
            <w:tcW w:w="500" w:type="dxa"/>
            <w:vAlign w:val="bottom"/>
          </w:tcPr>
          <w:p>
            <w:pPr>
              <w:spacing w:after="0"/>
              <w:rPr>
                <w:sz w:val="18"/>
                <w:szCs w:val="18"/>
                <w:color w:val="auto"/>
              </w:rPr>
            </w:pPr>
          </w:p>
        </w:tc>
        <w:tc>
          <w:tcPr>
            <w:tcW w:w="840" w:type="dxa"/>
            <w:vAlign w:val="bottom"/>
          </w:tcPr>
          <w:p>
            <w:pPr>
              <w:jc w:val="right"/>
              <w:ind w:right="6"/>
              <w:spacing w:after="0"/>
              <w:rPr>
                <w:sz w:val="20"/>
                <w:szCs w:val="20"/>
                <w:color w:val="auto"/>
              </w:rPr>
            </w:pPr>
            <w:r>
              <w:rPr>
                <w:rFonts w:ascii="Arial" w:cs="Arial" w:eastAsia="Arial" w:hAnsi="Arial"/>
                <w:sz w:val="16"/>
                <w:szCs w:val="16"/>
                <w:b w:val="1"/>
                <w:bCs w:val="1"/>
                <w:color w:val="auto"/>
              </w:rPr>
              <w:t>(805 )</w:t>
            </w:r>
          </w:p>
        </w:tc>
        <w:tc>
          <w:tcPr>
            <w:tcW w:w="440" w:type="dxa"/>
            <w:vAlign w:val="bottom"/>
          </w:tcPr>
          <w:p>
            <w:pPr>
              <w:spacing w:after="0"/>
              <w:rPr>
                <w:sz w:val="18"/>
                <w:szCs w:val="18"/>
                <w:color w:val="auto"/>
              </w:rPr>
            </w:pPr>
          </w:p>
        </w:tc>
        <w:tc>
          <w:tcPr>
            <w:tcW w:w="780" w:type="dxa"/>
            <w:vAlign w:val="bottom"/>
          </w:tcPr>
          <w:p>
            <w:pPr>
              <w:jc w:val="right"/>
              <w:ind w:right="46"/>
              <w:spacing w:after="0"/>
              <w:rPr>
                <w:sz w:val="20"/>
                <w:szCs w:val="20"/>
                <w:color w:val="auto"/>
              </w:rPr>
            </w:pPr>
            <w:r>
              <w:rPr>
                <w:rFonts w:ascii="Arial" w:cs="Arial" w:eastAsia="Arial" w:hAnsi="Arial"/>
                <w:sz w:val="16"/>
                <w:szCs w:val="16"/>
                <w:b w:val="1"/>
                <w:bCs w:val="1"/>
                <w:color w:val="auto"/>
              </w:rPr>
              <w:t>0</w:t>
            </w:r>
          </w:p>
        </w:tc>
        <w:tc>
          <w:tcPr>
            <w:tcW w:w="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(805 )</w:t>
            </w:r>
          </w:p>
        </w:tc>
      </w:tr>
      <w:tr>
        <w:trPr>
          <w:trHeight w:val="235"/>
        </w:trPr>
        <w:tc>
          <w:tcPr>
            <w:tcW w:w="3480" w:type="dxa"/>
            <w:vAlign w:val="bottom"/>
          </w:tcPr>
          <w:p>
            <w:pPr>
              <w:ind w:left="20"/>
              <w:spacing w:after="0"/>
              <w:rPr>
                <w:sz w:val="20"/>
                <w:szCs w:val="20"/>
                <w:color w:val="auto"/>
              </w:rPr>
            </w:pPr>
            <w:r>
              <w:rPr>
                <w:rFonts w:ascii="Arial" w:cs="Arial" w:eastAsia="Arial" w:hAnsi="Arial"/>
                <w:sz w:val="12"/>
                <w:szCs w:val="12"/>
                <w:b w:val="1"/>
                <w:bCs w:val="1"/>
                <w:color w:val="auto"/>
              </w:rPr>
              <w:t>June 30, 2022</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6"/>
        </w:trPr>
        <w:tc>
          <w:tcPr>
            <w:tcW w:w="34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204"/>
        </w:trPr>
        <w:tc>
          <w:tcPr>
            <w:tcW w:w="34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Derivative assets</w:t>
            </w:r>
          </w:p>
        </w:tc>
        <w:tc>
          <w:tcPr>
            <w:tcW w:w="25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26"/>
              <w:spacing w:after="0"/>
              <w:rPr>
                <w:sz w:val="20"/>
                <w:szCs w:val="20"/>
                <w:color w:val="auto"/>
              </w:rPr>
            </w:pPr>
            <w:r>
              <w:rPr>
                <w:rFonts w:ascii="Arial" w:cs="Arial" w:eastAsia="Arial" w:hAnsi="Arial"/>
                <w:sz w:val="16"/>
                <w:szCs w:val="16"/>
                <w:color w:val="auto"/>
              </w:rPr>
              <w:t>1</w:t>
            </w:r>
          </w:p>
        </w:tc>
        <w:tc>
          <w:tcPr>
            <w:tcW w:w="500" w:type="dxa"/>
            <w:vAlign w:val="bottom"/>
            <w:shd w:val="clear" w:color="auto" w:fill="E5E5E5"/>
          </w:tcPr>
          <w:p>
            <w:pPr>
              <w:spacing w:after="0"/>
              <w:rPr>
                <w:sz w:val="17"/>
                <w:szCs w:val="17"/>
                <w:color w:val="auto"/>
              </w:rPr>
            </w:pPr>
          </w:p>
        </w:tc>
        <w:tc>
          <w:tcPr>
            <w:tcW w:w="840" w:type="dxa"/>
            <w:vAlign w:val="bottom"/>
            <w:shd w:val="clear" w:color="auto" w:fill="E5E5E5"/>
          </w:tcPr>
          <w:p>
            <w:pPr>
              <w:jc w:val="right"/>
              <w:ind w:right="86"/>
              <w:spacing w:after="0"/>
              <w:rPr>
                <w:sz w:val="20"/>
                <w:szCs w:val="20"/>
                <w:color w:val="auto"/>
              </w:rPr>
            </w:pPr>
            <w:r>
              <w:rPr>
                <w:rFonts w:ascii="Arial" w:cs="Arial" w:eastAsia="Arial" w:hAnsi="Arial"/>
                <w:sz w:val="16"/>
                <w:szCs w:val="16"/>
                <w:color w:val="auto"/>
              </w:rPr>
              <w:t>349</w:t>
            </w:r>
          </w:p>
        </w:tc>
        <w:tc>
          <w:tcPr>
            <w:tcW w:w="440" w:type="dxa"/>
            <w:vAlign w:val="bottom"/>
            <w:shd w:val="clear" w:color="auto" w:fill="E5E5E5"/>
          </w:tcPr>
          <w:p>
            <w:pPr>
              <w:spacing w:after="0"/>
              <w:rPr>
                <w:sz w:val="17"/>
                <w:szCs w:val="17"/>
                <w:color w:val="auto"/>
              </w:rPr>
            </w:pPr>
          </w:p>
        </w:tc>
        <w:tc>
          <w:tcPr>
            <w:tcW w:w="780" w:type="dxa"/>
            <w:vAlign w:val="bottom"/>
            <w:shd w:val="clear" w:color="auto" w:fill="E5E5E5"/>
          </w:tcPr>
          <w:p>
            <w:pPr>
              <w:jc w:val="right"/>
              <w:ind w:right="46"/>
              <w:spacing w:after="0"/>
              <w:rPr>
                <w:sz w:val="20"/>
                <w:szCs w:val="20"/>
                <w:color w:val="auto"/>
              </w:rPr>
            </w:pPr>
            <w:r>
              <w:rPr>
                <w:rFonts w:ascii="Arial" w:cs="Arial" w:eastAsia="Arial" w:hAnsi="Arial"/>
                <w:sz w:val="16"/>
                <w:szCs w:val="16"/>
                <w:color w:val="auto"/>
              </w:rPr>
              <w:t>6</w:t>
            </w:r>
          </w:p>
        </w:tc>
        <w:tc>
          <w:tcPr>
            <w:tcW w:w="50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26"/>
              <w:spacing w:after="0"/>
              <w:rPr>
                <w:sz w:val="20"/>
                <w:szCs w:val="20"/>
                <w:color w:val="auto"/>
              </w:rPr>
            </w:pPr>
            <w:r>
              <w:rPr>
                <w:rFonts w:ascii="Arial" w:cs="Arial" w:eastAsia="Arial" w:hAnsi="Arial"/>
                <w:sz w:val="16"/>
                <w:szCs w:val="16"/>
                <w:color w:val="auto"/>
              </w:rPr>
              <w:t>356</w:t>
            </w:r>
          </w:p>
        </w:tc>
      </w:tr>
      <w:tr>
        <w:trPr>
          <w:trHeight w:val="202"/>
        </w:trPr>
        <w:tc>
          <w:tcPr>
            <w:tcW w:w="348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500" w:type="dxa"/>
            <w:vAlign w:val="bottom"/>
          </w:tcPr>
          <w:p>
            <w:pPr>
              <w:spacing w:after="0"/>
              <w:rPr>
                <w:sz w:val="17"/>
                <w:szCs w:val="17"/>
                <w:color w:val="auto"/>
              </w:rPr>
            </w:pPr>
          </w:p>
        </w:tc>
        <w:tc>
          <w:tcPr>
            <w:tcW w:w="800" w:type="dxa"/>
            <w:vAlign w:val="bottom"/>
          </w:tcPr>
          <w:p>
            <w:pPr>
              <w:jc w:val="right"/>
              <w:ind w:right="26"/>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6"/>
                <w:szCs w:val="16"/>
                <w:color w:val="auto"/>
              </w:rPr>
              <w:t>(551 )</w:t>
            </w:r>
          </w:p>
        </w:tc>
        <w:tc>
          <w:tcPr>
            <w:tcW w:w="440" w:type="dxa"/>
            <w:vAlign w:val="bottom"/>
          </w:tcPr>
          <w:p>
            <w:pPr>
              <w:spacing w:after="0"/>
              <w:rPr>
                <w:sz w:val="17"/>
                <w:szCs w:val="17"/>
                <w:color w:val="auto"/>
              </w:rPr>
            </w:pPr>
          </w:p>
        </w:tc>
        <w:tc>
          <w:tcPr>
            <w:tcW w:w="780" w:type="dxa"/>
            <w:vAlign w:val="bottom"/>
          </w:tcPr>
          <w:p>
            <w:pPr>
              <w:jc w:val="right"/>
              <w:ind w:right="46"/>
              <w:spacing w:after="0"/>
              <w:rPr>
                <w:sz w:val="20"/>
                <w:szCs w:val="20"/>
                <w:color w:val="auto"/>
              </w:rPr>
            </w:pPr>
            <w:r>
              <w:rPr>
                <w:rFonts w:ascii="Arial" w:cs="Arial" w:eastAsia="Arial" w:hAnsi="Arial"/>
                <w:sz w:val="16"/>
                <w:szCs w:val="16"/>
                <w:color w:val="auto"/>
              </w:rPr>
              <w:t>0</w:t>
            </w:r>
          </w:p>
        </w:tc>
        <w:tc>
          <w:tcPr>
            <w:tcW w:w="5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(551 )</w:t>
            </w:r>
          </w:p>
        </w:tc>
      </w:tr>
    </w:tbl>
    <w:p>
      <w:pPr>
        <w:spacing w:after="0" w:line="200" w:lineRule="exact"/>
        <w:rPr>
          <w:sz w:val="20"/>
          <w:szCs w:val="20"/>
          <w:color w:val="auto"/>
        </w:rPr>
      </w:pPr>
    </w:p>
    <w:p>
      <w:pPr>
        <w:sectPr>
          <w:pgSz w:w="11900" w:h="16840" w:orient="portrait"/>
          <w:cols w:equalWidth="0" w:num="1">
            <w:col w:w="10560"/>
          </w:cols>
          <w:pgMar w:left="660" w:top="573" w:right="680"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49530</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type w:val="continuous"/>
        </w:sectPr>
      </w:pPr>
    </w:p>
    <w:bookmarkStart w:id="76" w:name="page77"/>
    <w:bookmarkEnd w:id="76"/>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Gains (losses) on derivative instruments recognized in other income (expense), net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24"/>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1400" w:type="dxa"/>
            <w:vAlign w:val="bottom"/>
          </w:tcPr>
          <w:p>
            <w:pPr>
              <w:spacing w:after="0"/>
              <w:rPr>
                <w:sz w:val="24"/>
                <w:szCs w:val="24"/>
                <w:color w:val="auto"/>
              </w:rPr>
            </w:pPr>
          </w:p>
        </w:tc>
        <w:tc>
          <w:tcPr>
            <w:tcW w:w="800" w:type="dxa"/>
            <w:vAlign w:val="bottom"/>
          </w:tcPr>
          <w:p>
            <w:pPr>
              <w:jc w:val="right"/>
              <w:ind w:right="84"/>
              <w:spacing w:after="0"/>
              <w:rPr>
                <w:sz w:val="20"/>
                <w:szCs w:val="20"/>
                <w:color w:val="auto"/>
              </w:rPr>
            </w:pPr>
            <w:r>
              <w:rPr>
                <w:rFonts w:ascii="Arial" w:cs="Arial" w:eastAsia="Arial" w:hAnsi="Arial"/>
                <w:sz w:val="12"/>
                <w:szCs w:val="12"/>
                <w:b w:val="1"/>
                <w:bCs w:val="1"/>
                <w:color w:val="auto"/>
              </w:rPr>
              <w:t>2023</w:t>
            </w:r>
          </w:p>
        </w:tc>
        <w:tc>
          <w:tcPr>
            <w:tcW w:w="520" w:type="dxa"/>
            <w:vAlign w:val="bottom"/>
          </w:tcPr>
          <w:p>
            <w:pPr>
              <w:spacing w:after="0"/>
              <w:rPr>
                <w:sz w:val="24"/>
                <w:szCs w:val="24"/>
                <w:color w:val="auto"/>
              </w:rPr>
            </w:pPr>
          </w:p>
        </w:tc>
        <w:tc>
          <w:tcPr>
            <w:tcW w:w="760" w:type="dxa"/>
            <w:vAlign w:val="bottom"/>
          </w:tcPr>
          <w:p>
            <w:pPr>
              <w:jc w:val="right"/>
              <w:ind w:right="84"/>
              <w:spacing w:after="0"/>
              <w:rPr>
                <w:sz w:val="20"/>
                <w:szCs w:val="20"/>
                <w:color w:val="auto"/>
              </w:rPr>
            </w:pPr>
            <w:r>
              <w:rPr>
                <w:rFonts w:ascii="Arial" w:cs="Arial" w:eastAsia="Arial" w:hAnsi="Arial"/>
                <w:sz w:val="12"/>
                <w:szCs w:val="12"/>
                <w:b w:val="1"/>
                <w:bCs w:val="1"/>
                <w:color w:val="auto"/>
              </w:rPr>
              <w:t>2022</w:t>
            </w:r>
          </w:p>
        </w:tc>
        <w:tc>
          <w:tcPr>
            <w:tcW w:w="460" w:type="dxa"/>
            <w:vAlign w:val="bottom"/>
          </w:tcPr>
          <w:p>
            <w:pPr>
              <w:spacing w:after="0"/>
              <w:rPr>
                <w:sz w:val="24"/>
                <w:szCs w:val="24"/>
                <w:color w:val="auto"/>
              </w:rPr>
            </w:pPr>
          </w:p>
        </w:tc>
        <w:tc>
          <w:tcPr>
            <w:tcW w:w="720" w:type="dxa"/>
            <w:vAlign w:val="bottom"/>
          </w:tcPr>
          <w:p>
            <w:pPr>
              <w:jc w:val="right"/>
              <w:ind w:right="24"/>
              <w:spacing w:after="0"/>
              <w:rPr>
                <w:sz w:val="20"/>
                <w:szCs w:val="20"/>
                <w:color w:val="auto"/>
              </w:rPr>
            </w:pPr>
            <w:r>
              <w:rPr>
                <w:rFonts w:ascii="Arial" w:cs="Arial" w:eastAsia="Arial" w:hAnsi="Arial"/>
                <w:sz w:val="12"/>
                <w:szCs w:val="12"/>
                <w:b w:val="1"/>
                <w:bCs w:val="1"/>
                <w:color w:val="auto"/>
              </w:rPr>
              <w:t>2021</w:t>
            </w:r>
          </w:p>
        </w:tc>
      </w:tr>
      <w:tr>
        <w:trPr>
          <w:trHeight w:val="252"/>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Designated as Fair Value Hedging Instruments</w:t>
            </w: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76"/>
        </w:trPr>
        <w:tc>
          <w:tcPr>
            <w:tcW w:w="59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204"/>
        </w:trPr>
        <w:tc>
          <w:tcPr>
            <w:tcW w:w="5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04"/>
        </w:trPr>
        <w:tc>
          <w:tcPr>
            <w:tcW w:w="5900" w:type="dxa"/>
            <w:vAlign w:val="bottom"/>
          </w:tcPr>
          <w:p>
            <w:pPr>
              <w:ind w:left="220"/>
              <w:spacing w:after="0"/>
              <w:rPr>
                <w:sz w:val="20"/>
                <w:szCs w:val="20"/>
                <w:color w:val="auto"/>
              </w:rPr>
            </w:pPr>
            <w:r>
              <w:rPr>
                <w:rFonts w:ascii="Arial" w:cs="Arial" w:eastAsia="Arial" w:hAnsi="Arial"/>
                <w:sz w:val="16"/>
                <w:szCs w:val="16"/>
                <w:color w:val="auto"/>
              </w:rPr>
              <w:t>Derivatives</w:t>
            </w:r>
          </w:p>
        </w:tc>
        <w:tc>
          <w:tcPr>
            <w:tcW w:w="1400" w:type="dxa"/>
            <w:vAlign w:val="bottom"/>
          </w:tcPr>
          <w:p>
            <w:pPr>
              <w:jc w:val="right"/>
              <w:ind w:right="24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0</w:t>
            </w:r>
          </w:p>
        </w:tc>
        <w:tc>
          <w:tcPr>
            <w:tcW w:w="5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49</w:t>
            </w:r>
          </w:p>
        </w:tc>
        <w:tc>
          <w:tcPr>
            <w:tcW w:w="46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4"/>
              <w:spacing w:after="0"/>
              <w:rPr>
                <w:sz w:val="20"/>
                <w:szCs w:val="20"/>
                <w:color w:val="auto"/>
              </w:rPr>
            </w:pPr>
            <w:r>
              <w:rPr>
                <w:rFonts w:ascii="Arial" w:cs="Arial" w:eastAsia="Arial" w:hAnsi="Arial"/>
                <w:sz w:val="16"/>
                <w:szCs w:val="16"/>
                <w:color w:val="auto"/>
              </w:rPr>
              <w:t>193</w:t>
            </w:r>
          </w:p>
        </w:tc>
      </w:tr>
      <w:tr>
        <w:trPr>
          <w:trHeight w:val="204"/>
        </w:trPr>
        <w:tc>
          <w:tcPr>
            <w:tcW w:w="59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Hedged items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84"/>
              <w:spacing w:after="0"/>
              <w:rPr>
                <w:sz w:val="20"/>
                <w:szCs w:val="20"/>
                <w:color w:val="auto"/>
              </w:rPr>
            </w:pPr>
            <w:r>
              <w:rPr>
                <w:rFonts w:ascii="Arial" w:cs="Arial" w:eastAsia="Arial" w:hAnsi="Arial"/>
                <w:sz w:val="16"/>
                <w:szCs w:val="16"/>
                <w:b w:val="1"/>
                <w:bCs w:val="1"/>
                <w:color w:val="auto"/>
              </w:rPr>
              <w:t>0</w:t>
            </w: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(50)</w:t>
            </w: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(188 )</w:t>
            </w:r>
          </w:p>
        </w:tc>
      </w:tr>
      <w:tr>
        <w:trPr>
          <w:trHeight w:val="204"/>
        </w:trPr>
        <w:tc>
          <w:tcPr>
            <w:tcW w:w="5900" w:type="dxa"/>
            <w:vAlign w:val="bottom"/>
          </w:tcPr>
          <w:p>
            <w:pPr>
              <w:ind w:left="220"/>
              <w:spacing w:after="0"/>
              <w:rPr>
                <w:sz w:val="20"/>
                <w:szCs w:val="20"/>
                <w:color w:val="auto"/>
              </w:rPr>
            </w:pPr>
            <w:r>
              <w:rPr>
                <w:rFonts w:ascii="Arial" w:cs="Arial" w:eastAsia="Arial" w:hAnsi="Arial"/>
                <w:sz w:val="16"/>
                <w:szCs w:val="16"/>
                <w:color w:val="auto"/>
              </w:rPr>
              <w:t>Excluded from effectiveness assessment</w:t>
            </w:r>
          </w:p>
        </w:tc>
        <w:tc>
          <w:tcPr>
            <w:tcW w:w="1400" w:type="dxa"/>
            <w:vAlign w:val="bottom"/>
          </w:tcPr>
          <w:p>
            <w:pPr>
              <w:spacing w:after="0"/>
              <w:rPr>
                <w:sz w:val="17"/>
                <w:szCs w:val="17"/>
                <w:color w:val="auto"/>
              </w:rPr>
            </w:pP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0</w:t>
            </w:r>
          </w:p>
        </w:tc>
        <w:tc>
          <w:tcPr>
            <w:tcW w:w="520" w:type="dxa"/>
            <w:vAlign w:val="bottom"/>
          </w:tcPr>
          <w:p>
            <w:pPr>
              <w:spacing w:after="0"/>
              <w:rPr>
                <w:sz w:val="17"/>
                <w:szCs w:val="17"/>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4</w:t>
            </w:r>
          </w:p>
        </w:tc>
        <w:tc>
          <w:tcPr>
            <w:tcW w:w="46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color w:val="auto"/>
              </w:rPr>
              <w:t>30</w:t>
            </w:r>
          </w:p>
        </w:tc>
      </w:tr>
      <w:tr>
        <w:trPr>
          <w:trHeight w:val="204"/>
        </w:trPr>
        <w:tc>
          <w:tcPr>
            <w:tcW w:w="5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Interest rate contracts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04"/>
        </w:trPr>
        <w:tc>
          <w:tcPr>
            <w:tcW w:w="5900" w:type="dxa"/>
            <w:vAlign w:val="bottom"/>
          </w:tcPr>
          <w:p>
            <w:pPr>
              <w:ind w:left="220"/>
              <w:spacing w:after="0"/>
              <w:rPr>
                <w:sz w:val="20"/>
                <w:szCs w:val="20"/>
                <w:color w:val="auto"/>
              </w:rPr>
            </w:pPr>
            <w:r>
              <w:rPr>
                <w:rFonts w:ascii="Arial" w:cs="Arial" w:eastAsia="Arial" w:hAnsi="Arial"/>
                <w:sz w:val="16"/>
                <w:szCs w:val="16"/>
                <w:color w:val="auto"/>
              </w:rPr>
              <w:t>Derivatives</w:t>
            </w:r>
          </w:p>
        </w:tc>
        <w:tc>
          <w:tcPr>
            <w:tcW w:w="14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b w:val="1"/>
                <w:bCs w:val="1"/>
                <w:color w:val="auto"/>
              </w:rPr>
              <w:t>(65)</w:t>
            </w:r>
          </w:p>
        </w:tc>
        <w:tc>
          <w:tcPr>
            <w:tcW w:w="52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(92)</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04"/>
        </w:trPr>
        <w:tc>
          <w:tcPr>
            <w:tcW w:w="59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Hedged items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84"/>
              <w:spacing w:after="0"/>
              <w:rPr>
                <w:sz w:val="20"/>
                <w:szCs w:val="20"/>
                <w:color w:val="auto"/>
              </w:rPr>
            </w:pPr>
            <w:r>
              <w:rPr>
                <w:rFonts w:ascii="Arial" w:cs="Arial" w:eastAsia="Arial" w:hAnsi="Arial"/>
                <w:sz w:val="16"/>
                <w:szCs w:val="16"/>
                <w:b w:val="1"/>
                <w:bCs w:val="1"/>
                <w:color w:val="auto"/>
              </w:rPr>
              <w:t>38</w:t>
            </w: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108</w:t>
            </w: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24"/>
              <w:spacing w:after="0"/>
              <w:rPr>
                <w:sz w:val="20"/>
                <w:szCs w:val="20"/>
                <w:color w:val="auto"/>
              </w:rPr>
            </w:pPr>
            <w:r>
              <w:rPr>
                <w:rFonts w:ascii="Arial" w:cs="Arial" w:eastAsia="Arial" w:hAnsi="Arial"/>
                <w:sz w:val="16"/>
                <w:szCs w:val="16"/>
                <w:color w:val="auto"/>
              </w:rPr>
              <w:t>53</w:t>
            </w:r>
          </w:p>
        </w:tc>
      </w:tr>
      <w:tr>
        <w:trPr>
          <w:trHeight w:val="248"/>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Designated as Cash Flow Hedging Instruments</w:t>
            </w:r>
          </w:p>
        </w:tc>
        <w:tc>
          <w:tcPr>
            <w:tcW w:w="1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76"/>
        </w:trPr>
        <w:tc>
          <w:tcPr>
            <w:tcW w:w="59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204"/>
        </w:trPr>
        <w:tc>
          <w:tcPr>
            <w:tcW w:w="5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17"/>
        </w:trPr>
        <w:tc>
          <w:tcPr>
            <w:tcW w:w="5900" w:type="dxa"/>
            <w:vAlign w:val="bottom"/>
          </w:tcPr>
          <w:p>
            <w:pPr>
              <w:ind w:left="220"/>
              <w:spacing w:after="0"/>
              <w:rPr>
                <w:sz w:val="20"/>
                <w:szCs w:val="20"/>
                <w:color w:val="auto"/>
              </w:rPr>
            </w:pPr>
            <w:r>
              <w:rPr>
                <w:rFonts w:ascii="Arial" w:cs="Arial" w:eastAsia="Arial" w:hAnsi="Arial"/>
                <w:sz w:val="16"/>
                <w:szCs w:val="16"/>
                <w:color w:val="auto"/>
              </w:rPr>
              <w:t>Amount reclassified from accumulated other comprehensive income</w:t>
            </w:r>
          </w:p>
        </w:tc>
        <w:tc>
          <w:tcPr>
            <w:tcW w:w="1400" w:type="dxa"/>
            <w:vAlign w:val="bottom"/>
          </w:tcPr>
          <w:p>
            <w:pPr>
              <w:spacing w:after="0"/>
              <w:rPr>
                <w:sz w:val="18"/>
                <w:szCs w:val="18"/>
                <w:color w:val="auto"/>
              </w:rPr>
            </w:pPr>
          </w:p>
        </w:tc>
        <w:tc>
          <w:tcPr>
            <w:tcW w:w="800" w:type="dxa"/>
            <w:vAlign w:val="bottom"/>
          </w:tcPr>
          <w:p>
            <w:pPr>
              <w:jc w:val="right"/>
              <w:ind w:right="84"/>
              <w:spacing w:after="0"/>
              <w:rPr>
                <w:sz w:val="20"/>
                <w:szCs w:val="20"/>
                <w:color w:val="auto"/>
              </w:rPr>
            </w:pPr>
            <w:r>
              <w:rPr>
                <w:rFonts w:ascii="Arial" w:cs="Arial" w:eastAsia="Arial" w:hAnsi="Arial"/>
                <w:sz w:val="16"/>
                <w:szCs w:val="16"/>
                <w:b w:val="1"/>
                <w:bCs w:val="1"/>
                <w:color w:val="auto"/>
              </w:rPr>
              <w:t>61</w:t>
            </w:r>
          </w:p>
        </w:tc>
        <w:tc>
          <w:tcPr>
            <w:tcW w:w="52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(79)</w:t>
            </w:r>
          </w:p>
        </w:tc>
        <w:tc>
          <w:tcPr>
            <w:tcW w:w="4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color w:val="auto"/>
              </w:rPr>
              <w:t>17</w:t>
            </w:r>
          </w:p>
        </w:tc>
      </w:tr>
      <w:tr>
        <w:trPr>
          <w:trHeight w:val="235"/>
        </w:trPr>
        <w:tc>
          <w:tcPr>
            <w:tcW w:w="5900" w:type="dxa"/>
            <w:vAlign w:val="bottom"/>
          </w:tcPr>
          <w:p>
            <w:pPr>
              <w:ind w:left="20"/>
              <w:spacing w:after="0"/>
              <w:rPr>
                <w:sz w:val="20"/>
                <w:szCs w:val="20"/>
                <w:color w:val="auto"/>
              </w:rPr>
            </w:pPr>
            <w:r>
              <w:rPr>
                <w:rFonts w:ascii="Arial" w:cs="Arial" w:eastAsia="Arial" w:hAnsi="Arial"/>
                <w:sz w:val="12"/>
                <w:szCs w:val="12"/>
                <w:b w:val="1"/>
                <w:bCs w:val="1"/>
                <w:color w:val="auto"/>
              </w:rPr>
              <w:t>Not Designated as Hedging Instruments</w:t>
            </w:r>
          </w:p>
        </w:tc>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76"/>
        </w:trPr>
        <w:tc>
          <w:tcPr>
            <w:tcW w:w="59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tcPr>
          <w:p>
            <w:pPr>
              <w:spacing w:after="0"/>
              <w:rPr>
                <w:sz w:val="6"/>
                <w:szCs w:val="6"/>
                <w:color w:val="auto"/>
              </w:rPr>
            </w:pPr>
          </w:p>
        </w:tc>
      </w:tr>
      <w:tr>
        <w:trPr>
          <w:trHeight w:val="276"/>
        </w:trPr>
        <w:tc>
          <w:tcPr>
            <w:tcW w:w="5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1400" w:type="dxa"/>
            <w:vAlign w:val="bottom"/>
            <w:shd w:val="clear" w:color="auto" w:fill="E5E5E5"/>
          </w:tcPr>
          <w:p>
            <w:pPr>
              <w:spacing w:after="0"/>
              <w:rPr>
                <w:sz w:val="24"/>
                <w:szCs w:val="24"/>
                <w:color w:val="auto"/>
              </w:rPr>
            </w:pPr>
          </w:p>
        </w:tc>
        <w:tc>
          <w:tcPr>
            <w:tcW w:w="800" w:type="dxa"/>
            <w:vAlign w:val="bottom"/>
            <w:shd w:val="clear" w:color="auto" w:fill="E5E5E5"/>
          </w:tcPr>
          <w:p>
            <w:pPr>
              <w:jc w:val="right"/>
              <w:ind w:right="4"/>
              <w:spacing w:after="0" w:line="275" w:lineRule="exact"/>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31"/>
                <w:szCs w:val="31"/>
                <w:b w:val="1"/>
                <w:bCs w:val="1"/>
                <w:color w:val="auto"/>
                <w:vertAlign w:val="superscript"/>
              </w:rPr>
              <w:t>)</w:t>
            </w:r>
          </w:p>
        </w:tc>
        <w:tc>
          <w:tcPr>
            <w:tcW w:w="520" w:type="dxa"/>
            <w:vAlign w:val="bottom"/>
            <w:shd w:val="clear" w:color="auto" w:fill="E5E5E5"/>
          </w:tcPr>
          <w:p>
            <w:pPr>
              <w:spacing w:after="0"/>
              <w:rPr>
                <w:sz w:val="24"/>
                <w:szCs w:val="24"/>
                <w:color w:val="auto"/>
              </w:rPr>
            </w:pPr>
          </w:p>
        </w:tc>
        <w:tc>
          <w:tcPr>
            <w:tcW w:w="760" w:type="dxa"/>
            <w:vAlign w:val="bottom"/>
            <w:shd w:val="clear" w:color="auto" w:fill="E5E5E5"/>
          </w:tcPr>
          <w:p>
            <w:pPr>
              <w:jc w:val="right"/>
              <w:ind w:right="84"/>
              <w:spacing w:after="0"/>
              <w:rPr>
                <w:sz w:val="20"/>
                <w:szCs w:val="20"/>
                <w:color w:val="auto"/>
              </w:rPr>
            </w:pPr>
            <w:r>
              <w:rPr>
                <w:rFonts w:ascii="Arial" w:cs="Arial" w:eastAsia="Arial" w:hAnsi="Arial"/>
                <w:sz w:val="16"/>
                <w:szCs w:val="16"/>
                <w:color w:val="auto"/>
              </w:rPr>
              <w:t>383</w:t>
            </w:r>
          </w:p>
        </w:tc>
        <w:tc>
          <w:tcPr>
            <w:tcW w:w="460" w:type="dxa"/>
            <w:vAlign w:val="bottom"/>
            <w:shd w:val="clear" w:color="auto" w:fill="E5E5E5"/>
          </w:tcPr>
          <w:p>
            <w:pPr>
              <w:spacing w:after="0"/>
              <w:rPr>
                <w:sz w:val="24"/>
                <w:szCs w:val="24"/>
                <w:color w:val="auto"/>
              </w:rPr>
            </w:pPr>
          </w:p>
        </w:tc>
        <w:tc>
          <w:tcPr>
            <w:tcW w:w="720" w:type="dxa"/>
            <w:vAlign w:val="bottom"/>
            <w:shd w:val="clear" w:color="auto" w:fill="E5E5E5"/>
          </w:tcPr>
          <w:p>
            <w:pPr>
              <w:jc w:val="right"/>
              <w:ind w:right="24"/>
              <w:spacing w:after="0"/>
              <w:rPr>
                <w:sz w:val="20"/>
                <w:szCs w:val="20"/>
                <w:color w:val="auto"/>
              </w:rPr>
            </w:pPr>
            <w:r>
              <w:rPr>
                <w:rFonts w:ascii="Arial" w:cs="Arial" w:eastAsia="Arial" w:hAnsi="Arial"/>
                <w:sz w:val="16"/>
                <w:szCs w:val="16"/>
                <w:color w:val="auto"/>
              </w:rPr>
              <w:t>27</w:t>
            </w:r>
          </w:p>
        </w:tc>
      </w:tr>
      <w:tr>
        <w:trPr>
          <w:trHeight w:val="204"/>
        </w:trPr>
        <w:tc>
          <w:tcPr>
            <w:tcW w:w="5900" w:type="dxa"/>
            <w:vAlign w:val="bottom"/>
          </w:tcPr>
          <w:p>
            <w:pPr>
              <w:ind w:left="20"/>
              <w:spacing w:after="0"/>
              <w:rPr>
                <w:sz w:val="20"/>
                <w:szCs w:val="20"/>
                <w:color w:val="auto"/>
              </w:rPr>
            </w:pPr>
            <w:r>
              <w:rPr>
                <w:rFonts w:ascii="Arial" w:cs="Arial" w:eastAsia="Arial" w:hAnsi="Arial"/>
                <w:sz w:val="16"/>
                <w:szCs w:val="16"/>
                <w:color w:val="auto"/>
              </w:rPr>
              <w:t>Equity contracts</w:t>
            </w:r>
          </w:p>
        </w:tc>
        <w:tc>
          <w:tcPr>
            <w:tcW w:w="140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6"/>
                <w:szCs w:val="16"/>
                <w:b w:val="1"/>
                <w:bCs w:val="1"/>
                <w:color w:val="auto"/>
              </w:rPr>
              <w:t>(420 )</w:t>
            </w:r>
          </w:p>
        </w:tc>
        <w:tc>
          <w:tcPr>
            <w:tcW w:w="520" w:type="dxa"/>
            <w:vAlign w:val="bottom"/>
          </w:tcPr>
          <w:p>
            <w:pPr>
              <w:spacing w:after="0"/>
              <w:rPr>
                <w:sz w:val="17"/>
                <w:szCs w:val="17"/>
                <w:color w:val="auto"/>
              </w:rPr>
            </w:pPr>
          </w:p>
        </w:tc>
        <w:tc>
          <w:tcPr>
            <w:tcW w:w="760" w:type="dxa"/>
            <w:vAlign w:val="bottom"/>
          </w:tcPr>
          <w:p>
            <w:pPr>
              <w:jc w:val="right"/>
              <w:ind w:right="84"/>
              <w:spacing w:after="0"/>
              <w:rPr>
                <w:sz w:val="20"/>
                <w:szCs w:val="20"/>
                <w:color w:val="auto"/>
              </w:rPr>
            </w:pPr>
            <w:r>
              <w:rPr>
                <w:rFonts w:ascii="Arial" w:cs="Arial" w:eastAsia="Arial" w:hAnsi="Arial"/>
                <w:sz w:val="16"/>
                <w:szCs w:val="16"/>
                <w:color w:val="auto"/>
              </w:rPr>
              <w:t>13</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204"/>
        </w:trPr>
        <w:tc>
          <w:tcPr>
            <w:tcW w:w="590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contracts</w:t>
            </w:r>
          </w:p>
        </w:tc>
        <w:tc>
          <w:tcPr>
            <w:tcW w:w="1400" w:type="dxa"/>
            <w:vAlign w:val="bottom"/>
            <w:shd w:val="clear" w:color="auto" w:fill="E5E5E5"/>
          </w:tcPr>
          <w:p>
            <w:pPr>
              <w:spacing w:after="0"/>
              <w:rPr>
                <w:sz w:val="17"/>
                <w:szCs w:val="17"/>
                <w:color w:val="auto"/>
              </w:rPr>
            </w:pPr>
          </w:p>
        </w:tc>
        <w:tc>
          <w:tcPr>
            <w:tcW w:w="800" w:type="dxa"/>
            <w:vAlign w:val="bottom"/>
            <w:shd w:val="clear" w:color="auto" w:fill="E5E5E5"/>
          </w:tcPr>
          <w:p>
            <w:pPr>
              <w:jc w:val="right"/>
              <w:ind w:right="4"/>
              <w:spacing w:after="0"/>
              <w:rPr>
                <w:sz w:val="20"/>
                <w:szCs w:val="20"/>
                <w:color w:val="auto"/>
              </w:rPr>
            </w:pPr>
            <w:r>
              <w:rPr>
                <w:rFonts w:ascii="Arial" w:cs="Arial" w:eastAsia="Arial" w:hAnsi="Arial"/>
                <w:sz w:val="16"/>
                <w:szCs w:val="16"/>
                <w:b w:val="1"/>
                <w:bCs w:val="1"/>
                <w:color w:val="auto"/>
              </w:rPr>
              <w:t>(41)</w:t>
            </w:r>
          </w:p>
        </w:tc>
        <w:tc>
          <w:tcPr>
            <w:tcW w:w="520" w:type="dxa"/>
            <w:vAlign w:val="bottom"/>
            <w:shd w:val="clear" w:color="auto" w:fill="E5E5E5"/>
          </w:tcPr>
          <w:p>
            <w:pPr>
              <w:spacing w:after="0"/>
              <w:rPr>
                <w:sz w:val="17"/>
                <w:szCs w:val="17"/>
                <w:color w:val="auto"/>
              </w:rPr>
            </w:pPr>
          </w:p>
        </w:tc>
        <w:tc>
          <w:tcPr>
            <w:tcW w:w="760" w:type="dxa"/>
            <w:vAlign w:val="bottom"/>
            <w:shd w:val="clear" w:color="auto" w:fill="E5E5E5"/>
          </w:tcPr>
          <w:p>
            <w:pPr>
              <w:jc w:val="right"/>
              <w:ind w:right="4"/>
              <w:spacing w:after="0"/>
              <w:rPr>
                <w:sz w:val="20"/>
                <w:szCs w:val="20"/>
                <w:color w:val="auto"/>
              </w:rPr>
            </w:pPr>
            <w:r>
              <w:rPr>
                <w:rFonts w:ascii="Arial" w:cs="Arial" w:eastAsia="Arial" w:hAnsi="Arial"/>
                <w:sz w:val="16"/>
                <w:szCs w:val="16"/>
                <w:color w:val="auto"/>
              </w:rPr>
              <w:t>(85)</w:t>
            </w:r>
          </w:p>
        </w:tc>
        <w:tc>
          <w:tcPr>
            <w:tcW w:w="46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24"/>
              <w:spacing w:after="0"/>
              <w:rPr>
                <w:sz w:val="20"/>
                <w:szCs w:val="20"/>
                <w:color w:val="auto"/>
              </w:rPr>
            </w:pPr>
            <w:r>
              <w:rPr>
                <w:rFonts w:ascii="Arial" w:cs="Arial" w:eastAsia="Arial" w:hAnsi="Arial"/>
                <w:sz w:val="16"/>
                <w:szCs w:val="16"/>
                <w:color w:val="auto"/>
              </w:rPr>
              <w:t>15</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Gains (losses), net of tax, on derivative instruments recognized in our consolidated comprehensive income statements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5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jc w:val="right"/>
              <w:ind w:right="131"/>
              <w:spacing w:after="0"/>
              <w:rPr>
                <w:sz w:val="20"/>
                <w:szCs w:val="20"/>
                <w:color w:val="auto"/>
              </w:rPr>
            </w:pPr>
            <w:r>
              <w:rPr>
                <w:rFonts w:ascii="Arial" w:cs="Arial" w:eastAsia="Arial" w:hAnsi="Arial"/>
                <w:sz w:val="12"/>
                <w:szCs w:val="12"/>
                <w:b w:val="1"/>
                <w:bCs w:val="1"/>
                <w:color w:val="auto"/>
              </w:rPr>
              <w:t>2023</w:t>
            </w:r>
          </w:p>
        </w:tc>
        <w:tc>
          <w:tcPr>
            <w:tcW w:w="4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Designated as Cash Flow Hedging Instruments</w:t>
            </w:r>
          </w:p>
        </w:tc>
        <w:tc>
          <w:tcPr>
            <w:tcW w:w="5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3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Foreign exchange contracts</w:t>
            </w:r>
          </w:p>
        </w:tc>
        <w:tc>
          <w:tcPr>
            <w:tcW w:w="540" w:type="dxa"/>
            <w:vAlign w:val="bottom"/>
            <w:shd w:val="clear" w:color="auto" w:fill="E5E5E5"/>
          </w:tcPr>
          <w:p>
            <w:pPr>
              <w:spacing w:after="0"/>
              <w:rPr>
                <w:sz w:val="17"/>
                <w:szCs w:val="17"/>
                <w:color w:val="auto"/>
              </w:rPr>
            </w:pPr>
          </w:p>
        </w:tc>
        <w:tc>
          <w:tcPr>
            <w:tcW w:w="18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220"/>
              <w:spacing w:after="0"/>
              <w:rPr>
                <w:sz w:val="20"/>
                <w:szCs w:val="20"/>
                <w:color w:val="auto"/>
              </w:rPr>
            </w:pPr>
            <w:r>
              <w:rPr>
                <w:rFonts w:ascii="Arial" w:cs="Arial" w:eastAsia="Arial" w:hAnsi="Arial"/>
                <w:sz w:val="16"/>
                <w:szCs w:val="16"/>
                <w:color w:val="auto"/>
              </w:rPr>
              <w:t>Included in effectiveness assessment</w:t>
            </w:r>
          </w:p>
        </w:tc>
        <w:tc>
          <w:tcPr>
            <w:tcW w:w="35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131"/>
              <w:spacing w:after="0"/>
              <w:rPr>
                <w:sz w:val="20"/>
                <w:szCs w:val="20"/>
                <w:color w:val="auto"/>
              </w:rPr>
            </w:pPr>
            <w:r>
              <w:rPr>
                <w:rFonts w:ascii="Arial" w:cs="Arial" w:eastAsia="Arial" w:hAnsi="Arial"/>
                <w:sz w:val="16"/>
                <w:szCs w:val="16"/>
                <w:b w:val="1"/>
                <w:bCs w:val="1"/>
                <w:color w:val="auto"/>
              </w:rPr>
              <w:t>34</w:t>
            </w:r>
          </w:p>
        </w:tc>
        <w:tc>
          <w:tcPr>
            <w:tcW w:w="400" w:type="dxa"/>
            <w:vAlign w:val="bottom"/>
          </w:tcPr>
          <w:p>
            <w:pPr>
              <w:jc w:val="right"/>
              <w:ind w:right="202"/>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3820" w:type="dxa"/>
            <w:vAlign w:val="bottom"/>
          </w:tcPr>
          <w:p>
            <w:pPr>
              <w:spacing w:after="0"/>
              <w:rPr>
                <w:sz w:val="24"/>
                <w:szCs w:val="24"/>
                <w:color w:val="auto"/>
              </w:rPr>
            </w:pPr>
          </w:p>
        </w:tc>
        <w:tc>
          <w:tcPr>
            <w:tcW w:w="3500" w:type="dxa"/>
            <w:vAlign w:val="bottom"/>
            <w:gridSpan w:val="3"/>
          </w:tcPr>
          <w:p>
            <w:pPr>
              <w:jc w:val="center"/>
              <w:ind w:right="560"/>
              <w:spacing w:after="0"/>
              <w:rPr>
                <w:sz w:val="20"/>
                <w:szCs w:val="20"/>
                <w:color w:val="auto"/>
              </w:rPr>
            </w:pPr>
            <w:r>
              <w:rPr>
                <w:rFonts w:ascii="Arial" w:cs="Arial" w:eastAsia="Arial" w:hAnsi="Arial"/>
                <w:sz w:val="16"/>
                <w:szCs w:val="16"/>
                <w:color w:val="auto"/>
                <w:w w:val="97"/>
              </w:rPr>
              <w:t>NOTE 6 — INVENTORIES</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820" w:type="dxa"/>
            <w:vAlign w:val="bottom"/>
          </w:tcPr>
          <w:p>
            <w:pPr>
              <w:spacing w:after="0"/>
              <w:rPr>
                <w:sz w:val="20"/>
                <w:szCs w:val="20"/>
                <w:color w:val="auto"/>
              </w:rPr>
            </w:pPr>
            <w:r>
              <w:rPr>
                <w:rFonts w:ascii="Arial" w:cs="Arial" w:eastAsia="Arial" w:hAnsi="Arial"/>
                <w:sz w:val="16"/>
                <w:szCs w:val="16"/>
                <w:color w:val="auto"/>
              </w:rPr>
              <w:t>The components of inventories were as follows:</w:t>
            </w:r>
          </w:p>
        </w:tc>
        <w:tc>
          <w:tcPr>
            <w:tcW w:w="54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8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76"/>
        </w:trPr>
        <w:tc>
          <w:tcPr>
            <w:tcW w:w="3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Raw materials</w:t>
            </w:r>
          </w:p>
        </w:tc>
        <w:tc>
          <w:tcPr>
            <w:tcW w:w="540" w:type="dxa"/>
            <w:vAlign w:val="bottom"/>
            <w:shd w:val="clear" w:color="auto" w:fill="E5E5E5"/>
          </w:tcPr>
          <w:p>
            <w:pPr>
              <w:spacing w:after="0"/>
              <w:rPr>
                <w:sz w:val="17"/>
                <w:szCs w:val="17"/>
                <w:color w:val="auto"/>
              </w:rPr>
            </w:pPr>
          </w:p>
        </w:tc>
        <w:tc>
          <w:tcPr>
            <w:tcW w:w="18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00" w:type="dxa"/>
            <w:vAlign w:val="bottom"/>
            <w:shd w:val="clear" w:color="auto" w:fill="E5E5E5"/>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709</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Finished goods</w:t>
            </w:r>
          </w:p>
        </w:tc>
        <w:tc>
          <w:tcPr>
            <w:tcW w:w="540" w:type="dxa"/>
            <w:vAlign w:val="bottom"/>
            <w:shd w:val="clear" w:color="auto" w:fill="E5E5E5"/>
          </w:tcPr>
          <w:p>
            <w:pPr>
              <w:spacing w:after="0"/>
              <w:rPr>
                <w:sz w:val="17"/>
                <w:szCs w:val="17"/>
                <w:color w:val="auto"/>
              </w:rPr>
            </w:pPr>
          </w:p>
        </w:tc>
        <w:tc>
          <w:tcPr>
            <w:tcW w:w="1860" w:type="dxa"/>
            <w:vAlign w:val="bottom"/>
            <w:shd w:val="clear" w:color="auto" w:fill="E5E5E5"/>
          </w:tcPr>
          <w:p>
            <w:pPr>
              <w:spacing w:after="0"/>
              <w:rPr>
                <w:sz w:val="17"/>
                <w:szCs w:val="17"/>
                <w:color w:val="auto"/>
              </w:rPr>
            </w:pPr>
          </w:p>
        </w:tc>
        <w:tc>
          <w:tcPr>
            <w:tcW w:w="110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1,768</w:t>
            </w:r>
          </w:p>
        </w:tc>
        <w:tc>
          <w:tcPr>
            <w:tcW w:w="20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2,516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820" w:type="dxa"/>
            <w:vAlign w:val="bottom"/>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2,500</w:t>
            </w:r>
          </w:p>
        </w:tc>
        <w:tc>
          <w:tcPr>
            <w:tcW w:w="200" w:type="dxa"/>
            <w:vAlign w:val="bottom"/>
          </w:tcPr>
          <w:p>
            <w:pPr>
              <w:spacing w:after="0"/>
              <w:rPr>
                <w:sz w:val="24"/>
                <w:szCs w:val="24"/>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3,742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820" w:type="dxa"/>
            <w:vAlign w:val="bottom"/>
          </w:tcPr>
          <w:p>
            <w:pPr>
              <w:spacing w:after="0"/>
              <w:rPr>
                <w:sz w:val="5"/>
                <w:szCs w:val="5"/>
                <w:color w:val="auto"/>
              </w:rPr>
            </w:pPr>
          </w:p>
        </w:tc>
        <w:tc>
          <w:tcPr>
            <w:tcW w:w="2400" w:type="dxa"/>
            <w:vAlign w:val="bottom"/>
            <w:gridSpan w:val="2"/>
            <w:vMerge w:val="restart"/>
          </w:tcPr>
          <w:p>
            <w:pPr>
              <w:jc w:val="right"/>
              <w:ind w:right="860"/>
              <w:spacing w:after="0"/>
              <w:rPr>
                <w:sz w:val="20"/>
                <w:szCs w:val="20"/>
                <w:color w:val="auto"/>
              </w:rPr>
            </w:pPr>
            <w:r>
              <w:rPr>
                <w:rFonts w:ascii="Arial" w:cs="Arial" w:eastAsia="Arial" w:hAnsi="Arial"/>
                <w:sz w:val="13"/>
                <w:szCs w:val="13"/>
                <w:color w:val="auto"/>
              </w:rPr>
              <w:t>77</w:t>
            </w:r>
          </w:p>
        </w:tc>
        <w:tc>
          <w:tcPr>
            <w:tcW w:w="1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0"/>
        </w:trPr>
        <w:tc>
          <w:tcPr>
            <w:tcW w:w="3820" w:type="dxa"/>
            <w:vAlign w:val="bottom"/>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820" w:type="dxa"/>
            <w:vAlign w:val="bottom"/>
            <w:tcBorders>
              <w:bottom w:val="single" w:sz="8" w:color="EEEEEE"/>
            </w:tcBorders>
          </w:tcPr>
          <w:p>
            <w:pPr>
              <w:spacing w:after="0"/>
              <w:rPr>
                <w:sz w:val="9"/>
                <w:szCs w:val="9"/>
                <w:color w:val="auto"/>
              </w:rPr>
            </w:pPr>
          </w:p>
        </w:tc>
        <w:tc>
          <w:tcPr>
            <w:tcW w:w="540" w:type="dxa"/>
            <w:vAlign w:val="bottom"/>
            <w:tcBorders>
              <w:bottom w:val="single" w:sz="8" w:color="EEEEEE"/>
            </w:tcBorders>
          </w:tcPr>
          <w:p>
            <w:pPr>
              <w:spacing w:after="0"/>
              <w:rPr>
                <w:sz w:val="9"/>
                <w:szCs w:val="9"/>
                <w:color w:val="auto"/>
              </w:rPr>
            </w:pPr>
          </w:p>
        </w:tc>
        <w:tc>
          <w:tcPr>
            <w:tcW w:w="1860" w:type="dxa"/>
            <w:vAlign w:val="bottom"/>
            <w:tcBorders>
              <w:bottom w:val="single" w:sz="8" w:color="EEEEEE"/>
            </w:tcBorders>
          </w:tcPr>
          <w:p>
            <w:pPr>
              <w:spacing w:after="0"/>
              <w:rPr>
                <w:sz w:val="9"/>
                <w:szCs w:val="9"/>
                <w:color w:val="auto"/>
              </w:rPr>
            </w:pPr>
          </w:p>
        </w:tc>
        <w:tc>
          <w:tcPr>
            <w:tcW w:w="110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400" w:type="dxa"/>
            <w:vAlign w:val="bottom"/>
            <w:tcBorders>
              <w:bottom w:val="single" w:sz="8" w:color="EEEEEE"/>
            </w:tcBorders>
          </w:tcPr>
          <w:p>
            <w:pPr>
              <w:spacing w:after="0"/>
              <w:rPr>
                <w:sz w:val="9"/>
                <w:szCs w:val="9"/>
                <w:color w:val="auto"/>
              </w:rPr>
            </w:pPr>
          </w:p>
        </w:tc>
        <w:tc>
          <w:tcPr>
            <w:tcW w:w="68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68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-484505</wp:posOffset>
            </wp:positionV>
            <wp:extent cx="93980" cy="86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-484505</wp:posOffset>
            </wp:positionV>
            <wp:extent cx="86360" cy="863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248" w:lineRule="exact"/>
        <w:rPr>
          <w:sz w:val="20"/>
          <w:szCs w:val="20"/>
          <w:color w:val="auto"/>
        </w:rPr>
      </w:pPr>
    </w:p>
    <w:p>
      <w:pPr>
        <w:ind w:left="3780"/>
        <w:spacing w:after="0"/>
        <w:rPr>
          <w:sz w:val="20"/>
          <w:szCs w:val="20"/>
          <w:color w:val="auto"/>
        </w:rPr>
      </w:pPr>
      <w:r>
        <w:rPr>
          <w:rFonts w:ascii="Arial" w:cs="Arial" w:eastAsia="Arial" w:hAnsi="Arial"/>
          <w:sz w:val="16"/>
          <w:szCs w:val="16"/>
          <w:u w:val="single" w:color="auto"/>
          <w:color w:val="auto"/>
        </w:rPr>
        <w:t>NOTE 7 — PROPERTY AND EQUIPMENT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property and equipment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4"/>
                <w:szCs w:val="24"/>
                <w:color w:val="auto"/>
              </w:rPr>
            </w:pPr>
          </w:p>
        </w:tc>
      </w:tr>
      <w:tr>
        <w:trPr>
          <w:trHeight w:val="76"/>
        </w:trPr>
        <w:tc>
          <w:tcPr>
            <w:tcW w:w="8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Land</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5,683</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4,734</w:t>
            </w:r>
          </w:p>
        </w:tc>
        <w:tc>
          <w:tcPr>
            <w:tcW w:w="80" w:type="dxa"/>
            <w:vAlign w:val="bottom"/>
            <w:shd w:val="clear" w:color="auto" w:fill="E5E5E5"/>
          </w:tcPr>
          <w:p>
            <w:pPr>
              <w:spacing w:after="0"/>
              <w:rPr>
                <w:sz w:val="17"/>
                <w:szCs w:val="17"/>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68,465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55,014</w:t>
            </w:r>
          </w:p>
        </w:tc>
        <w:tc>
          <w:tcPr>
            <w:tcW w:w="80" w:type="dxa"/>
            <w:vAlign w:val="bottom"/>
          </w:tcPr>
          <w:p>
            <w:pPr>
              <w:spacing w:after="0"/>
              <w:rPr>
                <w:sz w:val="17"/>
                <w:szCs w:val="17"/>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8,537</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7,819</w:t>
            </w:r>
          </w:p>
        </w:tc>
        <w:tc>
          <w:tcPr>
            <w:tcW w:w="80" w:type="dxa"/>
            <w:vAlign w:val="bottom"/>
            <w:shd w:val="clear" w:color="auto" w:fill="E5E5E5"/>
          </w:tcPr>
          <w:p>
            <w:pPr>
              <w:spacing w:after="0"/>
              <w:rPr>
                <w:sz w:val="17"/>
                <w:szCs w:val="17"/>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color w:val="auto"/>
              </w:rPr>
              <w:t>Computer equipment and software</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74,961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60,631</w:t>
            </w:r>
          </w:p>
        </w:tc>
        <w:tc>
          <w:tcPr>
            <w:tcW w:w="80" w:type="dxa"/>
            <w:vAlign w:val="bottom"/>
          </w:tcPr>
          <w:p>
            <w:pPr>
              <w:spacing w:after="0"/>
              <w:rPr>
                <w:sz w:val="17"/>
                <w:szCs w:val="17"/>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Furniture and equipment</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6,246</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5,860</w:t>
            </w:r>
          </w:p>
        </w:tc>
        <w:tc>
          <w:tcPr>
            <w:tcW w:w="80" w:type="dxa"/>
            <w:vAlign w:val="bottom"/>
            <w:shd w:val="clear" w:color="auto" w:fill="E5E5E5"/>
          </w:tcPr>
          <w:p>
            <w:pPr>
              <w:spacing w:after="0"/>
              <w:rPr>
                <w:sz w:val="17"/>
                <w:szCs w:val="17"/>
                <w:color w:val="auto"/>
              </w:rPr>
            </w:pPr>
          </w:p>
        </w:tc>
      </w:tr>
      <w:tr>
        <w:trPr>
          <w:trHeight w:val="348"/>
        </w:trPr>
        <w:tc>
          <w:tcPr>
            <w:tcW w:w="8140" w:type="dxa"/>
            <w:vAlign w:val="bottom"/>
          </w:tcPr>
          <w:p>
            <w:pPr>
              <w:ind w:left="220"/>
              <w:spacing w:after="0"/>
              <w:rPr>
                <w:sz w:val="20"/>
                <w:szCs w:val="20"/>
                <w:color w:val="auto"/>
              </w:rPr>
            </w:pPr>
            <w:r>
              <w:rPr>
                <w:rFonts w:ascii="Arial" w:cs="Arial" w:eastAsia="Arial" w:hAnsi="Arial"/>
                <w:sz w:val="16"/>
                <w:szCs w:val="16"/>
                <w:color w:val="auto"/>
              </w:rPr>
              <w:t>Total, at cost</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163,892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134,058</w:t>
            </w:r>
          </w:p>
        </w:tc>
        <w:tc>
          <w:tcPr>
            <w:tcW w:w="80" w:type="dxa"/>
            <w:vAlign w:val="bottom"/>
          </w:tcPr>
          <w:p>
            <w:pPr>
              <w:spacing w:after="0"/>
              <w:rPr>
                <w:sz w:val="24"/>
                <w:szCs w:val="24"/>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shd w:val="clear" w:color="auto" w:fill="E5E5E5"/>
          </w:tcPr>
          <w:p>
            <w:pPr>
              <w:spacing w:after="0"/>
              <w:rPr>
                <w:sz w:val="17"/>
                <w:szCs w:val="17"/>
                <w:color w:val="auto"/>
              </w:rPr>
            </w:pPr>
          </w:p>
        </w:tc>
        <w:tc>
          <w:tcPr>
            <w:tcW w:w="9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(68,251 )</w:t>
            </w:r>
          </w:p>
        </w:tc>
        <w:tc>
          <w:tcPr>
            <w:tcW w:w="300" w:type="dxa"/>
            <w:vAlign w:val="bottom"/>
            <w:shd w:val="clear" w:color="auto" w:fill="E5E5E5"/>
          </w:tcPr>
          <w:p>
            <w:pPr>
              <w:spacing w:after="0"/>
              <w:rPr>
                <w:sz w:val="17"/>
                <w:szCs w:val="17"/>
                <w:color w:val="auto"/>
              </w:rPr>
            </w:pPr>
          </w:p>
        </w:tc>
        <w:tc>
          <w:tcPr>
            <w:tcW w:w="8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(59,660 )</w:t>
            </w:r>
          </w:p>
        </w:tc>
      </w:tr>
      <w:tr>
        <w:trPr>
          <w:trHeight w:val="334"/>
        </w:trPr>
        <w:tc>
          <w:tcPr>
            <w:tcW w:w="8140" w:type="dxa"/>
            <w:vAlign w:val="bottom"/>
          </w:tcPr>
          <w:p>
            <w:pPr>
              <w:ind w:left="220"/>
              <w:spacing w:after="0"/>
              <w:rPr>
                <w:sz w:val="20"/>
                <w:szCs w:val="20"/>
                <w:color w:val="auto"/>
              </w:rPr>
            </w:pPr>
            <w:r>
              <w:rPr>
                <w:rFonts w:ascii="Arial" w:cs="Arial" w:eastAsia="Arial" w:hAnsi="Arial"/>
                <w:sz w:val="16"/>
                <w:szCs w:val="16"/>
                <w:color w:val="auto"/>
              </w:rPr>
              <w:t>Total, net</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95,641</w:t>
            </w:r>
          </w:p>
        </w:tc>
        <w:tc>
          <w:tcPr>
            <w:tcW w:w="200" w:type="dxa"/>
            <w:vAlign w:val="bottom"/>
          </w:tcPr>
          <w:p>
            <w:pPr>
              <w:spacing w:after="0"/>
              <w:rPr>
                <w:sz w:val="24"/>
                <w:szCs w:val="24"/>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74,398</w:t>
            </w:r>
          </w:p>
        </w:tc>
        <w:tc>
          <w:tcPr>
            <w:tcW w:w="80" w:type="dxa"/>
            <w:vAlign w:val="bottom"/>
          </w:tcPr>
          <w:p>
            <w:pPr>
              <w:spacing w:after="0"/>
              <w:rPr>
                <w:sz w:val="24"/>
                <w:szCs w:val="24"/>
                <w:color w:val="auto"/>
              </w:rPr>
            </w:pPr>
          </w:p>
        </w:tc>
      </w:tr>
      <w:tr>
        <w:trPr>
          <w:trHeight w:val="66"/>
        </w:trPr>
        <w:tc>
          <w:tcPr>
            <w:tcW w:w="814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-73025</wp:posOffset>
            </wp:positionV>
            <wp:extent cx="93980" cy="863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During fiscal years 2023, 2022, and 2021, depreciation expense was $11.0 billion, $12.6 billion, and $9.3 billion, respectively. Depreciation expense declined in fiscal year 2023 due to the change in estimated useful lives of our server and network equipment.</w:t>
      </w:r>
    </w:p>
    <w:p>
      <w:pPr>
        <w:spacing w:after="0" w:line="118"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As of June 30, 2023, we have committed $13.5 billion for the construction of new buildings, building improvements, and leasehold improvements, primarily related to datacenters.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 8 — BUSINESS COMBINATIONS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Nuance Communications, Inc.</w:t>
      </w:r>
    </w:p>
    <w:p>
      <w:pPr>
        <w:spacing w:after="0" w:line="148"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On March 4, 2022, we completed our acquisition of Nuance Communications, Inc. (“Nuance”) for a total purchase price of $18.8 billion, consisting primarily of cash. Nuance is a cloud and artificial intelligence (“AI”) software provider with healthcare and enterprise AI experience, and the acquisition will build on our industry-specific cloud offerings. The financial results of Nuance have been included in our consolidated financial statements since the date of the acquisition. Nuance is reported as part of our Intelligent Cloud segment.</w:t>
      </w:r>
    </w:p>
    <w:p>
      <w:pPr>
        <w:spacing w:after="0" w:line="12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allocation of the purchase price to goodwill was completed as of December 31, 2022. The major classes of assets and liabilities to which we have allocated the purchase price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9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4"/>
        </w:trPr>
        <w:tc>
          <w:tcPr>
            <w:tcW w:w="9060" w:type="dxa"/>
            <w:vAlign w:val="bottom"/>
            <w:shd w:val="clear" w:color="auto" w:fill="E5E5E5"/>
          </w:tcPr>
          <w:p>
            <w:pPr>
              <w:ind w:left="20"/>
              <w:spacing w:after="0" w:line="204"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5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16,326</w:t>
            </w:r>
          </w:p>
        </w:tc>
        <w:tc>
          <w:tcPr>
            <w:tcW w:w="120" w:type="dxa"/>
            <w:vAlign w:val="bottom"/>
            <w:shd w:val="clear" w:color="auto" w:fill="E5E5E5"/>
          </w:tcPr>
          <w:p>
            <w:pPr>
              <w:spacing w:after="0"/>
              <w:rPr>
                <w:sz w:val="17"/>
                <w:szCs w:val="17"/>
                <w:color w:val="auto"/>
              </w:rPr>
            </w:pPr>
          </w:p>
        </w:tc>
      </w:tr>
      <w:tr>
        <w:trPr>
          <w:trHeight w:val="203"/>
        </w:trPr>
        <w:tc>
          <w:tcPr>
            <w:tcW w:w="906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4,365</w:t>
            </w:r>
          </w:p>
        </w:tc>
        <w:tc>
          <w:tcPr>
            <w:tcW w:w="120" w:type="dxa"/>
            <w:vAlign w:val="bottom"/>
          </w:tcPr>
          <w:p>
            <w:pPr>
              <w:spacing w:after="0"/>
              <w:rPr>
                <w:sz w:val="17"/>
                <w:szCs w:val="17"/>
                <w:color w:val="auto"/>
              </w:rPr>
            </w:pPr>
          </w:p>
        </w:tc>
      </w:tr>
      <w:tr>
        <w:trPr>
          <w:trHeight w:val="205"/>
        </w:trPr>
        <w:tc>
          <w:tcPr>
            <w:tcW w:w="90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assets</w:t>
            </w:r>
          </w:p>
        </w:tc>
        <w:tc>
          <w:tcPr>
            <w:tcW w:w="500" w:type="dxa"/>
            <w:vAlign w:val="bottom"/>
            <w:shd w:val="clear" w:color="auto" w:fill="E5E5E5"/>
          </w:tcPr>
          <w:p>
            <w:pPr>
              <w:spacing w:after="0"/>
              <w:rPr>
                <w:sz w:val="17"/>
                <w:szCs w:val="17"/>
                <w:color w:val="auto"/>
              </w:rPr>
            </w:pP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E5E5E5"/>
          </w:tcPr>
          <w:p>
            <w:pPr>
              <w:spacing w:after="0"/>
              <w:rPr>
                <w:sz w:val="17"/>
                <w:szCs w:val="17"/>
                <w:color w:val="auto"/>
              </w:rPr>
            </w:pPr>
          </w:p>
        </w:tc>
      </w:tr>
      <w:tr>
        <w:trPr>
          <w:trHeight w:val="284"/>
        </w:trPr>
        <w:tc>
          <w:tcPr>
            <w:tcW w:w="9060" w:type="dxa"/>
            <w:vAlign w:val="bottom"/>
          </w:tcPr>
          <w:p>
            <w:pPr>
              <w:ind w:left="20"/>
              <w:spacing w:after="0"/>
              <w:rPr>
                <w:sz w:val="20"/>
                <w:szCs w:val="20"/>
                <w:color w:val="auto"/>
              </w:rPr>
            </w:pPr>
            <w:r>
              <w:rPr>
                <w:rFonts w:ascii="Arial" w:cs="Arial" w:eastAsia="Arial" w:hAnsi="Arial"/>
                <w:sz w:val="16"/>
                <w:szCs w:val="16"/>
                <w:color w:val="auto"/>
              </w:rPr>
              <w:t xml:space="preserve">Other liabilities </w:t>
            </w:r>
            <w:r>
              <w:rPr>
                <w:rFonts w:ascii="Arial" w:cs="Arial" w:eastAsia="Arial" w:hAnsi="Arial"/>
                <w:sz w:val="21"/>
                <w:szCs w:val="21"/>
                <w:color w:val="auto"/>
                <w:vertAlign w:val="superscript"/>
              </w:rPr>
              <w:t>(b)</w:t>
            </w:r>
          </w:p>
        </w:tc>
        <w:tc>
          <w:tcPr>
            <w:tcW w:w="50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(1,972)</w:t>
            </w:r>
          </w:p>
        </w:tc>
      </w:tr>
      <w:tr>
        <w:trPr>
          <w:trHeight w:val="64"/>
        </w:trPr>
        <w:tc>
          <w:tcPr>
            <w:tcW w:w="90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04"/>
        </w:trPr>
        <w:tc>
          <w:tcPr>
            <w:tcW w:w="90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18,761</w:t>
            </w:r>
          </w:p>
        </w:tc>
        <w:tc>
          <w:tcPr>
            <w:tcW w:w="120" w:type="dxa"/>
            <w:vAlign w:val="bottom"/>
            <w:shd w:val="clear" w:color="auto" w:fill="E5E5E5"/>
          </w:tcPr>
          <w:p>
            <w:pPr>
              <w:spacing w:after="0"/>
              <w:rPr>
                <w:sz w:val="17"/>
                <w:szCs w:val="17"/>
                <w:color w:val="auto"/>
              </w:rPr>
            </w:pPr>
          </w:p>
        </w:tc>
      </w:tr>
      <w:tr>
        <w:trPr>
          <w:trHeight w:val="76"/>
        </w:trPr>
        <w:tc>
          <w:tcPr>
            <w:tcW w:w="906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-73025</wp:posOffset>
            </wp:positionV>
            <wp:extent cx="109220" cy="863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9220" cy="86360"/>
                    </a:xfrm>
                    <a:prstGeom prst="rect">
                      <a:avLst/>
                    </a:prstGeom>
                    <a:noFill/>
                  </pic:spPr>
                </pic:pic>
              </a:graphicData>
            </a:graphic>
          </wp:anchor>
        </w:drawing>
      </w:r>
    </w:p>
    <w:p>
      <w:pPr>
        <w:spacing w:after="0" w:line="63" w:lineRule="exact"/>
        <w:rPr>
          <w:sz w:val="20"/>
          <w:szCs w:val="20"/>
          <w:color w:val="auto"/>
        </w:rPr>
      </w:pPr>
    </w:p>
    <w:p>
      <w:pPr>
        <w:jc w:val="both"/>
        <w:ind w:right="60"/>
        <w:spacing w:after="0" w:line="245" w:lineRule="auto"/>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Goodwill was assigned to our Intelligent Cloud segment and was primarily attributed to increased synergies that are expected to be achieved from the</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integration of Nuance. None of the goodwill is expected to be deductible for income tax purposes.</w:t>
      </w:r>
    </w:p>
    <w:p>
      <w:pPr>
        <w:spacing w:after="0"/>
        <w:rPr>
          <w:sz w:val="20"/>
          <w:szCs w:val="20"/>
          <w:color w:val="auto"/>
        </w:rPr>
      </w:pPr>
      <w:r>
        <w:rPr>
          <w:rFonts w:ascii="Arial" w:cs="Arial" w:eastAsia="Arial" w:hAnsi="Arial"/>
          <w:sz w:val="16"/>
          <w:szCs w:val="16"/>
          <w:color w:val="auto"/>
        </w:rPr>
        <w:t>(b)</w:t>
      </w:r>
      <w:r>
        <w:rPr>
          <w:rFonts w:ascii="Arial" w:cs="Arial" w:eastAsia="Arial" w:hAnsi="Arial"/>
          <w:sz w:val="16"/>
          <w:szCs w:val="16"/>
          <w:i w:val="1"/>
          <w:iCs w:val="1"/>
          <w:color w:val="auto"/>
        </w:rPr>
        <w:t>Includes $986 million of convertible senior notes issued by Nuance in 2015 and 2017, substantially all of which have been redeemed.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Following are the details of the purchase price allocated to the intangible assets acquired:</w:t>
      </w:r>
    </w:p>
    <w:p>
      <w:pPr>
        <w:sectPr>
          <w:pgSz w:w="11900" w:h="16840" w:orient="portrait"/>
          <w:cols w:equalWidth="0" w:num="1">
            <w:col w:w="10560"/>
          </w:cols>
          <w:pgMar w:left="660" w:top="573" w:right="680" w:bottom="1440" w:gutter="0" w:footer="0" w:header="0"/>
        </w:sectPr>
      </w:pPr>
    </w:p>
    <w:p>
      <w:pPr>
        <w:spacing w:after="0" w:line="37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(In millions, except average life)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Amount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Weighted</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Average Life</w:t>
      </w:r>
    </w:p>
    <w:p>
      <w:pPr>
        <w:spacing w:after="0" w:line="177" w:lineRule="exact"/>
        <w:rPr>
          <w:sz w:val="20"/>
          <w:szCs w:val="20"/>
          <w:color w:val="auto"/>
        </w:rPr>
      </w:pPr>
    </w:p>
    <w:p>
      <w:pPr>
        <w:sectPr>
          <w:pgSz w:w="11900" w:h="16840" w:orient="portrait"/>
          <w:cols w:equalWidth="0" w:num="3">
            <w:col w:w="7700" w:space="720"/>
            <w:col w:w="620" w:space="720"/>
            <w:col w:w="800"/>
          </w:cols>
          <w:pgMar w:left="660" w:top="573" w:right="68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2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Customer-related</w:t>
            </w:r>
          </w:p>
        </w:tc>
        <w:tc>
          <w:tcPr>
            <w:tcW w:w="4800" w:type="dxa"/>
            <w:vAlign w:val="bottom"/>
            <w:gridSpan w:val="2"/>
            <w:shd w:val="clear" w:color="auto" w:fill="E5E5E5"/>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2,610</w:t>
            </w:r>
          </w:p>
        </w:tc>
        <w:tc>
          <w:tcPr>
            <w:tcW w:w="1680" w:type="dxa"/>
            <w:vAlign w:val="bottom"/>
            <w:shd w:val="clear" w:color="auto" w:fill="E5E5E5"/>
          </w:tcPr>
          <w:p>
            <w:pPr>
              <w:ind w:left="1080"/>
              <w:spacing w:after="0"/>
              <w:rPr>
                <w:sz w:val="20"/>
                <w:szCs w:val="20"/>
                <w:color w:val="auto"/>
              </w:rPr>
            </w:pPr>
            <w:r>
              <w:rPr>
                <w:rFonts w:ascii="Arial" w:cs="Arial" w:eastAsia="Arial" w:hAnsi="Arial"/>
                <w:sz w:val="16"/>
                <w:szCs w:val="16"/>
                <w:color w:val="auto"/>
              </w:rPr>
              <w:t>9 years</w:t>
            </w:r>
          </w:p>
        </w:tc>
        <w:tc>
          <w:tcPr>
            <w:tcW w:w="0" w:type="dxa"/>
            <w:vAlign w:val="bottom"/>
          </w:tcPr>
          <w:p>
            <w:pPr>
              <w:spacing w:after="0"/>
              <w:rPr>
                <w:sz w:val="1"/>
                <w:szCs w:val="1"/>
                <w:color w:val="auto"/>
              </w:rPr>
            </w:pPr>
          </w:p>
        </w:tc>
      </w:tr>
      <w:tr>
        <w:trPr>
          <w:trHeight w:val="203"/>
        </w:trPr>
        <w:tc>
          <w:tcPr>
            <w:tcW w:w="3260" w:type="dxa"/>
            <w:vAlign w:val="bottom"/>
          </w:tcPr>
          <w:p>
            <w:pPr>
              <w:ind w:left="20"/>
              <w:spacing w:after="0"/>
              <w:rPr>
                <w:sz w:val="20"/>
                <w:szCs w:val="20"/>
                <w:color w:val="auto"/>
              </w:rPr>
            </w:pPr>
            <w:r>
              <w:rPr>
                <w:rFonts w:ascii="Arial" w:cs="Arial" w:eastAsia="Arial" w:hAnsi="Arial"/>
                <w:sz w:val="16"/>
                <w:szCs w:val="16"/>
                <w:color w:val="auto"/>
              </w:rPr>
              <w:t>Technology-based</w:t>
            </w:r>
          </w:p>
        </w:tc>
        <w:tc>
          <w:tcPr>
            <w:tcW w:w="4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1,540</w:t>
            </w:r>
          </w:p>
        </w:tc>
        <w:tc>
          <w:tcPr>
            <w:tcW w:w="1680" w:type="dxa"/>
            <w:vAlign w:val="bottom"/>
          </w:tcPr>
          <w:p>
            <w:pPr>
              <w:ind w:left="1080"/>
              <w:spacing w:after="0"/>
              <w:rPr>
                <w:sz w:val="20"/>
                <w:szCs w:val="20"/>
                <w:color w:val="auto"/>
              </w:rPr>
            </w:pPr>
            <w:r>
              <w:rPr>
                <w:rFonts w:ascii="Arial" w:cs="Arial" w:eastAsia="Arial" w:hAnsi="Arial"/>
                <w:sz w:val="16"/>
                <w:szCs w:val="16"/>
                <w:color w:val="auto"/>
              </w:rPr>
              <w:t>5 years</w:t>
            </w:r>
          </w:p>
        </w:tc>
        <w:tc>
          <w:tcPr>
            <w:tcW w:w="0" w:type="dxa"/>
            <w:vAlign w:val="bottom"/>
          </w:tcPr>
          <w:p>
            <w:pPr>
              <w:spacing w:after="0"/>
              <w:rPr>
                <w:sz w:val="1"/>
                <w:szCs w:val="1"/>
                <w:color w:val="auto"/>
              </w:rPr>
            </w:pPr>
          </w:p>
        </w:tc>
      </w:tr>
      <w:tr>
        <w:trPr>
          <w:trHeight w:val="205"/>
        </w:trPr>
        <w:tc>
          <w:tcPr>
            <w:tcW w:w="32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Marketing-related</w:t>
            </w:r>
          </w:p>
        </w:tc>
        <w:tc>
          <w:tcPr>
            <w:tcW w:w="428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215</w:t>
            </w:r>
          </w:p>
        </w:tc>
        <w:tc>
          <w:tcPr>
            <w:tcW w:w="1680" w:type="dxa"/>
            <w:vAlign w:val="bottom"/>
            <w:shd w:val="clear" w:color="auto" w:fill="E5E5E5"/>
          </w:tcPr>
          <w:p>
            <w:pPr>
              <w:ind w:left="1080"/>
              <w:spacing w:after="0"/>
              <w:rPr>
                <w:sz w:val="20"/>
                <w:szCs w:val="20"/>
                <w:color w:val="auto"/>
              </w:rPr>
            </w:pPr>
            <w:r>
              <w:rPr>
                <w:rFonts w:ascii="Arial" w:cs="Arial" w:eastAsia="Arial" w:hAnsi="Arial"/>
                <w:sz w:val="16"/>
                <w:szCs w:val="16"/>
                <w:color w:val="auto"/>
              </w:rPr>
              <w:t>4 years</w:t>
            </w:r>
          </w:p>
        </w:tc>
        <w:tc>
          <w:tcPr>
            <w:tcW w:w="0" w:type="dxa"/>
            <w:vAlign w:val="bottom"/>
          </w:tcPr>
          <w:p>
            <w:pPr>
              <w:spacing w:after="0"/>
              <w:rPr>
                <w:sz w:val="1"/>
                <w:szCs w:val="1"/>
                <w:color w:val="auto"/>
              </w:rPr>
            </w:pPr>
          </w:p>
        </w:tc>
      </w:tr>
      <w:tr>
        <w:trPr>
          <w:trHeight w:val="346"/>
        </w:trPr>
        <w:tc>
          <w:tcPr>
            <w:tcW w:w="3260" w:type="dxa"/>
            <w:vAlign w:val="bottom"/>
          </w:tcPr>
          <w:p>
            <w:pPr>
              <w:ind w:left="220"/>
              <w:spacing w:after="0"/>
              <w:rPr>
                <w:sz w:val="20"/>
                <w:szCs w:val="20"/>
                <w:color w:val="auto"/>
              </w:rPr>
            </w:pPr>
            <w:r>
              <w:rPr>
                <w:rFonts w:ascii="Arial" w:cs="Arial" w:eastAsia="Arial" w:hAnsi="Arial"/>
                <w:sz w:val="16"/>
                <w:szCs w:val="16"/>
                <w:color w:val="auto"/>
              </w:rPr>
              <w:t>Total</w:t>
            </w:r>
          </w:p>
        </w:tc>
        <w:tc>
          <w:tcPr>
            <w:tcW w:w="480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4,365</w:t>
            </w:r>
          </w:p>
        </w:tc>
        <w:tc>
          <w:tcPr>
            <w:tcW w:w="1680" w:type="dxa"/>
            <w:vAlign w:val="bottom"/>
          </w:tcPr>
          <w:p>
            <w:pPr>
              <w:ind w:left="1080"/>
              <w:spacing w:after="0"/>
              <w:rPr>
                <w:sz w:val="20"/>
                <w:szCs w:val="20"/>
                <w:color w:val="auto"/>
              </w:rPr>
            </w:pPr>
            <w:r>
              <w:rPr>
                <w:rFonts w:ascii="Arial" w:cs="Arial" w:eastAsia="Arial" w:hAnsi="Arial"/>
                <w:sz w:val="16"/>
                <w:szCs w:val="16"/>
                <w:color w:val="auto"/>
              </w:rPr>
              <w:t>7 years</w:t>
            </w:r>
          </w:p>
        </w:tc>
        <w:tc>
          <w:tcPr>
            <w:tcW w:w="0" w:type="dxa"/>
            <w:vAlign w:val="bottom"/>
          </w:tcPr>
          <w:p>
            <w:pPr>
              <w:spacing w:after="0"/>
              <w:rPr>
                <w:sz w:val="1"/>
                <w:szCs w:val="1"/>
                <w:color w:val="auto"/>
              </w:rPr>
            </w:pPr>
          </w:p>
        </w:tc>
      </w:tr>
      <w:tr>
        <w:trPr>
          <w:trHeight w:val="78"/>
        </w:trPr>
        <w:tc>
          <w:tcPr>
            <w:tcW w:w="3260" w:type="dxa"/>
            <w:vAlign w:val="bottom"/>
          </w:tcPr>
          <w:p>
            <w:pPr>
              <w:spacing w:after="0"/>
              <w:rPr>
                <w:sz w:val="6"/>
                <w:szCs w:val="6"/>
                <w:color w:val="auto"/>
              </w:rPr>
            </w:pPr>
          </w:p>
        </w:tc>
        <w:tc>
          <w:tcPr>
            <w:tcW w:w="4280" w:type="dxa"/>
            <w:vAlign w:val="bottom"/>
            <w:vMerge w:val="restart"/>
          </w:tcPr>
          <w:p>
            <w:pPr>
              <w:jc w:val="right"/>
              <w:ind w:right="2106"/>
              <w:spacing w:after="0"/>
              <w:rPr>
                <w:sz w:val="20"/>
                <w:szCs w:val="20"/>
                <w:color w:val="auto"/>
              </w:rPr>
            </w:pPr>
            <w:r>
              <w:rPr>
                <w:rFonts w:ascii="Arial" w:cs="Arial" w:eastAsia="Arial" w:hAnsi="Arial"/>
                <w:sz w:val="13"/>
                <w:szCs w:val="13"/>
                <w:color w:val="auto"/>
              </w:rPr>
              <w:t>78</w:t>
            </w:r>
          </w:p>
        </w:tc>
        <w:tc>
          <w:tcPr>
            <w:tcW w:w="52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0"/>
        </w:trPr>
        <w:tc>
          <w:tcPr>
            <w:tcW w:w="326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260" w:type="dxa"/>
            <w:vAlign w:val="bottom"/>
            <w:tcBorders>
              <w:bottom w:val="single" w:sz="8" w:color="EEEEEE"/>
            </w:tcBorders>
          </w:tcPr>
          <w:p>
            <w:pPr>
              <w:spacing w:after="0"/>
              <w:rPr>
                <w:sz w:val="9"/>
                <w:szCs w:val="9"/>
                <w:color w:val="auto"/>
              </w:rPr>
            </w:pPr>
          </w:p>
        </w:tc>
        <w:tc>
          <w:tcPr>
            <w:tcW w:w="4280" w:type="dxa"/>
            <w:vAlign w:val="bottom"/>
            <w:tcBorders>
              <w:bottom w:val="single" w:sz="8" w:color="EEEEEE"/>
            </w:tcBorders>
          </w:tcPr>
          <w:p>
            <w:pPr>
              <w:spacing w:after="0"/>
              <w:rPr>
                <w:sz w:val="9"/>
                <w:szCs w:val="9"/>
                <w:color w:val="auto"/>
              </w:rPr>
            </w:pPr>
          </w:p>
        </w:tc>
        <w:tc>
          <w:tcPr>
            <w:tcW w:w="520" w:type="dxa"/>
            <w:vAlign w:val="bottom"/>
            <w:tcBorders>
              <w:bottom w:val="single" w:sz="8" w:color="EEEEEE"/>
            </w:tcBorders>
          </w:tcPr>
          <w:p>
            <w:pPr>
              <w:spacing w:after="0"/>
              <w:rPr>
                <w:sz w:val="9"/>
                <w:szCs w:val="9"/>
                <w:color w:val="auto"/>
              </w:rPr>
            </w:pPr>
          </w:p>
        </w:tc>
        <w:tc>
          <w:tcPr>
            <w:tcW w:w="820" w:type="dxa"/>
            <w:vAlign w:val="bottom"/>
            <w:tcBorders>
              <w:bottom w:val="single" w:sz="8" w:color="EEEEEE"/>
            </w:tcBorders>
          </w:tcPr>
          <w:p>
            <w:pPr>
              <w:spacing w:after="0"/>
              <w:rPr>
                <w:sz w:val="9"/>
                <w:szCs w:val="9"/>
                <w:color w:val="auto"/>
              </w:rPr>
            </w:pPr>
          </w:p>
        </w:tc>
        <w:tc>
          <w:tcPr>
            <w:tcW w:w="16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-484505</wp:posOffset>
            </wp:positionV>
            <wp:extent cx="93980" cy="863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type w:val="continuous"/>
        </w:sectPr>
      </w:pPr>
    </w:p>
    <w:bookmarkStart w:id="78" w:name="page79"/>
    <w:bookmarkEnd w:id="78"/>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ZeniMax Media Inc.</w:t>
      </w:r>
    </w:p>
    <w:p>
      <w:pPr>
        <w:spacing w:after="0" w:line="14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On March 9, 2021, we completed our acquisition of ZeniMax Media Inc. (“ZeniMax”), the parent company of Bethesda Softworks LLC (“Bethesda”), for a total purchase price of $8.1 billion, consisting primarily of cash. The purchase price included $766 million of cash and cash equivalents acquired. Bethesda is one of the largest, privately held game developers and publishers in the world, and brings a broad portfolio of games, technology, and talent to Xbox. The financial results of ZeniMax have been included in our consolidated financial statements since the date of the acquisition. ZeniMax is reported as part of our More Personal Computing segment.</w:t>
      </w:r>
    </w:p>
    <w:p>
      <w:pPr>
        <w:spacing w:after="0" w:line="12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allocation of the purchase price to goodwill was completed as of December 31, 2021. The major classes of assets and liabilities to which we have allocated the purchase price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0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8"/>
        </w:trPr>
        <w:tc>
          <w:tcPr>
            <w:tcW w:w="9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4"/>
        </w:trPr>
        <w:tc>
          <w:tcPr>
            <w:tcW w:w="9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E5E5E5"/>
          </w:tcPr>
          <w:p>
            <w:pPr>
              <w:jc w:val="right"/>
              <w:ind w:right="362"/>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E5E5E5"/>
          </w:tcPr>
          <w:p>
            <w:pPr>
              <w:spacing w:after="0"/>
              <w:rPr>
                <w:sz w:val="17"/>
                <w:szCs w:val="17"/>
                <w:color w:val="auto"/>
              </w:rPr>
            </w:pPr>
          </w:p>
        </w:tc>
      </w:tr>
      <w:tr>
        <w:trPr>
          <w:trHeight w:val="203"/>
        </w:trPr>
        <w:tc>
          <w:tcPr>
            <w:tcW w:w="9080" w:type="dxa"/>
            <w:vAlign w:val="bottom"/>
          </w:tcPr>
          <w:p>
            <w:pPr>
              <w:ind w:left="20"/>
              <w:spacing w:after="0"/>
              <w:rPr>
                <w:sz w:val="20"/>
                <w:szCs w:val="20"/>
                <w:color w:val="auto"/>
              </w:rPr>
            </w:pPr>
            <w:r>
              <w:rPr>
                <w:rFonts w:ascii="Arial" w:cs="Arial" w:eastAsia="Arial" w:hAnsi="Arial"/>
                <w:sz w:val="16"/>
                <w:szCs w:val="16"/>
                <w:color w:val="auto"/>
              </w:rPr>
              <w:t>Goodwill</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5,510</w:t>
            </w:r>
          </w:p>
        </w:tc>
        <w:tc>
          <w:tcPr>
            <w:tcW w:w="120" w:type="dxa"/>
            <w:vAlign w:val="bottom"/>
          </w:tcPr>
          <w:p>
            <w:pPr>
              <w:spacing w:after="0"/>
              <w:rPr>
                <w:sz w:val="17"/>
                <w:szCs w:val="17"/>
                <w:color w:val="auto"/>
              </w:rPr>
            </w:pPr>
          </w:p>
        </w:tc>
      </w:tr>
      <w:tr>
        <w:trPr>
          <w:trHeight w:val="205"/>
        </w:trPr>
        <w:tc>
          <w:tcPr>
            <w:tcW w:w="9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Intangible assets</w:t>
            </w:r>
          </w:p>
        </w:tc>
        <w:tc>
          <w:tcPr>
            <w:tcW w:w="540" w:type="dxa"/>
            <w:vAlign w:val="bottom"/>
            <w:shd w:val="clear" w:color="auto" w:fill="E5E5E5"/>
          </w:tcPr>
          <w:p>
            <w:pPr>
              <w:spacing w:after="0"/>
              <w:rPr>
                <w:sz w:val="17"/>
                <w:szCs w:val="17"/>
                <w:color w:val="auto"/>
              </w:rPr>
            </w:pP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1,968</w:t>
            </w:r>
          </w:p>
        </w:tc>
        <w:tc>
          <w:tcPr>
            <w:tcW w:w="120" w:type="dxa"/>
            <w:vAlign w:val="bottom"/>
            <w:shd w:val="clear" w:color="auto" w:fill="E5E5E5"/>
          </w:tcPr>
          <w:p>
            <w:pPr>
              <w:spacing w:after="0"/>
              <w:rPr>
                <w:sz w:val="17"/>
                <w:szCs w:val="17"/>
                <w:color w:val="auto"/>
              </w:rPr>
            </w:pPr>
          </w:p>
        </w:tc>
      </w:tr>
      <w:tr>
        <w:trPr>
          <w:trHeight w:val="203"/>
        </w:trPr>
        <w:tc>
          <w:tcPr>
            <w:tcW w:w="908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7"/>
                <w:szCs w:val="17"/>
                <w:color w:val="auto"/>
              </w:rPr>
            </w:pPr>
          </w:p>
        </w:tc>
      </w:tr>
      <w:tr>
        <w:trPr>
          <w:trHeight w:val="205"/>
        </w:trPr>
        <w:tc>
          <w:tcPr>
            <w:tcW w:w="908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liabilities</w:t>
            </w:r>
          </w:p>
        </w:tc>
        <w:tc>
          <w:tcPr>
            <w:tcW w:w="540" w:type="dxa"/>
            <w:vAlign w:val="bottom"/>
            <w:shd w:val="clear" w:color="auto" w:fill="E5E5E5"/>
          </w:tcPr>
          <w:p>
            <w:pPr>
              <w:spacing w:after="0"/>
              <w:rPr>
                <w:sz w:val="17"/>
                <w:szCs w:val="17"/>
                <w:color w:val="auto"/>
              </w:rPr>
            </w:pPr>
          </w:p>
        </w:tc>
        <w:tc>
          <w:tcPr>
            <w:tcW w:w="940" w:type="dxa"/>
            <w:vAlign w:val="bottom"/>
            <w:gridSpan w:val="2"/>
            <w:shd w:val="clear" w:color="auto" w:fill="E5E5E5"/>
          </w:tcPr>
          <w:p>
            <w:pPr>
              <w:jc w:val="right"/>
              <w:ind w:right="40"/>
              <w:spacing w:after="0"/>
              <w:rPr>
                <w:sz w:val="20"/>
                <w:szCs w:val="20"/>
                <w:color w:val="auto"/>
              </w:rPr>
            </w:pPr>
            <w:r>
              <w:rPr>
                <w:rFonts w:ascii="Arial" w:cs="Arial" w:eastAsia="Arial" w:hAnsi="Arial"/>
                <w:sz w:val="16"/>
                <w:szCs w:val="16"/>
                <w:color w:val="auto"/>
              </w:rPr>
              <w:t>(244 )</w:t>
            </w:r>
          </w:p>
        </w:tc>
      </w:tr>
      <w:tr>
        <w:trPr>
          <w:trHeight w:val="346"/>
        </w:trPr>
        <w:tc>
          <w:tcPr>
            <w:tcW w:w="9080" w:type="dxa"/>
            <w:vAlign w:val="bottom"/>
          </w:tcPr>
          <w:p>
            <w:pPr>
              <w:ind w:left="220"/>
              <w:spacing w:after="0"/>
              <w:rPr>
                <w:sz w:val="20"/>
                <w:szCs w:val="20"/>
                <w:color w:val="auto"/>
              </w:rPr>
            </w:pPr>
            <w:r>
              <w:rPr>
                <w:rFonts w:ascii="Arial" w:cs="Arial" w:eastAsia="Arial" w:hAnsi="Arial"/>
                <w:sz w:val="16"/>
                <w:szCs w:val="16"/>
                <w:color w:val="auto"/>
              </w:rPr>
              <w:t>Total</w:t>
            </w:r>
          </w:p>
        </w:tc>
        <w:tc>
          <w:tcPr>
            <w:tcW w:w="540" w:type="dxa"/>
            <w:vAlign w:val="bottom"/>
          </w:tcPr>
          <w:p>
            <w:pPr>
              <w:jc w:val="right"/>
              <w:ind w:right="362"/>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8,121</w:t>
            </w:r>
          </w:p>
        </w:tc>
        <w:tc>
          <w:tcPr>
            <w:tcW w:w="120" w:type="dxa"/>
            <w:vAlign w:val="bottom"/>
          </w:tcPr>
          <w:p>
            <w:pPr>
              <w:spacing w:after="0"/>
              <w:rPr>
                <w:sz w:val="24"/>
                <w:szCs w:val="24"/>
                <w:color w:val="auto"/>
              </w:rPr>
            </w:pPr>
          </w:p>
        </w:tc>
      </w:tr>
      <w:tr>
        <w:trPr>
          <w:trHeight w:val="78"/>
        </w:trPr>
        <w:tc>
          <w:tcPr>
            <w:tcW w:w="90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6622415</wp:posOffset>
            </wp:positionH>
            <wp:positionV relativeFrom="paragraph">
              <wp:posOffset>-73025</wp:posOffset>
            </wp:positionV>
            <wp:extent cx="101600" cy="863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1600" cy="86360"/>
                    </a:xfrm>
                    <a:prstGeom prst="rect">
                      <a:avLst/>
                    </a:prstGeom>
                    <a:noFill/>
                  </pic:spPr>
                </pic:pic>
              </a:graphicData>
            </a:graphic>
          </wp:anchor>
        </w:drawing>
      </w:r>
    </w:p>
    <w:p>
      <w:pPr>
        <w:spacing w:after="0" w:line="141"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Goodwill was assigned to our More Personal Computing segment. The goodwill was primarily attributed to increased synergies that are expected to be achieved from the integration of ZeniMax. None of the goodwill is expected to be deductible for income tax purposes.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Following are details of the purchase price allocated to the intangible assets acquired: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jc w:val="right"/>
              <w:ind w:right="9"/>
              <w:spacing w:after="0"/>
              <w:rPr>
                <w:sz w:val="20"/>
                <w:szCs w:val="20"/>
                <w:color w:val="auto"/>
              </w:rPr>
            </w:pPr>
            <w:r>
              <w:rPr>
                <w:rFonts w:ascii="Arial" w:cs="Arial" w:eastAsia="Arial" w:hAnsi="Arial"/>
                <w:sz w:val="12"/>
                <w:szCs w:val="12"/>
                <w:b w:val="1"/>
                <w:bCs w:val="1"/>
                <w:color w:val="auto"/>
              </w:rPr>
              <w:t>Weighted</w:t>
            </w:r>
          </w:p>
        </w:tc>
        <w:tc>
          <w:tcPr>
            <w:tcW w:w="0" w:type="dxa"/>
            <w:vAlign w:val="bottom"/>
          </w:tcPr>
          <w:p>
            <w:pPr>
              <w:spacing w:after="0"/>
              <w:rPr>
                <w:sz w:val="1"/>
                <w:szCs w:val="1"/>
                <w:color w:val="auto"/>
              </w:rPr>
            </w:pPr>
          </w:p>
        </w:tc>
      </w:tr>
      <w:tr>
        <w:trPr>
          <w:trHeight w:val="167"/>
        </w:trPr>
        <w:tc>
          <w:tcPr>
            <w:tcW w:w="7540" w:type="dxa"/>
            <w:vAlign w:val="bottom"/>
          </w:tcPr>
          <w:p>
            <w:pPr>
              <w:ind w:left="20"/>
              <w:spacing w:after="0"/>
              <w:rPr>
                <w:sz w:val="20"/>
                <w:szCs w:val="20"/>
                <w:color w:val="auto"/>
              </w:rPr>
            </w:pPr>
            <w:r>
              <w:rPr>
                <w:rFonts w:ascii="Arial" w:cs="Arial" w:eastAsia="Arial" w:hAnsi="Arial"/>
                <w:sz w:val="12"/>
                <w:szCs w:val="12"/>
                <w:b w:val="1"/>
                <w:bCs w:val="1"/>
                <w:color w:val="auto"/>
              </w:rPr>
              <w:t>(In millions, except average life)</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1680" w:type="dxa"/>
            <w:vAlign w:val="bottom"/>
          </w:tcPr>
          <w:p>
            <w:pPr>
              <w:jc w:val="right"/>
              <w:ind w:right="9"/>
              <w:spacing w:after="0"/>
              <w:rPr>
                <w:sz w:val="20"/>
                <w:szCs w:val="20"/>
                <w:color w:val="auto"/>
              </w:rPr>
            </w:pPr>
            <w:r>
              <w:rPr>
                <w:rFonts w:ascii="Arial" w:cs="Arial" w:eastAsia="Arial" w:hAnsi="Arial"/>
                <w:sz w:val="12"/>
                <w:szCs w:val="12"/>
                <w:b w:val="1"/>
                <w:bCs w:val="1"/>
                <w:color w:val="auto"/>
              </w:rPr>
              <w:t>Average Life</w:t>
            </w: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E5E5E5"/>
          </w:tcPr>
          <w:p>
            <w:pPr>
              <w:ind w:left="20"/>
              <w:spacing w:after="0"/>
              <w:rPr>
                <w:sz w:val="20"/>
                <w:szCs w:val="20"/>
                <w:color w:val="auto"/>
              </w:rPr>
            </w:pPr>
            <w:r>
              <w:rPr>
                <w:rFonts w:ascii="Arial" w:cs="Arial" w:eastAsia="Arial" w:hAnsi="Arial"/>
                <w:sz w:val="16"/>
                <w:szCs w:val="16"/>
                <w:color w:val="auto"/>
              </w:rPr>
              <w:t>Technology-based</w:t>
            </w:r>
          </w:p>
        </w:tc>
        <w:tc>
          <w:tcPr>
            <w:tcW w:w="5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1,341</w:t>
            </w:r>
          </w:p>
        </w:tc>
        <w:tc>
          <w:tcPr>
            <w:tcW w:w="1680" w:type="dxa"/>
            <w:vAlign w:val="bottom"/>
            <w:shd w:val="clear" w:color="auto" w:fill="E5E5E5"/>
          </w:tcPr>
          <w:p>
            <w:pPr>
              <w:jc w:val="right"/>
              <w:ind w:right="29"/>
              <w:spacing w:after="0"/>
              <w:rPr>
                <w:sz w:val="20"/>
                <w:szCs w:val="20"/>
                <w:color w:val="auto"/>
              </w:rPr>
            </w:pPr>
            <w:r>
              <w:rPr>
                <w:rFonts w:ascii="Arial" w:cs="Arial" w:eastAsia="Arial" w:hAnsi="Arial"/>
                <w:sz w:val="16"/>
                <w:szCs w:val="16"/>
                <w:color w:val="auto"/>
              </w:rPr>
              <w:t>4 years</w:t>
            </w:r>
          </w:p>
        </w:tc>
        <w:tc>
          <w:tcPr>
            <w:tcW w:w="0" w:type="dxa"/>
            <w:vAlign w:val="bottom"/>
          </w:tcPr>
          <w:p>
            <w:pPr>
              <w:spacing w:after="0"/>
              <w:rPr>
                <w:sz w:val="1"/>
                <w:szCs w:val="1"/>
                <w:color w:val="auto"/>
              </w:rPr>
            </w:pPr>
          </w:p>
        </w:tc>
      </w:tr>
      <w:tr>
        <w:trPr>
          <w:trHeight w:val="202"/>
        </w:trPr>
        <w:tc>
          <w:tcPr>
            <w:tcW w:w="7540" w:type="dxa"/>
            <w:vAlign w:val="bottom"/>
          </w:tcPr>
          <w:p>
            <w:pPr>
              <w:ind w:left="20"/>
              <w:spacing w:after="0"/>
              <w:rPr>
                <w:sz w:val="20"/>
                <w:szCs w:val="20"/>
                <w:color w:val="auto"/>
              </w:rPr>
            </w:pPr>
            <w:r>
              <w:rPr>
                <w:rFonts w:ascii="Arial" w:cs="Arial" w:eastAsia="Arial" w:hAnsi="Arial"/>
                <w:sz w:val="16"/>
                <w:szCs w:val="16"/>
                <w:color w:val="auto"/>
              </w:rPr>
              <w:t>Marketing-related</w:t>
            </w:r>
          </w:p>
        </w:tc>
        <w:tc>
          <w:tcPr>
            <w:tcW w:w="5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627</w:t>
            </w:r>
          </w:p>
        </w:tc>
        <w:tc>
          <w:tcPr>
            <w:tcW w:w="1680" w:type="dxa"/>
            <w:vAlign w:val="bottom"/>
            <w:vMerge w:val="restart"/>
          </w:tcPr>
          <w:p>
            <w:pPr>
              <w:jc w:val="right"/>
              <w:ind w:right="29"/>
              <w:spacing w:after="0"/>
              <w:rPr>
                <w:sz w:val="20"/>
                <w:szCs w:val="20"/>
                <w:color w:val="auto"/>
              </w:rPr>
            </w:pPr>
            <w:r>
              <w:rPr>
                <w:rFonts w:ascii="Arial" w:cs="Arial" w:eastAsia="Arial" w:hAnsi="Arial"/>
                <w:sz w:val="16"/>
                <w:szCs w:val="16"/>
                <w:color w:val="auto"/>
              </w:rPr>
              <w:t>11 years</w:t>
            </w:r>
          </w:p>
        </w:tc>
        <w:tc>
          <w:tcPr>
            <w:tcW w:w="0" w:type="dxa"/>
            <w:vAlign w:val="bottom"/>
          </w:tcPr>
          <w:p>
            <w:pPr>
              <w:spacing w:after="0"/>
              <w:rPr>
                <w:sz w:val="1"/>
                <w:szCs w:val="1"/>
                <w:color w:val="auto"/>
              </w:rPr>
            </w:pPr>
          </w:p>
        </w:tc>
      </w:tr>
      <w:tr>
        <w:trPr>
          <w:trHeight w:val="60"/>
        </w:trPr>
        <w:tc>
          <w:tcPr>
            <w:tcW w:w="7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7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75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500" w:type="dxa"/>
            <w:vAlign w:val="bottom"/>
            <w:shd w:val="clear" w:color="auto" w:fill="E5E5E5"/>
          </w:tcPr>
          <w:p>
            <w:pPr>
              <w:jc w:val="right"/>
              <w:ind w:right="32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1,968</w:t>
            </w:r>
          </w:p>
        </w:tc>
        <w:tc>
          <w:tcPr>
            <w:tcW w:w="1680" w:type="dxa"/>
            <w:vAlign w:val="bottom"/>
            <w:shd w:val="clear" w:color="auto" w:fill="E5E5E5"/>
          </w:tcPr>
          <w:p>
            <w:pPr>
              <w:jc w:val="right"/>
              <w:ind w:right="29"/>
              <w:spacing w:after="0"/>
              <w:rPr>
                <w:sz w:val="20"/>
                <w:szCs w:val="20"/>
                <w:color w:val="auto"/>
              </w:rPr>
            </w:pPr>
            <w:r>
              <w:rPr>
                <w:rFonts w:ascii="Arial" w:cs="Arial" w:eastAsia="Arial" w:hAnsi="Arial"/>
                <w:sz w:val="16"/>
                <w:szCs w:val="16"/>
                <w:color w:val="auto"/>
              </w:rPr>
              <w:t>6 years</w:t>
            </w:r>
          </w:p>
        </w:tc>
        <w:tc>
          <w:tcPr>
            <w:tcW w:w="0" w:type="dxa"/>
            <w:vAlign w:val="bottom"/>
          </w:tcPr>
          <w:p>
            <w:pPr>
              <w:spacing w:after="0"/>
              <w:rPr>
                <w:sz w:val="1"/>
                <w:szCs w:val="1"/>
                <w:color w:val="auto"/>
              </w:rPr>
            </w:pPr>
          </w:p>
        </w:tc>
      </w:tr>
      <w:tr>
        <w:trPr>
          <w:trHeight w:val="76"/>
        </w:trPr>
        <w:tc>
          <w:tcPr>
            <w:tcW w:w="7540" w:type="dxa"/>
            <w:vAlign w:val="bottom"/>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5624195</wp:posOffset>
            </wp:positionH>
            <wp:positionV relativeFrom="paragraph">
              <wp:posOffset>-73025</wp:posOffset>
            </wp:positionV>
            <wp:extent cx="93980" cy="863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63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Activision Blizzard, Inc.</w:t>
      </w:r>
    </w:p>
    <w:p>
      <w:pPr>
        <w:spacing w:after="0" w:line="148"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On January 18, 2022, we entered into a definitive agreement to acquire Activision Blizzard, Inc. (“Activision Blizzard”) for $95.00 per share in an all-cash transaction valued at $68.7 billion, inclusive of Activision Blizzard’s net cash. Activision Blizzard is a leader in game development and an interactive entertainment content publisher. The acquisition will accelerate the growth in our gaming business across mobile, PC, console, and cloud gaming. The acquisition has been approved by Activision Blizzard’s shareholders. We continue to work toward closing the transaction subject to obtaining required regulatory approvals and satisfaction of other customary closing conditions. Microsoft and Activision Blizzard have jointly agreed to extend the merger agreement through October 18, 2023 to allow for additional time to resolve remaining regulatory concerns.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 9 — GOODWILL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amount of goodwill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June 30,</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ind w:left="16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67"/>
        </w:trPr>
        <w:tc>
          <w:tcPr>
            <w:tcW w:w="23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Acquisitions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tcPr>
          <w:p>
            <w:pPr>
              <w:ind w:left="340"/>
              <w:spacing w:after="0"/>
              <w:rPr>
                <w:sz w:val="20"/>
                <w:szCs w:val="20"/>
                <w:color w:val="auto"/>
              </w:rPr>
            </w:pPr>
            <w:r>
              <w:rPr>
                <w:rFonts w:ascii="Arial" w:cs="Arial" w:eastAsia="Arial" w:hAnsi="Arial"/>
                <w:sz w:val="12"/>
                <w:szCs w:val="12"/>
                <w:b w:val="1"/>
                <w:bCs w:val="1"/>
                <w:color w:val="auto"/>
              </w:rPr>
              <w:t>Other</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Acquisitions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w:t>
            </w:r>
          </w:p>
        </w:tc>
        <w:tc>
          <w:tcPr>
            <w:tcW w:w="26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86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660" w:type="dxa"/>
            <w:vAlign w:val="bottom"/>
            <w:shd w:val="clear" w:color="auto" w:fill="E5E5E5"/>
          </w:tcPr>
          <w:p>
            <w:pPr>
              <w:spacing w:after="0"/>
              <w:rPr>
                <w:sz w:val="16"/>
                <w:szCs w:val="16"/>
                <w:color w:val="auto"/>
              </w:rPr>
            </w:pPr>
          </w:p>
        </w:tc>
        <w:tc>
          <w:tcPr>
            <w:tcW w:w="220" w:type="dxa"/>
            <w:vAlign w:val="bottom"/>
            <w:shd w:val="clear" w:color="auto" w:fill="E5E5E5"/>
          </w:tcPr>
          <w:p>
            <w:pPr>
              <w:spacing w:after="0"/>
              <w:rPr>
                <w:sz w:val="16"/>
                <w:szCs w:val="16"/>
                <w:color w:val="auto"/>
              </w:rPr>
            </w:pPr>
          </w:p>
        </w:tc>
        <w:tc>
          <w:tcPr>
            <w:tcW w:w="300" w:type="dxa"/>
            <w:vAlign w:val="bottom"/>
            <w:vMerge w:val="restart"/>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0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24,811</w:t>
            </w:r>
          </w:p>
        </w:tc>
        <w:tc>
          <w:tcPr>
            <w:tcW w:w="44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540" w:type="dxa"/>
            <w:vAlign w:val="bottom"/>
            <w:gridSpan w:val="2"/>
            <w:vMerge w:val="restart"/>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w:t>
            </w:r>
          </w:p>
        </w:tc>
        <w:tc>
          <w:tcPr>
            <w:tcW w:w="800" w:type="dxa"/>
            <w:vAlign w:val="bottom"/>
            <w:gridSpan w:val="2"/>
            <w:vMerge w:val="restart"/>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(47)</w:t>
            </w:r>
          </w:p>
        </w:tc>
        <w:tc>
          <w:tcPr>
            <w:tcW w:w="260" w:type="dxa"/>
            <w:vAlign w:val="bottom"/>
            <w:vMerge w:val="restart"/>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24,775</w:t>
            </w:r>
          </w:p>
        </w:tc>
        <w:tc>
          <w:tcPr>
            <w:tcW w:w="8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3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Processes</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24,317</w:t>
            </w:r>
          </w:p>
        </w:tc>
        <w:tc>
          <w:tcPr>
            <w:tcW w:w="44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w:t>
            </w:r>
          </w:p>
        </w:tc>
        <w:tc>
          <w:tcPr>
            <w:tcW w:w="5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5E5E5"/>
          </w:tcPr>
          <w:p>
            <w:pPr>
              <w:ind w:left="340"/>
              <w:spacing w:after="0"/>
              <w:rPr>
                <w:sz w:val="20"/>
                <w:szCs w:val="20"/>
                <w:color w:val="auto"/>
              </w:rPr>
            </w:pPr>
            <w:r>
              <w:rPr>
                <w:rFonts w:ascii="Arial" w:cs="Arial" w:eastAsia="Arial" w:hAnsi="Arial"/>
                <w:sz w:val="16"/>
                <w:szCs w:val="16"/>
                <w:color w:val="auto"/>
              </w:rPr>
              <w:t>(105 )</w:t>
            </w:r>
          </w:p>
        </w:tc>
        <w:tc>
          <w:tcPr>
            <w:tcW w:w="300" w:type="dxa"/>
            <w:vAlign w:val="bottom"/>
            <w:vMerge w:val="continue"/>
            <w:shd w:val="clear" w:color="auto" w:fill="E5E5E5"/>
          </w:tcPr>
          <w:p>
            <w:pPr>
              <w:spacing w:after="0"/>
              <w:rPr>
                <w:sz w:val="17"/>
                <w:szCs w:val="17"/>
                <w:color w:val="auto"/>
              </w:rPr>
            </w:pPr>
          </w:p>
        </w:tc>
        <w:tc>
          <w:tcPr>
            <w:tcW w:w="700" w:type="dxa"/>
            <w:vAlign w:val="bottom"/>
            <w:vMerge w:val="continue"/>
            <w:shd w:val="clear" w:color="auto" w:fill="E5E5E5"/>
          </w:tcPr>
          <w:p>
            <w:pPr>
              <w:spacing w:after="0"/>
              <w:rPr>
                <w:sz w:val="17"/>
                <w:szCs w:val="17"/>
                <w:color w:val="auto"/>
              </w:rPr>
            </w:pPr>
          </w:p>
        </w:tc>
        <w:tc>
          <w:tcPr>
            <w:tcW w:w="440" w:type="dxa"/>
            <w:vAlign w:val="bottom"/>
            <w:gridSpan w:val="2"/>
            <w:vMerge w:val="continue"/>
            <w:shd w:val="clear" w:color="auto" w:fill="E5E5E5"/>
          </w:tcPr>
          <w:p>
            <w:pPr>
              <w:spacing w:after="0"/>
              <w:rPr>
                <w:sz w:val="17"/>
                <w:szCs w:val="17"/>
                <w:color w:val="auto"/>
              </w:rPr>
            </w:pPr>
          </w:p>
        </w:tc>
        <w:tc>
          <w:tcPr>
            <w:tcW w:w="860" w:type="dxa"/>
            <w:vAlign w:val="bottom"/>
            <w:vMerge w:val="continue"/>
            <w:shd w:val="clear" w:color="auto" w:fill="E5E5E5"/>
          </w:tcPr>
          <w:p>
            <w:pPr>
              <w:spacing w:after="0"/>
              <w:rPr>
                <w:sz w:val="17"/>
                <w:szCs w:val="17"/>
                <w:color w:val="auto"/>
              </w:rPr>
            </w:pPr>
          </w:p>
        </w:tc>
        <w:tc>
          <w:tcPr>
            <w:tcW w:w="540" w:type="dxa"/>
            <w:vAlign w:val="bottom"/>
            <w:gridSpan w:val="2"/>
            <w:vMerge w:val="continue"/>
            <w:shd w:val="clear" w:color="auto" w:fill="E5E5E5"/>
          </w:tcPr>
          <w:p>
            <w:pPr>
              <w:spacing w:after="0"/>
              <w:rPr>
                <w:sz w:val="17"/>
                <w:szCs w:val="17"/>
                <w:color w:val="auto"/>
              </w:rPr>
            </w:pPr>
          </w:p>
        </w:tc>
        <w:tc>
          <w:tcPr>
            <w:tcW w:w="800" w:type="dxa"/>
            <w:vAlign w:val="bottom"/>
            <w:gridSpan w:val="2"/>
            <w:vMerge w:val="continue"/>
            <w:shd w:val="clear" w:color="auto" w:fill="E5E5E5"/>
          </w:tcPr>
          <w:p>
            <w:pPr>
              <w:spacing w:after="0"/>
              <w:rPr>
                <w:sz w:val="17"/>
                <w:szCs w:val="17"/>
                <w:color w:val="auto"/>
              </w:rPr>
            </w:pPr>
          </w:p>
        </w:tc>
        <w:tc>
          <w:tcPr>
            <w:tcW w:w="260" w:type="dxa"/>
            <w:vAlign w:val="bottom"/>
            <w:vMerge w:val="continue"/>
            <w:shd w:val="clear" w:color="auto" w:fill="E5E5E5"/>
          </w:tcPr>
          <w:p>
            <w:pPr>
              <w:spacing w:after="0"/>
              <w:rPr>
                <w:sz w:val="17"/>
                <w:szCs w:val="17"/>
                <w:color w:val="auto"/>
              </w:rPr>
            </w:pPr>
          </w:p>
        </w:tc>
        <w:tc>
          <w:tcPr>
            <w:tcW w:w="660" w:type="dxa"/>
            <w:vAlign w:val="bottom"/>
            <w:vMerge w:val="continue"/>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4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13,256</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16,879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ind w:left="480"/>
              <w:spacing w:after="0"/>
              <w:rPr>
                <w:sz w:val="20"/>
                <w:szCs w:val="20"/>
                <w:color w:val="auto"/>
              </w:rPr>
            </w:pPr>
            <w:r>
              <w:rPr>
                <w:rFonts w:ascii="Arial" w:cs="Arial" w:eastAsia="Arial" w:hAnsi="Arial"/>
                <w:sz w:val="16"/>
                <w:szCs w:val="16"/>
                <w:color w:val="auto"/>
                <w:w w:val="89"/>
              </w:rPr>
              <w:t>47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30,182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223</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30,469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34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260" w:type="dxa"/>
            <w:vAlign w:val="bottom"/>
            <w:shd w:val="clear" w:color="auto" w:fill="E5E5E5"/>
          </w:tcPr>
          <w:p>
            <w:pPr>
              <w:spacing w:after="0"/>
              <w:rPr>
                <w:sz w:val="17"/>
                <w:szCs w:val="17"/>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12,138</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648</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880" w:type="dxa"/>
            <w:vAlign w:val="bottom"/>
            <w:gridSpan w:val="2"/>
            <w:shd w:val="clear" w:color="auto" w:fill="E5E5E5"/>
          </w:tcPr>
          <w:p>
            <w:pPr>
              <w:ind w:left="340"/>
              <w:spacing w:after="0"/>
              <w:rPr>
                <w:sz w:val="20"/>
                <w:szCs w:val="20"/>
                <w:color w:val="auto"/>
              </w:rPr>
            </w:pPr>
            <w:r>
              <w:rPr>
                <w:rFonts w:ascii="Arial" w:cs="Arial" w:eastAsia="Arial" w:hAnsi="Arial"/>
                <w:sz w:val="16"/>
                <w:szCs w:val="16"/>
                <w:color w:val="auto"/>
              </w:rPr>
              <w:t>(255 )</w:t>
            </w:r>
          </w:p>
        </w:tc>
        <w:tc>
          <w:tcPr>
            <w:tcW w:w="30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12,531</w:t>
            </w:r>
          </w:p>
        </w:tc>
        <w:tc>
          <w:tcPr>
            <w:tcW w:w="2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18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111</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12,642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34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49,711</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18,126</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340"/>
              <w:spacing w:after="0"/>
              <w:rPr>
                <w:sz w:val="20"/>
                <w:szCs w:val="20"/>
                <w:color w:val="auto"/>
              </w:rPr>
            </w:pPr>
            <w:r>
              <w:rPr>
                <w:rFonts w:ascii="Arial" w:cs="Arial" w:eastAsia="Arial" w:hAnsi="Arial"/>
                <w:sz w:val="16"/>
                <w:szCs w:val="16"/>
                <w:color w:val="auto"/>
              </w:rPr>
              <w:t>(313 )</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67,524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128</w:t>
            </w:r>
          </w:p>
        </w:tc>
        <w:tc>
          <w:tcPr>
            <w:tcW w:w="20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67,886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3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0"/>
        </w:trPr>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auto"/>
              </w:rPr>
              <w:t>79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34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64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30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300" w:type="dxa"/>
            <w:vAlign w:val="bottom"/>
            <w:tcBorders>
              <w:bottom w:val="single" w:sz="8" w:color="EEEEEE"/>
            </w:tcBorders>
          </w:tcPr>
          <w:p>
            <w:pPr>
              <w:spacing w:after="0"/>
              <w:rPr>
                <w:sz w:val="7"/>
                <w:szCs w:val="7"/>
                <w:color w:val="auto"/>
              </w:rPr>
            </w:pPr>
          </w:p>
        </w:tc>
        <w:tc>
          <w:tcPr>
            <w:tcW w:w="70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180" w:type="dxa"/>
            <w:vAlign w:val="bottom"/>
            <w:tcBorders>
              <w:bottom w:val="single" w:sz="8" w:color="EEEEEE"/>
            </w:tcBorders>
          </w:tcPr>
          <w:p>
            <w:pPr>
              <w:spacing w:after="0"/>
              <w:rPr>
                <w:sz w:val="7"/>
                <w:szCs w:val="7"/>
                <w:color w:val="auto"/>
              </w:rPr>
            </w:pPr>
          </w:p>
        </w:tc>
        <w:tc>
          <w:tcPr>
            <w:tcW w:w="360" w:type="dxa"/>
            <w:vAlign w:val="bottom"/>
            <w:tcBorders>
              <w:bottom w:val="single" w:sz="8" w:color="EEEEEE"/>
            </w:tcBorders>
          </w:tcPr>
          <w:p>
            <w:pPr>
              <w:spacing w:after="0"/>
              <w:rPr>
                <w:sz w:val="7"/>
                <w:szCs w:val="7"/>
                <w:color w:val="auto"/>
              </w:rPr>
            </w:pPr>
          </w:p>
        </w:tc>
        <w:tc>
          <w:tcPr>
            <w:tcW w:w="60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66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2049145</wp:posOffset>
            </wp:positionH>
            <wp:positionV relativeFrom="paragraph">
              <wp:posOffset>-469265</wp:posOffset>
            </wp:positionV>
            <wp:extent cx="93980" cy="863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-469265</wp:posOffset>
            </wp:positionV>
            <wp:extent cx="93980" cy="863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-469265</wp:posOffset>
            </wp:positionV>
            <wp:extent cx="93980" cy="863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-469265</wp:posOffset>
            </wp:positionV>
            <wp:extent cx="93980" cy="863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-469265</wp:posOffset>
            </wp:positionV>
            <wp:extent cx="86360" cy="863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-469265</wp:posOffset>
            </wp:positionV>
            <wp:extent cx="86360" cy="863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-469265</wp:posOffset>
            </wp:positionV>
            <wp:extent cx="86360" cy="863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spacing w:after="0" w:line="125"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Impairment</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We test goodwill for impairment annually on May 1 at the reporting unit level, primarily using a discounted cash flow methodology with a peer -based, risk-adjusted weighted average cost of capital. We believe use of a discounted cash flow approach is the most reliable indicator of the fair values of the businesses.</w:t>
      </w:r>
    </w:p>
    <w:p>
      <w:pPr>
        <w:spacing w:after="0" w:line="12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No instances of impairment were identified in our May 1, 2023, May 1, 2022, or May 1, 2021 tests. As of June 30, 2023 and 2022, accumulated goodwill impairment was $11.3 billion.</w:t>
      </w:r>
    </w:p>
    <w:p>
      <w:pPr>
        <w:spacing w:after="0" w:line="190" w:lineRule="exact"/>
        <w:rPr>
          <w:sz w:val="20"/>
          <w:szCs w:val="20"/>
          <w:color w:val="auto"/>
        </w:rPr>
      </w:pPr>
    </w:p>
    <w:p>
      <w:pPr>
        <w:ind w:left="4040"/>
        <w:spacing w:after="0"/>
        <w:rPr>
          <w:sz w:val="20"/>
          <w:szCs w:val="20"/>
          <w:color w:val="auto"/>
        </w:rPr>
      </w:pPr>
      <w:r>
        <w:rPr>
          <w:rFonts w:ascii="Arial" w:cs="Arial" w:eastAsia="Arial" w:hAnsi="Arial"/>
          <w:sz w:val="16"/>
          <w:szCs w:val="16"/>
          <w:u w:val="single" w:color="auto"/>
          <w:color w:val="auto"/>
        </w:rPr>
        <w:t>NOTE 10 — INTANGIBLE ASSETS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intangible assets, all of which are finite-lived,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Gross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Gross</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Carrying</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Net Carrying</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Carrying</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Accumulated</w:t>
            </w:r>
          </w:p>
        </w:tc>
        <w:tc>
          <w:tcPr>
            <w:tcW w:w="18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Net Carrying</w:t>
            </w:r>
          </w:p>
        </w:tc>
      </w:tr>
      <w:tr>
        <w:trPr>
          <w:trHeight w:val="167"/>
        </w:trPr>
        <w:tc>
          <w:tcPr>
            <w:tcW w:w="28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Amortization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Amortization</w:t>
            </w:r>
          </w:p>
        </w:tc>
        <w:tc>
          <w:tcPr>
            <w:tcW w:w="1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Amount</w:t>
            </w:r>
          </w:p>
        </w:tc>
      </w:tr>
      <w:tr>
        <w:trPr>
          <w:trHeight w:val="324"/>
        </w:trPr>
        <w:tc>
          <w:tcPr>
            <w:tcW w:w="286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4"/>
                <w:szCs w:val="24"/>
                <w:color w:val="auto"/>
              </w:rPr>
            </w:pPr>
          </w:p>
        </w:tc>
      </w:tr>
      <w:tr>
        <w:trPr>
          <w:trHeight w:val="112"/>
        </w:trPr>
        <w:tc>
          <w:tcPr>
            <w:tcW w:w="28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04"/>
        </w:trPr>
        <w:tc>
          <w:tcPr>
            <w:tcW w:w="2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Technology-based</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11,245</w:t>
            </w:r>
          </w:p>
        </w:tc>
        <w:tc>
          <w:tcPr>
            <w:tcW w:w="5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(7,589)</w:t>
            </w:r>
          </w:p>
        </w:tc>
        <w:tc>
          <w:tcPr>
            <w:tcW w:w="220" w:type="dxa"/>
            <w:vAlign w:val="bottom"/>
            <w:shd w:val="clear" w:color="auto" w:fill="E5E5E5"/>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3,656</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11,277</w:t>
            </w:r>
          </w:p>
        </w:tc>
        <w:tc>
          <w:tcPr>
            <w:tcW w:w="5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(6,958)</w:t>
            </w:r>
          </w:p>
        </w:tc>
        <w:tc>
          <w:tcPr>
            <w:tcW w:w="18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4,319</w:t>
            </w:r>
          </w:p>
        </w:tc>
        <w:tc>
          <w:tcPr>
            <w:tcW w:w="80" w:type="dxa"/>
            <w:vAlign w:val="bottom"/>
            <w:shd w:val="clear" w:color="auto" w:fill="E5E5E5"/>
          </w:tcPr>
          <w:p>
            <w:pPr>
              <w:spacing w:after="0"/>
              <w:rPr>
                <w:sz w:val="17"/>
                <w:szCs w:val="17"/>
                <w:color w:val="auto"/>
              </w:rPr>
            </w:pPr>
          </w:p>
        </w:tc>
      </w:tr>
      <w:tr>
        <w:trPr>
          <w:trHeight w:val="204"/>
        </w:trPr>
        <w:tc>
          <w:tcPr>
            <w:tcW w:w="2860" w:type="dxa"/>
            <w:vAlign w:val="bottom"/>
          </w:tcPr>
          <w:p>
            <w:pPr>
              <w:ind w:left="20"/>
              <w:spacing w:after="0"/>
              <w:rPr>
                <w:sz w:val="20"/>
                <w:szCs w:val="20"/>
                <w:color w:val="auto"/>
              </w:rPr>
            </w:pPr>
            <w:r>
              <w:rPr>
                <w:rFonts w:ascii="Arial" w:cs="Arial" w:eastAsia="Arial" w:hAnsi="Arial"/>
                <w:sz w:val="16"/>
                <w:szCs w:val="16"/>
                <w:color w:val="auto"/>
              </w:rPr>
              <w:t>Customer-related</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7,281</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(4,047)</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3,234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7,342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(3,171)</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4,171</w:t>
            </w:r>
          </w:p>
        </w:tc>
        <w:tc>
          <w:tcPr>
            <w:tcW w:w="80" w:type="dxa"/>
            <w:vAlign w:val="bottom"/>
          </w:tcPr>
          <w:p>
            <w:pPr>
              <w:spacing w:after="0"/>
              <w:rPr>
                <w:sz w:val="17"/>
                <w:szCs w:val="17"/>
                <w:color w:val="auto"/>
              </w:rPr>
            </w:pPr>
          </w:p>
        </w:tc>
      </w:tr>
      <w:tr>
        <w:trPr>
          <w:trHeight w:val="204"/>
        </w:trPr>
        <w:tc>
          <w:tcPr>
            <w:tcW w:w="28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Marketing-related</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4,935</w:t>
            </w:r>
          </w:p>
        </w:tc>
        <w:tc>
          <w:tcPr>
            <w:tcW w:w="3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(2,473)</w:t>
            </w:r>
          </w:p>
        </w:tc>
        <w:tc>
          <w:tcPr>
            <w:tcW w:w="22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2,462</w:t>
            </w:r>
          </w:p>
        </w:tc>
        <w:tc>
          <w:tcPr>
            <w:tcW w:w="22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4,942</w:t>
            </w:r>
          </w:p>
        </w:tc>
        <w:tc>
          <w:tcPr>
            <w:tcW w:w="340" w:type="dxa"/>
            <w:vAlign w:val="bottom"/>
            <w:shd w:val="clear" w:color="auto" w:fill="E5E5E5"/>
          </w:tcPr>
          <w:p>
            <w:pPr>
              <w:spacing w:after="0"/>
              <w:rPr>
                <w:sz w:val="17"/>
                <w:szCs w:val="17"/>
                <w:color w:val="auto"/>
              </w:rPr>
            </w:pPr>
          </w:p>
        </w:tc>
        <w:tc>
          <w:tcPr>
            <w:tcW w:w="180" w:type="dxa"/>
            <w:vAlign w:val="bottom"/>
            <w:shd w:val="clear" w:color="auto" w:fill="E5E5E5"/>
          </w:tcPr>
          <w:p>
            <w:pPr>
              <w:spacing w:after="0"/>
              <w:rPr>
                <w:sz w:val="17"/>
                <w:szCs w:val="17"/>
                <w:color w:val="auto"/>
              </w:rPr>
            </w:pP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(2,143)</w:t>
            </w:r>
          </w:p>
        </w:tc>
        <w:tc>
          <w:tcPr>
            <w:tcW w:w="180" w:type="dxa"/>
            <w:vAlign w:val="bottom"/>
            <w:shd w:val="clear" w:color="auto" w:fill="E5E5E5"/>
          </w:tcPr>
          <w:p>
            <w:pPr>
              <w:spacing w:after="0"/>
              <w:rPr>
                <w:sz w:val="17"/>
                <w:szCs w:val="17"/>
                <w:color w:val="auto"/>
              </w:rPr>
            </w:pP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2,799</w:t>
            </w:r>
          </w:p>
        </w:tc>
        <w:tc>
          <w:tcPr>
            <w:tcW w:w="80" w:type="dxa"/>
            <w:vAlign w:val="bottom"/>
            <w:shd w:val="clear" w:color="auto" w:fill="E5E5E5"/>
          </w:tcPr>
          <w:p>
            <w:pPr>
              <w:spacing w:after="0"/>
              <w:rPr>
                <w:sz w:val="17"/>
                <w:szCs w:val="17"/>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6"/>
                <w:szCs w:val="16"/>
                <w:color w:val="auto"/>
              </w:rPr>
              <w:t>Contract-based</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r>
      <w:tr>
        <w:trPr>
          <w:trHeight w:val="131"/>
        </w:trPr>
        <w:tc>
          <w:tcPr>
            <w:tcW w:w="2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28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23,490</w:t>
            </w:r>
          </w:p>
        </w:tc>
        <w:tc>
          <w:tcPr>
            <w:tcW w:w="5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(14,124 )</w:t>
            </w:r>
          </w:p>
        </w:tc>
        <w:tc>
          <w:tcPr>
            <w:tcW w:w="220" w:type="dxa"/>
            <w:vAlign w:val="bottom"/>
            <w:shd w:val="clear" w:color="auto" w:fill="E5E5E5"/>
          </w:tcPr>
          <w:p>
            <w:pPr>
              <w:jc w:val="right"/>
              <w:ind w:right="42"/>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9,366</w:t>
            </w:r>
          </w:p>
        </w:tc>
        <w:tc>
          <w:tcPr>
            <w:tcW w:w="56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23,577</w:t>
            </w:r>
          </w:p>
        </w:tc>
        <w:tc>
          <w:tcPr>
            <w:tcW w:w="520" w:type="dxa"/>
            <w:vAlign w:val="bottom"/>
            <w:gridSpan w:val="2"/>
            <w:shd w:val="clear" w:color="auto" w:fill="E5E5E5"/>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(12,279 )</w:t>
            </w:r>
          </w:p>
        </w:tc>
        <w:tc>
          <w:tcPr>
            <w:tcW w:w="180" w:type="dxa"/>
            <w:vAlign w:val="bottom"/>
            <w:shd w:val="clear" w:color="auto" w:fill="E5E5E5"/>
          </w:tcPr>
          <w:p>
            <w:pPr>
              <w:jc w:val="right"/>
              <w:ind w:right="2"/>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11,298</w:t>
            </w:r>
          </w:p>
        </w:tc>
        <w:tc>
          <w:tcPr>
            <w:tcW w:w="80" w:type="dxa"/>
            <w:vAlign w:val="bottom"/>
            <w:shd w:val="clear" w:color="auto" w:fill="E5E5E5"/>
          </w:tcPr>
          <w:p>
            <w:pPr>
              <w:spacing w:after="0"/>
              <w:rPr>
                <w:sz w:val="17"/>
                <w:szCs w:val="17"/>
                <w:color w:val="auto"/>
              </w:rPr>
            </w:pPr>
          </w:p>
        </w:tc>
      </w:tr>
      <w:tr>
        <w:trPr>
          <w:trHeight w:val="76"/>
        </w:trPr>
        <w:tc>
          <w:tcPr>
            <w:tcW w:w="286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-73025</wp:posOffset>
            </wp:positionV>
            <wp:extent cx="162560" cy="863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2560" cy="8636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-73025</wp:posOffset>
            </wp:positionV>
            <wp:extent cx="93980" cy="863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-73025</wp:posOffset>
            </wp:positionV>
            <wp:extent cx="93980" cy="863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-73025</wp:posOffset>
            </wp:positionV>
            <wp:extent cx="185420" cy="863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5420" cy="86360"/>
                    </a:xfrm>
                    <a:prstGeom prst="rect">
                      <a:avLst/>
                    </a:prstGeom>
                    <a:noFill/>
                  </pic:spPr>
                </pic:pic>
              </a:graphicData>
            </a:graphic>
          </wp:anchor>
        </w:drawing>
        <w:drawing>
          <wp:anchor simplePos="0" relativeHeight="251657728" behindDoc="1" locked="0" layoutInCell="0" allowOverlap="1">
            <wp:simplePos x="0" y="0"/>
            <wp:positionH relativeFrom="column">
              <wp:posOffset>5868035</wp:posOffset>
            </wp:positionH>
            <wp:positionV relativeFrom="paragraph">
              <wp:posOffset>-73025</wp:posOffset>
            </wp:positionV>
            <wp:extent cx="86360" cy="863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No material impairments of intangible assets were identified during fiscal years 2023, 2022, or 2021. We estimate that we have no significant residual value related to our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intangible assets acquired during the periods presented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jc w:val="right"/>
              <w:ind w:right="147"/>
              <w:spacing w:after="0"/>
              <w:rPr>
                <w:sz w:val="20"/>
                <w:szCs w:val="20"/>
                <w:color w:val="auto"/>
              </w:rPr>
            </w:pPr>
            <w:r>
              <w:rPr>
                <w:rFonts w:ascii="Arial" w:cs="Arial" w:eastAsia="Arial" w:hAnsi="Arial"/>
                <w:sz w:val="12"/>
                <w:szCs w:val="12"/>
                <w:b w:val="1"/>
                <w:bCs w:val="1"/>
                <w:color w:val="auto"/>
              </w:rPr>
              <w:t>Weighted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20" w:type="dxa"/>
            <w:vAlign w:val="bottom"/>
          </w:tcPr>
          <w:p>
            <w:pPr>
              <w:jc w:val="right"/>
              <w:ind w:right="27"/>
              <w:spacing w:after="0"/>
              <w:rPr>
                <w:sz w:val="20"/>
                <w:szCs w:val="20"/>
                <w:color w:val="auto"/>
              </w:rPr>
            </w:pPr>
            <w:r>
              <w:rPr>
                <w:rFonts w:ascii="Arial" w:cs="Arial" w:eastAsia="Arial" w:hAnsi="Arial"/>
                <w:sz w:val="12"/>
                <w:szCs w:val="12"/>
                <w:b w:val="1"/>
                <w:bCs w:val="1"/>
                <w:color w:val="auto"/>
              </w:rPr>
              <w:t>Weighted</w:t>
            </w:r>
          </w:p>
        </w:tc>
      </w:tr>
      <w:tr>
        <w:trPr>
          <w:trHeight w:val="167"/>
        </w:trPr>
        <w:tc>
          <w:tcPr>
            <w:tcW w:w="60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1500" w:type="dxa"/>
            <w:vAlign w:val="bottom"/>
          </w:tcPr>
          <w:p>
            <w:pPr>
              <w:jc w:val="right"/>
              <w:ind w:right="147"/>
              <w:spacing w:after="0"/>
              <w:rPr>
                <w:sz w:val="20"/>
                <w:szCs w:val="20"/>
                <w:color w:val="auto"/>
              </w:rPr>
            </w:pPr>
            <w:r>
              <w:rPr>
                <w:rFonts w:ascii="Arial" w:cs="Arial" w:eastAsia="Arial" w:hAnsi="Arial"/>
                <w:sz w:val="12"/>
                <w:szCs w:val="12"/>
                <w:b w:val="1"/>
                <w:bCs w:val="1"/>
                <w:color w:val="auto"/>
              </w:rPr>
              <w:t>Average Life</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1320" w:type="dxa"/>
            <w:vAlign w:val="bottom"/>
          </w:tcPr>
          <w:p>
            <w:pPr>
              <w:jc w:val="right"/>
              <w:ind w:right="27"/>
              <w:spacing w:after="0"/>
              <w:rPr>
                <w:sz w:val="20"/>
                <w:szCs w:val="20"/>
                <w:color w:val="auto"/>
              </w:rPr>
            </w:pPr>
            <w:r>
              <w:rPr>
                <w:rFonts w:ascii="Arial" w:cs="Arial" w:eastAsia="Arial" w:hAnsi="Arial"/>
                <w:sz w:val="12"/>
                <w:szCs w:val="12"/>
                <w:b w:val="1"/>
                <w:bCs w:val="1"/>
                <w:color w:val="auto"/>
              </w:rPr>
              <w:t>Average Life</w:t>
            </w:r>
          </w:p>
        </w:tc>
      </w:tr>
      <w:tr>
        <w:trPr>
          <w:trHeight w:val="324"/>
        </w:trPr>
        <w:tc>
          <w:tcPr>
            <w:tcW w:w="604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320" w:type="dxa"/>
            <w:vAlign w:val="bottom"/>
          </w:tcPr>
          <w:p>
            <w:pPr>
              <w:spacing w:after="0"/>
              <w:rPr>
                <w:sz w:val="24"/>
                <w:szCs w:val="24"/>
                <w:color w:val="auto"/>
              </w:rPr>
            </w:pPr>
          </w:p>
        </w:tc>
      </w:tr>
      <w:tr>
        <w:trPr>
          <w:trHeight w:val="76"/>
        </w:trPr>
        <w:tc>
          <w:tcPr>
            <w:tcW w:w="60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04"/>
        </w:trPr>
        <w:tc>
          <w:tcPr>
            <w:tcW w:w="6040" w:type="dxa"/>
            <w:vAlign w:val="bottom"/>
            <w:shd w:val="clear" w:color="auto" w:fill="E5E5E5"/>
          </w:tcPr>
          <w:p>
            <w:pPr>
              <w:ind w:left="20"/>
              <w:spacing w:after="0"/>
              <w:rPr>
                <w:sz w:val="20"/>
                <w:szCs w:val="20"/>
                <w:color w:val="auto"/>
              </w:rPr>
            </w:pPr>
            <w:r>
              <w:rPr>
                <w:rFonts w:ascii="Arial" w:cs="Arial" w:eastAsia="Arial" w:hAnsi="Arial"/>
                <w:sz w:val="16"/>
                <w:szCs w:val="16"/>
                <w:color w:val="auto"/>
              </w:rPr>
              <w:t>Technology-based</w:t>
            </w: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522</w:t>
            </w:r>
          </w:p>
        </w:tc>
        <w:tc>
          <w:tcPr>
            <w:tcW w:w="1500" w:type="dxa"/>
            <w:vAlign w:val="bottom"/>
            <w:shd w:val="clear" w:color="auto" w:fill="E5E5E5"/>
          </w:tcPr>
          <w:p>
            <w:pPr>
              <w:jc w:val="right"/>
              <w:ind w:right="147"/>
              <w:spacing w:after="0"/>
              <w:rPr>
                <w:sz w:val="20"/>
                <w:szCs w:val="20"/>
                <w:color w:val="auto"/>
              </w:rPr>
            </w:pPr>
            <w:r>
              <w:rPr>
                <w:rFonts w:ascii="Arial" w:cs="Arial" w:eastAsia="Arial" w:hAnsi="Arial"/>
                <w:sz w:val="16"/>
                <w:szCs w:val="16"/>
                <w:b w:val="1"/>
                <w:bCs w:val="1"/>
                <w:color w:val="auto"/>
              </w:rPr>
              <w:t>7 years</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2,611</w:t>
            </w:r>
          </w:p>
        </w:tc>
        <w:tc>
          <w:tcPr>
            <w:tcW w:w="1320" w:type="dxa"/>
            <w:vAlign w:val="bottom"/>
            <w:shd w:val="clear" w:color="auto" w:fill="E5E5E5"/>
          </w:tcPr>
          <w:p>
            <w:pPr>
              <w:jc w:val="right"/>
              <w:ind w:right="27"/>
              <w:spacing w:after="0"/>
              <w:rPr>
                <w:sz w:val="20"/>
                <w:szCs w:val="20"/>
                <w:color w:val="auto"/>
              </w:rPr>
            </w:pPr>
            <w:r>
              <w:rPr>
                <w:rFonts w:ascii="Arial" w:cs="Arial" w:eastAsia="Arial" w:hAnsi="Arial"/>
                <w:sz w:val="16"/>
                <w:szCs w:val="16"/>
                <w:color w:val="auto"/>
              </w:rPr>
              <w:t>4 years</w:t>
            </w:r>
          </w:p>
        </w:tc>
      </w:tr>
      <w:tr>
        <w:trPr>
          <w:trHeight w:val="204"/>
        </w:trPr>
        <w:tc>
          <w:tcPr>
            <w:tcW w:w="6040" w:type="dxa"/>
            <w:vAlign w:val="bottom"/>
          </w:tcPr>
          <w:p>
            <w:pPr>
              <w:ind w:left="20"/>
              <w:spacing w:after="0"/>
              <w:rPr>
                <w:sz w:val="20"/>
                <w:szCs w:val="20"/>
                <w:color w:val="auto"/>
              </w:rPr>
            </w:pPr>
            <w:r>
              <w:rPr>
                <w:rFonts w:ascii="Arial" w:cs="Arial" w:eastAsia="Arial" w:hAnsi="Arial"/>
                <w:sz w:val="16"/>
                <w:szCs w:val="16"/>
                <w:color w:val="auto"/>
              </w:rPr>
              <w:t>Customer-related</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500" w:type="dxa"/>
            <w:vAlign w:val="bottom"/>
          </w:tcPr>
          <w:p>
            <w:pPr>
              <w:jc w:val="right"/>
              <w:ind w:right="147"/>
              <w:spacing w:after="0"/>
              <w:rPr>
                <w:sz w:val="20"/>
                <w:szCs w:val="20"/>
                <w:color w:val="auto"/>
              </w:rPr>
            </w:pPr>
            <w:r>
              <w:rPr>
                <w:rFonts w:ascii="Arial" w:cs="Arial" w:eastAsia="Arial" w:hAnsi="Arial"/>
                <w:sz w:val="16"/>
                <w:szCs w:val="16"/>
                <w:b w:val="1"/>
                <w:bCs w:val="1"/>
                <w:color w:val="auto"/>
              </w:rPr>
              <w:t>0 years</w:t>
            </w: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2,837</w:t>
            </w: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9 years</w:t>
            </w:r>
          </w:p>
        </w:tc>
      </w:tr>
      <w:tr>
        <w:trPr>
          <w:trHeight w:val="204"/>
        </w:trPr>
        <w:tc>
          <w:tcPr>
            <w:tcW w:w="604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Marketing-related</w:t>
            </w:r>
          </w:p>
        </w:tc>
        <w:tc>
          <w:tcPr>
            <w:tcW w:w="2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w:t>
            </w:r>
          </w:p>
        </w:tc>
        <w:tc>
          <w:tcPr>
            <w:tcW w:w="1500" w:type="dxa"/>
            <w:vAlign w:val="bottom"/>
            <w:shd w:val="clear" w:color="auto" w:fill="E5E5E5"/>
          </w:tcPr>
          <w:p>
            <w:pPr>
              <w:jc w:val="right"/>
              <w:ind w:right="147"/>
              <w:spacing w:after="0"/>
              <w:rPr>
                <w:sz w:val="20"/>
                <w:szCs w:val="20"/>
                <w:color w:val="auto"/>
              </w:rPr>
            </w:pPr>
            <w:r>
              <w:rPr>
                <w:rFonts w:ascii="Arial" w:cs="Arial" w:eastAsia="Arial" w:hAnsi="Arial"/>
                <w:sz w:val="16"/>
                <w:szCs w:val="16"/>
                <w:b w:val="1"/>
                <w:bCs w:val="1"/>
                <w:color w:val="auto"/>
              </w:rPr>
              <w:t>5 years</w:t>
            </w:r>
          </w:p>
        </w:tc>
        <w:tc>
          <w:tcPr>
            <w:tcW w:w="240" w:type="dxa"/>
            <w:vAlign w:val="bottom"/>
            <w:shd w:val="clear" w:color="auto" w:fill="E5E5E5"/>
          </w:tcPr>
          <w:p>
            <w:pPr>
              <w:spacing w:after="0"/>
              <w:rPr>
                <w:sz w:val="17"/>
                <w:szCs w:val="17"/>
                <w:color w:val="auto"/>
              </w:rPr>
            </w:pP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233</w:t>
            </w:r>
          </w:p>
        </w:tc>
        <w:tc>
          <w:tcPr>
            <w:tcW w:w="1320" w:type="dxa"/>
            <w:vAlign w:val="bottom"/>
            <w:shd w:val="clear" w:color="auto" w:fill="E5E5E5"/>
          </w:tcPr>
          <w:p>
            <w:pPr>
              <w:jc w:val="right"/>
              <w:ind w:right="27"/>
              <w:spacing w:after="0"/>
              <w:rPr>
                <w:sz w:val="20"/>
                <w:szCs w:val="20"/>
                <w:color w:val="auto"/>
              </w:rPr>
            </w:pPr>
            <w:r>
              <w:rPr>
                <w:rFonts w:ascii="Arial" w:cs="Arial" w:eastAsia="Arial" w:hAnsi="Arial"/>
                <w:sz w:val="16"/>
                <w:szCs w:val="16"/>
                <w:color w:val="auto"/>
              </w:rPr>
              <w:t>4 years</w:t>
            </w: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color w:val="auto"/>
              </w:rPr>
              <w:t>Contract-based</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500" w:type="dxa"/>
            <w:vAlign w:val="bottom"/>
          </w:tcPr>
          <w:p>
            <w:pPr>
              <w:jc w:val="right"/>
              <w:ind w:right="147"/>
              <w:spacing w:after="0"/>
              <w:rPr>
                <w:sz w:val="20"/>
                <w:szCs w:val="20"/>
                <w:color w:val="auto"/>
              </w:rPr>
            </w:pPr>
            <w:r>
              <w:rPr>
                <w:rFonts w:ascii="Arial" w:cs="Arial" w:eastAsia="Arial" w:hAnsi="Arial"/>
                <w:sz w:val="16"/>
                <w:szCs w:val="16"/>
                <w:b w:val="1"/>
                <w:bCs w:val="1"/>
                <w:color w:val="auto"/>
              </w:rPr>
              <w:t>3 years</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7"/>
              <w:spacing w:after="0"/>
              <w:rPr>
                <w:sz w:val="20"/>
                <w:szCs w:val="20"/>
                <w:color w:val="auto"/>
              </w:rPr>
            </w:pPr>
            <w:r>
              <w:rPr>
                <w:rFonts w:ascii="Arial" w:cs="Arial" w:eastAsia="Arial" w:hAnsi="Arial"/>
                <w:sz w:val="16"/>
                <w:szCs w:val="16"/>
                <w:color w:val="auto"/>
              </w:rPr>
              <w:t>0 years</w:t>
            </w:r>
          </w:p>
        </w:tc>
      </w:tr>
      <w:tr>
        <w:trPr>
          <w:trHeight w:val="131"/>
        </w:trPr>
        <w:tc>
          <w:tcPr>
            <w:tcW w:w="6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04"/>
        </w:trPr>
        <w:tc>
          <w:tcPr>
            <w:tcW w:w="60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E5E5E5"/>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541</w:t>
            </w:r>
          </w:p>
        </w:tc>
        <w:tc>
          <w:tcPr>
            <w:tcW w:w="1500" w:type="dxa"/>
            <w:vAlign w:val="bottom"/>
            <w:shd w:val="clear" w:color="auto" w:fill="E5E5E5"/>
          </w:tcPr>
          <w:p>
            <w:pPr>
              <w:jc w:val="right"/>
              <w:ind w:right="147"/>
              <w:spacing w:after="0"/>
              <w:rPr>
                <w:sz w:val="20"/>
                <w:szCs w:val="20"/>
                <w:color w:val="auto"/>
              </w:rPr>
            </w:pPr>
            <w:r>
              <w:rPr>
                <w:rFonts w:ascii="Arial" w:cs="Arial" w:eastAsia="Arial" w:hAnsi="Arial"/>
                <w:sz w:val="16"/>
                <w:szCs w:val="16"/>
                <w:b w:val="1"/>
                <w:bCs w:val="1"/>
                <w:color w:val="auto"/>
              </w:rPr>
              <w:t>6 years</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5,681</w:t>
            </w:r>
          </w:p>
        </w:tc>
        <w:tc>
          <w:tcPr>
            <w:tcW w:w="1320" w:type="dxa"/>
            <w:vAlign w:val="bottom"/>
            <w:shd w:val="clear" w:color="auto" w:fill="E5E5E5"/>
          </w:tcPr>
          <w:p>
            <w:pPr>
              <w:jc w:val="right"/>
              <w:ind w:right="27"/>
              <w:spacing w:after="0"/>
              <w:rPr>
                <w:sz w:val="20"/>
                <w:szCs w:val="20"/>
                <w:color w:val="auto"/>
              </w:rPr>
            </w:pPr>
            <w:r>
              <w:rPr>
                <w:rFonts w:ascii="Arial" w:cs="Arial" w:eastAsia="Arial" w:hAnsi="Arial"/>
                <w:sz w:val="16"/>
                <w:szCs w:val="16"/>
                <w:color w:val="auto"/>
              </w:rPr>
              <w:t>7 years</w:t>
            </w:r>
          </w:p>
        </w:tc>
      </w:tr>
      <w:tr>
        <w:trPr>
          <w:trHeight w:val="76"/>
        </w:trPr>
        <w:tc>
          <w:tcPr>
            <w:tcW w:w="604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5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32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4358640</wp:posOffset>
            </wp:positionH>
            <wp:positionV relativeFrom="paragraph">
              <wp:posOffset>-73025</wp:posOffset>
            </wp:positionV>
            <wp:extent cx="93980" cy="863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amortization expense was $2.5 billion, $2.0 billion, and $1.6 billion for fiscal years 2023, 2022, and 2021, respectively.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38"/>
        </w:trPr>
        <w:tc>
          <w:tcPr>
            <w:tcW w:w="3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PART II</w:t>
            </w:r>
          </w:p>
        </w:tc>
        <w:tc>
          <w:tcPr>
            <w:tcW w:w="1140" w:type="dxa"/>
            <w:vAlign w:val="bottom"/>
            <w:gridSpan w:val="2"/>
          </w:tcPr>
          <w:p>
            <w:pPr>
              <w:spacing w:after="0"/>
              <w:rPr>
                <w:sz w:val="12"/>
                <w:szCs w:val="12"/>
                <w:color w:val="auto"/>
              </w:rPr>
            </w:pPr>
          </w:p>
        </w:tc>
        <w:tc>
          <w:tcPr>
            <w:tcW w:w="1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gridSpan w:val="3"/>
          </w:tcPr>
          <w:p>
            <w:pPr>
              <w:jc w:val="center"/>
              <w:ind w:right="1140"/>
              <w:spacing w:after="0"/>
              <w:rPr>
                <w:sz w:val="20"/>
                <w:szCs w:val="20"/>
                <w:color w:val="auto"/>
              </w:rPr>
            </w:pPr>
            <w:r>
              <w:rPr>
                <w:rFonts w:ascii="Arial" w:cs="Arial" w:eastAsia="Arial" w:hAnsi="Arial"/>
                <w:sz w:val="12"/>
                <w:szCs w:val="12"/>
                <w:color w:val="auto"/>
              </w:rPr>
              <w:t>Item 8</w:t>
            </w:r>
          </w:p>
        </w:tc>
        <w:tc>
          <w:tcPr>
            <w:tcW w:w="1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2"/>
        </w:trPr>
        <w:tc>
          <w:tcPr>
            <w:tcW w:w="8780" w:type="dxa"/>
            <w:vAlign w:val="bottom"/>
            <w:gridSpan w:val="8"/>
          </w:tcPr>
          <w:p>
            <w:pPr>
              <w:spacing w:after="0"/>
              <w:rPr>
                <w:sz w:val="20"/>
                <w:szCs w:val="20"/>
                <w:color w:val="auto"/>
              </w:rPr>
            </w:pPr>
            <w:r>
              <w:rPr>
                <w:rFonts w:ascii="Arial" w:cs="Arial" w:eastAsia="Arial" w:hAnsi="Arial"/>
                <w:sz w:val="16"/>
                <w:szCs w:val="16"/>
                <w:color w:val="auto"/>
              </w:rPr>
              <w:t>The following table outlines the estimated future amortization expense related to intangible assets held as of June 30, 2023:</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80" w:type="dxa"/>
            <w:vAlign w:val="bottom"/>
          </w:tcPr>
          <w:p>
            <w:pPr>
              <w:ind w:left="20"/>
              <w:spacing w:after="0"/>
              <w:rPr>
                <w:sz w:val="20"/>
                <w:szCs w:val="20"/>
                <w:color w:val="auto"/>
              </w:rPr>
            </w:pPr>
            <w:r>
              <w:rPr>
                <w:rFonts w:ascii="Arial" w:cs="Arial" w:eastAsia="Arial" w:hAnsi="Arial"/>
                <w:sz w:val="12"/>
                <w:szCs w:val="12"/>
                <w:b w:val="1"/>
                <w:bCs w:val="1"/>
                <w:color w:val="auto"/>
              </w:rPr>
              <w:t>Year Ending June 30,</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2024</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384"/>
              <w:spacing w:after="0"/>
              <w:rPr>
                <w:sz w:val="20"/>
                <w:szCs w:val="20"/>
                <w:color w:val="auto"/>
              </w:rPr>
            </w:pPr>
            <w:r>
              <w:rPr>
                <w:rFonts w:ascii="Arial" w:cs="Arial" w:eastAsia="Arial" w:hAnsi="Arial"/>
                <w:sz w:val="16"/>
                <w:szCs w:val="16"/>
                <w:b w:val="1"/>
                <w:bCs w:val="1"/>
                <w:color w:val="auto"/>
                <w:w w:val="89"/>
              </w:rPr>
              <w:t>$</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2,363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2025</w:t>
            </w: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1,881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2026</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1,381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2027</w:t>
            </w: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929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2028</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652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384"/>
              <w:spacing w:after="0"/>
              <w:rPr>
                <w:sz w:val="20"/>
                <w:szCs w:val="20"/>
                <w:color w:val="auto"/>
              </w:rPr>
            </w:pPr>
            <w:r>
              <w:rPr>
                <w:rFonts w:ascii="Arial" w:cs="Arial" w:eastAsia="Arial" w:hAnsi="Arial"/>
                <w:sz w:val="16"/>
                <w:szCs w:val="16"/>
                <w:b w:val="1"/>
                <w:bCs w:val="1"/>
                <w:color w:val="auto"/>
                <w:w w:val="89"/>
              </w:rPr>
              <w:t>$</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9,366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32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20" w:type="dxa"/>
            <w:vAlign w:val="bottom"/>
            <w:gridSpan w:val="4"/>
            <w:vMerge w:val="restart"/>
          </w:tcPr>
          <w:p>
            <w:pPr>
              <w:jc w:val="center"/>
              <w:ind w:right="680"/>
              <w:spacing w:after="0"/>
              <w:rPr>
                <w:sz w:val="20"/>
                <w:szCs w:val="20"/>
                <w:color w:val="auto"/>
              </w:rPr>
            </w:pPr>
            <w:r>
              <w:rPr>
                <w:rFonts w:ascii="Arial" w:cs="Arial" w:eastAsia="Arial" w:hAnsi="Arial"/>
                <w:sz w:val="16"/>
                <w:szCs w:val="16"/>
                <w:color w:val="auto"/>
                <w:w w:val="96"/>
              </w:rPr>
              <w:t>NOTE 11 — DEBT</w:t>
            </w: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6"/>
        </w:trPr>
        <w:tc>
          <w:tcPr>
            <w:tcW w:w="3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20" w:type="dxa"/>
            <w:vAlign w:val="bottom"/>
            <w:gridSpan w:val="4"/>
            <w:vMerge w:val="continue"/>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80" w:type="dxa"/>
            <w:vAlign w:val="bottom"/>
          </w:tcPr>
          <w:p>
            <w:pPr>
              <w:spacing w:after="0"/>
              <w:rPr>
                <w:sz w:val="20"/>
                <w:szCs w:val="20"/>
                <w:color w:val="auto"/>
              </w:rPr>
            </w:pPr>
            <w:r>
              <w:rPr>
                <w:rFonts w:ascii="Arial" w:cs="Arial" w:eastAsia="Arial" w:hAnsi="Arial"/>
                <w:sz w:val="16"/>
                <w:szCs w:val="16"/>
                <w:color w:val="auto"/>
              </w:rPr>
              <w:t>The components of debt were as follows:</w:t>
            </w:r>
          </w:p>
        </w:tc>
        <w:tc>
          <w:tcPr>
            <w:tcW w:w="13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280" w:type="dxa"/>
            <w:vAlign w:val="bottom"/>
          </w:tcPr>
          <w:p>
            <w:pPr>
              <w:spacing w:after="0"/>
              <w:rPr>
                <w:sz w:val="24"/>
                <w:szCs w:val="24"/>
                <w:color w:val="auto"/>
              </w:rPr>
            </w:pPr>
          </w:p>
        </w:tc>
        <w:tc>
          <w:tcPr>
            <w:tcW w:w="1340" w:type="dxa"/>
            <w:vAlign w:val="bottom"/>
          </w:tcPr>
          <w:p>
            <w:pPr>
              <w:jc w:val="right"/>
              <w:ind w:right="165"/>
              <w:spacing w:after="0"/>
              <w:rPr>
                <w:sz w:val="20"/>
                <w:szCs w:val="20"/>
                <w:color w:val="auto"/>
              </w:rPr>
            </w:pPr>
            <w:r>
              <w:rPr>
                <w:rFonts w:ascii="Arial" w:cs="Arial" w:eastAsia="Arial" w:hAnsi="Arial"/>
                <w:sz w:val="12"/>
                <w:szCs w:val="12"/>
                <w:b w:val="1"/>
                <w:bCs w:val="1"/>
                <w:color w:val="auto"/>
              </w:rPr>
              <w:t>Maturities</w:t>
            </w:r>
          </w:p>
        </w:tc>
        <w:tc>
          <w:tcPr>
            <w:tcW w:w="460" w:type="dxa"/>
            <w:vAlign w:val="bottom"/>
          </w:tcPr>
          <w:p>
            <w:pPr>
              <w:spacing w:after="0"/>
              <w:rPr>
                <w:sz w:val="24"/>
                <w:szCs w:val="24"/>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2"/>
                <w:szCs w:val="12"/>
                <w:b w:val="1"/>
                <w:bCs w:val="1"/>
                <w:color w:val="auto"/>
              </w:rPr>
              <w:t>Stated Interest</w:t>
            </w:r>
          </w:p>
        </w:tc>
        <w:tc>
          <w:tcPr>
            <w:tcW w:w="1760" w:type="dxa"/>
            <w:vAlign w:val="bottom"/>
          </w:tcPr>
          <w:p>
            <w:pPr>
              <w:jc w:val="right"/>
              <w:ind w:right="385"/>
              <w:spacing w:after="0"/>
              <w:rPr>
                <w:sz w:val="20"/>
                <w:szCs w:val="20"/>
                <w:color w:val="auto"/>
              </w:rPr>
            </w:pPr>
            <w:r>
              <w:rPr>
                <w:rFonts w:ascii="Arial" w:cs="Arial" w:eastAsia="Arial" w:hAnsi="Arial"/>
                <w:sz w:val="12"/>
                <w:szCs w:val="12"/>
                <w:b w:val="1"/>
                <w:bCs w:val="1"/>
                <w:color w:val="auto"/>
              </w:rPr>
              <w:t>Effective Interest</w:t>
            </w:r>
          </w:p>
        </w:tc>
        <w:tc>
          <w:tcPr>
            <w:tcW w:w="38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67"/>
        </w:trPr>
        <w:tc>
          <w:tcPr>
            <w:tcW w:w="3280" w:type="dxa"/>
            <w:vAlign w:val="bottom"/>
          </w:tcPr>
          <w:p>
            <w:pPr>
              <w:ind w:left="20"/>
              <w:spacing w:after="0"/>
              <w:rPr>
                <w:sz w:val="20"/>
                <w:szCs w:val="20"/>
                <w:color w:val="auto"/>
              </w:rPr>
            </w:pPr>
            <w:r>
              <w:rPr>
                <w:rFonts w:ascii="Arial" w:cs="Arial" w:eastAsia="Arial" w:hAnsi="Arial"/>
                <w:sz w:val="12"/>
                <w:szCs w:val="12"/>
                <w:b w:val="1"/>
                <w:bCs w:val="1"/>
                <w:color w:val="auto"/>
              </w:rPr>
              <w:t>(In millions, issuance by calendar year)</w:t>
            </w:r>
          </w:p>
        </w:tc>
        <w:tc>
          <w:tcPr>
            <w:tcW w:w="1340" w:type="dxa"/>
            <w:vAlign w:val="bottom"/>
          </w:tcPr>
          <w:p>
            <w:pPr>
              <w:jc w:val="right"/>
              <w:ind w:right="25"/>
              <w:spacing w:after="0"/>
              <w:rPr>
                <w:sz w:val="20"/>
                <w:szCs w:val="20"/>
                <w:color w:val="auto"/>
              </w:rPr>
            </w:pPr>
            <w:r>
              <w:rPr>
                <w:rFonts w:ascii="Arial" w:cs="Arial" w:eastAsia="Arial" w:hAnsi="Arial"/>
                <w:sz w:val="12"/>
                <w:szCs w:val="12"/>
                <w:b w:val="1"/>
                <w:bCs w:val="1"/>
                <w:color w:val="auto"/>
              </w:rPr>
              <w:t>(calendar year)</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rPr>
              <w:t>Rate</w:t>
            </w:r>
          </w:p>
        </w:tc>
        <w:tc>
          <w:tcPr>
            <w:tcW w:w="1760" w:type="dxa"/>
            <w:vAlign w:val="bottom"/>
          </w:tcPr>
          <w:p>
            <w:pPr>
              <w:jc w:val="right"/>
              <w:ind w:right="745"/>
              <w:spacing w:after="0"/>
              <w:rPr>
                <w:sz w:val="20"/>
                <w:szCs w:val="20"/>
                <w:color w:val="auto"/>
              </w:rPr>
            </w:pPr>
            <w:r>
              <w:rPr>
                <w:rFonts w:ascii="Arial" w:cs="Arial" w:eastAsia="Arial" w:hAnsi="Arial"/>
                <w:sz w:val="12"/>
                <w:szCs w:val="12"/>
                <w:b w:val="1"/>
                <w:bCs w:val="1"/>
                <w:color w:val="auto"/>
              </w:rPr>
              <w:t>Rate</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2009 issuance of $3.8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2039</w:t>
            </w:r>
          </w:p>
        </w:tc>
        <w:tc>
          <w:tcPr>
            <w:tcW w:w="2020" w:type="dxa"/>
            <w:vAlign w:val="bottom"/>
            <w:gridSpan w:val="4"/>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5.20%</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5.24%</w:t>
            </w:r>
          </w:p>
        </w:tc>
        <w:tc>
          <w:tcPr>
            <w:tcW w:w="380" w:type="dxa"/>
            <w:vAlign w:val="bottom"/>
            <w:shd w:val="clear" w:color="auto" w:fill="E5E5E5"/>
          </w:tcPr>
          <w:p>
            <w:pPr>
              <w:jc w:val="right"/>
              <w:ind w:right="202"/>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520</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2010 issuance of $4.8 billion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2040</w:t>
            </w:r>
          </w:p>
        </w:tc>
        <w:tc>
          <w:tcPr>
            <w:tcW w:w="202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4.50%</w:t>
            </w:r>
          </w:p>
        </w:tc>
        <w:tc>
          <w:tcPr>
            <w:tcW w:w="1760" w:type="dxa"/>
            <w:vAlign w:val="bottom"/>
          </w:tcPr>
          <w:p>
            <w:pPr>
              <w:jc w:val="right"/>
              <w:ind w:right="325"/>
              <w:spacing w:after="0"/>
              <w:rPr>
                <w:sz w:val="20"/>
                <w:szCs w:val="20"/>
                <w:color w:val="auto"/>
              </w:rPr>
            </w:pPr>
            <w:r>
              <w:rPr>
                <w:rFonts w:ascii="Arial" w:cs="Arial" w:eastAsia="Arial" w:hAnsi="Arial"/>
                <w:sz w:val="16"/>
                <w:szCs w:val="16"/>
                <w:b w:val="1"/>
                <w:bCs w:val="1"/>
                <w:color w:val="auto"/>
              </w:rPr>
              <w:t>4.57%</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486</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2011 issuance of $2.3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2041</w:t>
            </w:r>
          </w:p>
        </w:tc>
        <w:tc>
          <w:tcPr>
            <w:tcW w:w="2020" w:type="dxa"/>
            <w:vAlign w:val="bottom"/>
            <w:gridSpan w:val="4"/>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5.30%</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5.36%</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718</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2012 issuance of $2.3 billion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2042</w:t>
            </w:r>
          </w:p>
        </w:tc>
        <w:tc>
          <w:tcPr>
            <w:tcW w:w="202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3.50%</w:t>
            </w:r>
          </w:p>
        </w:tc>
        <w:tc>
          <w:tcPr>
            <w:tcW w:w="1760" w:type="dxa"/>
            <w:vAlign w:val="bottom"/>
          </w:tcPr>
          <w:p>
            <w:pPr>
              <w:jc w:val="right"/>
              <w:ind w:right="325"/>
              <w:spacing w:after="0"/>
              <w:rPr>
                <w:sz w:val="20"/>
                <w:szCs w:val="20"/>
                <w:color w:val="auto"/>
              </w:rPr>
            </w:pPr>
            <w:r>
              <w:rPr>
                <w:rFonts w:ascii="Arial" w:cs="Arial" w:eastAsia="Arial" w:hAnsi="Arial"/>
                <w:sz w:val="16"/>
                <w:szCs w:val="16"/>
                <w:b w:val="1"/>
                <w:bCs w:val="1"/>
                <w:color w:val="auto"/>
              </w:rPr>
              <w:t>3.57%</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454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2013 issuance of $5.2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2023 – 2043</w:t>
            </w:r>
          </w:p>
        </w:tc>
        <w:tc>
          <w:tcPr>
            <w:tcW w:w="460" w:type="dxa"/>
            <w:vAlign w:val="bottom"/>
            <w:shd w:val="clear" w:color="auto" w:fill="E5E5E5"/>
          </w:tcPr>
          <w:p>
            <w:pPr>
              <w:spacing w:after="0"/>
              <w:rPr>
                <w:sz w:val="17"/>
                <w:szCs w:val="17"/>
                <w:color w:val="auto"/>
              </w:rPr>
            </w:pPr>
          </w:p>
        </w:tc>
        <w:tc>
          <w:tcPr>
            <w:tcW w:w="1560" w:type="dxa"/>
            <w:vAlign w:val="bottom"/>
            <w:gridSpan w:val="3"/>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3.63% – 4.88%</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3.73% – 4.92%</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1,814</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2,814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2013 issuance of €4.1 billion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2028 – 2033</w:t>
            </w:r>
          </w:p>
        </w:tc>
        <w:tc>
          <w:tcPr>
            <w:tcW w:w="460" w:type="dxa"/>
            <w:vAlign w:val="bottom"/>
          </w:tcPr>
          <w:p>
            <w:pPr>
              <w:spacing w:after="0"/>
              <w:rPr>
                <w:sz w:val="17"/>
                <w:szCs w:val="17"/>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2.63% – 3.13%</w:t>
            </w:r>
          </w:p>
        </w:tc>
        <w:tc>
          <w:tcPr>
            <w:tcW w:w="1760" w:type="dxa"/>
            <w:vAlign w:val="bottom"/>
          </w:tcPr>
          <w:p>
            <w:pPr>
              <w:jc w:val="right"/>
              <w:ind w:right="325"/>
              <w:spacing w:after="0"/>
              <w:rPr>
                <w:sz w:val="20"/>
                <w:szCs w:val="20"/>
                <w:color w:val="auto"/>
              </w:rPr>
            </w:pPr>
            <w:r>
              <w:rPr>
                <w:rFonts w:ascii="Arial" w:cs="Arial" w:eastAsia="Arial" w:hAnsi="Arial"/>
                <w:sz w:val="16"/>
                <w:szCs w:val="16"/>
                <w:b w:val="1"/>
                <w:bCs w:val="1"/>
                <w:color w:val="auto"/>
              </w:rPr>
              <w:t>2.69% – 3.22%</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2,509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2015 issuance of $23.8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2025 – 2055</w:t>
            </w:r>
          </w:p>
        </w:tc>
        <w:tc>
          <w:tcPr>
            <w:tcW w:w="460" w:type="dxa"/>
            <w:vAlign w:val="bottom"/>
            <w:shd w:val="clear" w:color="auto" w:fill="E5E5E5"/>
          </w:tcPr>
          <w:p>
            <w:pPr>
              <w:spacing w:after="0"/>
              <w:rPr>
                <w:sz w:val="17"/>
                <w:szCs w:val="17"/>
                <w:color w:val="auto"/>
              </w:rPr>
            </w:pPr>
          </w:p>
        </w:tc>
        <w:tc>
          <w:tcPr>
            <w:tcW w:w="1560" w:type="dxa"/>
            <w:vAlign w:val="bottom"/>
            <w:gridSpan w:val="3"/>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2.70% – 4.75%</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2.77% – 4.78%</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9,805</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10,805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2016 issuance of $19.8 billion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2023 – 2056</w:t>
            </w:r>
          </w:p>
        </w:tc>
        <w:tc>
          <w:tcPr>
            <w:tcW w:w="460" w:type="dxa"/>
            <w:vAlign w:val="bottom"/>
          </w:tcPr>
          <w:p>
            <w:pPr>
              <w:spacing w:after="0"/>
              <w:rPr>
                <w:sz w:val="17"/>
                <w:szCs w:val="17"/>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2.00% – 3.95%</w:t>
            </w:r>
          </w:p>
        </w:tc>
        <w:tc>
          <w:tcPr>
            <w:tcW w:w="1760" w:type="dxa"/>
            <w:vAlign w:val="bottom"/>
          </w:tcPr>
          <w:p>
            <w:pPr>
              <w:jc w:val="right"/>
              <w:ind w:right="325"/>
              <w:spacing w:after="0"/>
              <w:rPr>
                <w:sz w:val="20"/>
                <w:szCs w:val="20"/>
                <w:color w:val="auto"/>
              </w:rPr>
            </w:pPr>
            <w:r>
              <w:rPr>
                <w:rFonts w:ascii="Arial" w:cs="Arial" w:eastAsia="Arial" w:hAnsi="Arial"/>
                <w:sz w:val="16"/>
                <w:szCs w:val="16"/>
                <w:b w:val="1"/>
                <w:bCs w:val="1"/>
                <w:color w:val="auto"/>
              </w:rPr>
              <w:t>2.10% – 4.03%</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9,430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9,430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2017 issuance of $17.0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2024 – 2057</w:t>
            </w:r>
          </w:p>
        </w:tc>
        <w:tc>
          <w:tcPr>
            <w:tcW w:w="460" w:type="dxa"/>
            <w:vAlign w:val="bottom"/>
            <w:shd w:val="clear" w:color="auto" w:fill="E5E5E5"/>
          </w:tcPr>
          <w:p>
            <w:pPr>
              <w:spacing w:after="0"/>
              <w:rPr>
                <w:sz w:val="17"/>
                <w:szCs w:val="17"/>
                <w:color w:val="auto"/>
              </w:rPr>
            </w:pPr>
          </w:p>
        </w:tc>
        <w:tc>
          <w:tcPr>
            <w:tcW w:w="1560" w:type="dxa"/>
            <w:vAlign w:val="bottom"/>
            <w:gridSpan w:val="3"/>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2.88% – 4.50%</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3.04% – 4.53%</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8,945</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8,945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rPr>
                <w:sz w:val="20"/>
                <w:szCs w:val="20"/>
                <w:color w:val="auto"/>
              </w:rPr>
            </w:pPr>
            <w:r>
              <w:rPr>
                <w:rFonts w:ascii="Arial" w:cs="Arial" w:eastAsia="Arial" w:hAnsi="Arial"/>
                <w:sz w:val="16"/>
                <w:szCs w:val="16"/>
                <w:color w:val="auto"/>
              </w:rPr>
              <w:t>2020 issuance of $10.0 billion</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2050 – 2060</w:t>
            </w:r>
          </w:p>
        </w:tc>
        <w:tc>
          <w:tcPr>
            <w:tcW w:w="460" w:type="dxa"/>
            <w:vAlign w:val="bottom"/>
          </w:tcPr>
          <w:p>
            <w:pPr>
              <w:spacing w:after="0"/>
              <w:rPr>
                <w:sz w:val="17"/>
                <w:szCs w:val="17"/>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2.53% – 2.68%</w:t>
            </w:r>
          </w:p>
        </w:tc>
        <w:tc>
          <w:tcPr>
            <w:tcW w:w="1760" w:type="dxa"/>
            <w:vAlign w:val="bottom"/>
          </w:tcPr>
          <w:p>
            <w:pPr>
              <w:jc w:val="right"/>
              <w:ind w:right="325"/>
              <w:spacing w:after="0"/>
              <w:rPr>
                <w:sz w:val="20"/>
                <w:szCs w:val="20"/>
                <w:color w:val="auto"/>
              </w:rPr>
            </w:pPr>
            <w:r>
              <w:rPr>
                <w:rFonts w:ascii="Arial" w:cs="Arial" w:eastAsia="Arial" w:hAnsi="Arial"/>
                <w:sz w:val="16"/>
                <w:szCs w:val="16"/>
                <w:b w:val="1"/>
                <w:bCs w:val="1"/>
                <w:color w:val="auto"/>
              </w:rPr>
              <w:t>2.53% – 2.68%</w:t>
            </w:r>
          </w:p>
        </w:tc>
        <w:tc>
          <w:tcPr>
            <w:tcW w:w="3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2021 issuance of $8.2 billion</w:t>
            </w:r>
          </w:p>
        </w:tc>
        <w:tc>
          <w:tcPr>
            <w:tcW w:w="13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2052 – 2062</w:t>
            </w:r>
          </w:p>
        </w:tc>
        <w:tc>
          <w:tcPr>
            <w:tcW w:w="460" w:type="dxa"/>
            <w:vAlign w:val="bottom"/>
            <w:shd w:val="clear" w:color="auto" w:fill="E5E5E5"/>
          </w:tcPr>
          <w:p>
            <w:pPr>
              <w:spacing w:after="0"/>
              <w:rPr>
                <w:sz w:val="17"/>
                <w:szCs w:val="17"/>
                <w:color w:val="auto"/>
              </w:rPr>
            </w:pPr>
          </w:p>
        </w:tc>
        <w:tc>
          <w:tcPr>
            <w:tcW w:w="1560" w:type="dxa"/>
            <w:vAlign w:val="bottom"/>
            <w:gridSpan w:val="3"/>
            <w:shd w:val="clear" w:color="auto" w:fill="E5E5E5"/>
          </w:tcPr>
          <w:p>
            <w:pPr>
              <w:jc w:val="right"/>
              <w:ind w:right="340"/>
              <w:spacing w:after="0"/>
              <w:rPr>
                <w:sz w:val="20"/>
                <w:szCs w:val="20"/>
                <w:color w:val="auto"/>
              </w:rPr>
            </w:pPr>
            <w:r>
              <w:rPr>
                <w:rFonts w:ascii="Arial" w:cs="Arial" w:eastAsia="Arial" w:hAnsi="Arial"/>
                <w:sz w:val="16"/>
                <w:szCs w:val="16"/>
                <w:b w:val="1"/>
                <w:bCs w:val="1"/>
                <w:color w:val="auto"/>
              </w:rPr>
              <w:t>2.92% – 3.04%</w:t>
            </w:r>
          </w:p>
        </w:tc>
        <w:tc>
          <w:tcPr>
            <w:tcW w:w="1760" w:type="dxa"/>
            <w:vAlign w:val="bottom"/>
            <w:shd w:val="clear" w:color="auto" w:fill="E5E5E5"/>
          </w:tcPr>
          <w:p>
            <w:pPr>
              <w:jc w:val="right"/>
              <w:ind w:right="325"/>
              <w:spacing w:after="0"/>
              <w:rPr>
                <w:sz w:val="20"/>
                <w:szCs w:val="20"/>
                <w:color w:val="auto"/>
              </w:rPr>
            </w:pPr>
            <w:r>
              <w:rPr>
                <w:rFonts w:ascii="Arial" w:cs="Arial" w:eastAsia="Arial" w:hAnsi="Arial"/>
                <w:sz w:val="16"/>
                <w:szCs w:val="16"/>
                <w:b w:val="1"/>
                <w:bCs w:val="1"/>
                <w:color w:val="auto"/>
              </w:rPr>
              <w:t>2.92% – 3.04%</w:t>
            </w:r>
          </w:p>
        </w:tc>
        <w:tc>
          <w:tcPr>
            <w:tcW w:w="380" w:type="dxa"/>
            <w:vAlign w:val="bottom"/>
            <w:shd w:val="clear" w:color="auto" w:fill="E5E5E5"/>
          </w:tcPr>
          <w:p>
            <w:pPr>
              <w:spacing w:after="0"/>
              <w:rPr>
                <w:sz w:val="17"/>
                <w:szCs w:val="17"/>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8,185</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8,185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3280" w:type="dxa"/>
            <w:vAlign w:val="bottom"/>
          </w:tcPr>
          <w:p>
            <w:pPr>
              <w:ind w:left="220"/>
              <w:spacing w:after="0"/>
              <w:rPr>
                <w:sz w:val="20"/>
                <w:szCs w:val="20"/>
                <w:color w:val="auto"/>
              </w:rPr>
            </w:pPr>
            <w:r>
              <w:rPr>
                <w:rFonts w:ascii="Arial" w:cs="Arial" w:eastAsia="Arial" w:hAnsi="Arial"/>
                <w:sz w:val="16"/>
                <w:szCs w:val="16"/>
                <w:color w:val="auto"/>
              </w:rPr>
              <w:t>Total face value</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52,866</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55,511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Unamortized discount and issuance costs</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(438 )</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(471 )</w:t>
            </w:r>
          </w:p>
        </w:tc>
        <w:tc>
          <w:tcPr>
            <w:tcW w:w="0" w:type="dxa"/>
            <w:vAlign w:val="bottom"/>
          </w:tcPr>
          <w:p>
            <w:pPr>
              <w:spacing w:after="0"/>
              <w:rPr>
                <w:sz w:val="1"/>
                <w:szCs w:val="1"/>
                <w:color w:val="auto"/>
              </w:rPr>
            </w:pPr>
          </w:p>
        </w:tc>
      </w:tr>
      <w:tr>
        <w:trPr>
          <w:trHeight w:val="204"/>
        </w:trPr>
        <w:tc>
          <w:tcPr>
            <w:tcW w:w="328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Hedge fair value adjustments </w:t>
            </w:r>
            <w:r>
              <w:rPr>
                <w:rFonts w:ascii="Arial" w:cs="Arial" w:eastAsia="Arial" w:hAnsi="Arial"/>
                <w:sz w:val="21"/>
                <w:szCs w:val="21"/>
                <w:color w:val="auto"/>
                <w:vertAlign w:val="superscript"/>
              </w:rPr>
              <w:t>(a)</w:t>
            </w: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(106 )</w:t>
            </w:r>
          </w:p>
        </w:tc>
        <w:tc>
          <w:tcPr>
            <w:tcW w:w="2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Premium on debt exchange</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(5,085)</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(5,191)</w:t>
            </w:r>
          </w:p>
        </w:tc>
        <w:tc>
          <w:tcPr>
            <w:tcW w:w="0" w:type="dxa"/>
            <w:vAlign w:val="bottom"/>
          </w:tcPr>
          <w:p>
            <w:pPr>
              <w:spacing w:after="0"/>
              <w:rPr>
                <w:sz w:val="1"/>
                <w:szCs w:val="1"/>
                <w:color w:val="auto"/>
              </w:rPr>
            </w:pPr>
          </w:p>
        </w:tc>
      </w:tr>
      <w:tr>
        <w:trPr>
          <w:trHeight w:val="348"/>
        </w:trPr>
        <w:tc>
          <w:tcPr>
            <w:tcW w:w="328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47,237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49,781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80" w:type="dxa"/>
            <w:vAlign w:val="bottom"/>
            <w:shd w:val="clear" w:color="auto" w:fill="E5E5E5"/>
          </w:tcPr>
          <w:p>
            <w:pPr>
              <w:ind w:left="20"/>
              <w:spacing w:after="0"/>
              <w:rPr>
                <w:sz w:val="20"/>
                <w:szCs w:val="20"/>
                <w:color w:val="auto"/>
              </w:rPr>
            </w:pPr>
            <w:r>
              <w:rPr>
                <w:rFonts w:ascii="Arial" w:cs="Arial" w:eastAsia="Arial" w:hAnsi="Arial"/>
                <w:sz w:val="16"/>
                <w:szCs w:val="16"/>
                <w:color w:val="auto"/>
              </w:rPr>
              <w:t>Current portion of long-term debt</w:t>
            </w:r>
          </w:p>
        </w:tc>
        <w:tc>
          <w:tcPr>
            <w:tcW w:w="1340" w:type="dxa"/>
            <w:vAlign w:val="bottom"/>
            <w:shd w:val="clear" w:color="auto" w:fill="E5E5E5"/>
          </w:tcPr>
          <w:p>
            <w:pPr>
              <w:spacing w:after="0"/>
              <w:rPr>
                <w:sz w:val="17"/>
                <w:szCs w:val="17"/>
                <w:color w:val="auto"/>
              </w:rPr>
            </w:pPr>
          </w:p>
        </w:tc>
        <w:tc>
          <w:tcPr>
            <w:tcW w:w="46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176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(5,247)</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358"/>
        </w:trPr>
        <w:tc>
          <w:tcPr>
            <w:tcW w:w="3280" w:type="dxa"/>
            <w:vAlign w:val="bottom"/>
          </w:tcPr>
          <w:p>
            <w:pPr>
              <w:ind w:left="220"/>
              <w:spacing w:after="0"/>
              <w:rPr>
                <w:sz w:val="20"/>
                <w:szCs w:val="20"/>
                <w:color w:val="auto"/>
              </w:rPr>
            </w:pPr>
            <w:r>
              <w:rPr>
                <w:rFonts w:ascii="Arial" w:cs="Arial" w:eastAsia="Arial" w:hAnsi="Arial"/>
                <w:sz w:val="16"/>
                <w:szCs w:val="16"/>
                <w:color w:val="auto"/>
              </w:rPr>
              <w:t>Long-term debt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41,990</w:t>
            </w:r>
          </w:p>
        </w:tc>
        <w:tc>
          <w:tcPr>
            <w:tcW w:w="20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47,032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2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-3640455</wp:posOffset>
            </wp:positionV>
            <wp:extent cx="86360" cy="863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-73025</wp:posOffset>
            </wp:positionV>
            <wp:extent cx="86360" cy="863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Refer to Note 5 – Derivatives for further information on the interest rate swaps related to fixed-rate debt.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As of June 30, 2023 and 2022, the estimated fair value of long-term debt, including the current portion, was $46.2 billion and $50.9 billion, respectively.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values are based on Level 2 inputs.</w:t>
      </w:r>
    </w:p>
    <w:p>
      <w:pPr>
        <w:spacing w:after="0" w:line="13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Debt in the table above is comprised of senior unsecured obligations and ranks equally with our other outstanding obligations. Interest is paid semi-annually, except for the Euro-denominated debt, which is paid annually. Cash paid for interest on our debt for fiscal years 2023, 2022, and 2021 was $1.7 billion, $1.9 billion, and $2.0 billion, respectively.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4" w:right="68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PART II</w:t>
            </w:r>
          </w:p>
        </w:tc>
        <w:tc>
          <w:tcPr>
            <w:tcW w:w="1700" w:type="dxa"/>
            <w:vAlign w:val="bottom"/>
            <w:gridSpan w:val="2"/>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120" w:type="dxa"/>
            <w:vAlign w:val="bottom"/>
            <w:gridSpan w:val="3"/>
          </w:tcPr>
          <w:p>
            <w:pPr>
              <w:jc w:val="center"/>
              <w:ind w:right="1700"/>
              <w:spacing w:after="0"/>
              <w:rPr>
                <w:sz w:val="20"/>
                <w:szCs w:val="20"/>
                <w:color w:val="auto"/>
              </w:rPr>
            </w:pPr>
            <w:r>
              <w:rPr>
                <w:rFonts w:ascii="Arial" w:cs="Arial" w:eastAsia="Arial" w:hAnsi="Arial"/>
                <w:sz w:val="12"/>
                <w:szCs w:val="12"/>
                <w:color w:val="auto"/>
              </w:rPr>
              <w:t>Item 8</w:t>
            </w: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2"/>
        </w:trPr>
        <w:tc>
          <w:tcPr>
            <w:tcW w:w="7640" w:type="dxa"/>
            <w:vAlign w:val="bottom"/>
            <w:gridSpan w:val="6"/>
          </w:tcPr>
          <w:p>
            <w:pPr>
              <w:spacing w:after="0"/>
              <w:rPr>
                <w:sz w:val="20"/>
                <w:szCs w:val="20"/>
                <w:color w:val="auto"/>
              </w:rPr>
            </w:pPr>
            <w:r>
              <w:rPr>
                <w:rFonts w:ascii="Arial" w:cs="Arial" w:eastAsia="Arial" w:hAnsi="Arial"/>
                <w:sz w:val="16"/>
                <w:szCs w:val="16"/>
                <w:color w:val="auto"/>
                <w:w w:val="97"/>
              </w:rPr>
              <w:t>The following table outlines maturities of our long-term debt, including the current portion, as of June 30, 2023:</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Year Ending June 30,</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2024</w:t>
            </w: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5,250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2025</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2,250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2026</w:t>
            </w: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3,000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6"/>
                <w:szCs w:val="16"/>
                <w:color w:val="auto"/>
              </w:rPr>
              <w:t>2027</w:t>
            </w: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2028</w:t>
            </w: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88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00" w:type="dxa"/>
            <w:vAlign w:val="bottom"/>
            <w:gridSpan w:val="5"/>
          </w:tcPr>
          <w:p>
            <w:pPr>
              <w:ind w:left="20"/>
              <w:spacing w:after="0"/>
              <w:rPr>
                <w:sz w:val="20"/>
                <w:szCs w:val="20"/>
                <w:color w:val="auto"/>
              </w:rPr>
            </w:pPr>
            <w:r>
              <w:rPr>
                <w:rFonts w:ascii="Arial" w:cs="Arial" w:eastAsia="Arial" w:hAnsi="Arial"/>
                <w:sz w:val="16"/>
                <w:szCs w:val="16"/>
                <w:color w:val="auto"/>
              </w:rPr>
              <w:t>Thereafter</w:t>
            </w: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34,366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200" w:type="dxa"/>
            <w:vAlign w:val="bottom"/>
            <w:gridSpan w:val="5"/>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440" w:type="dxa"/>
            <w:vAlign w:val="bottom"/>
            <w:shd w:val="clear" w:color="auto" w:fill="E5E5E5"/>
          </w:tcPr>
          <w:p>
            <w:pPr>
              <w:spacing w:after="0"/>
              <w:rPr>
                <w:sz w:val="17"/>
                <w:szCs w:val="17"/>
                <w:color w:val="auto"/>
              </w:rPr>
            </w:pPr>
          </w:p>
        </w:tc>
        <w:tc>
          <w:tcPr>
            <w:tcW w:w="52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52,866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7200" w:type="dxa"/>
            <w:vAlign w:val="bottom"/>
            <w:gridSpan w:val="5"/>
            <w:vMerge w:val="restart"/>
          </w:tcPr>
          <w:p>
            <w:pPr>
              <w:jc w:val="center"/>
              <w:ind w:left="3306"/>
              <w:spacing w:after="0"/>
              <w:rPr>
                <w:sz w:val="20"/>
                <w:szCs w:val="20"/>
                <w:color w:val="auto"/>
              </w:rPr>
            </w:pPr>
            <w:r>
              <w:rPr>
                <w:rFonts w:ascii="Arial" w:cs="Arial" w:eastAsia="Arial" w:hAnsi="Arial"/>
                <w:sz w:val="16"/>
                <w:szCs w:val="16"/>
                <w:color w:val="auto"/>
                <w:w w:val="96"/>
              </w:rPr>
              <w:t>NOTE 12 — INCOME TAXES</w:t>
            </w: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6"/>
        </w:trPr>
        <w:tc>
          <w:tcPr>
            <w:tcW w:w="7200" w:type="dxa"/>
            <w:vAlign w:val="bottom"/>
            <w:gridSpan w:val="5"/>
            <w:vMerge w:val="continue"/>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26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2060" w:type="dxa"/>
            <w:vAlign w:val="bottom"/>
            <w:tcBorders>
              <w:top w:val="single" w:sz="8" w:color="auto"/>
            </w:tcBorders>
            <w:gridSpan w:val="3"/>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00" w:type="dxa"/>
            <w:vAlign w:val="bottom"/>
            <w:gridSpan w:val="5"/>
          </w:tcPr>
          <w:p>
            <w:pPr>
              <w:spacing w:after="0"/>
              <w:rPr>
                <w:sz w:val="20"/>
                <w:szCs w:val="20"/>
                <w:color w:val="auto"/>
              </w:rPr>
            </w:pPr>
            <w:r>
              <w:rPr>
                <w:rFonts w:ascii="Arial" w:cs="Arial" w:eastAsia="Arial" w:hAnsi="Arial"/>
                <w:sz w:val="16"/>
                <w:szCs w:val="16"/>
                <w:color w:val="auto"/>
              </w:rPr>
              <w:t>The components of the provision for income taxes were as follows: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Year Ended June 30,</w:t>
            </w:r>
          </w:p>
        </w:tc>
        <w:tc>
          <w:tcPr>
            <w:tcW w:w="4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Current Taxes</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4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200" w:type="dxa"/>
            <w:vAlign w:val="bottom"/>
            <w:gridSpan w:val="5"/>
            <w:shd w:val="clear" w:color="auto" w:fill="E5E5E5"/>
          </w:tcPr>
          <w:p>
            <w:pPr>
              <w:ind w:left="20"/>
              <w:spacing w:after="0"/>
              <w:rPr>
                <w:sz w:val="20"/>
                <w:szCs w:val="20"/>
                <w:color w:val="auto"/>
              </w:rPr>
            </w:pPr>
            <w:r>
              <w:rPr>
                <w:rFonts w:ascii="Arial" w:cs="Arial" w:eastAsia="Arial" w:hAnsi="Arial"/>
                <w:sz w:val="16"/>
                <w:szCs w:val="16"/>
                <w:color w:val="auto"/>
              </w:rPr>
              <w:t>U.S. federal</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8"/>
              </w:rPr>
              <w:t>14,009</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8,329</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3,285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00" w:type="dxa"/>
            <w:vAlign w:val="bottom"/>
            <w:gridSpan w:val="5"/>
          </w:tcPr>
          <w:p>
            <w:pPr>
              <w:ind w:left="20"/>
              <w:spacing w:after="0"/>
              <w:rPr>
                <w:sz w:val="20"/>
                <w:szCs w:val="20"/>
                <w:color w:val="auto"/>
              </w:rPr>
            </w:pPr>
            <w:r>
              <w:rPr>
                <w:rFonts w:ascii="Arial" w:cs="Arial" w:eastAsia="Arial" w:hAnsi="Arial"/>
                <w:sz w:val="16"/>
                <w:szCs w:val="16"/>
                <w:color w:val="auto"/>
              </w:rPr>
              <w:t>U.S. state and local</w:t>
            </w:r>
          </w:p>
        </w:tc>
        <w:tc>
          <w:tcPr>
            <w:tcW w:w="4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2,322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1,679</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0" w:type="dxa"/>
            <w:vAlign w:val="bottom"/>
            <w:gridSpan w:val="5"/>
            <w:shd w:val="clear" w:color="auto" w:fill="E5E5E5"/>
          </w:tcPr>
          <w:p>
            <w:pPr>
              <w:ind w:left="20"/>
              <w:spacing w:after="0"/>
              <w:rPr>
                <w:sz w:val="20"/>
                <w:szCs w:val="20"/>
                <w:color w:val="auto"/>
              </w:rPr>
            </w:pPr>
            <w:r>
              <w:rPr>
                <w:rFonts w:ascii="Arial" w:cs="Arial" w:eastAsia="Arial" w:hAnsi="Arial"/>
                <w:sz w:val="16"/>
                <w:szCs w:val="16"/>
                <w:color w:val="auto"/>
              </w:rPr>
              <w:t>Foreign</w:t>
            </w:r>
          </w:p>
        </w:tc>
        <w:tc>
          <w:tcPr>
            <w:tcW w:w="440" w:type="dxa"/>
            <w:vAlign w:val="bottom"/>
            <w:shd w:val="clear" w:color="auto" w:fill="E5E5E5"/>
          </w:tcPr>
          <w:p>
            <w:pPr>
              <w:spacing w:after="0"/>
              <w:rPr>
                <w:sz w:val="17"/>
                <w:szCs w:val="17"/>
                <w:color w:val="auto"/>
              </w:rPr>
            </w:pPr>
          </w:p>
        </w:tc>
        <w:tc>
          <w:tcPr>
            <w:tcW w:w="520" w:type="dxa"/>
            <w:vAlign w:val="bottom"/>
            <w:vMerge w:val="restart"/>
            <w:shd w:val="clear" w:color="auto" w:fill="E5E5E5"/>
          </w:tcPr>
          <w:p>
            <w:pPr>
              <w:jc w:val="right"/>
              <w:spacing w:after="0"/>
              <w:rPr>
                <w:sz w:val="20"/>
                <w:szCs w:val="20"/>
                <w:color w:val="auto"/>
              </w:rPr>
            </w:pPr>
            <w:r>
              <w:rPr>
                <w:rFonts w:ascii="Arial" w:cs="Arial" w:eastAsia="Arial" w:hAnsi="Arial"/>
                <w:sz w:val="16"/>
                <w:szCs w:val="16"/>
                <w:b w:val="1"/>
                <w:bCs w:val="1"/>
                <w:color w:val="auto"/>
              </w:rPr>
              <w:t>6,678</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gridSpan w:val="2"/>
            <w:vMerge w:val="restart"/>
            <w:shd w:val="clear" w:color="auto" w:fill="E5E5E5"/>
          </w:tcPr>
          <w:p>
            <w:pPr>
              <w:jc w:val="right"/>
              <w:ind w:right="20"/>
              <w:spacing w:after="0"/>
              <w:rPr>
                <w:sz w:val="20"/>
                <w:szCs w:val="20"/>
                <w:color w:val="auto"/>
              </w:rPr>
            </w:pPr>
            <w:r>
              <w:rPr>
                <w:rFonts w:ascii="Arial" w:cs="Arial" w:eastAsia="Arial" w:hAnsi="Arial"/>
                <w:sz w:val="16"/>
                <w:szCs w:val="16"/>
                <w:color w:val="auto"/>
              </w:rPr>
              <w:t>6,672</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vMerge w:val="restart"/>
            <w:shd w:val="clear" w:color="auto" w:fill="E5E5E5"/>
          </w:tcPr>
          <w:p>
            <w:pPr>
              <w:jc w:val="right"/>
              <w:spacing w:after="0"/>
              <w:rPr>
                <w:sz w:val="20"/>
                <w:szCs w:val="20"/>
                <w:color w:val="auto"/>
              </w:rPr>
            </w:pPr>
            <w:r>
              <w:rPr>
                <w:rFonts w:ascii="Arial" w:cs="Arial" w:eastAsia="Arial" w:hAnsi="Arial"/>
                <w:sz w:val="16"/>
                <w:szCs w:val="16"/>
                <w:color w:val="auto"/>
              </w:rPr>
              <w:t>5,467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4260" w:type="dxa"/>
            <w:vAlign w:val="bottom"/>
            <w:shd w:val="clear" w:color="auto" w:fill="E5E5E5"/>
          </w:tcPr>
          <w:p>
            <w:pPr>
              <w:spacing w:after="0"/>
              <w:rPr>
                <w:sz w:val="6"/>
                <w:szCs w:val="6"/>
                <w:color w:val="auto"/>
              </w:rPr>
            </w:pPr>
          </w:p>
        </w:tc>
        <w:tc>
          <w:tcPr>
            <w:tcW w:w="820" w:type="dxa"/>
            <w:vAlign w:val="bottom"/>
            <w:shd w:val="clear" w:color="auto" w:fill="E5E5E5"/>
          </w:tcPr>
          <w:p>
            <w:pPr>
              <w:spacing w:after="0"/>
              <w:rPr>
                <w:sz w:val="6"/>
                <w:szCs w:val="6"/>
                <w:color w:val="auto"/>
              </w:rPr>
            </w:pPr>
          </w:p>
        </w:tc>
        <w:tc>
          <w:tcPr>
            <w:tcW w:w="420" w:type="dxa"/>
            <w:vAlign w:val="bottom"/>
            <w:shd w:val="clear" w:color="auto" w:fill="E5E5E5"/>
          </w:tcPr>
          <w:p>
            <w:pPr>
              <w:spacing w:after="0"/>
              <w:rPr>
                <w:sz w:val="6"/>
                <w:szCs w:val="6"/>
                <w:color w:val="auto"/>
              </w:rPr>
            </w:pPr>
          </w:p>
        </w:tc>
        <w:tc>
          <w:tcPr>
            <w:tcW w:w="820" w:type="dxa"/>
            <w:vAlign w:val="bottom"/>
            <w:shd w:val="clear" w:color="auto" w:fill="E5E5E5"/>
          </w:tcPr>
          <w:p>
            <w:pPr>
              <w:spacing w:after="0"/>
              <w:rPr>
                <w:sz w:val="6"/>
                <w:szCs w:val="6"/>
                <w:color w:val="auto"/>
              </w:rPr>
            </w:pPr>
          </w:p>
        </w:tc>
        <w:tc>
          <w:tcPr>
            <w:tcW w:w="880" w:type="dxa"/>
            <w:vAlign w:val="bottom"/>
            <w:shd w:val="clear" w:color="auto" w:fill="E5E5E5"/>
          </w:tcPr>
          <w:p>
            <w:pPr>
              <w:spacing w:after="0"/>
              <w:rPr>
                <w:sz w:val="6"/>
                <w:szCs w:val="6"/>
                <w:color w:val="auto"/>
              </w:rPr>
            </w:pPr>
          </w:p>
        </w:tc>
        <w:tc>
          <w:tcPr>
            <w:tcW w:w="440" w:type="dxa"/>
            <w:vAlign w:val="bottom"/>
            <w:shd w:val="clear" w:color="auto" w:fill="E5E5E5"/>
          </w:tcPr>
          <w:p>
            <w:pPr>
              <w:spacing w:after="0"/>
              <w:rPr>
                <w:sz w:val="6"/>
                <w:szCs w:val="6"/>
                <w:color w:val="auto"/>
              </w:rPr>
            </w:pPr>
          </w:p>
        </w:tc>
        <w:tc>
          <w:tcPr>
            <w:tcW w:w="520" w:type="dxa"/>
            <w:vAlign w:val="bottom"/>
            <w:vMerge w:val="continue"/>
            <w:shd w:val="clear" w:color="auto" w:fill="E5E5E5"/>
          </w:tcPr>
          <w:p>
            <w:pPr>
              <w:spacing w:after="0"/>
              <w:rPr>
                <w:sz w:val="6"/>
                <w:szCs w:val="6"/>
                <w:color w:val="auto"/>
              </w:rPr>
            </w:pPr>
          </w:p>
        </w:tc>
        <w:tc>
          <w:tcPr>
            <w:tcW w:w="220" w:type="dxa"/>
            <w:vAlign w:val="bottom"/>
            <w:shd w:val="clear" w:color="auto" w:fill="E5E5E5"/>
          </w:tcPr>
          <w:p>
            <w:pPr>
              <w:spacing w:after="0"/>
              <w:rPr>
                <w:sz w:val="6"/>
                <w:szCs w:val="6"/>
                <w:color w:val="auto"/>
              </w:rPr>
            </w:pPr>
          </w:p>
        </w:tc>
        <w:tc>
          <w:tcPr>
            <w:tcW w:w="280" w:type="dxa"/>
            <w:vAlign w:val="bottom"/>
            <w:shd w:val="clear" w:color="auto" w:fill="E5E5E5"/>
          </w:tcPr>
          <w:p>
            <w:pPr>
              <w:spacing w:after="0"/>
              <w:rPr>
                <w:sz w:val="6"/>
                <w:szCs w:val="6"/>
                <w:color w:val="auto"/>
              </w:rPr>
            </w:pPr>
          </w:p>
        </w:tc>
        <w:tc>
          <w:tcPr>
            <w:tcW w:w="680" w:type="dxa"/>
            <w:vAlign w:val="bottom"/>
            <w:gridSpan w:val="2"/>
            <w:vMerge w:val="continue"/>
            <w:shd w:val="clear" w:color="auto" w:fill="E5E5E5"/>
          </w:tcPr>
          <w:p>
            <w:pPr>
              <w:spacing w:after="0"/>
              <w:rPr>
                <w:sz w:val="6"/>
                <w:szCs w:val="6"/>
                <w:color w:val="auto"/>
              </w:rPr>
            </w:pPr>
          </w:p>
        </w:tc>
        <w:tc>
          <w:tcPr>
            <w:tcW w:w="200" w:type="dxa"/>
            <w:vAlign w:val="bottom"/>
            <w:shd w:val="clear" w:color="auto" w:fill="E5E5E5"/>
          </w:tcPr>
          <w:p>
            <w:pPr>
              <w:spacing w:after="0"/>
              <w:rPr>
                <w:sz w:val="6"/>
                <w:szCs w:val="6"/>
                <w:color w:val="auto"/>
              </w:rPr>
            </w:pPr>
          </w:p>
        </w:tc>
        <w:tc>
          <w:tcPr>
            <w:tcW w:w="260" w:type="dxa"/>
            <w:vAlign w:val="bottom"/>
            <w:shd w:val="clear" w:color="auto" w:fill="E5E5E5"/>
          </w:tcPr>
          <w:p>
            <w:pPr>
              <w:spacing w:after="0"/>
              <w:rPr>
                <w:sz w:val="6"/>
                <w:szCs w:val="6"/>
                <w:color w:val="auto"/>
              </w:rPr>
            </w:pPr>
          </w:p>
        </w:tc>
        <w:tc>
          <w:tcPr>
            <w:tcW w:w="680" w:type="dxa"/>
            <w:vAlign w:val="bottom"/>
            <w:vMerge w:val="continue"/>
            <w:shd w:val="clear" w:color="auto" w:fill="E5E5E5"/>
          </w:tcPr>
          <w:p>
            <w:pPr>
              <w:spacing w:after="0"/>
              <w:rPr>
                <w:sz w:val="6"/>
                <w:szCs w:val="6"/>
                <w:color w:val="auto"/>
              </w:rPr>
            </w:pPr>
          </w:p>
        </w:tc>
        <w:tc>
          <w:tcPr>
            <w:tcW w:w="80" w:type="dxa"/>
            <w:vAlign w:val="bottom"/>
            <w:shd w:val="clear" w:color="auto" w:fill="E5E5E5"/>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7200" w:type="dxa"/>
            <w:vAlign w:val="bottom"/>
            <w:gridSpan w:val="5"/>
          </w:tcPr>
          <w:p>
            <w:pPr>
              <w:ind w:left="220"/>
              <w:spacing w:after="0"/>
              <w:rPr>
                <w:sz w:val="20"/>
                <w:szCs w:val="20"/>
                <w:color w:val="auto"/>
              </w:rPr>
            </w:pPr>
            <w:r>
              <w:rPr>
                <w:rFonts w:ascii="Arial" w:cs="Arial" w:eastAsia="Arial" w:hAnsi="Arial"/>
                <w:sz w:val="16"/>
                <w:szCs w:val="16"/>
                <w:color w:val="auto"/>
              </w:rPr>
              <w:t>Current taxes</w:t>
            </w:r>
          </w:p>
        </w:tc>
        <w:tc>
          <w:tcPr>
            <w:tcW w:w="440" w:type="dxa"/>
            <w:vAlign w:val="bottom"/>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8"/>
              </w:rPr>
              <w:t>23,009</w:t>
            </w:r>
          </w:p>
        </w:tc>
        <w:tc>
          <w:tcPr>
            <w:tcW w:w="22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16,680</w:t>
            </w:r>
          </w:p>
        </w:tc>
        <w:tc>
          <w:tcPr>
            <w:tcW w:w="20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200" w:type="dxa"/>
            <w:vAlign w:val="bottom"/>
            <w:gridSpan w:val="5"/>
          </w:tcPr>
          <w:p>
            <w:pPr>
              <w:ind w:left="20"/>
              <w:spacing w:after="0"/>
              <w:rPr>
                <w:sz w:val="20"/>
                <w:szCs w:val="20"/>
                <w:color w:val="auto"/>
              </w:rPr>
            </w:pPr>
            <w:r>
              <w:rPr>
                <w:rFonts w:ascii="Arial" w:cs="Arial" w:eastAsia="Arial" w:hAnsi="Arial"/>
                <w:sz w:val="12"/>
                <w:szCs w:val="12"/>
                <w:b w:val="1"/>
                <w:bCs w:val="1"/>
                <w:color w:val="auto"/>
              </w:rPr>
              <w:t>Deferred Taxes</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4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gridSpan w:val="2"/>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200" w:type="dxa"/>
            <w:vAlign w:val="bottom"/>
            <w:gridSpan w:val="5"/>
            <w:shd w:val="clear" w:color="auto" w:fill="E5E5E5"/>
          </w:tcPr>
          <w:p>
            <w:pPr>
              <w:ind w:left="20"/>
              <w:spacing w:after="0"/>
              <w:rPr>
                <w:sz w:val="20"/>
                <w:szCs w:val="20"/>
                <w:color w:val="auto"/>
              </w:rPr>
            </w:pPr>
            <w:r>
              <w:rPr>
                <w:rFonts w:ascii="Arial" w:cs="Arial" w:eastAsia="Arial" w:hAnsi="Arial"/>
                <w:sz w:val="16"/>
                <w:szCs w:val="16"/>
                <w:color w:val="auto"/>
              </w:rPr>
              <w:t>U.S. federal</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(6,146)</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880" w:type="dxa"/>
            <w:vAlign w:val="bottom"/>
            <w:gridSpan w:val="3"/>
            <w:shd w:val="clear" w:color="auto" w:fill="E5E5E5"/>
          </w:tcPr>
          <w:p>
            <w:pPr>
              <w:jc w:val="right"/>
              <w:ind w:right="140"/>
              <w:spacing w:after="0"/>
              <w:rPr>
                <w:sz w:val="20"/>
                <w:szCs w:val="20"/>
                <w:color w:val="auto"/>
              </w:rPr>
            </w:pPr>
            <w:r>
              <w:rPr>
                <w:rFonts w:ascii="Arial" w:cs="Arial" w:eastAsia="Arial" w:hAnsi="Arial"/>
                <w:sz w:val="16"/>
                <w:szCs w:val="16"/>
                <w:color w:val="auto"/>
              </w:rPr>
              <w:t>(4,815)</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00" w:type="dxa"/>
            <w:vAlign w:val="bottom"/>
            <w:gridSpan w:val="5"/>
          </w:tcPr>
          <w:p>
            <w:pPr>
              <w:ind w:left="20"/>
              <w:spacing w:after="0"/>
              <w:rPr>
                <w:sz w:val="20"/>
                <w:szCs w:val="20"/>
                <w:color w:val="auto"/>
              </w:rPr>
            </w:pPr>
            <w:r>
              <w:rPr>
                <w:rFonts w:ascii="Arial" w:cs="Arial" w:eastAsia="Arial" w:hAnsi="Arial"/>
                <w:sz w:val="16"/>
                <w:szCs w:val="16"/>
                <w:color w:val="auto"/>
              </w:rPr>
              <w:t>U.S. state and local</w:t>
            </w:r>
          </w:p>
        </w:tc>
        <w:tc>
          <w:tcPr>
            <w:tcW w:w="44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(477 )</w:t>
            </w:r>
          </w:p>
        </w:tc>
        <w:tc>
          <w:tcPr>
            <w:tcW w:w="28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(1,062)</w:t>
            </w:r>
          </w:p>
        </w:tc>
        <w:tc>
          <w:tcPr>
            <w:tcW w:w="2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(204 )</w:t>
            </w:r>
          </w:p>
        </w:tc>
        <w:tc>
          <w:tcPr>
            <w:tcW w:w="0" w:type="dxa"/>
            <w:vAlign w:val="bottom"/>
          </w:tcPr>
          <w:p>
            <w:pPr>
              <w:spacing w:after="0"/>
              <w:rPr>
                <w:sz w:val="1"/>
                <w:szCs w:val="1"/>
                <w:color w:val="auto"/>
              </w:rPr>
            </w:pPr>
          </w:p>
        </w:tc>
      </w:tr>
      <w:tr>
        <w:trPr>
          <w:trHeight w:val="204"/>
        </w:trPr>
        <w:tc>
          <w:tcPr>
            <w:tcW w:w="7200" w:type="dxa"/>
            <w:vAlign w:val="bottom"/>
            <w:gridSpan w:val="5"/>
            <w:shd w:val="clear" w:color="auto" w:fill="E5E5E5"/>
          </w:tcPr>
          <w:p>
            <w:pPr>
              <w:ind w:left="20"/>
              <w:spacing w:after="0"/>
              <w:rPr>
                <w:sz w:val="20"/>
                <w:szCs w:val="20"/>
                <w:color w:val="auto"/>
              </w:rPr>
            </w:pPr>
            <w:r>
              <w:rPr>
                <w:rFonts w:ascii="Arial" w:cs="Arial" w:eastAsia="Arial" w:hAnsi="Arial"/>
                <w:sz w:val="16"/>
                <w:szCs w:val="16"/>
                <w:color w:val="auto"/>
              </w:rPr>
              <w:t>Foreign</w:t>
            </w:r>
          </w:p>
        </w:tc>
        <w:tc>
          <w:tcPr>
            <w:tcW w:w="440" w:type="dxa"/>
            <w:vAlign w:val="bottom"/>
            <w:shd w:val="clear" w:color="auto" w:fill="E5E5E5"/>
          </w:tcPr>
          <w:p>
            <w:pPr>
              <w:spacing w:after="0"/>
              <w:rPr>
                <w:sz w:val="17"/>
                <w:szCs w:val="17"/>
                <w:color w:val="auto"/>
              </w:rPr>
            </w:pP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564</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200" w:type="dxa"/>
            <w:vAlign w:val="bottom"/>
            <w:gridSpan w:val="5"/>
          </w:tcPr>
          <w:p>
            <w:pPr>
              <w:ind w:left="220"/>
              <w:spacing w:after="0"/>
              <w:rPr>
                <w:sz w:val="20"/>
                <w:szCs w:val="20"/>
                <w:color w:val="auto"/>
              </w:rPr>
            </w:pPr>
            <w:r>
              <w:rPr>
                <w:rFonts w:ascii="Arial" w:cs="Arial" w:eastAsia="Arial" w:hAnsi="Arial"/>
                <w:sz w:val="16"/>
                <w:szCs w:val="16"/>
                <w:color w:val="auto"/>
              </w:rPr>
              <w:t>Deferred taxes</w:t>
            </w:r>
          </w:p>
        </w:tc>
        <w:tc>
          <w:tcPr>
            <w:tcW w:w="440" w:type="dxa"/>
            <w:vAlign w:val="bottom"/>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(6,059)</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80" w:type="dxa"/>
            <w:vAlign w:val="bottom"/>
            <w:gridSpan w:val="3"/>
          </w:tcPr>
          <w:p>
            <w:pPr>
              <w:jc w:val="right"/>
              <w:ind w:right="140"/>
              <w:spacing w:after="0"/>
              <w:rPr>
                <w:sz w:val="20"/>
                <w:szCs w:val="20"/>
                <w:color w:val="auto"/>
              </w:rPr>
            </w:pPr>
            <w:r>
              <w:rPr>
                <w:rFonts w:ascii="Arial" w:cs="Arial" w:eastAsia="Arial" w:hAnsi="Arial"/>
                <w:sz w:val="16"/>
                <w:szCs w:val="16"/>
                <w:color w:val="auto"/>
              </w:rPr>
              <w:t>(5,702)</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(150 )</w:t>
            </w:r>
          </w:p>
        </w:tc>
        <w:tc>
          <w:tcPr>
            <w:tcW w:w="0" w:type="dxa"/>
            <w:vAlign w:val="bottom"/>
          </w:tcPr>
          <w:p>
            <w:pPr>
              <w:spacing w:after="0"/>
              <w:rPr>
                <w:sz w:val="1"/>
                <w:szCs w:val="1"/>
                <w:color w:val="auto"/>
              </w:rPr>
            </w:pPr>
          </w:p>
        </w:tc>
      </w:tr>
      <w:tr>
        <w:trPr>
          <w:trHeight w:val="134"/>
        </w:trPr>
        <w:tc>
          <w:tcPr>
            <w:tcW w:w="4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200" w:type="dxa"/>
            <w:vAlign w:val="bottom"/>
            <w:gridSpan w:val="5"/>
            <w:shd w:val="clear" w:color="auto" w:fill="E5E5E5"/>
          </w:tcPr>
          <w:p>
            <w:pPr>
              <w:ind w:left="400"/>
              <w:spacing w:after="0"/>
              <w:rPr>
                <w:sz w:val="20"/>
                <w:szCs w:val="20"/>
                <w:color w:val="auto"/>
              </w:rPr>
            </w:pPr>
            <w:r>
              <w:rPr>
                <w:rFonts w:ascii="Arial" w:cs="Arial" w:eastAsia="Arial" w:hAnsi="Arial"/>
                <w:sz w:val="16"/>
                <w:szCs w:val="16"/>
                <w:color w:val="auto"/>
              </w:rPr>
              <w:t>Provision for income taxes</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w w:val="98"/>
              </w:rPr>
              <w:t>16,950</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10,978</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9,831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5500" w:type="dxa"/>
            <w:vAlign w:val="bottom"/>
            <w:gridSpan w:val="3"/>
            <w:vMerge w:val="restart"/>
          </w:tcPr>
          <w:p>
            <w:pPr>
              <w:jc w:val="center"/>
              <w:ind w:left="5006"/>
              <w:spacing w:after="0"/>
              <w:rPr>
                <w:sz w:val="20"/>
                <w:szCs w:val="20"/>
                <w:color w:val="auto"/>
              </w:rPr>
            </w:pPr>
            <w:r>
              <w:rPr>
                <w:rFonts w:ascii="Arial" w:cs="Arial" w:eastAsia="Arial" w:hAnsi="Arial"/>
                <w:sz w:val="13"/>
                <w:szCs w:val="13"/>
                <w:color w:val="auto"/>
                <w:w w:val="96"/>
              </w:rPr>
              <w:t>82</w:t>
            </w: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0"/>
        </w:trPr>
        <w:tc>
          <w:tcPr>
            <w:tcW w:w="5500" w:type="dxa"/>
            <w:vAlign w:val="bottom"/>
            <w:gridSpan w:val="3"/>
            <w:vMerge w:val="continue"/>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426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420" w:type="dxa"/>
            <w:vAlign w:val="bottom"/>
            <w:tcBorders>
              <w:bottom w:val="single" w:sz="8" w:color="EEEEEE"/>
            </w:tcBorders>
          </w:tcPr>
          <w:p>
            <w:pPr>
              <w:spacing w:after="0"/>
              <w:rPr>
                <w:sz w:val="7"/>
                <w:szCs w:val="7"/>
                <w:color w:val="auto"/>
              </w:rPr>
            </w:pPr>
          </w:p>
        </w:tc>
        <w:tc>
          <w:tcPr>
            <w:tcW w:w="820" w:type="dxa"/>
            <w:vAlign w:val="bottom"/>
            <w:tcBorders>
              <w:bottom w:val="single" w:sz="8" w:color="EEEEEE"/>
            </w:tcBorders>
          </w:tcPr>
          <w:p>
            <w:pPr>
              <w:spacing w:after="0"/>
              <w:rPr>
                <w:sz w:val="7"/>
                <w:szCs w:val="7"/>
                <w:color w:val="auto"/>
              </w:rPr>
            </w:pPr>
          </w:p>
        </w:tc>
        <w:tc>
          <w:tcPr>
            <w:tcW w:w="880" w:type="dxa"/>
            <w:vAlign w:val="bottom"/>
            <w:tcBorders>
              <w:bottom w:val="single" w:sz="8" w:color="EEEEEE"/>
            </w:tcBorders>
          </w:tcPr>
          <w:p>
            <w:pPr>
              <w:spacing w:after="0"/>
              <w:rPr>
                <w:sz w:val="7"/>
                <w:szCs w:val="7"/>
                <w:color w:val="auto"/>
              </w:rPr>
            </w:pPr>
          </w:p>
        </w:tc>
        <w:tc>
          <w:tcPr>
            <w:tcW w:w="440" w:type="dxa"/>
            <w:vAlign w:val="bottom"/>
            <w:tcBorders>
              <w:bottom w:val="single" w:sz="8" w:color="EEEEEE"/>
            </w:tcBorders>
          </w:tcPr>
          <w:p>
            <w:pPr>
              <w:spacing w:after="0"/>
              <w:rPr>
                <w:sz w:val="7"/>
                <w:szCs w:val="7"/>
                <w:color w:val="auto"/>
              </w:rPr>
            </w:pPr>
          </w:p>
        </w:tc>
        <w:tc>
          <w:tcPr>
            <w:tcW w:w="52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34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-3549015</wp:posOffset>
            </wp:positionV>
            <wp:extent cx="86360" cy="863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5166360</wp:posOffset>
            </wp:positionH>
            <wp:positionV relativeFrom="paragraph">
              <wp:posOffset>-469265</wp:posOffset>
            </wp:positionV>
            <wp:extent cx="93980" cy="863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-469265</wp:posOffset>
            </wp:positionV>
            <wp:extent cx="93980" cy="863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-469265</wp:posOffset>
            </wp:positionV>
            <wp:extent cx="86360" cy="863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4" w:right="680" w:bottom="1440" w:gutter="0" w:footer="0" w:header="0"/>
        </w:sectPr>
      </w:pPr>
    </w:p>
    <w:bookmarkStart w:id="82" w:name="page83"/>
    <w:bookmarkEnd w:id="82"/>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U.S. and foreign components of income before income taxes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72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r>
      <w:tr>
        <w:trPr>
          <w:trHeight w:val="76"/>
        </w:trPr>
        <w:tc>
          <w:tcPr>
            <w:tcW w:w="7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200" w:type="dxa"/>
            <w:vAlign w:val="bottom"/>
            <w:shd w:val="clear" w:color="auto" w:fill="E5E5E5"/>
          </w:tcPr>
          <w:p>
            <w:pPr>
              <w:ind w:left="20"/>
              <w:spacing w:after="0"/>
              <w:rPr>
                <w:sz w:val="20"/>
                <w:szCs w:val="20"/>
                <w:color w:val="auto"/>
              </w:rPr>
            </w:pPr>
            <w:r>
              <w:rPr>
                <w:rFonts w:ascii="Arial" w:cs="Arial" w:eastAsia="Arial" w:hAnsi="Arial"/>
                <w:sz w:val="16"/>
                <w:szCs w:val="16"/>
                <w:color w:val="auto"/>
              </w:rPr>
              <w:t>U.S.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52,917</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47,837</w:t>
            </w:r>
          </w:p>
        </w:tc>
        <w:tc>
          <w:tcPr>
            <w:tcW w:w="4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34,972</w:t>
            </w:r>
          </w:p>
        </w:tc>
        <w:tc>
          <w:tcPr>
            <w:tcW w:w="80" w:type="dxa"/>
            <w:vAlign w:val="bottom"/>
            <w:shd w:val="clear" w:color="auto" w:fill="E5E5E5"/>
          </w:tcPr>
          <w:p>
            <w:pPr>
              <w:spacing w:after="0"/>
              <w:rPr>
                <w:sz w:val="17"/>
                <w:szCs w:val="17"/>
                <w:color w:val="auto"/>
              </w:rPr>
            </w:pPr>
          </w:p>
        </w:tc>
      </w:tr>
      <w:tr>
        <w:trPr>
          <w:trHeight w:val="217"/>
        </w:trPr>
        <w:tc>
          <w:tcPr>
            <w:tcW w:w="7200" w:type="dxa"/>
            <w:vAlign w:val="bottom"/>
          </w:tcPr>
          <w:p>
            <w:pPr>
              <w:ind w:left="20"/>
              <w:spacing w:after="0"/>
              <w:rPr>
                <w:sz w:val="20"/>
                <w:szCs w:val="20"/>
                <w:color w:val="auto"/>
              </w:rPr>
            </w:pPr>
            <w:r>
              <w:rPr>
                <w:rFonts w:ascii="Arial" w:cs="Arial" w:eastAsia="Arial" w:hAnsi="Arial"/>
                <w:sz w:val="16"/>
                <w:szCs w:val="16"/>
                <w:color w:val="auto"/>
              </w:rPr>
              <w:t>Foreign</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36,394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35,879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36,130</w:t>
            </w:r>
          </w:p>
        </w:tc>
        <w:tc>
          <w:tcPr>
            <w:tcW w:w="80" w:type="dxa"/>
            <w:vAlign w:val="bottom"/>
          </w:tcPr>
          <w:p>
            <w:pPr>
              <w:spacing w:after="0"/>
              <w:rPr>
                <w:sz w:val="18"/>
                <w:szCs w:val="18"/>
                <w:color w:val="auto"/>
              </w:rPr>
            </w:pPr>
          </w:p>
        </w:tc>
      </w:tr>
      <w:tr>
        <w:trPr>
          <w:trHeight w:val="131"/>
        </w:trPr>
        <w:tc>
          <w:tcPr>
            <w:tcW w:w="7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89,311</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83,716</w:t>
            </w:r>
          </w:p>
        </w:tc>
        <w:tc>
          <w:tcPr>
            <w:tcW w:w="4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71,102</w:t>
            </w:r>
          </w:p>
        </w:tc>
        <w:tc>
          <w:tcPr>
            <w:tcW w:w="80" w:type="dxa"/>
            <w:vAlign w:val="bottom"/>
            <w:shd w:val="clear" w:color="auto" w:fill="E5E5E5"/>
          </w:tcPr>
          <w:p>
            <w:pPr>
              <w:spacing w:after="0"/>
              <w:rPr>
                <w:sz w:val="17"/>
                <w:szCs w:val="17"/>
                <w:color w:val="auto"/>
              </w:rPr>
            </w:pPr>
          </w:p>
        </w:tc>
      </w:tr>
      <w:tr>
        <w:trPr>
          <w:trHeight w:val="76"/>
        </w:trPr>
        <w:tc>
          <w:tcPr>
            <w:tcW w:w="7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-73025</wp:posOffset>
            </wp:positionV>
            <wp:extent cx="93980" cy="863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-73025</wp:posOffset>
            </wp:positionV>
            <wp:extent cx="93980" cy="863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Effective Tax Rate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items accounting for the difference between income taxes computed at the U.S. federal statutory rate and our effective rate were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4"/>
                <w:szCs w:val="14"/>
                <w:color w:val="auto"/>
              </w:rPr>
            </w:pPr>
          </w:p>
        </w:tc>
      </w:tr>
      <w:tr>
        <w:trPr>
          <w:trHeight w:val="76"/>
        </w:trPr>
        <w:tc>
          <w:tcPr>
            <w:tcW w:w="7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04"/>
        </w:trPr>
        <w:tc>
          <w:tcPr>
            <w:tcW w:w="7200" w:type="dxa"/>
            <w:vAlign w:val="bottom"/>
            <w:shd w:val="clear" w:color="auto" w:fill="E5E5E5"/>
          </w:tcPr>
          <w:p>
            <w:pPr>
              <w:ind w:left="20"/>
              <w:spacing w:after="0"/>
              <w:rPr>
                <w:sz w:val="20"/>
                <w:szCs w:val="20"/>
                <w:color w:val="auto"/>
              </w:rPr>
            </w:pPr>
            <w:r>
              <w:rPr>
                <w:rFonts w:ascii="Arial" w:cs="Arial" w:eastAsia="Arial" w:hAnsi="Arial"/>
                <w:sz w:val="16"/>
                <w:szCs w:val="16"/>
                <w:color w:val="auto"/>
              </w:rPr>
              <w:t>Federal statutory rate</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21.0%</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21.0%</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21.0%</w:t>
            </w:r>
          </w:p>
        </w:tc>
        <w:tc>
          <w:tcPr>
            <w:tcW w:w="160" w:type="dxa"/>
            <w:vAlign w:val="bottom"/>
            <w:shd w:val="clear" w:color="auto" w:fill="E5E5E5"/>
          </w:tcPr>
          <w:p>
            <w:pPr>
              <w:spacing w:after="0"/>
              <w:rPr>
                <w:sz w:val="17"/>
                <w:szCs w:val="17"/>
                <w:color w:val="auto"/>
              </w:rPr>
            </w:pPr>
          </w:p>
        </w:tc>
      </w:tr>
      <w:tr>
        <w:trPr>
          <w:trHeight w:val="203"/>
        </w:trPr>
        <w:tc>
          <w:tcPr>
            <w:tcW w:w="7200" w:type="dxa"/>
            <w:vAlign w:val="bottom"/>
          </w:tcPr>
          <w:p>
            <w:pPr>
              <w:ind w:left="20"/>
              <w:spacing w:after="0"/>
              <w:rPr>
                <w:sz w:val="20"/>
                <w:szCs w:val="20"/>
                <w:color w:val="auto"/>
              </w:rPr>
            </w:pPr>
            <w:r>
              <w:rPr>
                <w:rFonts w:ascii="Arial" w:cs="Arial" w:eastAsia="Arial" w:hAnsi="Arial"/>
                <w:sz w:val="16"/>
                <w:szCs w:val="16"/>
                <w:color w:val="auto"/>
              </w:rPr>
              <w:t>Effect of:</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Foreign earnings taxed at lower rates</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E5E5E5"/>
          </w:tcPr>
          <w:p>
            <w:pPr>
              <w:spacing w:after="0"/>
              <w:rPr>
                <w:sz w:val="17"/>
                <w:szCs w:val="17"/>
                <w:color w:val="auto"/>
              </w:rPr>
            </w:pPr>
          </w:p>
        </w:tc>
      </w:tr>
      <w:tr>
        <w:trPr>
          <w:trHeight w:val="204"/>
        </w:trPr>
        <w:tc>
          <w:tcPr>
            <w:tcW w:w="7200" w:type="dxa"/>
            <w:vAlign w:val="bottom"/>
          </w:tcPr>
          <w:p>
            <w:pPr>
              <w:ind w:left="220"/>
              <w:spacing w:after="0"/>
              <w:rPr>
                <w:sz w:val="20"/>
                <w:szCs w:val="20"/>
                <w:color w:val="auto"/>
              </w:rPr>
            </w:pPr>
            <w:r>
              <w:rPr>
                <w:rFonts w:ascii="Arial" w:cs="Arial" w:eastAsia="Arial" w:hAnsi="Arial"/>
                <w:sz w:val="16"/>
                <w:szCs w:val="16"/>
                <w:color w:val="auto"/>
              </w:rPr>
              <w:t>Impact of intangible property transfers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(3.9)%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w:t>
            </w:r>
          </w:p>
        </w:tc>
        <w:tc>
          <w:tcPr>
            <w:tcW w:w="160" w:type="dxa"/>
            <w:vAlign w:val="bottom"/>
          </w:tcPr>
          <w:p>
            <w:pPr>
              <w:spacing w:after="0"/>
              <w:rPr>
                <w:sz w:val="17"/>
                <w:szCs w:val="17"/>
                <w:color w:val="auto"/>
              </w:rPr>
            </w:pP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Foreign-derived intangible income deduction</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(1.1)%</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w:t>
            </w:r>
          </w:p>
        </w:tc>
        <w:tc>
          <w:tcPr>
            <w:tcW w:w="160" w:type="dxa"/>
            <w:vAlign w:val="bottom"/>
            <w:shd w:val="clear" w:color="auto" w:fill="E5E5E5"/>
          </w:tcPr>
          <w:p>
            <w:pPr>
              <w:spacing w:after="0"/>
              <w:rPr>
                <w:sz w:val="17"/>
                <w:szCs w:val="17"/>
                <w:color w:val="auto"/>
              </w:rPr>
            </w:pPr>
          </w:p>
        </w:tc>
      </w:tr>
      <w:tr>
        <w:trPr>
          <w:trHeight w:val="204"/>
        </w:trPr>
        <w:tc>
          <w:tcPr>
            <w:tcW w:w="7200" w:type="dxa"/>
            <w:vAlign w:val="bottom"/>
          </w:tcPr>
          <w:p>
            <w:pPr>
              <w:ind w:left="220"/>
              <w:spacing w:after="0"/>
              <w:rPr>
                <w:sz w:val="20"/>
                <w:szCs w:val="20"/>
                <w:color w:val="auto"/>
              </w:rPr>
            </w:pPr>
            <w:r>
              <w:rPr>
                <w:rFonts w:ascii="Arial" w:cs="Arial" w:eastAsia="Arial" w:hAnsi="Arial"/>
                <w:sz w:val="16"/>
                <w:szCs w:val="16"/>
                <w:color w:val="auto"/>
              </w:rPr>
              <w:t>State income taxes, net of federal benefit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7"/>
                <w:szCs w:val="17"/>
                <w:color w:val="auto"/>
              </w:rPr>
            </w:pP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Research and development credit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(0.9)%</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(0.9)%</w:t>
            </w:r>
          </w:p>
        </w:tc>
        <w:tc>
          <w:tcPr>
            <w:tcW w:w="160" w:type="dxa"/>
            <w:vAlign w:val="bottom"/>
            <w:shd w:val="clear" w:color="auto" w:fill="E5E5E5"/>
          </w:tcPr>
          <w:p>
            <w:pPr>
              <w:spacing w:after="0"/>
              <w:rPr>
                <w:sz w:val="17"/>
                <w:szCs w:val="17"/>
                <w:color w:val="auto"/>
              </w:rPr>
            </w:pPr>
          </w:p>
        </w:tc>
      </w:tr>
      <w:tr>
        <w:trPr>
          <w:trHeight w:val="204"/>
        </w:trPr>
        <w:tc>
          <w:tcPr>
            <w:tcW w:w="7200" w:type="dxa"/>
            <w:vAlign w:val="bottom"/>
          </w:tcPr>
          <w:p>
            <w:pPr>
              <w:ind w:left="220"/>
              <w:spacing w:after="0"/>
              <w:rPr>
                <w:sz w:val="20"/>
                <w:szCs w:val="20"/>
                <w:color w:val="auto"/>
              </w:rPr>
            </w:pPr>
            <w:r>
              <w:rPr>
                <w:rFonts w:ascii="Arial" w:cs="Arial" w:eastAsia="Arial" w:hAnsi="Arial"/>
                <w:sz w:val="16"/>
                <w:szCs w:val="16"/>
                <w:color w:val="auto"/>
              </w:rPr>
              <w:t>Excess tax benefits relating to stock-based compensation</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Interest, net</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0.8%</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0.5%</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0.5%</w:t>
            </w:r>
          </w:p>
        </w:tc>
        <w:tc>
          <w:tcPr>
            <w:tcW w:w="160" w:type="dxa"/>
            <w:vAlign w:val="bottom"/>
            <w:shd w:val="clear" w:color="auto" w:fill="E5E5E5"/>
          </w:tcPr>
          <w:p>
            <w:pPr>
              <w:spacing w:after="0"/>
              <w:rPr>
                <w:sz w:val="17"/>
                <w:szCs w:val="17"/>
                <w:color w:val="auto"/>
              </w:rPr>
            </w:pPr>
          </w:p>
        </w:tc>
      </w:tr>
      <w:tr>
        <w:trPr>
          <w:trHeight w:val="217"/>
        </w:trPr>
        <w:tc>
          <w:tcPr>
            <w:tcW w:w="7200" w:type="dxa"/>
            <w:vAlign w:val="bottom"/>
          </w:tcPr>
          <w:p>
            <w:pPr>
              <w:ind w:left="220"/>
              <w:spacing w:after="0"/>
              <w:rPr>
                <w:sz w:val="20"/>
                <w:szCs w:val="20"/>
                <w:color w:val="auto"/>
              </w:rPr>
            </w:pPr>
            <w:r>
              <w:rPr>
                <w:rFonts w:ascii="Arial" w:cs="Arial" w:eastAsia="Arial" w:hAnsi="Arial"/>
                <w:sz w:val="16"/>
                <w:szCs w:val="16"/>
                <w:color w:val="auto"/>
              </w:rPr>
              <w:t>Other reconciling items, net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0.5%</w:t>
            </w:r>
          </w:p>
        </w:tc>
        <w:tc>
          <w:tcPr>
            <w:tcW w:w="124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8"/>
                <w:szCs w:val="18"/>
                <w:color w:val="auto"/>
              </w:rPr>
            </w:pPr>
          </w:p>
        </w:tc>
      </w:tr>
      <w:tr>
        <w:trPr>
          <w:trHeight w:val="131"/>
        </w:trPr>
        <w:tc>
          <w:tcPr>
            <w:tcW w:w="7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04"/>
        </w:trPr>
        <w:tc>
          <w:tcPr>
            <w:tcW w:w="7200" w:type="dxa"/>
            <w:vAlign w:val="bottom"/>
            <w:shd w:val="clear" w:color="auto" w:fill="E5E5E5"/>
          </w:tcPr>
          <w:p>
            <w:pPr>
              <w:ind w:left="400"/>
              <w:spacing w:after="0"/>
              <w:rPr>
                <w:sz w:val="20"/>
                <w:szCs w:val="20"/>
                <w:color w:val="auto"/>
              </w:rPr>
            </w:pPr>
            <w:r>
              <w:rPr>
                <w:rFonts w:ascii="Arial" w:cs="Arial" w:eastAsia="Arial" w:hAnsi="Arial"/>
                <w:sz w:val="16"/>
                <w:szCs w:val="16"/>
                <w:color w:val="auto"/>
              </w:rPr>
              <w:t>Effective rate</w:t>
            </w:r>
          </w:p>
        </w:tc>
        <w:tc>
          <w:tcPr>
            <w:tcW w:w="9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19.0%</w:t>
            </w:r>
          </w:p>
        </w:tc>
        <w:tc>
          <w:tcPr>
            <w:tcW w:w="12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13.1%</w:t>
            </w:r>
          </w:p>
        </w:tc>
        <w:tc>
          <w:tcPr>
            <w:tcW w:w="10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E5E5E5"/>
          </w:tcPr>
          <w:p>
            <w:pPr>
              <w:spacing w:after="0"/>
              <w:rPr>
                <w:sz w:val="17"/>
                <w:szCs w:val="17"/>
                <w:color w:val="auto"/>
              </w:rPr>
            </w:pPr>
          </w:p>
        </w:tc>
      </w:tr>
      <w:tr>
        <w:trPr>
          <w:trHeight w:val="76"/>
        </w:trPr>
        <w:tc>
          <w:tcPr>
            <w:tcW w:w="72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-73025</wp:posOffset>
            </wp:positionV>
            <wp:extent cx="139700" cy="863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9700" cy="8636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-73025</wp:posOffset>
            </wp:positionV>
            <wp:extent cx="86360" cy="863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6591935</wp:posOffset>
            </wp:positionH>
            <wp:positionV relativeFrom="paragraph">
              <wp:posOffset>-73025</wp:posOffset>
            </wp:positionV>
            <wp:extent cx="132080" cy="863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2080" cy="86360"/>
                    </a:xfrm>
                    <a:prstGeom prst="rect">
                      <a:avLst/>
                    </a:prstGeom>
                    <a:noFill/>
                  </pic:spPr>
                </pic:pic>
              </a:graphicData>
            </a:graphic>
          </wp:anchor>
        </w:drawing>
      </w:r>
    </w:p>
    <w:p>
      <w:pPr>
        <w:spacing w:after="0" w:line="141" w:lineRule="exact"/>
        <w:rPr>
          <w:sz w:val="20"/>
          <w:szCs w:val="20"/>
          <w:color w:val="auto"/>
        </w:rPr>
      </w:pPr>
    </w:p>
    <w:p>
      <w:pPr>
        <w:jc w:val="both"/>
        <w:ind w:right="160"/>
        <w:spacing w:after="0" w:line="243" w:lineRule="auto"/>
        <w:rPr>
          <w:sz w:val="20"/>
          <w:szCs w:val="20"/>
          <w:color w:val="auto"/>
        </w:rPr>
      </w:pPr>
      <w:r>
        <w:rPr>
          <w:rFonts w:ascii="Arial" w:cs="Arial" w:eastAsia="Arial" w:hAnsi="Arial"/>
          <w:sz w:val="16"/>
          <w:szCs w:val="16"/>
          <w:color w:val="auto"/>
        </w:rPr>
        <w:t>In the first quarter of fiscal year 2022, we transferred certain intangible properties from our Puerto Rico subsidiary to the U.S. The transfer of intangible properties resulted in a $3.3 billion net income tax benefit in the first quarter of fiscal year 2022, as the value of future U.S. tax deductions exceeded the current tax liability from the U.S. global intangible low-taxed income (“GILTI”) tax.</w:t>
      </w:r>
    </w:p>
    <w:p>
      <w:pPr>
        <w:spacing w:after="0" w:line="14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We have historically paid India withholding taxes on software sales through distributor withholding and tax audit assessments in India. In March 2021, the India Supreme Court ruled favorably in the case of Engineering Analysis Centre of Excellence Private Limited vs The Commissioner of Income Tax for companies in 86 separate appeals, some dating back to 2012, holding that software sales are not subject to India withholding taxes. Although we were not a party to the appeals, our software sales in India were determined to be not subject to withholding taxes. Therefore, we recorded a net income tax benefit of $620 million in the third quarter of fiscal year 2021 to reflect the results of the India Supreme Court decision impacting fiscal year 1996 through fiscal year 2016.</w:t>
      </w:r>
    </w:p>
    <w:p>
      <w:pPr>
        <w:spacing w:after="0" w:line="15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The decrease from the federal statutory rate in fiscal year 2023 is primarily due to earnings taxed at lower rates in foreign jurisdictions resulting from producing and distributing our products and services through our foreign regional operations center in Ireland. The decrease from the federal statutory rate in fiscal year 2022 is primarily due to the net income tax benefit related to the transfer of intangible properties, earnings taxed at lower rates in foreign jurisdictions resulting from producing and distributing our products and services through our foreign regional operations center in Ireland, and tax benefits relating to stock-based compensation. The decrease from the federal statutory rate in fiscal year 2021 is primarily due to earnings taxed at lower rates in foreign jurisdictions resulting from producing and distributing our products and services through our foreign regional operations centers in Ireland and Puerto Rico, tax benefits relating to stock -based compensation, and tax benefits from the India Supreme Court decision on withholding taxes. In fiscal year 2023, our foreign regional operating center in Ireland, which is taxed at a rate lower than the U.S. rate, generated 81% of our foreign income before tax. In fiscal years 2022 and 2021, our foreign regional operating centers in Ireland and Puerto Rico, which are taxed at rates lower than the U.S. rate, generated 71% and 82% of our foreign income before tax. Other reconciling items, net consists primarily of tax credits and GILTI tax, and in fiscal year 2021, includes tax benefits from the India Supreme Court decision on withholding taxes. In fiscal years 2023, 2022, and 2021, there were no individually significant other reconciling items.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The increase in our effective tax rate for fiscal year 2023 compared to fiscal year 2022 was primarily due to a $3.3 billion net income tax benefit in the first quarter of fiscal year 2022 related to the transfer of intangible properties and a decrease in tax benefits relating to stock-based compensation. The decrease in our effective tax rate for fiscal year 2022 compared to fiscal year 2021 was primarily due to a $3.3 billion net income tax benefit in the first quarter of fiscal year 2022 related to the transfer of intangible properties, offset in part by changes in the mix of our income before income taxes between the U.S. and foreign countries, as well as tax benefits in the prior year from the India Supreme Court decision on withholding taxes, an agreement between the U.S. and India tax authorities related to transfer pricing, and final Tax Cuts and Jobs Act (“TCJA”) regulations.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deferred income tax assets and liabilities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Deferred Income Tax Assets</w:t>
            </w: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8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681</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601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rPr>
                <w:sz w:val="20"/>
                <w:szCs w:val="20"/>
                <w:color w:val="auto"/>
              </w:rPr>
            </w:pPr>
            <w:r>
              <w:rPr>
                <w:rFonts w:ascii="Arial" w:cs="Arial" w:eastAsia="Arial" w:hAnsi="Arial"/>
                <w:sz w:val="16"/>
                <w:szCs w:val="16"/>
                <w:color w:val="auto"/>
              </w:rPr>
              <w:t>Accruals, reserves, and other expenses</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3,131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Loss and credit carryforwards</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1,441</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1,546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line="204" w:lineRule="exact"/>
              <w:rPr>
                <w:sz w:val="20"/>
                <w:szCs w:val="20"/>
                <w:color w:val="auto"/>
              </w:rPr>
            </w:pPr>
            <w:r>
              <w:rPr>
                <w:rFonts w:ascii="Arial" w:cs="Arial" w:eastAsia="Arial" w:hAnsi="Arial"/>
                <w:sz w:val="16"/>
                <w:szCs w:val="16"/>
                <w:color w:val="auto"/>
              </w:rPr>
              <w:t xml:space="preserve">Amortization </w:t>
            </w:r>
            <w:r>
              <w:rPr>
                <w:rFonts w:ascii="Arial" w:cs="Arial" w:eastAsia="Arial" w:hAnsi="Arial"/>
                <w:sz w:val="21"/>
                <w:szCs w:val="21"/>
                <w:color w:val="auto"/>
                <w:vertAlign w:val="superscript"/>
              </w:rPr>
              <w:t>(a)</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9,440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10,183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Leasing liabilities</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5,041</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4,557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3,296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Book/tax basis differences in investments and debt</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373</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6"/>
                <w:szCs w:val="16"/>
                <w:color w:val="auto"/>
              </w:rPr>
              <w:t xml:space="preserve">Capitalized research and development </w:t>
            </w:r>
            <w:r>
              <w:rPr>
                <w:rFonts w:ascii="Arial" w:cs="Arial" w:eastAsia="Arial" w:hAnsi="Arial"/>
                <w:sz w:val="21"/>
                <w:szCs w:val="21"/>
                <w:color w:val="auto"/>
                <w:vertAlign w:val="superscript"/>
              </w:rPr>
              <w:t>(a)</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6,958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473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E5E5E5"/>
          </w:tcPr>
          <w:p>
            <w:pPr>
              <w:spacing w:after="0"/>
              <w:rPr>
                <w:sz w:val="17"/>
                <w:szCs w:val="17"/>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489</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8360" w:type="dxa"/>
            <w:vAlign w:val="bottom"/>
          </w:tcPr>
          <w:p>
            <w:pPr>
              <w:ind w:left="220"/>
              <w:spacing w:after="0"/>
              <w:rPr>
                <w:sz w:val="20"/>
                <w:szCs w:val="20"/>
                <w:color w:val="auto"/>
              </w:rPr>
            </w:pPr>
            <w:r>
              <w:rPr>
                <w:rFonts w:ascii="Arial" w:cs="Arial" w:eastAsia="Arial" w:hAnsi="Arial"/>
                <w:sz w:val="16"/>
                <w:szCs w:val="16"/>
                <w:color w:val="auto"/>
              </w:rPr>
              <w:t>Deferred income tax assets</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30,850</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23,571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Less valuation allowance</w:t>
            </w:r>
          </w:p>
        </w:tc>
        <w:tc>
          <w:tcPr>
            <w:tcW w:w="2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(939 )</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(1,012)</w:t>
            </w:r>
          </w:p>
        </w:tc>
        <w:tc>
          <w:tcPr>
            <w:tcW w:w="0" w:type="dxa"/>
            <w:vAlign w:val="bottom"/>
          </w:tcPr>
          <w:p>
            <w:pPr>
              <w:spacing w:after="0"/>
              <w:rPr>
                <w:sz w:val="1"/>
                <w:szCs w:val="1"/>
                <w:color w:val="auto"/>
              </w:rPr>
            </w:pPr>
          </w:p>
        </w:tc>
      </w:tr>
      <w:tr>
        <w:trPr>
          <w:trHeight w:val="358"/>
        </w:trPr>
        <w:tc>
          <w:tcPr>
            <w:tcW w:w="8360" w:type="dxa"/>
            <w:vAlign w:val="bottom"/>
          </w:tcPr>
          <w:p>
            <w:pPr>
              <w:ind w:left="220"/>
              <w:spacing w:after="0"/>
              <w:rPr>
                <w:sz w:val="20"/>
                <w:szCs w:val="20"/>
                <w:color w:val="auto"/>
              </w:rPr>
            </w:pPr>
            <w:r>
              <w:rPr>
                <w:rFonts w:ascii="Arial" w:cs="Arial" w:eastAsia="Arial" w:hAnsi="Arial"/>
                <w:sz w:val="16"/>
                <w:szCs w:val="16"/>
                <w:color w:val="auto"/>
              </w:rPr>
              <w:t>Deferred income tax assets, net of valuation allowance</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29,911</w:t>
            </w:r>
          </w:p>
        </w:tc>
        <w:tc>
          <w:tcPr>
            <w:tcW w:w="220" w:type="dxa"/>
            <w:vAlign w:val="bottom"/>
          </w:tcPr>
          <w:p>
            <w:pPr>
              <w:spacing w:after="0"/>
              <w:rPr>
                <w:sz w:val="24"/>
                <w:szCs w:val="24"/>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22,559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360" w:type="dxa"/>
            <w:vAlign w:val="bottom"/>
          </w:tcPr>
          <w:p>
            <w:pPr>
              <w:ind w:left="20"/>
              <w:spacing w:after="0"/>
              <w:rPr>
                <w:sz w:val="20"/>
                <w:szCs w:val="20"/>
                <w:color w:val="auto"/>
              </w:rPr>
            </w:pPr>
            <w:r>
              <w:rPr>
                <w:rFonts w:ascii="Arial" w:cs="Arial" w:eastAsia="Arial" w:hAnsi="Arial"/>
                <w:sz w:val="12"/>
                <w:szCs w:val="12"/>
                <w:b w:val="1"/>
                <w:bCs w:val="1"/>
                <w:color w:val="auto"/>
              </w:rPr>
              <w:t>Deferred Income Tax Liabilities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Book/tax basis differences in investments and debt</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rPr>
                <w:sz w:val="20"/>
                <w:szCs w:val="20"/>
                <w:color w:val="auto"/>
              </w:rPr>
            </w:pPr>
            <w:r>
              <w:rPr>
                <w:rFonts w:ascii="Arial" w:cs="Arial" w:eastAsia="Arial" w:hAnsi="Arial"/>
                <w:sz w:val="16"/>
                <w:szCs w:val="16"/>
                <w:color w:val="auto"/>
              </w:rPr>
              <w:t>Leasing assets</w:t>
            </w:r>
          </w:p>
        </w:tc>
        <w:tc>
          <w:tcPr>
            <w:tcW w:w="2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(4,680)</w:t>
            </w:r>
          </w:p>
        </w:tc>
        <w:tc>
          <w:tcPr>
            <w:tcW w:w="2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(4,291)</w:t>
            </w: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Depreciation</w:t>
            </w:r>
          </w:p>
        </w:tc>
        <w:tc>
          <w:tcPr>
            <w:tcW w:w="2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(2,674)</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04"/>
        </w:trPr>
        <w:tc>
          <w:tcPr>
            <w:tcW w:w="8360" w:type="dxa"/>
            <w:vAlign w:val="bottom"/>
          </w:tcPr>
          <w:p>
            <w:pPr>
              <w:ind w:left="20"/>
              <w:spacing w:after="0"/>
              <w:rPr>
                <w:sz w:val="20"/>
                <w:szCs w:val="20"/>
                <w:color w:val="auto"/>
              </w:rPr>
            </w:pPr>
            <w:r>
              <w:rPr>
                <w:rFonts w:ascii="Arial" w:cs="Arial" w:eastAsia="Arial" w:hAnsi="Arial"/>
                <w:sz w:val="16"/>
                <w:szCs w:val="16"/>
                <w:color w:val="auto"/>
              </w:rPr>
              <w:t>Deferred tax on foreign earnings</w:t>
            </w:r>
          </w:p>
        </w:tc>
        <w:tc>
          <w:tcPr>
            <w:tcW w:w="2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(2,738)</w:t>
            </w:r>
          </w:p>
        </w:tc>
        <w:tc>
          <w:tcPr>
            <w:tcW w:w="2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E5E5E5"/>
          </w:tcPr>
          <w:p>
            <w:pPr>
              <w:spacing w:after="0"/>
              <w:rPr>
                <w:sz w:val="17"/>
                <w:szCs w:val="17"/>
                <w:color w:val="auto"/>
              </w:rPr>
            </w:pPr>
          </w:p>
        </w:tc>
        <w:tc>
          <w:tcPr>
            <w:tcW w:w="92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(89)</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(103 )</w:t>
            </w:r>
          </w:p>
        </w:tc>
        <w:tc>
          <w:tcPr>
            <w:tcW w:w="0" w:type="dxa"/>
            <w:vAlign w:val="bottom"/>
          </w:tcPr>
          <w:p>
            <w:pPr>
              <w:spacing w:after="0"/>
              <w:rPr>
                <w:sz w:val="1"/>
                <w:szCs w:val="1"/>
                <w:color w:val="auto"/>
              </w:rPr>
            </w:pPr>
          </w:p>
        </w:tc>
      </w:tr>
      <w:tr>
        <w:trPr>
          <w:trHeight w:val="358"/>
        </w:trPr>
        <w:tc>
          <w:tcPr>
            <w:tcW w:w="8360" w:type="dxa"/>
            <w:vAlign w:val="bottom"/>
          </w:tcPr>
          <w:p>
            <w:pPr>
              <w:ind w:left="220"/>
              <w:spacing w:after="0"/>
              <w:rPr>
                <w:sz w:val="20"/>
                <w:szCs w:val="20"/>
                <w:color w:val="auto"/>
              </w:rPr>
            </w:pPr>
            <w:r>
              <w:rPr>
                <w:rFonts w:ascii="Arial" w:cs="Arial" w:eastAsia="Arial" w:hAnsi="Arial"/>
                <w:sz w:val="16"/>
                <w:szCs w:val="16"/>
                <w:color w:val="auto"/>
              </w:rPr>
              <w:t>Deferred income tax liabilities</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(10,181 )</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(9,274)</w:t>
            </w:r>
          </w:p>
        </w:tc>
        <w:tc>
          <w:tcPr>
            <w:tcW w:w="0" w:type="dxa"/>
            <w:vAlign w:val="bottom"/>
          </w:tcPr>
          <w:p>
            <w:pPr>
              <w:spacing w:after="0"/>
              <w:rPr>
                <w:sz w:val="1"/>
                <w:szCs w:val="1"/>
                <w:color w:val="auto"/>
              </w:rPr>
            </w:pPr>
          </w:p>
        </w:tc>
      </w:tr>
      <w:tr>
        <w:trPr>
          <w:trHeight w:val="134"/>
        </w:trPr>
        <w:tc>
          <w:tcPr>
            <w:tcW w:w="8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Net deferred income tax assets</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19,730</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13,285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Reported As</w:t>
            </w: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8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8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assets</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20,163</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13,515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60" w:type="dxa"/>
            <w:vAlign w:val="bottom"/>
          </w:tcPr>
          <w:p>
            <w:pPr>
              <w:ind w:left="20"/>
              <w:spacing w:after="0"/>
              <w:rPr>
                <w:sz w:val="20"/>
                <w:szCs w:val="20"/>
                <w:color w:val="auto"/>
              </w:rPr>
            </w:pPr>
            <w:r>
              <w:rPr>
                <w:rFonts w:ascii="Arial" w:cs="Arial" w:eastAsia="Arial" w:hAnsi="Arial"/>
                <w:sz w:val="16"/>
                <w:szCs w:val="16"/>
                <w:color w:val="auto"/>
              </w:rPr>
              <w:t>Long-term deferred income tax liabilities</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(433 )</w:t>
            </w: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(230 )</w:t>
            </w:r>
          </w:p>
        </w:tc>
        <w:tc>
          <w:tcPr>
            <w:tcW w:w="0" w:type="dxa"/>
            <w:vAlign w:val="bottom"/>
          </w:tcPr>
          <w:p>
            <w:pPr>
              <w:spacing w:after="0"/>
              <w:rPr>
                <w:sz w:val="1"/>
                <w:szCs w:val="1"/>
                <w:color w:val="auto"/>
              </w:rPr>
            </w:pPr>
          </w:p>
        </w:tc>
      </w:tr>
      <w:tr>
        <w:trPr>
          <w:trHeight w:val="131"/>
        </w:trPr>
        <w:tc>
          <w:tcPr>
            <w:tcW w:w="8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8360" w:type="dxa"/>
            <w:vAlign w:val="bottom"/>
            <w:shd w:val="clear" w:color="auto" w:fill="E5E5E5"/>
          </w:tcPr>
          <w:p>
            <w:pPr>
              <w:ind w:left="400"/>
              <w:spacing w:after="0"/>
              <w:rPr>
                <w:sz w:val="20"/>
                <w:szCs w:val="20"/>
                <w:color w:val="auto"/>
              </w:rPr>
            </w:pPr>
            <w:r>
              <w:rPr>
                <w:rFonts w:ascii="Arial" w:cs="Arial" w:eastAsia="Arial" w:hAnsi="Arial"/>
                <w:sz w:val="16"/>
                <w:szCs w:val="16"/>
                <w:color w:val="auto"/>
              </w:rPr>
              <w:t>Net deferred income tax assets</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19,730</w:t>
            </w:r>
          </w:p>
        </w:tc>
        <w:tc>
          <w:tcPr>
            <w:tcW w:w="22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13,285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836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-819785</wp:posOffset>
            </wp:positionV>
            <wp:extent cx="93980" cy="863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-819785</wp:posOffset>
            </wp:positionV>
            <wp:extent cx="86360" cy="863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-73025</wp:posOffset>
            </wp:positionV>
            <wp:extent cx="93980" cy="863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63"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Provisions enacted in the TCJA related to the capitalization for tax purposes of research and development expenditures became effective on July 1,</w:t>
      </w:r>
      <w:r>
        <w:rPr>
          <w:rFonts w:ascii="Arial" w:cs="Arial" w:eastAsia="Arial" w:hAnsi="Arial"/>
          <w:sz w:val="16"/>
          <w:szCs w:val="16"/>
          <w:color w:val="auto"/>
        </w:rPr>
        <w:t xml:space="preserve"> </w:t>
      </w:r>
      <w:r>
        <w:rPr>
          <w:rFonts w:ascii="Arial" w:cs="Arial" w:eastAsia="Arial" w:hAnsi="Arial"/>
          <w:sz w:val="16"/>
          <w:szCs w:val="16"/>
          <w:i w:val="1"/>
          <w:iCs w:val="1"/>
          <w:color w:val="auto"/>
        </w:rPr>
        <w:t>2022. These provisions require us to capitalize research and development expenditures and amortize them on our U.S. tax return over five or fifteen years, depending on where research is conducted.</w:t>
      </w:r>
    </w:p>
    <w:p>
      <w:pPr>
        <w:spacing w:after="0" w:line="122"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and are stated at enacted tax rates expected to be in effect when the taxes are paid or recovered.</w:t>
      </w:r>
    </w:p>
    <w:p>
      <w:pPr>
        <w:spacing w:after="0" w:line="118"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As of June 30, 2023, we had federal, state, and foreign net operating loss carryforwards of $509 million, $1.2 billion, and $2.3 billion, respectively. The federal and state net operating loss carryforwards have varying expiration dates ranging from fiscal year 2024 to 2043 or indefinite carryforward periods, if not utilized. The majority of our foreign net operating loss carryforwards do not expire. Certain acquired net operating loss carryforwards are subject to an annual limitation but are expected to be realized with the exception of those which have a valuation allowance. As of June 30, 2023, we had $456 million federal capital loss carryforwards for U.S. tax purposes from our acquisition of Nuance. The federal capital loss carryforwards are subject to an annual limitation and will expire in fiscal year 2025.</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The valuation allowance disclosed in the table above relates to the foreign net operating loss carryforwards, federal capital loss carryforwards, and other net deferred tax assets that may not be realized.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Income taxes paid, net of refunds, were $23.1 billion, $16.0 billion, and $13.4 billion in fiscal years 2023, 2022, and 2021,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 Tax Positions</w:t>
      </w:r>
    </w:p>
    <w:p>
      <w:pPr>
        <w:spacing w:after="0" w:line="148"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Gross unrecognized tax benefits related to uncertain tax positions as of June 30, 2023, 2022, and 2021, were $17.1 billion, $15.6 billion, and $14.6 billion, respectively, which were primarily included in long-term income taxes in our consolidated balance sheets. If recognized, the resulting tax benefit would affect our effective tax rates for fiscal years 2023, 2022, and 2021 by $14.4 billion, $13.3 billion, and $12.5 billion, respectively.</w:t>
      </w:r>
    </w:p>
    <w:p>
      <w:pPr>
        <w:spacing w:after="0" w:line="125" w:lineRule="exact"/>
        <w:rPr>
          <w:sz w:val="20"/>
          <w:szCs w:val="20"/>
          <w:color w:val="auto"/>
        </w:rPr>
      </w:pPr>
    </w:p>
    <w:p>
      <w:pPr>
        <w:ind w:right="380"/>
        <w:spacing w:after="0" w:line="243" w:lineRule="auto"/>
        <w:rPr>
          <w:sz w:val="20"/>
          <w:szCs w:val="20"/>
          <w:color w:val="auto"/>
        </w:rPr>
      </w:pPr>
      <w:r>
        <w:rPr>
          <w:rFonts w:ascii="Arial" w:cs="Arial" w:eastAsia="Arial" w:hAnsi="Arial"/>
          <w:sz w:val="16"/>
          <w:szCs w:val="16"/>
          <w:color w:val="auto"/>
        </w:rPr>
        <w:t>As of June 30, 2023, 2022, and 2021, we had accrued interest expense related to uncertain tax positions of $ 5.2 billion, $4.3 billion, and $4.3 billion, respectively, net of income tax benefits. The provision for income taxes for fiscal years 2023, 2022, and 2021 included interest expense related to uncertain tax positions of $918 million, $36 million, and $274 million, respectively, net of income tax benefits.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aggregate changes in the gross unrecognized tax benefits related to uncertain tax positions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72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r>
      <w:tr>
        <w:trPr>
          <w:trHeight w:val="76"/>
        </w:trPr>
        <w:tc>
          <w:tcPr>
            <w:tcW w:w="7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200" w:type="dxa"/>
            <w:vAlign w:val="bottom"/>
            <w:shd w:val="clear" w:color="auto" w:fill="E5E5E5"/>
          </w:tcPr>
          <w:p>
            <w:pPr>
              <w:ind w:left="20"/>
              <w:spacing w:after="0"/>
              <w:rPr>
                <w:sz w:val="20"/>
                <w:szCs w:val="20"/>
                <w:color w:val="auto"/>
              </w:rPr>
            </w:pPr>
            <w:r>
              <w:rPr>
                <w:rFonts w:ascii="Arial" w:cs="Arial" w:eastAsia="Arial" w:hAnsi="Arial"/>
                <w:sz w:val="16"/>
                <w:szCs w:val="16"/>
                <w:color w:val="auto"/>
              </w:rPr>
              <w:t>Beginning unrecognized tax benefits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15,593</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14,550</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13,792</w:t>
            </w:r>
          </w:p>
        </w:tc>
        <w:tc>
          <w:tcPr>
            <w:tcW w:w="80" w:type="dxa"/>
            <w:vAlign w:val="bottom"/>
            <w:shd w:val="clear" w:color="auto" w:fill="E5E5E5"/>
          </w:tcPr>
          <w:p>
            <w:pPr>
              <w:spacing w:after="0"/>
              <w:rPr>
                <w:sz w:val="17"/>
                <w:szCs w:val="17"/>
                <w:color w:val="auto"/>
              </w:rPr>
            </w:pPr>
          </w:p>
        </w:tc>
      </w:tr>
      <w:tr>
        <w:trPr>
          <w:trHeight w:val="204"/>
        </w:trPr>
        <w:tc>
          <w:tcPr>
            <w:tcW w:w="7200" w:type="dxa"/>
            <w:vAlign w:val="bottom"/>
          </w:tcPr>
          <w:p>
            <w:pPr>
              <w:ind w:left="220"/>
              <w:spacing w:after="0"/>
              <w:rPr>
                <w:sz w:val="20"/>
                <w:szCs w:val="20"/>
                <w:color w:val="auto"/>
              </w:rPr>
            </w:pPr>
            <w:r>
              <w:rPr>
                <w:rFonts w:ascii="Arial" w:cs="Arial" w:eastAsia="Arial" w:hAnsi="Arial"/>
                <w:sz w:val="16"/>
                <w:szCs w:val="16"/>
                <w:color w:val="auto"/>
              </w:rPr>
              <w:t>Decreases related to settlements</w:t>
            </w:r>
          </w:p>
        </w:tc>
        <w:tc>
          <w:tcPr>
            <w:tcW w:w="2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(329 )</w:t>
            </w:r>
          </w:p>
        </w:tc>
        <w:tc>
          <w:tcPr>
            <w:tcW w:w="2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(317 )</w:t>
            </w:r>
          </w:p>
        </w:tc>
        <w:tc>
          <w:tcPr>
            <w:tcW w:w="2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(195 )</w:t>
            </w: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Increases for tax positions related to the current year</w:t>
            </w: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1,051</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1,145</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790</w:t>
            </w:r>
          </w:p>
        </w:tc>
        <w:tc>
          <w:tcPr>
            <w:tcW w:w="80" w:type="dxa"/>
            <w:vAlign w:val="bottom"/>
            <w:shd w:val="clear" w:color="auto" w:fill="E5E5E5"/>
          </w:tcPr>
          <w:p>
            <w:pPr>
              <w:spacing w:after="0"/>
              <w:rPr>
                <w:sz w:val="17"/>
                <w:szCs w:val="17"/>
                <w:color w:val="auto"/>
              </w:rPr>
            </w:pPr>
          </w:p>
        </w:tc>
      </w:tr>
      <w:tr>
        <w:trPr>
          <w:trHeight w:val="204"/>
        </w:trPr>
        <w:tc>
          <w:tcPr>
            <w:tcW w:w="7200" w:type="dxa"/>
            <w:vAlign w:val="bottom"/>
          </w:tcPr>
          <w:p>
            <w:pPr>
              <w:ind w:left="220"/>
              <w:spacing w:after="0"/>
              <w:rPr>
                <w:sz w:val="20"/>
                <w:szCs w:val="20"/>
                <w:color w:val="auto"/>
              </w:rPr>
            </w:pPr>
            <w:r>
              <w:rPr>
                <w:rFonts w:ascii="Arial" w:cs="Arial" w:eastAsia="Arial" w:hAnsi="Arial"/>
                <w:sz w:val="16"/>
                <w:szCs w:val="16"/>
                <w:color w:val="auto"/>
              </w:rPr>
              <w:t>Increases for tax positions related to prior years</w:t>
            </w: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870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7"/>
                <w:szCs w:val="17"/>
                <w:color w:val="auto"/>
              </w:rPr>
            </w:pPr>
          </w:p>
        </w:tc>
      </w:tr>
      <w:tr>
        <w:trPr>
          <w:trHeight w:val="204"/>
        </w:trPr>
        <w:tc>
          <w:tcPr>
            <w:tcW w:w="72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Decreases for tax positions related to prior years</w:t>
            </w:r>
          </w:p>
        </w:tc>
        <w:tc>
          <w:tcPr>
            <w:tcW w:w="280" w:type="dxa"/>
            <w:vAlign w:val="bottom"/>
            <w:shd w:val="clear" w:color="auto" w:fill="E5E5E5"/>
          </w:tcPr>
          <w:p>
            <w:pPr>
              <w:spacing w:after="0"/>
              <w:rPr>
                <w:sz w:val="17"/>
                <w:szCs w:val="17"/>
                <w:color w:val="auto"/>
              </w:rPr>
            </w:pPr>
          </w:p>
        </w:tc>
        <w:tc>
          <w:tcPr>
            <w:tcW w:w="90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(60)</w:t>
            </w:r>
          </w:p>
        </w:tc>
        <w:tc>
          <w:tcPr>
            <w:tcW w:w="280" w:type="dxa"/>
            <w:vAlign w:val="bottom"/>
            <w:shd w:val="clear" w:color="auto" w:fill="E5E5E5"/>
          </w:tcPr>
          <w:p>
            <w:pPr>
              <w:spacing w:after="0"/>
              <w:rPr>
                <w:sz w:val="17"/>
                <w:szCs w:val="17"/>
                <w:color w:val="auto"/>
              </w:rPr>
            </w:pPr>
          </w:p>
        </w:tc>
        <w:tc>
          <w:tcPr>
            <w:tcW w:w="88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(246 )</w:t>
            </w:r>
          </w:p>
        </w:tc>
        <w:tc>
          <w:tcPr>
            <w:tcW w:w="260" w:type="dxa"/>
            <w:vAlign w:val="bottom"/>
            <w:shd w:val="clear" w:color="auto" w:fill="E5E5E5"/>
          </w:tcPr>
          <w:p>
            <w:pPr>
              <w:spacing w:after="0"/>
              <w:rPr>
                <w:sz w:val="17"/>
                <w:szCs w:val="17"/>
                <w:color w:val="auto"/>
              </w:rPr>
            </w:pPr>
          </w:p>
        </w:tc>
        <w:tc>
          <w:tcPr>
            <w:tcW w:w="7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(297 )</w:t>
            </w:r>
          </w:p>
        </w:tc>
      </w:tr>
      <w:tr>
        <w:trPr>
          <w:trHeight w:val="217"/>
        </w:trPr>
        <w:tc>
          <w:tcPr>
            <w:tcW w:w="7200" w:type="dxa"/>
            <w:vAlign w:val="bottom"/>
          </w:tcPr>
          <w:p>
            <w:pPr>
              <w:ind w:left="220"/>
              <w:spacing w:after="0"/>
              <w:rPr>
                <w:sz w:val="20"/>
                <w:szCs w:val="20"/>
                <w:color w:val="auto"/>
              </w:rPr>
            </w:pPr>
            <w:r>
              <w:rPr>
                <w:rFonts w:ascii="Arial" w:cs="Arial" w:eastAsia="Arial" w:hAnsi="Arial"/>
                <w:sz w:val="16"/>
                <w:szCs w:val="16"/>
                <w:color w:val="auto"/>
              </w:rPr>
              <w:t>Decreases due to lapsed statutes of limitations</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(1 )</w:t>
            </w:r>
          </w:p>
        </w:tc>
      </w:tr>
      <w:tr>
        <w:trPr>
          <w:trHeight w:val="131"/>
        </w:trPr>
        <w:tc>
          <w:tcPr>
            <w:tcW w:w="7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200" w:type="dxa"/>
            <w:vAlign w:val="bottom"/>
            <w:shd w:val="clear" w:color="auto" w:fill="E5E5E5"/>
          </w:tcPr>
          <w:p>
            <w:pPr>
              <w:ind w:left="20"/>
              <w:spacing w:after="0"/>
              <w:rPr>
                <w:sz w:val="20"/>
                <w:szCs w:val="20"/>
                <w:color w:val="auto"/>
              </w:rPr>
            </w:pPr>
            <w:r>
              <w:rPr>
                <w:rFonts w:ascii="Arial" w:cs="Arial" w:eastAsia="Arial" w:hAnsi="Arial"/>
                <w:sz w:val="16"/>
                <w:szCs w:val="16"/>
                <w:color w:val="auto"/>
              </w:rPr>
              <w:t>Ending unrecognized tax benefits</w:t>
            </w: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17,120</w:t>
            </w:r>
          </w:p>
        </w:tc>
        <w:tc>
          <w:tcPr>
            <w:tcW w:w="220" w:type="dxa"/>
            <w:vAlign w:val="bottom"/>
            <w:shd w:val="clear" w:color="auto" w:fill="E5E5E5"/>
          </w:tcPr>
          <w:p>
            <w:pPr>
              <w:spacing w:after="0"/>
              <w:rPr>
                <w:sz w:val="17"/>
                <w:szCs w:val="17"/>
                <w:color w:val="auto"/>
              </w:rPr>
            </w:pPr>
          </w:p>
        </w:tc>
        <w:tc>
          <w:tcPr>
            <w:tcW w:w="2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15,593</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14,550</w:t>
            </w:r>
          </w:p>
        </w:tc>
        <w:tc>
          <w:tcPr>
            <w:tcW w:w="80" w:type="dxa"/>
            <w:vAlign w:val="bottom"/>
            <w:shd w:val="clear" w:color="auto" w:fill="E5E5E5"/>
          </w:tcPr>
          <w:p>
            <w:pPr>
              <w:spacing w:after="0"/>
              <w:rPr>
                <w:sz w:val="17"/>
                <w:szCs w:val="17"/>
                <w:color w:val="auto"/>
              </w:rPr>
            </w:pPr>
          </w:p>
        </w:tc>
      </w:tr>
      <w:tr>
        <w:trPr>
          <w:trHeight w:val="76"/>
        </w:trPr>
        <w:tc>
          <w:tcPr>
            <w:tcW w:w="720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5166360</wp:posOffset>
            </wp:positionH>
            <wp:positionV relativeFrom="paragraph">
              <wp:posOffset>-73025</wp:posOffset>
            </wp:positionV>
            <wp:extent cx="93980" cy="863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-73025</wp:posOffset>
            </wp:positionV>
            <wp:extent cx="93980" cy="863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settled a portion of the Internal Revenue Service (“IRS”) audit for tax years 2004 to 2006 in fiscal year 2011. In February 2012, the IRS withdrew its 2011 Revenue Agents Report related to unresolved issues for tax years 2004 to 2006 and reopened the audit phase of the examination. We also settled a portion of the IRS audit for tax years 2007 to 2009 in fiscal year 2016, and a portion of the IRS audit for tax years 2010 to 2013 in fiscal year 2018. In the second quarter of fiscal year 2021, we settled an additional portion of the IRS audits for tax years 2004 to 2013 and made a payment of $1.7 billion, including tax and interest. We remain under audit for tax years 2004 to 2017.</w:t>
      </w:r>
    </w:p>
    <w:p>
      <w:pPr>
        <w:spacing w:after="0" w:line="12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As of June 30, 2023, the primary unresolved issues for the IRS audits relate to transfer pricing, which could have a material impact in our consolidated financial statements when the matters are resolved. We believe our allowances for income tax contingencies are adequate. We have not received a proposed assessment for the unresolved key transfer pricing issues. We do not expect a final resolution of these issues in the next 12 months. Based on the information currently available, we do not anticipate a significant increase or decrease to our tax contingencies for these issues within the next 12 months.</w:t>
      </w:r>
    </w:p>
    <w:p>
      <w:pPr>
        <w:spacing w:after="0" w:line="12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We are subject to income tax in many jurisdictions outside the U.S. Our operations in certain jurisdictions remain subject to examination for tax years 1996 to 2022, some of which are currently under audit by local tax authorities. The resolution of each of these audits is not expected to be material to our consolidated financial statements.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5" w:name="page86"/>
    <w:bookmarkEnd w:id="85"/>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NOTE 13 — UNEARNED REVENUE</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Unearned revenue by segment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3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76"/>
        </w:trPr>
        <w:tc>
          <w:tcPr>
            <w:tcW w:w="8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 Processes</w:t>
            </w:r>
          </w:p>
        </w:tc>
        <w:tc>
          <w:tcPr>
            <w:tcW w:w="340" w:type="dxa"/>
            <w:vAlign w:val="bottom"/>
            <w:shd w:val="clear" w:color="auto" w:fill="E5E5E5"/>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27,572</w:t>
            </w:r>
          </w:p>
        </w:tc>
        <w:tc>
          <w:tcPr>
            <w:tcW w:w="20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24,558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4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21,563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4,678</w:t>
            </w:r>
          </w:p>
        </w:tc>
        <w:tc>
          <w:tcPr>
            <w:tcW w:w="2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4,479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140" w:type="dxa"/>
            <w:vAlign w:val="bottom"/>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6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53,813</w:t>
            </w:r>
          </w:p>
        </w:tc>
        <w:tc>
          <w:tcPr>
            <w:tcW w:w="200" w:type="dxa"/>
            <w:vAlign w:val="bottom"/>
          </w:tcPr>
          <w:p>
            <w:pPr>
              <w:spacing w:after="0"/>
              <w:rPr>
                <w:sz w:val="24"/>
                <w:szCs w:val="24"/>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48,408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8140" w:type="dxa"/>
            <w:vAlign w:val="bottom"/>
            <w:vMerge w:val="restart"/>
          </w:tcPr>
          <w:p>
            <w:pPr>
              <w:spacing w:after="0"/>
              <w:rPr>
                <w:sz w:val="20"/>
                <w:szCs w:val="20"/>
                <w:color w:val="auto"/>
              </w:rPr>
            </w:pPr>
            <w:r>
              <w:rPr>
                <w:rFonts w:ascii="Arial" w:cs="Arial" w:eastAsia="Arial" w:hAnsi="Arial"/>
                <w:sz w:val="16"/>
                <w:szCs w:val="16"/>
                <w:color w:val="auto"/>
              </w:rPr>
              <w:t>Changes in unearned revenue were as follows:</w:t>
            </w:r>
          </w:p>
        </w:tc>
        <w:tc>
          <w:tcPr>
            <w:tcW w:w="3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81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40" w:type="dxa"/>
            <w:vAlign w:val="bottom"/>
          </w:tcPr>
          <w:p>
            <w:pPr>
              <w:ind w:left="20"/>
              <w:spacing w:after="0"/>
              <w:rPr>
                <w:sz w:val="20"/>
                <w:szCs w:val="20"/>
                <w:color w:val="auto"/>
              </w:rPr>
            </w:pPr>
            <w:r>
              <w:rPr>
                <w:rFonts w:ascii="Arial" w:cs="Arial" w:eastAsia="Arial" w:hAnsi="Arial"/>
                <w:sz w:val="12"/>
                <w:szCs w:val="12"/>
                <w:b w:val="1"/>
                <w:bCs w:val="1"/>
                <w:color w:val="auto"/>
              </w:rPr>
              <w:t>Year Ended June 30, 2023</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8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8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8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48,408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140" w:type="dxa"/>
            <w:vAlign w:val="bottom"/>
          </w:tcPr>
          <w:p>
            <w:pPr>
              <w:ind w:left="220"/>
              <w:spacing w:after="0"/>
              <w:rPr>
                <w:sz w:val="20"/>
                <w:szCs w:val="20"/>
                <w:color w:val="auto"/>
              </w:rPr>
            </w:pPr>
            <w:r>
              <w:rPr>
                <w:rFonts w:ascii="Arial" w:cs="Arial" w:eastAsia="Arial" w:hAnsi="Arial"/>
                <w:sz w:val="16"/>
                <w:szCs w:val="16"/>
                <w:color w:val="auto"/>
              </w:rPr>
              <w:t>Deferral of revenue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123,935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8140" w:type="dxa"/>
            <w:vAlign w:val="bottom"/>
            <w:shd w:val="clear" w:color="auto" w:fill="E5E5E5"/>
          </w:tcPr>
          <w:p>
            <w:pPr>
              <w:ind w:left="220"/>
              <w:spacing w:after="0"/>
              <w:rPr>
                <w:sz w:val="20"/>
                <w:szCs w:val="20"/>
                <w:color w:val="auto"/>
              </w:rPr>
            </w:pPr>
            <w:r>
              <w:rPr>
                <w:rFonts w:ascii="Arial" w:cs="Arial" w:eastAsia="Arial" w:hAnsi="Arial"/>
                <w:sz w:val="16"/>
                <w:szCs w:val="16"/>
                <w:color w:val="auto"/>
              </w:rPr>
              <w:t>Recognition of unearned revenue</w:t>
            </w:r>
          </w:p>
        </w:tc>
        <w:tc>
          <w:tcPr>
            <w:tcW w:w="3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2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86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b w:val="1"/>
                <w:bCs w:val="1"/>
                <w:color w:val="auto"/>
              </w:rPr>
              <w:t>(118,530 )</w:t>
            </w:r>
          </w:p>
        </w:tc>
        <w:tc>
          <w:tcPr>
            <w:tcW w:w="0" w:type="dxa"/>
            <w:vAlign w:val="bottom"/>
          </w:tcPr>
          <w:p>
            <w:pPr>
              <w:spacing w:after="0"/>
              <w:rPr>
                <w:sz w:val="1"/>
                <w:szCs w:val="1"/>
                <w:color w:val="auto"/>
              </w:rPr>
            </w:pPr>
          </w:p>
        </w:tc>
      </w:tr>
      <w:tr>
        <w:trPr>
          <w:trHeight w:val="358"/>
        </w:trPr>
        <w:tc>
          <w:tcPr>
            <w:tcW w:w="81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53,813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8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5837555</wp:posOffset>
            </wp:positionH>
            <wp:positionV relativeFrom="paragraph">
              <wp:posOffset>-1475740</wp:posOffset>
            </wp:positionV>
            <wp:extent cx="93980" cy="863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-1475740</wp:posOffset>
            </wp:positionV>
            <wp:extent cx="86360" cy="863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Revenue allocated to remaining performance obligations, which includes unearned revenue and amounts that will be invoiced and recognized as revenue in future periods, was $229 billion as of June 30, 2023, of which $224 billion is related to the commercial portion of revenue. We expect to recognize approximately 45% of this revenue over the next 12 months and the remainder thereafter.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NOTE 14 — LEASES</w:t>
      </w:r>
    </w:p>
    <w:p>
      <w:pPr>
        <w:spacing w:after="0" w:line="140" w:lineRule="exact"/>
        <w:rPr>
          <w:sz w:val="20"/>
          <w:szCs w:val="20"/>
          <w:color w:val="auto"/>
        </w:rPr>
      </w:pPr>
    </w:p>
    <w:p>
      <w:pPr>
        <w:jc w:val="both"/>
        <w:ind w:right="80"/>
        <w:spacing w:after="0" w:line="243" w:lineRule="auto"/>
        <w:rPr>
          <w:sz w:val="20"/>
          <w:szCs w:val="20"/>
          <w:color w:val="auto"/>
        </w:rPr>
      </w:pPr>
      <w:r>
        <w:rPr>
          <w:rFonts w:ascii="Arial" w:cs="Arial" w:eastAsia="Arial" w:hAnsi="Arial"/>
          <w:sz w:val="16"/>
          <w:szCs w:val="16"/>
          <w:color w:val="auto"/>
        </w:rPr>
        <w:t>We have operating and finance leases for datacenters, corporate offices, research and development facilities, Microsoft Experience Centers, and certain equipment. Our leases have remaining lease terms of less than 1 year to 18 years, some of which include options to extend the leases for up to 5 years, and some of which include options to terminate the leases within 1 year.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lease cost</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2,875</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2,461</w:t>
            </w:r>
          </w:p>
        </w:tc>
        <w:tc>
          <w:tcPr>
            <w:tcW w:w="62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2,127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560" w:type="dxa"/>
            <w:vAlign w:val="bottom"/>
            <w:vMerge w:val="restart"/>
          </w:tcPr>
          <w:p>
            <w:pPr>
              <w:ind w:left="20"/>
              <w:spacing w:after="0"/>
              <w:rPr>
                <w:sz w:val="20"/>
                <w:szCs w:val="20"/>
                <w:color w:val="auto"/>
              </w:rPr>
            </w:pPr>
            <w:r>
              <w:rPr>
                <w:rFonts w:ascii="Arial" w:cs="Arial" w:eastAsia="Arial" w:hAnsi="Arial"/>
                <w:sz w:val="16"/>
                <w:szCs w:val="16"/>
                <w:color w:val="auto"/>
              </w:rPr>
              <w:t>Finance lease cost:</w:t>
            </w:r>
          </w:p>
        </w:tc>
        <w:tc>
          <w:tcPr>
            <w:tcW w:w="4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656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6560" w:type="dxa"/>
            <w:vAlign w:val="bottom"/>
            <w:shd w:val="clear" w:color="auto" w:fill="E5E5E5"/>
          </w:tcPr>
          <w:p>
            <w:pPr>
              <w:ind w:left="260"/>
              <w:spacing w:after="0"/>
              <w:rPr>
                <w:sz w:val="20"/>
                <w:szCs w:val="20"/>
                <w:color w:val="auto"/>
              </w:rPr>
            </w:pPr>
            <w:r>
              <w:rPr>
                <w:rFonts w:ascii="Arial" w:cs="Arial" w:eastAsia="Arial" w:hAnsi="Arial"/>
                <w:sz w:val="16"/>
                <w:szCs w:val="16"/>
                <w:color w:val="auto"/>
              </w:rPr>
              <w:t>Amortization of right-of-use assets</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1,352</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980</w:t>
            </w:r>
          </w:p>
        </w:tc>
        <w:tc>
          <w:tcPr>
            <w:tcW w:w="62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921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60"/>
              <w:spacing w:after="0"/>
              <w:rPr>
                <w:sz w:val="20"/>
                <w:szCs w:val="20"/>
                <w:color w:val="auto"/>
              </w:rPr>
            </w:pPr>
            <w:r>
              <w:rPr>
                <w:rFonts w:ascii="Arial" w:cs="Arial" w:eastAsia="Arial" w:hAnsi="Arial"/>
                <w:sz w:val="16"/>
                <w:szCs w:val="16"/>
                <w:color w:val="auto"/>
              </w:rPr>
              <w:t>Interest on lease liabilities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501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429</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6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60"/>
              <w:spacing w:after="0"/>
              <w:rPr>
                <w:sz w:val="20"/>
                <w:szCs w:val="20"/>
                <w:color w:val="auto"/>
              </w:rPr>
            </w:pPr>
            <w:r>
              <w:rPr>
                <w:rFonts w:ascii="Arial" w:cs="Arial" w:eastAsia="Arial" w:hAnsi="Arial"/>
                <w:sz w:val="16"/>
                <w:szCs w:val="16"/>
                <w:color w:val="auto"/>
              </w:rPr>
              <w:t>Total finance lease cost</w:t>
            </w:r>
          </w:p>
        </w:tc>
        <w:tc>
          <w:tcPr>
            <w:tcW w:w="440" w:type="dxa"/>
            <w:vAlign w:val="bottom"/>
            <w:shd w:val="clear" w:color="auto" w:fill="E5E5E5"/>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1,853</w:t>
            </w:r>
          </w:p>
        </w:tc>
        <w:tc>
          <w:tcPr>
            <w:tcW w:w="660" w:type="dxa"/>
            <w:vAlign w:val="bottom"/>
            <w:gridSpan w:val="2"/>
            <w:shd w:val="clear" w:color="auto" w:fill="E5E5E5"/>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1,409</w:t>
            </w:r>
          </w:p>
        </w:tc>
        <w:tc>
          <w:tcPr>
            <w:tcW w:w="620" w:type="dxa"/>
            <w:vAlign w:val="bottom"/>
            <w:gridSpan w:val="2"/>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1,307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6560" w:type="dxa"/>
            <w:vAlign w:val="bottom"/>
            <w:vMerge w:val="restart"/>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4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8"/>
        </w:trPr>
        <w:tc>
          <w:tcPr>
            <w:tcW w:w="656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440" w:type="dxa"/>
            <w:vAlign w:val="bottom"/>
          </w:tcPr>
          <w:p>
            <w:pPr>
              <w:jc w:val="right"/>
              <w:ind w:right="262"/>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2,706</w:t>
            </w:r>
          </w:p>
        </w:tc>
        <w:tc>
          <w:tcPr>
            <w:tcW w:w="6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2,368</w:t>
            </w:r>
          </w:p>
        </w:tc>
        <w:tc>
          <w:tcPr>
            <w:tcW w:w="6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2,052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Operating cash flows from finance leases</w:t>
            </w:r>
          </w:p>
        </w:tc>
        <w:tc>
          <w:tcPr>
            <w:tcW w:w="44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501</w:t>
            </w:r>
          </w:p>
        </w:tc>
        <w:tc>
          <w:tcPr>
            <w:tcW w:w="22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429</w:t>
            </w:r>
          </w:p>
        </w:tc>
        <w:tc>
          <w:tcPr>
            <w:tcW w:w="2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220"/>
              <w:spacing w:after="0"/>
              <w:rPr>
                <w:sz w:val="20"/>
                <w:szCs w:val="20"/>
                <w:color w:val="auto"/>
              </w:rPr>
            </w:pPr>
            <w:r>
              <w:rPr>
                <w:rFonts w:ascii="Arial" w:cs="Arial" w:eastAsia="Arial" w:hAnsi="Arial"/>
                <w:sz w:val="16"/>
                <w:szCs w:val="16"/>
                <w:color w:val="auto"/>
              </w:rPr>
              <w:t>Financing cash flows from finance leases</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1,056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896</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-2025015</wp:posOffset>
            </wp:positionV>
            <wp:extent cx="93980" cy="863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-2025015</wp:posOffset>
            </wp:positionV>
            <wp:extent cx="86360" cy="863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-2025015</wp:posOffset>
            </wp:positionV>
            <wp:extent cx="86360" cy="863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-1308735</wp:posOffset>
            </wp:positionV>
            <wp:extent cx="93980" cy="863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-1308735</wp:posOffset>
            </wp:positionV>
            <wp:extent cx="86360" cy="863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-1308735</wp:posOffset>
            </wp:positionV>
            <wp:extent cx="86360" cy="863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37465</wp:posOffset>
            </wp:positionV>
            <wp:extent cx="6707505" cy="1295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07505" cy="129540"/>
                    </a:xfrm>
                    <a:prstGeom prst="rect">
                      <a:avLst/>
                    </a:prstGeom>
                    <a:noFill/>
                  </pic:spPr>
                </pic:pic>
              </a:graphicData>
            </a:graphic>
          </wp:anchor>
        </w:drawing>
      </w:r>
    </w:p>
    <w:p>
      <w:pPr>
        <w:spacing w:after="0" w:line="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Right-of-use assets obtained in exchange for lease obligations: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00" w:type="dxa"/>
            <w:vAlign w:val="bottom"/>
          </w:tcPr>
          <w:p>
            <w:pPr>
              <w:ind w:left="220"/>
              <w:spacing w:after="0"/>
              <w:rPr>
                <w:sz w:val="20"/>
                <w:szCs w:val="20"/>
                <w:color w:val="auto"/>
              </w:rPr>
            </w:pPr>
            <w:r>
              <w:rPr>
                <w:rFonts w:ascii="Arial" w:cs="Arial" w:eastAsia="Arial" w:hAnsi="Arial"/>
                <w:sz w:val="16"/>
                <w:szCs w:val="16"/>
                <w:color w:val="auto"/>
              </w:rPr>
              <w:t>Operating leases</w:t>
            </w:r>
          </w:p>
        </w:tc>
        <w:tc>
          <w:tcPr>
            <w:tcW w:w="4940" w:type="dxa"/>
            <w:vAlign w:val="bottom"/>
          </w:tcPr>
          <w:p>
            <w:pPr>
              <w:jc w:val="right"/>
              <w:ind w:right="446"/>
              <w:spacing w:after="0"/>
              <w:rPr>
                <w:sz w:val="20"/>
                <w:szCs w:val="20"/>
                <w:color w:val="auto"/>
              </w:rPr>
            </w:pPr>
            <w:r>
              <w:rPr>
                <w:rFonts w:ascii="Arial" w:cs="Arial" w:eastAsia="Arial" w:hAnsi="Arial"/>
                <w:sz w:val="16"/>
                <w:szCs w:val="16"/>
                <w:b w:val="1"/>
                <w:bCs w:val="1"/>
                <w:color w:val="auto"/>
              </w:rPr>
              <w:t>3,514</w:t>
            </w:r>
          </w:p>
        </w:tc>
        <w:tc>
          <w:tcPr>
            <w:tcW w:w="1360" w:type="dxa"/>
            <w:vAlign w:val="bottom"/>
          </w:tcPr>
          <w:p>
            <w:pPr>
              <w:jc w:val="right"/>
              <w:ind w:right="402"/>
              <w:spacing w:after="0"/>
              <w:rPr>
                <w:sz w:val="20"/>
                <w:szCs w:val="20"/>
                <w:color w:val="auto"/>
              </w:rPr>
            </w:pPr>
            <w:r>
              <w:rPr>
                <w:rFonts w:ascii="Arial" w:cs="Arial" w:eastAsia="Arial" w:hAnsi="Arial"/>
                <w:sz w:val="16"/>
                <w:szCs w:val="16"/>
                <w:color w:val="auto"/>
              </w:rPr>
              <w:t>5,268</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4,380</w:t>
            </w:r>
          </w:p>
        </w:tc>
      </w:tr>
      <w:tr>
        <w:trPr>
          <w:trHeight w:val="204"/>
        </w:trPr>
        <w:tc>
          <w:tcPr>
            <w:tcW w:w="3300" w:type="dxa"/>
            <w:vAlign w:val="bottom"/>
            <w:shd w:val="clear" w:color="auto" w:fill="E5E5E5"/>
          </w:tcPr>
          <w:p>
            <w:pPr>
              <w:ind w:left="220"/>
              <w:spacing w:after="0"/>
              <w:rPr>
                <w:sz w:val="20"/>
                <w:szCs w:val="20"/>
                <w:color w:val="auto"/>
              </w:rPr>
            </w:pPr>
            <w:r>
              <w:rPr>
                <w:rFonts w:ascii="Arial" w:cs="Arial" w:eastAsia="Arial" w:hAnsi="Arial"/>
                <w:sz w:val="16"/>
                <w:szCs w:val="16"/>
                <w:color w:val="auto"/>
              </w:rPr>
              <w:t>Finance leases</w:t>
            </w:r>
          </w:p>
        </w:tc>
        <w:tc>
          <w:tcPr>
            <w:tcW w:w="4940" w:type="dxa"/>
            <w:vAlign w:val="bottom"/>
            <w:shd w:val="clear" w:color="auto" w:fill="E5E5E5"/>
          </w:tcPr>
          <w:p>
            <w:pPr>
              <w:jc w:val="right"/>
              <w:ind w:right="446"/>
              <w:spacing w:after="0"/>
              <w:rPr>
                <w:sz w:val="20"/>
                <w:szCs w:val="20"/>
                <w:color w:val="auto"/>
              </w:rPr>
            </w:pPr>
            <w:r>
              <w:rPr>
                <w:rFonts w:ascii="Arial" w:cs="Arial" w:eastAsia="Arial" w:hAnsi="Arial"/>
                <w:sz w:val="16"/>
                <w:szCs w:val="16"/>
                <w:b w:val="1"/>
                <w:bCs w:val="1"/>
                <w:color w:val="auto"/>
              </w:rPr>
              <w:t>3,128</w:t>
            </w:r>
          </w:p>
        </w:tc>
        <w:tc>
          <w:tcPr>
            <w:tcW w:w="1360" w:type="dxa"/>
            <w:vAlign w:val="bottom"/>
            <w:shd w:val="clear" w:color="auto" w:fill="E5E5E5"/>
          </w:tcPr>
          <w:p>
            <w:pPr>
              <w:jc w:val="right"/>
              <w:ind w:right="402"/>
              <w:spacing w:after="0"/>
              <w:rPr>
                <w:sz w:val="20"/>
                <w:szCs w:val="20"/>
                <w:color w:val="auto"/>
              </w:rPr>
            </w:pPr>
            <w:r>
              <w:rPr>
                <w:rFonts w:ascii="Arial" w:cs="Arial" w:eastAsia="Arial" w:hAnsi="Arial"/>
                <w:sz w:val="16"/>
                <w:szCs w:val="16"/>
                <w:color w:val="auto"/>
              </w:rPr>
              <w:t>4,234</w:t>
            </w:r>
          </w:p>
        </w:tc>
        <w:tc>
          <w:tcPr>
            <w:tcW w:w="960" w:type="dxa"/>
            <w:vAlign w:val="bottom"/>
            <w:shd w:val="clear" w:color="auto" w:fill="E5E5E5"/>
          </w:tcPr>
          <w:p>
            <w:pPr>
              <w:jc w:val="right"/>
              <w:ind w:right="22"/>
              <w:spacing w:after="0"/>
              <w:rPr>
                <w:sz w:val="20"/>
                <w:szCs w:val="20"/>
                <w:color w:val="auto"/>
              </w:rPr>
            </w:pPr>
            <w:r>
              <w:rPr>
                <w:rFonts w:ascii="Arial" w:cs="Arial" w:eastAsia="Arial" w:hAnsi="Arial"/>
                <w:sz w:val="16"/>
                <w:szCs w:val="16"/>
                <w:color w:val="auto"/>
              </w:rPr>
              <w:t>3,290</w:t>
            </w:r>
          </w:p>
        </w:tc>
      </w:tr>
      <w:tr>
        <w:trPr>
          <w:trHeight w:val="602"/>
        </w:trPr>
        <w:tc>
          <w:tcPr>
            <w:tcW w:w="3300" w:type="dxa"/>
            <w:vAlign w:val="bottom"/>
          </w:tcPr>
          <w:p>
            <w:pPr>
              <w:spacing w:after="0"/>
              <w:rPr>
                <w:sz w:val="24"/>
                <w:szCs w:val="24"/>
                <w:color w:val="auto"/>
              </w:rPr>
            </w:pPr>
          </w:p>
        </w:tc>
        <w:tc>
          <w:tcPr>
            <w:tcW w:w="4940" w:type="dxa"/>
            <w:vAlign w:val="bottom"/>
          </w:tcPr>
          <w:p>
            <w:pPr>
              <w:jc w:val="right"/>
              <w:ind w:right="2806"/>
              <w:spacing w:after="0"/>
              <w:rPr>
                <w:sz w:val="20"/>
                <w:szCs w:val="20"/>
                <w:color w:val="auto"/>
              </w:rPr>
            </w:pPr>
            <w:r>
              <w:rPr>
                <w:rFonts w:ascii="Arial" w:cs="Arial" w:eastAsia="Arial" w:hAnsi="Arial"/>
                <w:sz w:val="13"/>
                <w:szCs w:val="13"/>
                <w:color w:val="auto"/>
              </w:rPr>
              <w:t>86</w:t>
            </w:r>
          </w:p>
        </w:tc>
        <w:tc>
          <w:tcPr>
            <w:tcW w:w="1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2"/>
        </w:trPr>
        <w:tc>
          <w:tcPr>
            <w:tcW w:w="3300" w:type="dxa"/>
            <w:vAlign w:val="bottom"/>
            <w:tcBorders>
              <w:bottom w:val="single" w:sz="8" w:color="EEEEEE"/>
            </w:tcBorders>
          </w:tcPr>
          <w:p>
            <w:pPr>
              <w:spacing w:after="0"/>
              <w:rPr>
                <w:sz w:val="7"/>
                <w:szCs w:val="7"/>
                <w:color w:val="auto"/>
              </w:rPr>
            </w:pPr>
          </w:p>
        </w:tc>
        <w:tc>
          <w:tcPr>
            <w:tcW w:w="4940" w:type="dxa"/>
            <w:vAlign w:val="bottom"/>
            <w:tcBorders>
              <w:bottom w:val="single" w:sz="8" w:color="EEEEEE"/>
            </w:tcBorders>
          </w:tcPr>
          <w:p>
            <w:pPr>
              <w:spacing w:after="0"/>
              <w:rPr>
                <w:sz w:val="7"/>
                <w:szCs w:val="7"/>
                <w:color w:val="auto"/>
              </w:rPr>
            </w:pPr>
          </w:p>
        </w:tc>
        <w:tc>
          <w:tcPr>
            <w:tcW w:w="1360" w:type="dxa"/>
            <w:vAlign w:val="bottom"/>
            <w:tcBorders>
              <w:bottom w:val="single" w:sz="8" w:color="EEEEEE"/>
            </w:tcBorders>
          </w:tcPr>
          <w:p>
            <w:pPr>
              <w:spacing w:after="0"/>
              <w:rPr>
                <w:sz w:val="7"/>
                <w:szCs w:val="7"/>
                <w:color w:val="auto"/>
              </w:rPr>
            </w:pPr>
          </w:p>
        </w:tc>
        <w:tc>
          <w:tcPr>
            <w:tcW w:w="96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73" w:right="660"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(In millions, except lease term and discount rate)</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4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2023</w:t>
            </w:r>
          </w:p>
        </w:tc>
        <w:tc>
          <w:tcPr>
            <w:tcW w:w="42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2022</w:t>
            </w:r>
          </w:p>
        </w:tc>
        <w:tc>
          <w:tcPr>
            <w:tcW w:w="0" w:type="dxa"/>
            <w:vAlign w:val="bottom"/>
          </w:tcPr>
          <w:p>
            <w:pPr>
              <w:spacing w:after="0"/>
              <w:rPr>
                <w:sz w:val="1"/>
                <w:szCs w:val="1"/>
                <w:color w:val="auto"/>
              </w:rPr>
            </w:pPr>
          </w:p>
        </w:tc>
      </w:tr>
      <w:tr>
        <w:trPr>
          <w:trHeight w:val="252"/>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Operating Leases</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14,346</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13,148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5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2,409</w:t>
            </w:r>
          </w:p>
        </w:tc>
        <w:tc>
          <w:tcPr>
            <w:tcW w:w="220" w:type="dxa"/>
            <w:vAlign w:val="bottom"/>
          </w:tcPr>
          <w:p>
            <w:pPr>
              <w:spacing w:after="0"/>
              <w:rPr>
                <w:sz w:val="24"/>
                <w:szCs w:val="24"/>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Operating lease liabilities</w:t>
            </w:r>
          </w:p>
        </w:tc>
        <w:tc>
          <w:tcPr>
            <w:tcW w:w="4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12,728</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11,489</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520" w:type="dxa"/>
            <w:vAlign w:val="bottom"/>
          </w:tcPr>
          <w:p>
            <w:pPr>
              <w:ind w:left="220"/>
              <w:spacing w:after="0"/>
              <w:rPr>
                <w:sz w:val="20"/>
                <w:szCs w:val="20"/>
                <w:color w:val="auto"/>
              </w:rPr>
            </w:pPr>
            <w:r>
              <w:rPr>
                <w:rFonts w:ascii="Arial" w:cs="Arial" w:eastAsia="Arial" w:hAnsi="Arial"/>
                <w:sz w:val="16"/>
                <w:szCs w:val="16"/>
                <w:color w:val="auto"/>
              </w:rPr>
              <w:t>Total operating lease liabilities</w:t>
            </w:r>
          </w:p>
        </w:tc>
        <w:tc>
          <w:tcPr>
            <w:tcW w:w="420" w:type="dxa"/>
            <w:vAlign w:val="bottom"/>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15,137</w:t>
            </w:r>
          </w:p>
        </w:tc>
        <w:tc>
          <w:tcPr>
            <w:tcW w:w="220" w:type="dxa"/>
            <w:vAlign w:val="bottom"/>
          </w:tcPr>
          <w:p>
            <w:pPr>
              <w:spacing w:after="0"/>
              <w:rPr>
                <w:sz w:val="24"/>
                <w:szCs w:val="24"/>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13,717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Finance Leases</w:t>
            </w: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75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7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Property and equipment, at cost</w:t>
            </w: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20,538</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17,388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(4,647)</w:t>
            </w:r>
          </w:p>
        </w:tc>
        <w:tc>
          <w:tcPr>
            <w:tcW w:w="4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(3,285)</w:t>
            </w:r>
          </w:p>
        </w:tc>
        <w:tc>
          <w:tcPr>
            <w:tcW w:w="0" w:type="dxa"/>
            <w:vAlign w:val="bottom"/>
          </w:tcPr>
          <w:p>
            <w:pPr>
              <w:spacing w:after="0"/>
              <w:rPr>
                <w:sz w:val="1"/>
                <w:szCs w:val="1"/>
                <w:color w:val="auto"/>
              </w:rPr>
            </w:pPr>
          </w:p>
        </w:tc>
      </w:tr>
      <w:tr>
        <w:trPr>
          <w:trHeight w:val="131"/>
        </w:trPr>
        <w:tc>
          <w:tcPr>
            <w:tcW w:w="7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Property and equipment, net</w:t>
            </w: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15,891</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14,103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752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420" w:type="dxa"/>
            <w:vAlign w:val="bottom"/>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1,197</w:t>
            </w:r>
          </w:p>
        </w:tc>
        <w:tc>
          <w:tcPr>
            <w:tcW w:w="220" w:type="dxa"/>
            <w:vAlign w:val="bottom"/>
          </w:tcPr>
          <w:p>
            <w:pPr>
              <w:spacing w:after="0"/>
              <w:rPr>
                <w:sz w:val="24"/>
                <w:szCs w:val="24"/>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long-term liabilities</w:t>
            </w:r>
          </w:p>
        </w:tc>
        <w:tc>
          <w:tcPr>
            <w:tcW w:w="4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15,870</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13,842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520" w:type="dxa"/>
            <w:vAlign w:val="bottom"/>
          </w:tcPr>
          <w:p>
            <w:pPr>
              <w:ind w:left="220"/>
              <w:spacing w:after="0"/>
              <w:rPr>
                <w:sz w:val="20"/>
                <w:szCs w:val="20"/>
                <w:color w:val="auto"/>
              </w:rPr>
            </w:pPr>
            <w:r>
              <w:rPr>
                <w:rFonts w:ascii="Arial" w:cs="Arial" w:eastAsia="Arial" w:hAnsi="Arial"/>
                <w:sz w:val="16"/>
                <w:szCs w:val="16"/>
                <w:color w:val="auto"/>
              </w:rPr>
              <w:t>Total finance lease liabilities</w:t>
            </w:r>
          </w:p>
        </w:tc>
        <w:tc>
          <w:tcPr>
            <w:tcW w:w="420" w:type="dxa"/>
            <w:vAlign w:val="bottom"/>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17,067</w:t>
            </w:r>
          </w:p>
        </w:tc>
        <w:tc>
          <w:tcPr>
            <w:tcW w:w="220" w:type="dxa"/>
            <w:vAlign w:val="bottom"/>
          </w:tcPr>
          <w:p>
            <w:pPr>
              <w:spacing w:after="0"/>
              <w:rPr>
                <w:sz w:val="24"/>
                <w:szCs w:val="24"/>
                <w:color w:val="auto"/>
              </w:rPr>
            </w:pP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14,902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Weighted Average Remaining Lease Term</w:t>
            </w: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752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80" w:type="dxa"/>
            <w:vAlign w:val="bottom"/>
            <w:gridSpan w:val="2"/>
          </w:tcPr>
          <w:p>
            <w:pPr>
              <w:spacing w:after="0"/>
              <w:rPr>
                <w:sz w:val="6"/>
                <w:szCs w:val="6"/>
                <w:color w:val="auto"/>
              </w:rPr>
            </w:pPr>
          </w:p>
        </w:tc>
        <w:tc>
          <w:tcPr>
            <w:tcW w:w="420" w:type="dxa"/>
            <w:vAlign w:val="bottom"/>
          </w:tcPr>
          <w:p>
            <w:pPr>
              <w:spacing w:after="0"/>
              <w:rPr>
                <w:sz w:val="6"/>
                <w:szCs w:val="6"/>
                <w:color w:val="auto"/>
              </w:rPr>
            </w:pPr>
          </w:p>
        </w:tc>
        <w:tc>
          <w:tcPr>
            <w:tcW w:w="10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Operating leases</w:t>
            </w:r>
          </w:p>
        </w:tc>
        <w:tc>
          <w:tcPr>
            <w:tcW w:w="420" w:type="dxa"/>
            <w:vAlign w:val="bottom"/>
            <w:shd w:val="clear" w:color="auto" w:fill="E5E5E5"/>
          </w:tcPr>
          <w:p>
            <w:pPr>
              <w:spacing w:after="0"/>
              <w:rPr>
                <w:sz w:val="17"/>
                <w:szCs w:val="17"/>
                <w:color w:val="auto"/>
              </w:rPr>
            </w:pPr>
          </w:p>
        </w:tc>
        <w:tc>
          <w:tcPr>
            <w:tcW w:w="1180" w:type="dxa"/>
            <w:vAlign w:val="bottom"/>
            <w:gridSpan w:val="2"/>
            <w:shd w:val="clear" w:color="auto" w:fill="E5E5E5"/>
          </w:tcPr>
          <w:p>
            <w:pPr>
              <w:jc w:val="right"/>
              <w:ind w:right="240"/>
              <w:spacing w:after="0"/>
              <w:rPr>
                <w:sz w:val="20"/>
                <w:szCs w:val="20"/>
                <w:color w:val="auto"/>
              </w:rPr>
            </w:pPr>
            <w:r>
              <w:rPr>
                <w:rFonts w:ascii="Arial" w:cs="Arial" w:eastAsia="Arial" w:hAnsi="Arial"/>
                <w:sz w:val="16"/>
                <w:szCs w:val="16"/>
                <w:b w:val="1"/>
                <w:bCs w:val="1"/>
                <w:color w:val="auto"/>
              </w:rPr>
              <w:t>8 years</w:t>
            </w:r>
          </w:p>
        </w:tc>
        <w:tc>
          <w:tcPr>
            <w:tcW w:w="420" w:type="dxa"/>
            <w:vAlign w:val="bottom"/>
            <w:shd w:val="clear" w:color="auto" w:fill="E5E5E5"/>
          </w:tcPr>
          <w:p>
            <w:pPr>
              <w:spacing w:after="0"/>
              <w:rPr>
                <w:sz w:val="17"/>
                <w:szCs w:val="17"/>
                <w:color w:val="auto"/>
              </w:rPr>
            </w:pPr>
          </w:p>
        </w:tc>
        <w:tc>
          <w:tcPr>
            <w:tcW w:w="1020" w:type="dxa"/>
            <w:vAlign w:val="bottom"/>
            <w:gridSpan w:val="2"/>
            <w:shd w:val="clear" w:color="auto" w:fill="E5E5E5"/>
          </w:tcPr>
          <w:p>
            <w:pPr>
              <w:jc w:val="right"/>
              <w:ind w:right="100"/>
              <w:spacing w:after="0"/>
              <w:rPr>
                <w:sz w:val="20"/>
                <w:szCs w:val="20"/>
                <w:color w:val="auto"/>
              </w:rPr>
            </w:pPr>
            <w:r>
              <w:rPr>
                <w:rFonts w:ascii="Arial" w:cs="Arial" w:eastAsia="Arial" w:hAnsi="Arial"/>
                <w:sz w:val="16"/>
                <w:szCs w:val="16"/>
                <w:color w:val="auto"/>
              </w:rPr>
              <w:t>8 years</w:t>
            </w:r>
          </w:p>
        </w:tc>
        <w:tc>
          <w:tcPr>
            <w:tcW w:w="0" w:type="dxa"/>
            <w:vAlign w:val="bottom"/>
          </w:tcPr>
          <w:p>
            <w:pPr>
              <w:spacing w:after="0"/>
              <w:rPr>
                <w:sz w:val="1"/>
                <w:szCs w:val="1"/>
                <w:color w:val="auto"/>
              </w:rPr>
            </w:pPr>
          </w:p>
        </w:tc>
      </w:tr>
      <w:tr>
        <w:trPr>
          <w:trHeight w:val="217"/>
        </w:trPr>
        <w:tc>
          <w:tcPr>
            <w:tcW w:w="7520" w:type="dxa"/>
            <w:vAlign w:val="bottom"/>
          </w:tcPr>
          <w:p>
            <w:pPr>
              <w:ind w:left="220"/>
              <w:spacing w:after="0"/>
              <w:rPr>
                <w:sz w:val="20"/>
                <w:szCs w:val="20"/>
                <w:color w:val="auto"/>
              </w:rPr>
            </w:pPr>
            <w:r>
              <w:rPr>
                <w:rFonts w:ascii="Arial" w:cs="Arial" w:eastAsia="Arial" w:hAnsi="Arial"/>
                <w:sz w:val="16"/>
                <w:szCs w:val="16"/>
                <w:color w:val="auto"/>
              </w:rPr>
              <w:t>Finance leases</w:t>
            </w:r>
          </w:p>
        </w:tc>
        <w:tc>
          <w:tcPr>
            <w:tcW w:w="4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 years</w:t>
            </w: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12 years</w:t>
            </w:r>
          </w:p>
        </w:tc>
        <w:tc>
          <w:tcPr>
            <w:tcW w:w="0" w:type="dxa"/>
            <w:vAlign w:val="bottom"/>
          </w:tcPr>
          <w:p>
            <w:pPr>
              <w:spacing w:after="0"/>
              <w:rPr>
                <w:sz w:val="1"/>
                <w:szCs w:val="1"/>
                <w:color w:val="auto"/>
              </w:rPr>
            </w:pPr>
          </w:p>
        </w:tc>
      </w:tr>
      <w:tr>
        <w:trPr>
          <w:trHeight w:val="235"/>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Weighted Average Discount Rate</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Operating leases</w:t>
            </w:r>
          </w:p>
        </w:tc>
        <w:tc>
          <w:tcPr>
            <w:tcW w:w="4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2.9%</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20"/>
              <w:spacing w:after="0"/>
              <w:rPr>
                <w:sz w:val="20"/>
                <w:szCs w:val="20"/>
                <w:color w:val="auto"/>
              </w:rPr>
            </w:pPr>
            <w:r>
              <w:rPr>
                <w:rFonts w:ascii="Arial" w:cs="Arial" w:eastAsia="Arial" w:hAnsi="Arial"/>
                <w:sz w:val="16"/>
                <w:szCs w:val="16"/>
                <w:color w:val="auto"/>
              </w:rPr>
              <w:t>Finance leases</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7520" w:type="dxa"/>
            <w:vAlign w:val="bottom"/>
          </w:tcPr>
          <w:p>
            <w:pPr>
              <w:spacing w:after="0"/>
              <w:rPr>
                <w:sz w:val="20"/>
                <w:szCs w:val="20"/>
                <w:color w:val="auto"/>
              </w:rPr>
            </w:pPr>
            <w:r>
              <w:rPr>
                <w:rFonts w:ascii="Arial" w:cs="Arial" w:eastAsia="Arial" w:hAnsi="Arial"/>
                <w:sz w:val="16"/>
                <w:szCs w:val="16"/>
                <w:color w:val="auto"/>
              </w:rPr>
              <w:t>The following table outlines maturities of our lease liabilities as of June 30, 2023:</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Operating</w:t>
            </w:r>
          </w:p>
        </w:tc>
        <w:tc>
          <w:tcPr>
            <w:tcW w:w="42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Finance</w:t>
            </w:r>
          </w:p>
        </w:tc>
        <w:tc>
          <w:tcPr>
            <w:tcW w:w="0" w:type="dxa"/>
            <w:vAlign w:val="bottom"/>
          </w:tcPr>
          <w:p>
            <w:pPr>
              <w:spacing w:after="0"/>
              <w:rPr>
                <w:sz w:val="1"/>
                <w:szCs w:val="1"/>
                <w:color w:val="auto"/>
              </w:rPr>
            </w:pPr>
          </w:p>
        </w:tc>
      </w:tr>
      <w:tr>
        <w:trPr>
          <w:trHeight w:val="167"/>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Year Ending June 30,</w:t>
            </w:r>
          </w:p>
        </w:tc>
        <w:tc>
          <w:tcPr>
            <w:tcW w:w="42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Leases</w:t>
            </w:r>
          </w:p>
        </w:tc>
        <w:tc>
          <w:tcPr>
            <w:tcW w:w="42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Leases</w:t>
            </w: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2024</w:t>
            </w: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2,784</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1,747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Arial" w:cs="Arial" w:eastAsia="Arial" w:hAnsi="Arial"/>
                <w:sz w:val="16"/>
                <w:szCs w:val="16"/>
                <w:color w:val="auto"/>
              </w:rPr>
              <w:t>2025</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2,508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2,087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2026</w:t>
            </w:r>
          </w:p>
        </w:tc>
        <w:tc>
          <w:tcPr>
            <w:tcW w:w="4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2,142</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20" w:type="dxa"/>
            <w:vAlign w:val="bottom"/>
          </w:tcPr>
          <w:p>
            <w:pPr>
              <w:ind w:left="20"/>
              <w:spacing w:after="0"/>
              <w:rPr>
                <w:sz w:val="20"/>
                <w:szCs w:val="20"/>
                <w:color w:val="auto"/>
              </w:rPr>
            </w:pPr>
            <w:r>
              <w:rPr>
                <w:rFonts w:ascii="Arial" w:cs="Arial" w:eastAsia="Arial" w:hAnsi="Arial"/>
                <w:sz w:val="16"/>
                <w:szCs w:val="16"/>
                <w:color w:val="auto"/>
              </w:rPr>
              <w:t>2027</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1,757</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1,780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2028</w:t>
            </w:r>
          </w:p>
        </w:tc>
        <w:tc>
          <w:tcPr>
            <w:tcW w:w="420" w:type="dxa"/>
            <w:vAlign w:val="bottom"/>
            <w:shd w:val="clear" w:color="auto" w:fill="E5E5E5"/>
          </w:tcPr>
          <w:p>
            <w:pPr>
              <w:spacing w:after="0"/>
              <w:rPr>
                <w:sz w:val="18"/>
                <w:szCs w:val="18"/>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1,582</w:t>
            </w:r>
          </w:p>
        </w:tc>
        <w:tc>
          <w:tcPr>
            <w:tcW w:w="2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1,787</w:t>
            </w:r>
          </w:p>
        </w:tc>
        <w:tc>
          <w:tcPr>
            <w:tcW w:w="8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52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960" w:type="dxa"/>
            <w:vAlign w:val="bottom"/>
            <w:shd w:val="clear" w:color="auto" w:fill="E5E5E5"/>
          </w:tcPr>
          <w:p>
            <w:pPr>
              <w:spacing w:after="0"/>
              <w:rPr>
                <w:sz w:val="8"/>
                <w:szCs w:val="8"/>
                <w:color w:val="auto"/>
              </w:rPr>
            </w:pPr>
          </w:p>
        </w:tc>
        <w:tc>
          <w:tcPr>
            <w:tcW w:w="220" w:type="dxa"/>
            <w:vAlign w:val="bottom"/>
            <w:shd w:val="clear" w:color="auto" w:fill="E5E5E5"/>
          </w:tcPr>
          <w:p>
            <w:pPr>
              <w:spacing w:after="0"/>
              <w:rPr>
                <w:sz w:val="8"/>
                <w:szCs w:val="8"/>
                <w:color w:val="auto"/>
              </w:rPr>
            </w:pPr>
          </w:p>
        </w:tc>
        <w:tc>
          <w:tcPr>
            <w:tcW w:w="420" w:type="dxa"/>
            <w:vAlign w:val="bottom"/>
            <w:shd w:val="clear" w:color="auto" w:fill="E5E5E5"/>
          </w:tcPr>
          <w:p>
            <w:pPr>
              <w:spacing w:after="0"/>
              <w:rPr>
                <w:sz w:val="8"/>
                <w:szCs w:val="8"/>
                <w:color w:val="auto"/>
              </w:rPr>
            </w:pPr>
          </w:p>
        </w:tc>
        <w:tc>
          <w:tcPr>
            <w:tcW w:w="94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6,327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11,462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7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 lease payments</w:t>
            </w:r>
          </w:p>
        </w:tc>
        <w:tc>
          <w:tcPr>
            <w:tcW w:w="420" w:type="dxa"/>
            <w:vAlign w:val="bottom"/>
            <w:shd w:val="clear" w:color="auto" w:fill="E5E5E5"/>
          </w:tcPr>
          <w:p>
            <w:pPr>
              <w:spacing w:after="0"/>
              <w:rPr>
                <w:sz w:val="17"/>
                <w:szCs w:val="17"/>
                <w:color w:val="auto"/>
              </w:rPr>
            </w:pP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17,100</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20,634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4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(1,963)</w:t>
            </w:r>
          </w:p>
        </w:tc>
        <w:tc>
          <w:tcPr>
            <w:tcW w:w="4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(3,567)</w:t>
            </w:r>
          </w:p>
        </w:tc>
        <w:tc>
          <w:tcPr>
            <w:tcW w:w="0" w:type="dxa"/>
            <w:vAlign w:val="bottom"/>
          </w:tcPr>
          <w:p>
            <w:pPr>
              <w:spacing w:after="0"/>
              <w:rPr>
                <w:sz w:val="1"/>
                <w:szCs w:val="1"/>
                <w:color w:val="auto"/>
              </w:rPr>
            </w:pPr>
          </w:p>
        </w:tc>
      </w:tr>
      <w:tr>
        <w:trPr>
          <w:trHeight w:val="131"/>
        </w:trPr>
        <w:tc>
          <w:tcPr>
            <w:tcW w:w="7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15,137</w:t>
            </w:r>
          </w:p>
        </w:tc>
        <w:tc>
          <w:tcPr>
            <w:tcW w:w="220" w:type="dxa"/>
            <w:vAlign w:val="bottom"/>
            <w:shd w:val="clear" w:color="auto" w:fill="E5E5E5"/>
          </w:tcPr>
          <w:p>
            <w:pPr>
              <w:spacing w:after="0"/>
              <w:rPr>
                <w:sz w:val="17"/>
                <w:szCs w:val="17"/>
                <w:color w:val="auto"/>
              </w:rPr>
            </w:pPr>
          </w:p>
        </w:tc>
        <w:tc>
          <w:tcPr>
            <w:tcW w:w="420" w:type="dxa"/>
            <w:vAlign w:val="bottom"/>
            <w:shd w:val="clear" w:color="auto" w:fill="E5E5E5"/>
          </w:tcPr>
          <w:p>
            <w:pPr>
              <w:jc w:val="right"/>
              <w:ind w:right="242"/>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17,067</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75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-5263515</wp:posOffset>
            </wp:positionV>
            <wp:extent cx="93980" cy="863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-5263515</wp:posOffset>
            </wp:positionV>
            <wp:extent cx="86360" cy="863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-4676775</wp:posOffset>
            </wp:positionV>
            <wp:extent cx="93980" cy="863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-4676775</wp:posOffset>
            </wp:positionV>
            <wp:extent cx="86360" cy="863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-3922395</wp:posOffset>
            </wp:positionV>
            <wp:extent cx="93980" cy="863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-3922395</wp:posOffset>
            </wp:positionV>
            <wp:extent cx="86360" cy="863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-3335020</wp:posOffset>
            </wp:positionV>
            <wp:extent cx="93980" cy="863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-3335020</wp:posOffset>
            </wp:positionV>
            <wp:extent cx="86360" cy="863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-73025</wp:posOffset>
            </wp:positionV>
            <wp:extent cx="93980" cy="863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13" w:lineRule="exact"/>
        <w:rPr>
          <w:sz w:val="20"/>
          <w:szCs w:val="20"/>
          <w:color w:val="auto"/>
        </w:rPr>
      </w:pPr>
    </w:p>
    <w:p>
      <w:pPr>
        <w:jc w:val="both"/>
        <w:ind w:right="160"/>
        <w:spacing w:after="0" w:line="243" w:lineRule="auto"/>
        <w:rPr>
          <w:sz w:val="20"/>
          <w:szCs w:val="20"/>
          <w:color w:val="auto"/>
        </w:rPr>
      </w:pPr>
      <w:r>
        <w:rPr>
          <w:rFonts w:ascii="Arial" w:cs="Arial" w:eastAsia="Arial" w:hAnsi="Arial"/>
          <w:sz w:val="16"/>
          <w:szCs w:val="16"/>
          <w:color w:val="auto"/>
        </w:rPr>
        <w:t>As of June 30, 2023, we have additional operating and finance leases, primarily for datacenters, that have not yet commenced of $7.7 billion and $34.4 billion, respectively. These operating and finance leases will commence between fiscal year 2024 and fiscal year 2030 with lease terms of 1 year to 18 years.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7" w:name="page88"/>
    <w:bookmarkEnd w:id="87"/>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NOTE 15 — CONTINGENCIES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Cell Phone Litigation</w:t>
      </w:r>
    </w:p>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Microsoft Mobile Oy, a subsidiary of Microsoft, along with other handset manufacturers and network operators, is a defendant in 46 lawsuits, including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Nine of these cases were filed in 2002 and are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Irish Data Protection Commission Matter</w:t>
      </w:r>
    </w:p>
    <w:p>
      <w:pPr>
        <w:spacing w:after="0" w:line="14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April 2023, the IDPC provided LinkedIn with a non-public preliminary draft decision alleging GDPR violations and proposing a fine. Microsoft intends to challenge the preliminary draft decision. There is no set timeline for the IDPC to issue a final decision.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Contingencies</w:t>
      </w:r>
    </w:p>
    <w:p>
      <w:pPr>
        <w:spacing w:after="0" w:line="148" w:lineRule="exact"/>
        <w:rPr>
          <w:sz w:val="20"/>
          <w:szCs w:val="20"/>
          <w:color w:val="auto"/>
        </w:rPr>
      </w:pPr>
    </w:p>
    <w:p>
      <w:pPr>
        <w:jc w:val="both"/>
        <w:ind w:right="460"/>
        <w:spacing w:after="0" w:line="295" w:lineRule="auto"/>
        <w:rPr>
          <w:sz w:val="20"/>
          <w:szCs w:val="20"/>
          <w:color w:val="auto"/>
        </w:rPr>
      </w:pPr>
      <w:r>
        <w:rPr>
          <w:rFonts w:ascii="Arial" w:cs="Arial" w:eastAsia="Arial" w:hAnsi="Arial"/>
          <w:sz w:val="14"/>
          <w:szCs w:val="14"/>
          <w:color w:val="auto"/>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we accrued aggregate legal liabilities of $617 million. While we intend to defend these matters vigorously, adverse outcomes that we estimate could reach approximately $600 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 16 —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Outstanding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outstanding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66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6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year</w:t>
            </w:r>
          </w:p>
        </w:tc>
        <w:tc>
          <w:tcPr>
            <w:tcW w:w="10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7,464</w:t>
            </w:r>
          </w:p>
        </w:tc>
        <w:tc>
          <w:tcPr>
            <w:tcW w:w="32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7,519</w:t>
            </w:r>
          </w:p>
        </w:tc>
        <w:tc>
          <w:tcPr>
            <w:tcW w:w="300" w:type="dxa"/>
            <w:vAlign w:val="bottom"/>
            <w:shd w:val="clear" w:color="auto" w:fill="E5E5E5"/>
          </w:tcPr>
          <w:p>
            <w:pPr>
              <w:spacing w:after="0"/>
              <w:rPr>
                <w:sz w:val="17"/>
                <w:szCs w:val="17"/>
                <w:color w:val="auto"/>
              </w:rPr>
            </w:pPr>
          </w:p>
        </w:tc>
        <w:tc>
          <w:tcPr>
            <w:tcW w:w="10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7,571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tcPr>
          <w:p>
            <w:pPr>
              <w:ind w:left="220"/>
              <w:spacing w:after="0"/>
              <w:rPr>
                <w:sz w:val="20"/>
                <w:szCs w:val="20"/>
                <w:color w:val="auto"/>
              </w:rPr>
            </w:pPr>
            <w:r>
              <w:rPr>
                <w:rFonts w:ascii="Arial" w:cs="Arial" w:eastAsia="Arial" w:hAnsi="Arial"/>
                <w:sz w:val="16"/>
                <w:szCs w:val="16"/>
                <w:color w:val="auto"/>
              </w:rPr>
              <w:t>Issued</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6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Repurchased</w:t>
            </w:r>
          </w:p>
        </w:tc>
        <w:tc>
          <w:tcPr>
            <w:tcW w:w="1400" w:type="dxa"/>
            <w:vAlign w:val="bottom"/>
            <w:gridSpan w:val="2"/>
            <w:shd w:val="clear" w:color="auto" w:fill="E5E5E5"/>
          </w:tcPr>
          <w:p>
            <w:pPr>
              <w:jc w:val="right"/>
              <w:ind w:right="260"/>
              <w:spacing w:after="0"/>
              <w:rPr>
                <w:sz w:val="20"/>
                <w:szCs w:val="20"/>
                <w:color w:val="auto"/>
              </w:rPr>
            </w:pPr>
            <w:r>
              <w:rPr>
                <w:rFonts w:ascii="Arial" w:cs="Arial" w:eastAsia="Arial" w:hAnsi="Arial"/>
                <w:sz w:val="16"/>
                <w:szCs w:val="16"/>
                <w:b w:val="1"/>
                <w:bCs w:val="1"/>
                <w:color w:val="auto"/>
              </w:rPr>
              <w:t>(69)</w:t>
            </w:r>
          </w:p>
        </w:tc>
        <w:tc>
          <w:tcPr>
            <w:tcW w:w="1360" w:type="dxa"/>
            <w:vAlign w:val="bottom"/>
            <w:gridSpan w:val="2"/>
            <w:shd w:val="clear" w:color="auto" w:fill="E5E5E5"/>
          </w:tcPr>
          <w:p>
            <w:pPr>
              <w:jc w:val="right"/>
              <w:ind w:right="220"/>
              <w:spacing w:after="0"/>
              <w:rPr>
                <w:sz w:val="20"/>
                <w:szCs w:val="20"/>
                <w:color w:val="auto"/>
              </w:rPr>
            </w:pPr>
            <w:r>
              <w:rPr>
                <w:rFonts w:ascii="Arial" w:cs="Arial" w:eastAsia="Arial" w:hAnsi="Arial"/>
                <w:sz w:val="16"/>
                <w:szCs w:val="16"/>
                <w:color w:val="auto"/>
              </w:rPr>
              <w:t>(95)</w:t>
            </w:r>
          </w:p>
        </w:tc>
        <w:tc>
          <w:tcPr>
            <w:tcW w:w="114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(101 )</w:t>
            </w:r>
          </w:p>
        </w:tc>
        <w:tc>
          <w:tcPr>
            <w:tcW w:w="0" w:type="dxa"/>
            <w:vAlign w:val="bottom"/>
          </w:tcPr>
          <w:p>
            <w:pPr>
              <w:spacing w:after="0"/>
              <w:rPr>
                <w:sz w:val="1"/>
                <w:szCs w:val="1"/>
                <w:color w:val="auto"/>
              </w:rPr>
            </w:pPr>
          </w:p>
        </w:tc>
      </w:tr>
      <w:tr>
        <w:trPr>
          <w:trHeight w:val="346"/>
        </w:trPr>
        <w:tc>
          <w:tcPr>
            <w:tcW w:w="6660" w:type="dxa"/>
            <w:vAlign w:val="bottom"/>
          </w:tcPr>
          <w:p>
            <w:pPr>
              <w:ind w:left="20"/>
              <w:spacing w:after="0"/>
              <w:rPr>
                <w:sz w:val="20"/>
                <w:szCs w:val="20"/>
                <w:color w:val="auto"/>
              </w:rPr>
            </w:pPr>
            <w:r>
              <w:rPr>
                <w:rFonts w:ascii="Arial" w:cs="Arial" w:eastAsia="Arial" w:hAnsi="Arial"/>
                <w:sz w:val="16"/>
                <w:szCs w:val="16"/>
                <w:color w:val="auto"/>
              </w:rPr>
              <w:t>Balance, end of year</w:t>
            </w: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7,432</w:t>
            </w: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7,464</w:t>
            </w:r>
          </w:p>
        </w:tc>
        <w:tc>
          <w:tcPr>
            <w:tcW w:w="3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7,519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666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-73025</wp:posOffset>
            </wp:positionV>
            <wp:extent cx="93980" cy="863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5784215</wp:posOffset>
            </wp:positionH>
            <wp:positionV relativeFrom="paragraph">
              <wp:posOffset>-73025</wp:posOffset>
            </wp:positionV>
            <wp:extent cx="86360" cy="863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148"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On September 18, 2019, our Board of Directors approved a share repurchase program authorizing up to $40.0 billion in share repurchases. This share repurchase program commenced in February 2020 and was completed in November 2021.</w:t>
      </w:r>
    </w:p>
    <w:p>
      <w:pPr>
        <w:spacing w:after="0" w:line="11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On September 14, 2021, our Board of Directors approved a share repurchase program authorizing up to $60.0 billion in share repurchases. This share repurchase program commenced in November 2021, following completion of the program approved on September 18, 2019, has no expiration date, and may be terminated at any time. As of June 30, 2023, $22.3 billion remained of this $60.0 billion share repurchase program.</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We repurchased the following shares of common stock under the share repurchase programs: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r>
      <w:tr>
        <w:trPr>
          <w:trHeight w:val="324"/>
        </w:trPr>
        <w:tc>
          <w:tcPr>
            <w:tcW w:w="382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r>
      <w:tr>
        <w:trPr>
          <w:trHeight w:val="76"/>
        </w:trPr>
        <w:tc>
          <w:tcPr>
            <w:tcW w:w="3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3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First Quarter</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17</w:t>
            </w:r>
          </w:p>
        </w:tc>
        <w:tc>
          <w:tcPr>
            <w:tcW w:w="4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4,600</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21</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6,200</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25</w:t>
            </w:r>
          </w:p>
        </w:tc>
        <w:tc>
          <w:tcPr>
            <w:tcW w:w="4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5,270</w:t>
            </w:r>
          </w:p>
        </w:tc>
        <w:tc>
          <w:tcPr>
            <w:tcW w:w="80" w:type="dxa"/>
            <w:vAlign w:val="bottom"/>
            <w:shd w:val="clear" w:color="auto" w:fill="E5E5E5"/>
          </w:tcPr>
          <w:p>
            <w:pPr>
              <w:spacing w:after="0"/>
              <w:rPr>
                <w:sz w:val="17"/>
                <w:szCs w:val="17"/>
                <w:color w:val="auto"/>
              </w:rPr>
            </w:pPr>
          </w:p>
        </w:tc>
      </w:tr>
      <w:tr>
        <w:trPr>
          <w:trHeight w:val="204"/>
        </w:trPr>
        <w:tc>
          <w:tcPr>
            <w:tcW w:w="3820" w:type="dxa"/>
            <w:vAlign w:val="bottom"/>
          </w:tcPr>
          <w:p>
            <w:pPr>
              <w:ind w:left="20"/>
              <w:spacing w:after="0"/>
              <w:rPr>
                <w:sz w:val="20"/>
                <w:szCs w:val="20"/>
                <w:color w:val="auto"/>
              </w:rPr>
            </w:pPr>
            <w:r>
              <w:rPr>
                <w:rFonts w:ascii="Arial" w:cs="Arial" w:eastAsia="Arial" w:hAnsi="Arial"/>
                <w:sz w:val="16"/>
                <w:szCs w:val="16"/>
                <w:color w:val="auto"/>
              </w:rPr>
              <w:t>Second Quarter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4,600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6,233</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5,750</w:t>
            </w:r>
          </w:p>
        </w:tc>
        <w:tc>
          <w:tcPr>
            <w:tcW w:w="80" w:type="dxa"/>
            <w:vAlign w:val="bottom"/>
          </w:tcPr>
          <w:p>
            <w:pPr>
              <w:spacing w:after="0"/>
              <w:rPr>
                <w:sz w:val="17"/>
                <w:szCs w:val="17"/>
                <w:color w:val="auto"/>
              </w:rPr>
            </w:pPr>
          </w:p>
        </w:tc>
      </w:tr>
      <w:tr>
        <w:trPr>
          <w:trHeight w:val="216"/>
        </w:trPr>
        <w:tc>
          <w:tcPr>
            <w:tcW w:w="3820" w:type="dxa"/>
            <w:vAlign w:val="bottom"/>
            <w:shd w:val="clear" w:color="auto" w:fill="E5E5E5"/>
          </w:tcPr>
          <w:p>
            <w:pPr>
              <w:ind w:left="20"/>
              <w:spacing w:after="0"/>
              <w:rPr>
                <w:sz w:val="20"/>
                <w:szCs w:val="20"/>
                <w:color w:val="auto"/>
              </w:rPr>
            </w:pPr>
            <w:r>
              <w:rPr>
                <w:rFonts w:ascii="Arial" w:cs="Arial" w:eastAsia="Arial" w:hAnsi="Arial"/>
                <w:sz w:val="16"/>
                <w:szCs w:val="16"/>
                <w:color w:val="auto"/>
              </w:rPr>
              <w:t>Third Quarter</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shd w:val="clear" w:color="auto" w:fill="E5E5E5"/>
          </w:tcPr>
          <w:p>
            <w:pPr>
              <w:spacing w:after="0"/>
              <w:rPr>
                <w:sz w:val="18"/>
                <w:szCs w:val="18"/>
                <w:color w:val="auto"/>
              </w:rPr>
            </w:pPr>
          </w:p>
        </w:tc>
        <w:tc>
          <w:tcPr>
            <w:tcW w:w="20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4,600</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26</w:t>
            </w:r>
          </w:p>
        </w:tc>
        <w:tc>
          <w:tcPr>
            <w:tcW w:w="2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7,800</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25</w:t>
            </w:r>
          </w:p>
        </w:tc>
        <w:tc>
          <w:tcPr>
            <w:tcW w:w="20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5,750</w:t>
            </w:r>
          </w:p>
        </w:tc>
        <w:tc>
          <w:tcPr>
            <w:tcW w:w="80" w:type="dxa"/>
            <w:vAlign w:val="bottom"/>
            <w:shd w:val="clear" w:color="auto" w:fill="E5E5E5"/>
          </w:tcPr>
          <w:p>
            <w:pPr>
              <w:spacing w:after="0"/>
              <w:rPr>
                <w:sz w:val="18"/>
                <w:szCs w:val="18"/>
                <w:color w:val="auto"/>
              </w:rPr>
            </w:pPr>
          </w:p>
        </w:tc>
      </w:tr>
      <w:tr>
        <w:trPr>
          <w:trHeight w:val="217"/>
        </w:trPr>
        <w:tc>
          <w:tcPr>
            <w:tcW w:w="3820" w:type="dxa"/>
            <w:vAlign w:val="bottom"/>
          </w:tcPr>
          <w:p>
            <w:pPr>
              <w:ind w:left="20"/>
              <w:spacing w:after="0"/>
              <w:rPr>
                <w:sz w:val="20"/>
                <w:szCs w:val="20"/>
                <w:color w:val="auto"/>
              </w:rPr>
            </w:pPr>
            <w:r>
              <w:rPr>
                <w:rFonts w:ascii="Arial" w:cs="Arial" w:eastAsia="Arial" w:hAnsi="Arial"/>
                <w:sz w:val="16"/>
                <w:szCs w:val="16"/>
                <w:color w:val="auto"/>
              </w:rPr>
              <w:t>Fourth Quarter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4,600</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7,800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6,200</w:t>
            </w:r>
          </w:p>
        </w:tc>
        <w:tc>
          <w:tcPr>
            <w:tcW w:w="80" w:type="dxa"/>
            <w:vAlign w:val="bottom"/>
          </w:tcPr>
          <w:p>
            <w:pPr>
              <w:spacing w:after="0"/>
              <w:rPr>
                <w:sz w:val="18"/>
                <w:szCs w:val="18"/>
                <w:color w:val="auto"/>
              </w:rPr>
            </w:pPr>
          </w:p>
        </w:tc>
      </w:tr>
      <w:tr>
        <w:trPr>
          <w:trHeight w:val="131"/>
        </w:trPr>
        <w:tc>
          <w:tcPr>
            <w:tcW w:w="3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38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8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w:t>
            </w:r>
          </w:p>
        </w:tc>
        <w:tc>
          <w:tcPr>
            <w:tcW w:w="420" w:type="dxa"/>
            <w:vAlign w:val="bottom"/>
            <w:gridSpan w:val="2"/>
            <w:shd w:val="clear" w:color="auto" w:fill="E5E5E5"/>
          </w:tcPr>
          <w:p>
            <w:pPr>
              <w:jc w:val="right"/>
              <w:ind w:right="12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18,400</w:t>
            </w:r>
          </w:p>
        </w:tc>
        <w:tc>
          <w:tcPr>
            <w:tcW w:w="116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95</w:t>
            </w:r>
          </w:p>
        </w:tc>
        <w:tc>
          <w:tcPr>
            <w:tcW w:w="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28,033</w:t>
            </w:r>
          </w:p>
        </w:tc>
        <w:tc>
          <w:tcPr>
            <w:tcW w:w="1140" w:type="dxa"/>
            <w:vAlign w:val="bottom"/>
            <w:gridSpan w:val="2"/>
            <w:shd w:val="clear" w:color="auto" w:fill="E5E5E5"/>
          </w:tcPr>
          <w:p>
            <w:pPr>
              <w:jc w:val="right"/>
              <w:spacing w:after="0"/>
              <w:rPr>
                <w:sz w:val="20"/>
                <w:szCs w:val="20"/>
                <w:color w:val="auto"/>
              </w:rPr>
            </w:pPr>
            <w:r>
              <w:rPr>
                <w:rFonts w:ascii="Arial" w:cs="Arial" w:eastAsia="Arial" w:hAnsi="Arial"/>
                <w:sz w:val="16"/>
                <w:szCs w:val="16"/>
                <w:color w:val="auto"/>
              </w:rPr>
              <w:t>101</w:t>
            </w:r>
          </w:p>
        </w:tc>
        <w:tc>
          <w:tcPr>
            <w:tcW w:w="460" w:type="dxa"/>
            <w:vAlign w:val="bottom"/>
            <w:gridSpan w:val="2"/>
            <w:shd w:val="clear" w:color="auto" w:fill="E5E5E5"/>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22,970</w:t>
            </w:r>
          </w:p>
        </w:tc>
        <w:tc>
          <w:tcPr>
            <w:tcW w:w="80" w:type="dxa"/>
            <w:vAlign w:val="bottom"/>
            <w:shd w:val="clear" w:color="auto" w:fill="E5E5E5"/>
          </w:tcPr>
          <w:p>
            <w:pPr>
              <w:spacing w:after="0"/>
              <w:rPr>
                <w:sz w:val="17"/>
                <w:szCs w:val="17"/>
                <w:color w:val="auto"/>
              </w:rPr>
            </w:pPr>
          </w:p>
        </w:tc>
      </w:tr>
      <w:tr>
        <w:trPr>
          <w:trHeight w:val="76"/>
        </w:trPr>
        <w:tc>
          <w:tcPr>
            <w:tcW w:w="3820" w:type="dxa"/>
            <w:vAlign w:val="bottom"/>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530"/>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428"/>
              <w:spacing w:after="0"/>
              <w:rPr>
                <w:sz w:val="20"/>
                <w:szCs w:val="20"/>
                <w:color w:val="auto"/>
              </w:rPr>
            </w:pPr>
            <w:r>
              <w:rPr>
                <w:rFonts w:ascii="Arial" w:cs="Arial" w:eastAsia="Arial" w:hAnsi="Arial"/>
                <w:sz w:val="13"/>
                <w:szCs w:val="13"/>
                <w:color w:val="auto"/>
              </w:rPr>
              <w:t>89</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82"/>
        </w:trPr>
        <w:tc>
          <w:tcPr>
            <w:tcW w:w="3820" w:type="dxa"/>
            <w:vAlign w:val="bottom"/>
            <w:tcBorders>
              <w:bottom w:val="single" w:sz="8" w:color="EEEEEE"/>
            </w:tcBorders>
          </w:tcPr>
          <w:p>
            <w:pPr>
              <w:spacing w:after="0"/>
              <w:rPr>
                <w:sz w:val="7"/>
                <w:szCs w:val="7"/>
                <w:color w:val="auto"/>
              </w:rPr>
            </w:pPr>
          </w:p>
        </w:tc>
        <w:tc>
          <w:tcPr>
            <w:tcW w:w="86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760" w:type="dxa"/>
            <w:vAlign w:val="bottom"/>
            <w:tcBorders>
              <w:bottom w:val="single" w:sz="8" w:color="EEEEEE"/>
            </w:tcBorders>
          </w:tcPr>
          <w:p>
            <w:pPr>
              <w:spacing w:after="0"/>
              <w:rPr>
                <w:sz w:val="7"/>
                <w:szCs w:val="7"/>
                <w:color w:val="auto"/>
              </w:rPr>
            </w:pPr>
          </w:p>
        </w:tc>
        <w:tc>
          <w:tcPr>
            <w:tcW w:w="32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220" w:type="dxa"/>
            <w:vAlign w:val="bottom"/>
            <w:tcBorders>
              <w:bottom w:val="single" w:sz="8" w:color="EEEEEE"/>
            </w:tcBorders>
          </w:tcPr>
          <w:p>
            <w:pPr>
              <w:spacing w:after="0"/>
              <w:rPr>
                <w:sz w:val="7"/>
                <w:szCs w:val="7"/>
                <w:color w:val="auto"/>
              </w:rPr>
            </w:pPr>
          </w:p>
        </w:tc>
        <w:tc>
          <w:tcPr>
            <w:tcW w:w="28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300" w:type="dxa"/>
            <w:vAlign w:val="bottom"/>
            <w:tcBorders>
              <w:bottom w:val="single" w:sz="8" w:color="EEEEEE"/>
            </w:tcBorders>
          </w:tcPr>
          <w:p>
            <w:pPr>
              <w:spacing w:after="0"/>
              <w:rPr>
                <w:sz w:val="7"/>
                <w:szCs w:val="7"/>
                <w:color w:val="auto"/>
              </w:rPr>
            </w:pPr>
          </w:p>
        </w:tc>
        <w:tc>
          <w:tcPr>
            <w:tcW w:w="840" w:type="dxa"/>
            <w:vAlign w:val="bottom"/>
            <w:tcBorders>
              <w:bottom w:val="single" w:sz="8" w:color="EEEEEE"/>
            </w:tcBorders>
          </w:tcPr>
          <w:p>
            <w:pPr>
              <w:spacing w:after="0"/>
              <w:rPr>
                <w:sz w:val="7"/>
                <w:szCs w:val="7"/>
                <w:color w:val="auto"/>
              </w:rPr>
            </w:pPr>
          </w:p>
        </w:tc>
        <w:tc>
          <w:tcPr>
            <w:tcW w:w="200" w:type="dxa"/>
            <w:vAlign w:val="bottom"/>
            <w:tcBorders>
              <w:bottom w:val="single" w:sz="8" w:color="EEEEEE"/>
            </w:tcBorders>
          </w:tcPr>
          <w:p>
            <w:pPr>
              <w:spacing w:after="0"/>
              <w:rPr>
                <w:sz w:val="7"/>
                <w:szCs w:val="7"/>
                <w:color w:val="auto"/>
              </w:rPr>
            </w:pPr>
          </w:p>
        </w:tc>
        <w:tc>
          <w:tcPr>
            <w:tcW w:w="260" w:type="dxa"/>
            <w:vAlign w:val="bottom"/>
            <w:tcBorders>
              <w:bottom w:val="single" w:sz="8" w:color="EEEEEE"/>
            </w:tcBorders>
          </w:tcPr>
          <w:p>
            <w:pPr>
              <w:spacing w:after="0"/>
              <w:rPr>
                <w:sz w:val="7"/>
                <w:szCs w:val="7"/>
                <w:color w:val="auto"/>
              </w:rPr>
            </w:pPr>
          </w:p>
        </w:tc>
        <w:tc>
          <w:tcPr>
            <w:tcW w:w="680" w:type="dxa"/>
            <w:vAlign w:val="bottom"/>
            <w:tcBorders>
              <w:bottom w:val="single" w:sz="8" w:color="EEEEEE"/>
            </w:tcBorders>
          </w:tcPr>
          <w:p>
            <w:pPr>
              <w:spacing w:after="0"/>
              <w:rPr>
                <w:sz w:val="7"/>
                <w:szCs w:val="7"/>
                <w:color w:val="auto"/>
              </w:rPr>
            </w:pPr>
          </w:p>
        </w:tc>
        <w:tc>
          <w:tcPr>
            <w:tcW w:w="80" w:type="dxa"/>
            <w:vAlign w:val="bottom"/>
            <w:tcBorders>
              <w:bottom w:val="single" w:sz="8" w:color="EEEEE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-469265</wp:posOffset>
            </wp:positionV>
            <wp:extent cx="93980" cy="863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-469265</wp:posOffset>
            </wp:positionV>
            <wp:extent cx="93980" cy="863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-469265</wp:posOffset>
            </wp:positionV>
            <wp:extent cx="93980" cy="863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5196840</wp:posOffset>
            </wp:positionH>
            <wp:positionV relativeFrom="paragraph">
              <wp:posOffset>-469265</wp:posOffset>
            </wp:positionV>
            <wp:extent cx="93980" cy="863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-469265</wp:posOffset>
            </wp:positionV>
            <wp:extent cx="86360" cy="863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-469265</wp:posOffset>
            </wp:positionV>
            <wp:extent cx="86360" cy="863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17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All repurchases were made using cash resources. Shares repurchased during fiscal year 2023 and the fourth and third quarters of fiscal year 2022 were under the share repurchase program approved on September 14, 2021. Shares repurchased during the second quarter of fiscal year 2022 were under the share repurchase programs approved on both September 14, 2021 and September 18, 2019. All other shares repurchased were under the share repurchase program approved on September 18, 2019. The above table excludes shares repurchased to settle employee tax withholding related to the vesting of stock awards of $3.8 billion, $4.7 billion, and $4.4 billion for fiscal years 2023,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Our Board of Directors declared the following dividends: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Dividend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Declaration Date</w:t>
            </w:r>
          </w:p>
        </w:tc>
        <w:tc>
          <w:tcPr>
            <w:tcW w:w="100" w:type="dxa"/>
            <w:vAlign w:val="bottom"/>
          </w:tcPr>
          <w:p>
            <w:pPr>
              <w:spacing w:after="0"/>
              <w:rPr>
                <w:sz w:val="14"/>
                <w:szCs w:val="14"/>
                <w:color w:val="auto"/>
              </w:rPr>
            </w:pPr>
          </w:p>
        </w:tc>
        <w:tc>
          <w:tcPr>
            <w:tcW w:w="2780" w:type="dxa"/>
            <w:vAlign w:val="bottom"/>
          </w:tcPr>
          <w:p>
            <w:pPr>
              <w:jc w:val="right"/>
              <w:ind w:right="444"/>
              <w:spacing w:after="0"/>
              <w:rPr>
                <w:sz w:val="20"/>
                <w:szCs w:val="20"/>
                <w:color w:val="auto"/>
              </w:rPr>
            </w:pPr>
            <w:r>
              <w:rPr>
                <w:rFonts w:ascii="Arial" w:cs="Arial" w:eastAsia="Arial" w:hAnsi="Arial"/>
                <w:sz w:val="12"/>
                <w:szCs w:val="12"/>
                <w:b w:val="1"/>
                <w:bCs w:val="1"/>
                <w:color w:val="auto"/>
              </w:rPr>
              <w:t>Record Date</w:t>
            </w:r>
          </w:p>
        </w:tc>
        <w:tc>
          <w:tcPr>
            <w:tcW w:w="2220" w:type="dxa"/>
            <w:vAlign w:val="bottom"/>
          </w:tcPr>
          <w:p>
            <w:pPr>
              <w:jc w:val="right"/>
              <w:ind w:right="184"/>
              <w:spacing w:after="0"/>
              <w:rPr>
                <w:sz w:val="20"/>
                <w:szCs w:val="20"/>
                <w:color w:val="auto"/>
              </w:rPr>
            </w:pPr>
            <w:r>
              <w:rPr>
                <w:rFonts w:ascii="Arial" w:cs="Arial" w:eastAsia="Arial" w:hAnsi="Arial"/>
                <w:sz w:val="12"/>
                <w:szCs w:val="12"/>
                <w:b w:val="1"/>
                <w:bCs w:val="1"/>
                <w:color w:val="auto"/>
              </w:rPr>
              <w:t>Payment Date</w:t>
            </w: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Per Share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gridSpan w:val="2"/>
          </w:tcPr>
          <w:p>
            <w:pPr>
              <w:ind w:left="540"/>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324"/>
        </w:trPr>
        <w:tc>
          <w:tcPr>
            <w:tcW w:w="2160" w:type="dxa"/>
            <w:vAlign w:val="bottom"/>
          </w:tcPr>
          <w:p>
            <w:pPr>
              <w:ind w:left="20"/>
              <w:spacing w:after="0"/>
              <w:rPr>
                <w:sz w:val="20"/>
                <w:szCs w:val="20"/>
                <w:color w:val="auto"/>
              </w:rPr>
            </w:pPr>
            <w:r>
              <w:rPr>
                <w:rFonts w:ascii="Arial" w:cs="Arial" w:eastAsia="Arial" w:hAnsi="Arial"/>
                <w:sz w:val="12"/>
                <w:szCs w:val="12"/>
                <w:b w:val="1"/>
                <w:bCs w:val="1"/>
                <w:color w:val="auto"/>
              </w:rPr>
              <w:t>Fiscal Year 2023</w:t>
            </w:r>
          </w:p>
        </w:tc>
        <w:tc>
          <w:tcPr>
            <w:tcW w:w="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(In millions)</w:t>
            </w: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September 20, 2022</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jc w:val="right"/>
              <w:ind w:right="444"/>
              <w:spacing w:after="0"/>
              <w:rPr>
                <w:sz w:val="20"/>
                <w:szCs w:val="20"/>
                <w:color w:val="auto"/>
              </w:rPr>
            </w:pPr>
            <w:r>
              <w:rPr>
                <w:rFonts w:ascii="Arial" w:cs="Arial" w:eastAsia="Arial" w:hAnsi="Arial"/>
                <w:sz w:val="16"/>
                <w:szCs w:val="16"/>
                <w:b w:val="1"/>
                <w:bCs w:val="1"/>
                <w:color w:val="auto"/>
              </w:rPr>
              <w:t>November 17, 2022</w:t>
            </w:r>
          </w:p>
        </w:tc>
        <w:tc>
          <w:tcPr>
            <w:tcW w:w="2220" w:type="dxa"/>
            <w:vAlign w:val="bottom"/>
            <w:shd w:val="clear" w:color="auto" w:fill="E5E5E5"/>
          </w:tcPr>
          <w:p>
            <w:pPr>
              <w:jc w:val="right"/>
              <w:ind w:right="184"/>
              <w:spacing w:after="0"/>
              <w:rPr>
                <w:sz w:val="20"/>
                <w:szCs w:val="20"/>
                <w:color w:val="auto"/>
              </w:rPr>
            </w:pPr>
            <w:r>
              <w:rPr>
                <w:rFonts w:ascii="Arial" w:cs="Arial" w:eastAsia="Arial" w:hAnsi="Arial"/>
                <w:sz w:val="16"/>
                <w:szCs w:val="16"/>
                <w:b w:val="1"/>
                <w:bCs w:val="1"/>
                <w:color w:val="auto"/>
              </w:rPr>
              <w:t>December 8, 2022</w:t>
            </w:r>
          </w:p>
        </w:tc>
        <w:tc>
          <w:tcPr>
            <w:tcW w:w="560" w:type="dxa"/>
            <w:vAlign w:val="bottom"/>
            <w:shd w:val="clear" w:color="auto" w:fill="E5E5E5"/>
          </w:tcPr>
          <w:p>
            <w:pPr>
              <w:jc w:val="right"/>
              <w:ind w:right="382"/>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0.68</w:t>
            </w:r>
          </w:p>
        </w:tc>
        <w:tc>
          <w:tcPr>
            <w:tcW w:w="620" w:type="dxa"/>
            <w:vAlign w:val="bottom"/>
            <w:gridSpan w:val="4"/>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5,066</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November 29, 2022</w:t>
            </w:r>
          </w:p>
        </w:tc>
        <w:tc>
          <w:tcPr>
            <w:tcW w:w="100" w:type="dxa"/>
            <w:vAlign w:val="bottom"/>
          </w:tcPr>
          <w:p>
            <w:pPr>
              <w:spacing w:after="0"/>
              <w:rPr>
                <w:sz w:val="17"/>
                <w:szCs w:val="17"/>
                <w:color w:val="auto"/>
              </w:rPr>
            </w:pPr>
          </w:p>
        </w:tc>
        <w:tc>
          <w:tcPr>
            <w:tcW w:w="2780" w:type="dxa"/>
            <w:vAlign w:val="bottom"/>
          </w:tcPr>
          <w:p>
            <w:pPr>
              <w:jc w:val="right"/>
              <w:ind w:right="444"/>
              <w:spacing w:after="0"/>
              <w:rPr>
                <w:sz w:val="20"/>
                <w:szCs w:val="20"/>
                <w:color w:val="auto"/>
              </w:rPr>
            </w:pPr>
            <w:r>
              <w:rPr>
                <w:rFonts w:ascii="Arial" w:cs="Arial" w:eastAsia="Arial" w:hAnsi="Arial"/>
                <w:sz w:val="16"/>
                <w:szCs w:val="16"/>
                <w:b w:val="1"/>
                <w:bCs w:val="1"/>
                <w:color w:val="auto"/>
              </w:rPr>
              <w:t>February 16, 2023</w:t>
            </w:r>
          </w:p>
        </w:tc>
        <w:tc>
          <w:tcPr>
            <w:tcW w:w="2220" w:type="dxa"/>
            <w:vAlign w:val="bottom"/>
          </w:tcPr>
          <w:p>
            <w:pPr>
              <w:jc w:val="right"/>
              <w:ind w:right="184"/>
              <w:spacing w:after="0"/>
              <w:rPr>
                <w:sz w:val="20"/>
                <w:szCs w:val="20"/>
                <w:color w:val="auto"/>
              </w:rPr>
            </w:pPr>
            <w:r>
              <w:rPr>
                <w:rFonts w:ascii="Arial" w:cs="Arial" w:eastAsia="Arial" w:hAnsi="Arial"/>
                <w:sz w:val="16"/>
                <w:szCs w:val="16"/>
                <w:b w:val="1"/>
                <w:bCs w:val="1"/>
                <w:color w:val="auto"/>
              </w:rPr>
              <w:t>March 9, 2023</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March 14, 2023</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jc w:val="right"/>
              <w:ind w:right="444"/>
              <w:spacing w:after="0"/>
              <w:rPr>
                <w:sz w:val="20"/>
                <w:szCs w:val="20"/>
                <w:color w:val="auto"/>
              </w:rPr>
            </w:pPr>
            <w:r>
              <w:rPr>
                <w:rFonts w:ascii="Arial" w:cs="Arial" w:eastAsia="Arial" w:hAnsi="Arial"/>
                <w:sz w:val="16"/>
                <w:szCs w:val="16"/>
                <w:b w:val="1"/>
                <w:bCs w:val="1"/>
                <w:color w:val="auto"/>
              </w:rPr>
              <w:t>May 18, 2023</w:t>
            </w:r>
          </w:p>
        </w:tc>
        <w:tc>
          <w:tcPr>
            <w:tcW w:w="2220" w:type="dxa"/>
            <w:vAlign w:val="bottom"/>
            <w:shd w:val="clear" w:color="auto" w:fill="E5E5E5"/>
          </w:tcPr>
          <w:p>
            <w:pPr>
              <w:jc w:val="right"/>
              <w:ind w:right="184"/>
              <w:spacing w:after="0"/>
              <w:rPr>
                <w:sz w:val="20"/>
                <w:szCs w:val="20"/>
                <w:color w:val="auto"/>
              </w:rPr>
            </w:pPr>
            <w:r>
              <w:rPr>
                <w:rFonts w:ascii="Arial" w:cs="Arial" w:eastAsia="Arial" w:hAnsi="Arial"/>
                <w:sz w:val="16"/>
                <w:szCs w:val="16"/>
                <w:b w:val="1"/>
                <w:bCs w:val="1"/>
                <w:color w:val="auto"/>
              </w:rPr>
              <w:t>June 8, 2023</w:t>
            </w:r>
          </w:p>
        </w:tc>
        <w:tc>
          <w:tcPr>
            <w:tcW w:w="5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0.68</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5,054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160" w:type="dxa"/>
            <w:vAlign w:val="bottom"/>
          </w:tcPr>
          <w:p>
            <w:pPr>
              <w:ind w:left="20"/>
              <w:spacing w:after="0"/>
              <w:rPr>
                <w:sz w:val="20"/>
                <w:szCs w:val="20"/>
                <w:color w:val="auto"/>
              </w:rPr>
            </w:pPr>
            <w:r>
              <w:rPr>
                <w:rFonts w:ascii="Arial" w:cs="Arial" w:eastAsia="Arial" w:hAnsi="Arial"/>
                <w:sz w:val="16"/>
                <w:szCs w:val="16"/>
                <w:b w:val="1"/>
                <w:bCs w:val="1"/>
                <w:color w:val="auto"/>
              </w:rPr>
              <w:t>June 13, 2023</w:t>
            </w:r>
          </w:p>
        </w:tc>
        <w:tc>
          <w:tcPr>
            <w:tcW w:w="100" w:type="dxa"/>
            <w:vAlign w:val="bottom"/>
          </w:tcPr>
          <w:p>
            <w:pPr>
              <w:spacing w:after="0"/>
              <w:rPr>
                <w:sz w:val="18"/>
                <w:szCs w:val="18"/>
                <w:color w:val="auto"/>
              </w:rPr>
            </w:pPr>
          </w:p>
        </w:tc>
        <w:tc>
          <w:tcPr>
            <w:tcW w:w="2780" w:type="dxa"/>
            <w:vAlign w:val="bottom"/>
          </w:tcPr>
          <w:p>
            <w:pPr>
              <w:jc w:val="right"/>
              <w:ind w:right="444"/>
              <w:spacing w:after="0"/>
              <w:rPr>
                <w:sz w:val="20"/>
                <w:szCs w:val="20"/>
                <w:color w:val="auto"/>
              </w:rPr>
            </w:pPr>
            <w:r>
              <w:rPr>
                <w:rFonts w:ascii="Arial" w:cs="Arial" w:eastAsia="Arial" w:hAnsi="Arial"/>
                <w:sz w:val="16"/>
                <w:szCs w:val="16"/>
                <w:b w:val="1"/>
                <w:bCs w:val="1"/>
                <w:color w:val="auto"/>
              </w:rPr>
              <w:t>August 17, 2023</w:t>
            </w:r>
          </w:p>
        </w:tc>
        <w:tc>
          <w:tcPr>
            <w:tcW w:w="2220" w:type="dxa"/>
            <w:vAlign w:val="bottom"/>
          </w:tcPr>
          <w:p>
            <w:pPr>
              <w:jc w:val="right"/>
              <w:ind w:right="184"/>
              <w:spacing w:after="0"/>
              <w:rPr>
                <w:sz w:val="20"/>
                <w:szCs w:val="20"/>
                <w:color w:val="auto"/>
              </w:rPr>
            </w:pPr>
            <w:r>
              <w:rPr>
                <w:rFonts w:ascii="Arial" w:cs="Arial" w:eastAsia="Arial" w:hAnsi="Arial"/>
                <w:sz w:val="16"/>
                <w:szCs w:val="16"/>
                <w:b w:val="1"/>
                <w:bCs w:val="1"/>
                <w:color w:val="auto"/>
              </w:rPr>
              <w:t>September 14, 2023</w:t>
            </w: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0.68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5,054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Total</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spacing w:after="0"/>
              <w:rPr>
                <w:sz w:val="17"/>
                <w:szCs w:val="17"/>
                <w:color w:val="auto"/>
              </w:rPr>
            </w:pPr>
          </w:p>
        </w:tc>
        <w:tc>
          <w:tcPr>
            <w:tcW w:w="222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382"/>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2.72</w:t>
            </w:r>
          </w:p>
        </w:tc>
        <w:tc>
          <w:tcPr>
            <w:tcW w:w="620" w:type="dxa"/>
            <w:vAlign w:val="bottom"/>
            <w:gridSpan w:val="4"/>
            <w:shd w:val="clear" w:color="auto" w:fill="E5E5E5"/>
          </w:tcPr>
          <w:p>
            <w:pPr>
              <w:jc w:val="right"/>
              <w:ind w:right="320"/>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20,233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1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Fiscal Year 2022</w:t>
            </w:r>
          </w:p>
        </w:tc>
        <w:tc>
          <w:tcPr>
            <w:tcW w:w="1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0"/>
        </w:trPr>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September 14, 2021</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jc w:val="right"/>
              <w:ind w:right="444"/>
              <w:spacing w:after="0"/>
              <w:rPr>
                <w:sz w:val="20"/>
                <w:szCs w:val="20"/>
                <w:color w:val="auto"/>
              </w:rPr>
            </w:pPr>
            <w:r>
              <w:rPr>
                <w:rFonts w:ascii="Arial" w:cs="Arial" w:eastAsia="Arial" w:hAnsi="Arial"/>
                <w:sz w:val="16"/>
                <w:szCs w:val="16"/>
                <w:color w:val="auto"/>
              </w:rPr>
              <w:t>November 18, 2021</w:t>
            </w:r>
          </w:p>
        </w:tc>
        <w:tc>
          <w:tcPr>
            <w:tcW w:w="222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December 9, 2021</w:t>
            </w:r>
          </w:p>
        </w:tc>
        <w:tc>
          <w:tcPr>
            <w:tcW w:w="560" w:type="dxa"/>
            <w:vAlign w:val="bottom"/>
            <w:shd w:val="clear" w:color="auto" w:fill="E5E5E5"/>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0.62</w:t>
            </w:r>
          </w:p>
        </w:tc>
        <w:tc>
          <w:tcPr>
            <w:tcW w:w="620" w:type="dxa"/>
            <w:vAlign w:val="bottom"/>
            <w:gridSpan w:val="4"/>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4,652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0"/>
              <w:spacing w:after="0"/>
              <w:rPr>
                <w:sz w:val="20"/>
                <w:szCs w:val="20"/>
                <w:color w:val="auto"/>
              </w:rPr>
            </w:pPr>
            <w:r>
              <w:rPr>
                <w:rFonts w:ascii="Arial" w:cs="Arial" w:eastAsia="Arial" w:hAnsi="Arial"/>
                <w:sz w:val="16"/>
                <w:szCs w:val="16"/>
                <w:color w:val="auto"/>
              </w:rPr>
              <w:t>December 7, 2021</w:t>
            </w:r>
          </w:p>
        </w:tc>
        <w:tc>
          <w:tcPr>
            <w:tcW w:w="100" w:type="dxa"/>
            <w:vAlign w:val="bottom"/>
          </w:tcPr>
          <w:p>
            <w:pPr>
              <w:spacing w:after="0"/>
              <w:rPr>
                <w:sz w:val="17"/>
                <w:szCs w:val="17"/>
                <w:color w:val="auto"/>
              </w:rPr>
            </w:pPr>
          </w:p>
        </w:tc>
        <w:tc>
          <w:tcPr>
            <w:tcW w:w="2780" w:type="dxa"/>
            <w:vAlign w:val="bottom"/>
          </w:tcPr>
          <w:p>
            <w:pPr>
              <w:jc w:val="right"/>
              <w:ind w:right="444"/>
              <w:spacing w:after="0"/>
              <w:rPr>
                <w:sz w:val="20"/>
                <w:szCs w:val="20"/>
                <w:color w:val="auto"/>
              </w:rPr>
            </w:pPr>
            <w:r>
              <w:rPr>
                <w:rFonts w:ascii="Arial" w:cs="Arial" w:eastAsia="Arial" w:hAnsi="Arial"/>
                <w:sz w:val="16"/>
                <w:szCs w:val="16"/>
                <w:color w:val="auto"/>
              </w:rPr>
              <w:t>February 17, 2022</w:t>
            </w:r>
          </w:p>
        </w:tc>
        <w:tc>
          <w:tcPr>
            <w:tcW w:w="2220" w:type="dxa"/>
            <w:vAlign w:val="bottom"/>
          </w:tcPr>
          <w:p>
            <w:pPr>
              <w:jc w:val="right"/>
              <w:ind w:right="184"/>
              <w:spacing w:after="0"/>
              <w:rPr>
                <w:sz w:val="20"/>
                <w:szCs w:val="20"/>
                <w:color w:val="auto"/>
              </w:rPr>
            </w:pPr>
            <w:r>
              <w:rPr>
                <w:rFonts w:ascii="Arial" w:cs="Arial" w:eastAsia="Arial" w:hAnsi="Arial"/>
                <w:sz w:val="16"/>
                <w:szCs w:val="16"/>
                <w:color w:val="auto"/>
              </w:rPr>
              <w:t>March 10, 2022</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4,645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160" w:type="dxa"/>
            <w:vAlign w:val="bottom"/>
            <w:shd w:val="clear" w:color="auto" w:fill="E5E5E5"/>
          </w:tcPr>
          <w:p>
            <w:pPr>
              <w:ind w:left="20"/>
              <w:spacing w:after="0"/>
              <w:rPr>
                <w:sz w:val="20"/>
                <w:szCs w:val="20"/>
                <w:color w:val="auto"/>
              </w:rPr>
            </w:pPr>
            <w:r>
              <w:rPr>
                <w:rFonts w:ascii="Arial" w:cs="Arial" w:eastAsia="Arial" w:hAnsi="Arial"/>
                <w:sz w:val="16"/>
                <w:szCs w:val="16"/>
                <w:color w:val="auto"/>
              </w:rPr>
              <w:t>March 14, 2022</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jc w:val="right"/>
              <w:ind w:right="444"/>
              <w:spacing w:after="0"/>
              <w:rPr>
                <w:sz w:val="20"/>
                <w:szCs w:val="20"/>
                <w:color w:val="auto"/>
              </w:rPr>
            </w:pPr>
            <w:r>
              <w:rPr>
                <w:rFonts w:ascii="Arial" w:cs="Arial" w:eastAsia="Arial" w:hAnsi="Arial"/>
                <w:sz w:val="16"/>
                <w:szCs w:val="16"/>
                <w:color w:val="auto"/>
              </w:rPr>
              <w:t>May 19, 2022</w:t>
            </w:r>
          </w:p>
        </w:tc>
        <w:tc>
          <w:tcPr>
            <w:tcW w:w="2220" w:type="dxa"/>
            <w:vAlign w:val="bottom"/>
            <w:shd w:val="clear" w:color="auto" w:fill="E5E5E5"/>
          </w:tcPr>
          <w:p>
            <w:pPr>
              <w:jc w:val="right"/>
              <w:ind w:right="184"/>
              <w:spacing w:after="0"/>
              <w:rPr>
                <w:sz w:val="20"/>
                <w:szCs w:val="20"/>
                <w:color w:val="auto"/>
              </w:rPr>
            </w:pPr>
            <w:r>
              <w:rPr>
                <w:rFonts w:ascii="Arial" w:cs="Arial" w:eastAsia="Arial" w:hAnsi="Arial"/>
                <w:sz w:val="16"/>
                <w:szCs w:val="16"/>
                <w:color w:val="auto"/>
              </w:rPr>
              <w:t>June 9, 2022</w:t>
            </w:r>
          </w:p>
        </w:tc>
        <w:tc>
          <w:tcPr>
            <w:tcW w:w="56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E5E5E5"/>
          </w:tcPr>
          <w:p>
            <w:pPr>
              <w:spacing w:after="0"/>
              <w:rPr>
                <w:sz w:val="17"/>
                <w:szCs w:val="17"/>
                <w:color w:val="auto"/>
              </w:rPr>
            </w:pPr>
          </w:p>
        </w:tc>
        <w:tc>
          <w:tcPr>
            <w:tcW w:w="100" w:type="dxa"/>
            <w:vAlign w:val="bottom"/>
            <w:shd w:val="clear" w:color="auto" w:fill="E5E5E5"/>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4,632</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Arial" w:cs="Arial" w:eastAsia="Arial" w:hAnsi="Arial"/>
                <w:sz w:val="16"/>
                <w:szCs w:val="16"/>
                <w:color w:val="auto"/>
              </w:rPr>
              <w:t>June 14, 2022</w:t>
            </w:r>
          </w:p>
        </w:tc>
        <w:tc>
          <w:tcPr>
            <w:tcW w:w="100" w:type="dxa"/>
            <w:vAlign w:val="bottom"/>
          </w:tcPr>
          <w:p>
            <w:pPr>
              <w:spacing w:after="0"/>
              <w:rPr>
                <w:sz w:val="17"/>
                <w:szCs w:val="17"/>
                <w:color w:val="auto"/>
              </w:rPr>
            </w:pPr>
          </w:p>
        </w:tc>
        <w:tc>
          <w:tcPr>
            <w:tcW w:w="2780" w:type="dxa"/>
            <w:vAlign w:val="bottom"/>
          </w:tcPr>
          <w:p>
            <w:pPr>
              <w:jc w:val="right"/>
              <w:ind w:right="444"/>
              <w:spacing w:after="0"/>
              <w:rPr>
                <w:sz w:val="20"/>
                <w:szCs w:val="20"/>
                <w:color w:val="auto"/>
              </w:rPr>
            </w:pPr>
            <w:r>
              <w:rPr>
                <w:rFonts w:ascii="Arial" w:cs="Arial" w:eastAsia="Arial" w:hAnsi="Arial"/>
                <w:sz w:val="16"/>
                <w:szCs w:val="16"/>
                <w:color w:val="auto"/>
              </w:rPr>
              <w:t>August 18, 2022</w:t>
            </w:r>
          </w:p>
        </w:tc>
        <w:tc>
          <w:tcPr>
            <w:tcW w:w="2220" w:type="dxa"/>
            <w:vAlign w:val="bottom"/>
          </w:tcPr>
          <w:p>
            <w:pPr>
              <w:jc w:val="right"/>
              <w:ind w:right="184"/>
              <w:spacing w:after="0"/>
              <w:rPr>
                <w:sz w:val="20"/>
                <w:szCs w:val="20"/>
                <w:color w:val="auto"/>
              </w:rPr>
            </w:pPr>
            <w:r>
              <w:rPr>
                <w:rFonts w:ascii="Arial" w:cs="Arial" w:eastAsia="Arial" w:hAnsi="Arial"/>
                <w:sz w:val="16"/>
                <w:szCs w:val="16"/>
                <w:color w:val="auto"/>
              </w:rPr>
              <w:t>September 8, 2022</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gridSpan w:val="4"/>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16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E5E5E5"/>
          </w:tcPr>
          <w:p>
            <w:pPr>
              <w:spacing w:after="0"/>
              <w:rPr>
                <w:sz w:val="17"/>
                <w:szCs w:val="17"/>
                <w:color w:val="auto"/>
              </w:rPr>
            </w:pPr>
          </w:p>
        </w:tc>
        <w:tc>
          <w:tcPr>
            <w:tcW w:w="2780" w:type="dxa"/>
            <w:vAlign w:val="bottom"/>
            <w:shd w:val="clear" w:color="auto" w:fill="E5E5E5"/>
          </w:tcPr>
          <w:p>
            <w:pPr>
              <w:spacing w:after="0"/>
              <w:rPr>
                <w:sz w:val="17"/>
                <w:szCs w:val="17"/>
                <w:color w:val="auto"/>
              </w:rPr>
            </w:pPr>
          </w:p>
        </w:tc>
        <w:tc>
          <w:tcPr>
            <w:tcW w:w="2220" w:type="dxa"/>
            <w:vAlign w:val="bottom"/>
            <w:shd w:val="clear" w:color="auto" w:fill="E5E5E5"/>
          </w:tcPr>
          <w:p>
            <w:pPr>
              <w:spacing w:after="0"/>
              <w:rPr>
                <w:sz w:val="17"/>
                <w:szCs w:val="17"/>
                <w:color w:val="auto"/>
              </w:rPr>
            </w:pPr>
          </w:p>
        </w:tc>
        <w:tc>
          <w:tcPr>
            <w:tcW w:w="560" w:type="dxa"/>
            <w:vAlign w:val="bottom"/>
            <w:shd w:val="clear" w:color="auto" w:fill="E5E5E5"/>
          </w:tcPr>
          <w:p>
            <w:pPr>
              <w:jc w:val="right"/>
              <w:ind w:right="382"/>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2.48</w:t>
            </w:r>
          </w:p>
        </w:tc>
        <w:tc>
          <w:tcPr>
            <w:tcW w:w="620" w:type="dxa"/>
            <w:vAlign w:val="bottom"/>
            <w:gridSpan w:val="4"/>
            <w:shd w:val="clear" w:color="auto" w:fill="E5E5E5"/>
          </w:tcPr>
          <w:p>
            <w:pPr>
              <w:jc w:val="right"/>
              <w:ind w:righ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18,550</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-1094105</wp:posOffset>
            </wp:positionV>
            <wp:extent cx="5287010" cy="1193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87010" cy="11938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-73025</wp:posOffset>
            </wp:positionV>
            <wp:extent cx="86360" cy="863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dividend declared on June 13, 2023 was included in other current liabilities as of June 30, 2023.</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32" w:lineRule="exact"/>
        <w:rPr>
          <w:sz w:val="20"/>
          <w:szCs w:val="20"/>
          <w:color w:val="auto"/>
        </w:rPr>
      </w:pPr>
    </w:p>
    <w:p>
      <w:pPr>
        <w:ind w:left="2640"/>
        <w:spacing w:after="0"/>
        <w:rPr>
          <w:sz w:val="20"/>
          <w:szCs w:val="20"/>
          <w:color w:val="auto"/>
        </w:rPr>
      </w:pPr>
      <w:r>
        <w:rPr>
          <w:rFonts w:ascii="Arial" w:cs="Arial" w:eastAsia="Arial" w:hAnsi="Arial"/>
          <w:sz w:val="16"/>
          <w:szCs w:val="16"/>
          <w:u w:val="single" w:color="auto"/>
          <w:color w:val="auto"/>
        </w:rPr>
        <w:t>NOTE 17 — ACCUMULATED OTHER COMPREHENSIVE INCOME (LOSS)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income (loss) by component: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r>
      <w:tr>
        <w:trPr>
          <w:trHeight w:val="252"/>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Derivatives</w:t>
            </w: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76"/>
        </w:trPr>
        <w:tc>
          <w:tcPr>
            <w:tcW w:w="7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(13)</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(19)</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(38)</w:t>
            </w:r>
          </w:p>
        </w:tc>
      </w:tr>
      <w:tr>
        <w:trPr>
          <w:trHeight w:val="204"/>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Unrealized gains (losses), net of tax of </w:t>
            </w:r>
            <w:r>
              <w:rPr>
                <w:rFonts w:ascii="Arial" w:cs="Arial" w:eastAsia="Arial" w:hAnsi="Arial"/>
                <w:sz w:val="16"/>
                <w:szCs w:val="16"/>
                <w:b w:val="1"/>
                <w:bCs w:val="1"/>
                <w:color w:val="auto"/>
              </w:rPr>
              <w:t>$9</w:t>
            </w:r>
            <w:r>
              <w:rPr>
                <w:rFonts w:ascii="Arial" w:cs="Arial" w:eastAsia="Arial" w:hAnsi="Arial"/>
                <w:sz w:val="16"/>
                <w:szCs w:val="16"/>
                <w:color w:val="auto"/>
              </w:rPr>
              <w:t>, $(15), and $9</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Reclassification adjustments for (gains) losses included in other income (expense), net</w:t>
            </w:r>
          </w:p>
        </w:tc>
        <w:tc>
          <w:tcPr>
            <w:tcW w:w="2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(61)</w:t>
            </w: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79</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(17)</w:t>
            </w: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Tax expense (benefit) included in provision for income taxes</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r>
      <w:tr>
        <w:trPr>
          <w:trHeight w:val="131"/>
        </w:trPr>
        <w:tc>
          <w:tcPr>
            <w:tcW w:w="7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260" w:type="dxa"/>
            <w:vAlign w:val="bottom"/>
            <w:shd w:val="clear" w:color="auto" w:fill="E5E5E5"/>
          </w:tcPr>
          <w:p>
            <w:pPr>
              <w:spacing w:after="0"/>
              <w:rPr>
                <w:sz w:val="17"/>
                <w:szCs w:val="17"/>
                <w:color w:val="auto"/>
              </w:rPr>
            </w:pP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(48)</w:t>
            </w: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(15)</w:t>
            </w:r>
          </w:p>
        </w:tc>
      </w:tr>
      <w:tr>
        <w:trPr>
          <w:trHeight w:val="358"/>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Net change related to derivatives, net of tax of </w:t>
            </w:r>
            <w:r>
              <w:rPr>
                <w:rFonts w:ascii="Arial" w:cs="Arial" w:eastAsia="Arial" w:hAnsi="Arial"/>
                <w:sz w:val="16"/>
                <w:szCs w:val="16"/>
                <w:b w:val="1"/>
                <w:bCs w:val="1"/>
                <w:color w:val="auto"/>
              </w:rPr>
              <w:t>$(4)</w:t>
            </w:r>
            <w:r>
              <w:rPr>
                <w:rFonts w:ascii="Arial" w:cs="Arial" w:eastAsia="Arial" w:hAnsi="Arial"/>
                <w:sz w:val="16"/>
                <w:szCs w:val="16"/>
                <w:color w:val="auto"/>
              </w:rPr>
              <w:t>, $1, and $7</w:t>
            </w:r>
          </w:p>
        </w:tc>
        <w:tc>
          <w:tcPr>
            <w:tcW w:w="2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24"/>
                <w:szCs w:val="24"/>
                <w:color w:val="auto"/>
              </w:rPr>
            </w:pPr>
          </w:p>
        </w:tc>
      </w:tr>
      <w:tr>
        <w:trPr>
          <w:trHeight w:val="134"/>
        </w:trPr>
        <w:tc>
          <w:tcPr>
            <w:tcW w:w="7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end of period</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(27)</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(19)</w:t>
            </w:r>
          </w:p>
        </w:tc>
      </w:tr>
      <w:tr>
        <w:trPr>
          <w:trHeight w:val="320"/>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Investments</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7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(2,138)</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3,222</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5,478</w:t>
            </w:r>
          </w:p>
        </w:tc>
        <w:tc>
          <w:tcPr>
            <w:tcW w:w="80" w:type="dxa"/>
            <w:vAlign w:val="bottom"/>
            <w:shd w:val="clear" w:color="auto" w:fill="E5E5E5"/>
          </w:tcPr>
          <w:p>
            <w:pPr>
              <w:spacing w:after="0"/>
              <w:rPr>
                <w:sz w:val="17"/>
                <w:szCs w:val="17"/>
                <w:color w:val="auto"/>
              </w:rPr>
            </w:pPr>
          </w:p>
        </w:tc>
      </w:tr>
      <w:tr>
        <w:trPr>
          <w:trHeight w:val="204"/>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Unrealized losses, net of tax of </w:t>
            </w:r>
            <w:r>
              <w:rPr>
                <w:rFonts w:ascii="Arial" w:cs="Arial" w:eastAsia="Arial" w:hAnsi="Arial"/>
                <w:sz w:val="16"/>
                <w:szCs w:val="16"/>
                <w:b w:val="1"/>
                <w:bCs w:val="1"/>
                <w:color w:val="auto"/>
              </w:rPr>
              <w:t>$(393)</w:t>
            </w:r>
            <w:r>
              <w:rPr>
                <w:rFonts w:ascii="Arial" w:cs="Arial" w:eastAsia="Arial" w:hAnsi="Arial"/>
                <w:sz w:val="16"/>
                <w:szCs w:val="16"/>
                <w:color w:val="auto"/>
              </w:rPr>
              <w:t>, $(1,440), and $(589)</w:t>
            </w:r>
          </w:p>
        </w:tc>
        <w:tc>
          <w:tcPr>
            <w:tcW w:w="2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(1,523)</w:t>
            </w:r>
          </w:p>
        </w:tc>
        <w:tc>
          <w:tcPr>
            <w:tcW w:w="2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(5,405)</w:t>
            </w:r>
          </w:p>
        </w:tc>
        <w:tc>
          <w:tcPr>
            <w:tcW w:w="2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(2,216)</w:t>
            </w: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Reclassification adjustments for (gains) losses included in other income (expense), net</w:t>
            </w: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99</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(63)</w:t>
            </w: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Tax expense (benefit) included in provision for income taxes</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r>
      <w:tr>
        <w:trPr>
          <w:trHeight w:val="131"/>
        </w:trPr>
        <w:tc>
          <w:tcPr>
            <w:tcW w:w="7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5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Amounts reclassified from accumulated other comprehensive income (loss)</w:t>
            </w: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45</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(50)</w:t>
            </w:r>
          </w:p>
        </w:tc>
      </w:tr>
      <w:tr>
        <w:trPr>
          <w:trHeight w:val="348"/>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Net change related to investments, net of tax of </w:t>
            </w:r>
            <w:r>
              <w:rPr>
                <w:rFonts w:ascii="Arial" w:cs="Arial" w:eastAsia="Arial" w:hAnsi="Arial"/>
                <w:sz w:val="16"/>
                <w:szCs w:val="16"/>
                <w:b w:val="1"/>
                <w:bCs w:val="1"/>
                <w:color w:val="auto"/>
              </w:rPr>
              <w:t>$(373)</w:t>
            </w:r>
            <w:r>
              <w:rPr>
                <w:rFonts w:ascii="Arial" w:cs="Arial" w:eastAsia="Arial" w:hAnsi="Arial"/>
                <w:sz w:val="16"/>
                <w:szCs w:val="16"/>
                <w:color w:val="auto"/>
              </w:rPr>
              <w:t>, $(1,428), and $(602)</w:t>
            </w:r>
          </w:p>
        </w:tc>
        <w:tc>
          <w:tcPr>
            <w:tcW w:w="2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(1,444)</w:t>
            </w:r>
          </w:p>
        </w:tc>
        <w:tc>
          <w:tcPr>
            <w:tcW w:w="26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(5,360)</w:t>
            </w:r>
          </w:p>
        </w:tc>
        <w:tc>
          <w:tcPr>
            <w:tcW w:w="24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(2,266)</w:t>
            </w: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Cumulative effect of accounting changes</w:t>
            </w: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w:t>
            </w:r>
          </w:p>
        </w:tc>
        <w:tc>
          <w:tcPr>
            <w:tcW w:w="200" w:type="dxa"/>
            <w:vAlign w:val="bottom"/>
            <w:shd w:val="clear" w:color="auto" w:fill="E5E5E5"/>
          </w:tcPr>
          <w:p>
            <w:pPr>
              <w:spacing w:after="0"/>
              <w:rPr>
                <w:sz w:val="17"/>
                <w:szCs w:val="17"/>
                <w:color w:val="auto"/>
              </w:rPr>
            </w:pPr>
          </w:p>
        </w:tc>
        <w:tc>
          <w:tcPr>
            <w:tcW w:w="26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0</w:t>
            </w:r>
          </w:p>
        </w:tc>
        <w:tc>
          <w:tcPr>
            <w:tcW w:w="200" w:type="dxa"/>
            <w:vAlign w:val="bottom"/>
            <w:shd w:val="clear" w:color="auto" w:fill="E5E5E5"/>
          </w:tcPr>
          <w:p>
            <w:pPr>
              <w:spacing w:after="0"/>
              <w:rPr>
                <w:sz w:val="17"/>
                <w:szCs w:val="17"/>
                <w:color w:val="auto"/>
              </w:rPr>
            </w:pPr>
          </w:p>
        </w:tc>
        <w:tc>
          <w:tcPr>
            <w:tcW w:w="240" w:type="dxa"/>
            <w:vAlign w:val="bottom"/>
            <w:shd w:val="clear" w:color="auto" w:fill="E5E5E5"/>
          </w:tcPr>
          <w:p>
            <w:pPr>
              <w:spacing w:after="0"/>
              <w:rPr>
                <w:sz w:val="17"/>
                <w:szCs w:val="17"/>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w:t>
            </w:r>
          </w:p>
        </w:tc>
        <w:tc>
          <w:tcPr>
            <w:tcW w:w="80" w:type="dxa"/>
            <w:vAlign w:val="bottom"/>
            <w:shd w:val="clear" w:color="auto" w:fill="E5E5E5"/>
          </w:tcPr>
          <w:p>
            <w:pPr>
              <w:spacing w:after="0"/>
              <w:rPr>
                <w:sz w:val="17"/>
                <w:szCs w:val="17"/>
                <w:color w:val="auto"/>
              </w:rPr>
            </w:pPr>
          </w:p>
        </w:tc>
      </w:tr>
      <w:tr>
        <w:trPr>
          <w:trHeight w:val="358"/>
        </w:trPr>
        <w:tc>
          <w:tcPr>
            <w:tcW w:w="75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(3,582)</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(2,138)</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3,222</w:t>
            </w:r>
          </w:p>
        </w:tc>
        <w:tc>
          <w:tcPr>
            <w:tcW w:w="80" w:type="dxa"/>
            <w:vAlign w:val="bottom"/>
          </w:tcPr>
          <w:p>
            <w:pPr>
              <w:spacing w:after="0"/>
              <w:rPr>
                <w:sz w:val="24"/>
                <w:szCs w:val="24"/>
                <w:color w:val="auto"/>
              </w:rPr>
            </w:pPr>
          </w:p>
        </w:tc>
      </w:tr>
      <w:tr>
        <w:trPr>
          <w:trHeight w:val="310"/>
        </w:trPr>
        <w:tc>
          <w:tcPr>
            <w:tcW w:w="7520" w:type="dxa"/>
            <w:vAlign w:val="bottom"/>
          </w:tcPr>
          <w:p>
            <w:pPr>
              <w:ind w:left="20"/>
              <w:spacing w:after="0"/>
              <w:rPr>
                <w:sz w:val="20"/>
                <w:szCs w:val="20"/>
                <w:color w:val="auto"/>
              </w:rPr>
            </w:pPr>
            <w:r>
              <w:rPr>
                <w:rFonts w:ascii="Arial" w:cs="Arial" w:eastAsia="Arial" w:hAnsi="Arial"/>
                <w:sz w:val="12"/>
                <w:szCs w:val="12"/>
                <w:b w:val="1"/>
                <w:bCs w:val="1"/>
                <w:color w:val="auto"/>
              </w:rPr>
              <w:t>Translation Adjustments and Other</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76"/>
        </w:trPr>
        <w:tc>
          <w:tcPr>
            <w:tcW w:w="7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(2,527)</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(1,381)</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(2,254)</w:t>
            </w:r>
          </w:p>
        </w:tc>
      </w:tr>
      <w:tr>
        <w:trPr>
          <w:trHeight w:val="217"/>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Translation adjustments and other, net of tax of </w:t>
            </w:r>
            <w:r>
              <w:rPr>
                <w:rFonts w:ascii="Arial" w:cs="Arial" w:eastAsia="Arial" w:hAnsi="Arial"/>
                <w:sz w:val="16"/>
                <w:szCs w:val="16"/>
                <w:b w:val="1"/>
                <w:bCs w:val="1"/>
                <w:color w:val="auto"/>
              </w:rPr>
              <w:t>$0</w:t>
            </w:r>
            <w:r>
              <w:rPr>
                <w:rFonts w:ascii="Arial" w:cs="Arial" w:eastAsia="Arial" w:hAnsi="Arial"/>
                <w:sz w:val="16"/>
                <w:szCs w:val="16"/>
                <w:color w:val="auto"/>
              </w:rPr>
              <w:t>, $0, and $(9)</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(207 )</w:t>
            </w:r>
          </w:p>
        </w:tc>
        <w:tc>
          <w:tcPr>
            <w:tcW w:w="2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(1,146)</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873</w:t>
            </w:r>
          </w:p>
        </w:tc>
        <w:tc>
          <w:tcPr>
            <w:tcW w:w="80" w:type="dxa"/>
            <w:vAlign w:val="bottom"/>
          </w:tcPr>
          <w:p>
            <w:pPr>
              <w:spacing w:after="0"/>
              <w:rPr>
                <w:sz w:val="18"/>
                <w:szCs w:val="18"/>
                <w:color w:val="auto"/>
              </w:rPr>
            </w:pPr>
          </w:p>
        </w:tc>
      </w:tr>
      <w:tr>
        <w:trPr>
          <w:trHeight w:val="131"/>
        </w:trPr>
        <w:tc>
          <w:tcPr>
            <w:tcW w:w="7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7520" w:type="dxa"/>
            <w:vAlign w:val="bottom"/>
            <w:shd w:val="clear" w:color="auto" w:fill="E5E5E5"/>
          </w:tcPr>
          <w:p>
            <w:pPr>
              <w:ind w:left="20"/>
              <w:spacing w:after="0"/>
              <w:rPr>
                <w:sz w:val="20"/>
                <w:szCs w:val="20"/>
                <w:color w:val="auto"/>
              </w:rPr>
            </w:pPr>
            <w:r>
              <w:rPr>
                <w:rFonts w:ascii="Arial" w:cs="Arial" w:eastAsia="Arial" w:hAnsi="Arial"/>
                <w:sz w:val="16"/>
                <w:szCs w:val="16"/>
                <w:color w:val="auto"/>
              </w:rPr>
              <w:t>Balance, end of period</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b w:val="1"/>
                <w:bCs w:val="1"/>
                <w:color w:val="auto"/>
              </w:rPr>
              <w:t>(2,734)</w:t>
            </w:r>
          </w:p>
        </w:tc>
        <w:tc>
          <w:tcPr>
            <w:tcW w:w="2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E5E5E5"/>
          </w:tcPr>
          <w:p>
            <w:pPr>
              <w:jc w:val="right"/>
              <w:ind w:right="140"/>
              <w:spacing w:after="0"/>
              <w:rPr>
                <w:sz w:val="20"/>
                <w:szCs w:val="20"/>
                <w:color w:val="auto"/>
              </w:rPr>
            </w:pPr>
            <w:r>
              <w:rPr>
                <w:rFonts w:ascii="Arial" w:cs="Arial" w:eastAsia="Arial" w:hAnsi="Arial"/>
                <w:sz w:val="16"/>
                <w:szCs w:val="16"/>
                <w:color w:val="auto"/>
              </w:rPr>
              <w:t>(2,527)</w:t>
            </w:r>
          </w:p>
        </w:tc>
        <w:tc>
          <w:tcPr>
            <w:tcW w:w="240" w:type="dxa"/>
            <w:vAlign w:val="bottom"/>
            <w:shd w:val="clear" w:color="auto" w:fill="E5E5E5"/>
          </w:tcPr>
          <w:p>
            <w:pPr>
              <w:jc w:val="right"/>
              <w:ind w:right="62"/>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E5E5E5"/>
          </w:tcPr>
          <w:p>
            <w:pPr>
              <w:jc w:val="right"/>
              <w:ind w:right="20"/>
              <w:spacing w:after="0"/>
              <w:rPr>
                <w:sz w:val="20"/>
                <w:szCs w:val="20"/>
                <w:color w:val="auto"/>
              </w:rPr>
            </w:pPr>
            <w:r>
              <w:rPr>
                <w:rFonts w:ascii="Arial" w:cs="Arial" w:eastAsia="Arial" w:hAnsi="Arial"/>
                <w:sz w:val="16"/>
                <w:szCs w:val="16"/>
                <w:color w:val="auto"/>
              </w:rPr>
              <w:t>(1,381)</w:t>
            </w:r>
          </w:p>
        </w:tc>
      </w:tr>
      <w:tr>
        <w:trPr>
          <w:trHeight w:val="358"/>
        </w:trPr>
        <w:tc>
          <w:tcPr>
            <w:tcW w:w="752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 end of period</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(6,343)</w:t>
            </w: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(4,678)</w:t>
            </w: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1,822</w:t>
            </w:r>
          </w:p>
        </w:tc>
        <w:tc>
          <w:tcPr>
            <w:tcW w:w="80" w:type="dxa"/>
            <w:vAlign w:val="bottom"/>
          </w:tcPr>
          <w:p>
            <w:pPr>
              <w:spacing w:after="0"/>
              <w:rPr>
                <w:sz w:val="24"/>
                <w:szCs w:val="24"/>
                <w:color w:val="auto"/>
              </w:rPr>
            </w:pPr>
          </w:p>
        </w:tc>
      </w:tr>
      <w:tr>
        <w:trPr>
          <w:trHeight w:val="66"/>
        </w:trPr>
        <w:tc>
          <w:tcPr>
            <w:tcW w:w="75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-73025</wp:posOffset>
            </wp:positionV>
            <wp:extent cx="93980" cy="863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5982335</wp:posOffset>
            </wp:positionH>
            <wp:positionV relativeFrom="paragraph">
              <wp:posOffset>-73025</wp:posOffset>
            </wp:positionV>
            <wp:extent cx="93980" cy="863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NOTE 18 — EMPLOYEE STOCK AND SAVINGS PLANS</w:t>
      </w:r>
    </w:p>
    <w:p>
      <w:pPr>
        <w:spacing w:after="0" w:line="140"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We grant stock-based compensation to employees and directors. Awards that expire or are canceled without delivery of shares generally become available for issuance under the plans. We issue new shares of Microsoft common stock to satisfy vesting of awards granted under our stock plans. We also have an ESPP for all eligible employees.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and related income tax benefits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2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24"/>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204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2"/>
                <w:szCs w:val="12"/>
                <w:b w:val="1"/>
                <w:bCs w:val="1"/>
                <w:color w:val="auto"/>
              </w:rPr>
              <w:t>2023</w:t>
            </w:r>
          </w:p>
        </w:tc>
        <w:tc>
          <w:tcPr>
            <w:tcW w:w="38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2"/>
                <w:szCs w:val="12"/>
                <w:b w:val="1"/>
                <w:bCs w:val="1"/>
                <w:color w:val="auto"/>
              </w:rPr>
              <w:t>2022</w:t>
            </w: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2"/>
                <w:szCs w:val="12"/>
                <w:b w:val="1"/>
                <w:bCs w:val="1"/>
                <w:color w:val="auto"/>
              </w:rPr>
              <w:t>2021</w:t>
            </w:r>
          </w:p>
        </w:tc>
      </w:tr>
      <w:tr>
        <w:trPr>
          <w:trHeight w:val="76"/>
        </w:trPr>
        <w:tc>
          <w:tcPr>
            <w:tcW w:w="5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spacing w:after="0"/>
              <w:rPr>
                <w:sz w:val="6"/>
                <w:szCs w:val="6"/>
                <w:color w:val="auto"/>
              </w:rPr>
            </w:pPr>
          </w:p>
        </w:tc>
      </w:tr>
      <w:tr>
        <w:trPr>
          <w:trHeight w:val="204"/>
        </w:trPr>
        <w:tc>
          <w:tcPr>
            <w:tcW w:w="5740" w:type="dxa"/>
            <w:vAlign w:val="bottom"/>
            <w:shd w:val="clear" w:color="auto" w:fill="E5E5E5"/>
          </w:tcPr>
          <w:p>
            <w:pPr>
              <w:ind w:left="20"/>
              <w:spacing w:after="0"/>
              <w:rPr>
                <w:sz w:val="20"/>
                <w:szCs w:val="20"/>
                <w:color w:val="auto"/>
              </w:rPr>
            </w:pPr>
            <w:r>
              <w:rPr>
                <w:rFonts w:ascii="Arial" w:cs="Arial" w:eastAsia="Arial" w:hAnsi="Arial"/>
                <w:sz w:val="16"/>
                <w:szCs w:val="16"/>
                <w:color w:val="auto"/>
              </w:rPr>
              <w:t>Stock-based compensation expense</w:t>
            </w:r>
          </w:p>
        </w:tc>
        <w:tc>
          <w:tcPr>
            <w:tcW w:w="2040" w:type="dxa"/>
            <w:vAlign w:val="bottom"/>
            <w:shd w:val="clear" w:color="auto" w:fill="E5E5E5"/>
          </w:tcPr>
          <w:p>
            <w:pPr>
              <w:jc w:val="right"/>
              <w:ind w:right="102"/>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5E5E5"/>
          </w:tcPr>
          <w:p>
            <w:pPr>
              <w:jc w:val="right"/>
              <w:ind w:right="48"/>
              <w:spacing w:after="0"/>
              <w:rPr>
                <w:sz w:val="20"/>
                <w:szCs w:val="20"/>
                <w:color w:val="auto"/>
              </w:rPr>
            </w:pPr>
            <w:r>
              <w:rPr>
                <w:rFonts w:ascii="Arial" w:cs="Arial" w:eastAsia="Arial" w:hAnsi="Arial"/>
                <w:sz w:val="16"/>
                <w:szCs w:val="16"/>
                <w:b w:val="1"/>
                <w:bCs w:val="1"/>
                <w:color w:val="auto"/>
              </w:rPr>
              <w:t>9,611</w:t>
            </w:r>
          </w:p>
        </w:tc>
        <w:tc>
          <w:tcPr>
            <w:tcW w:w="38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w:t>
            </w:r>
          </w:p>
        </w:tc>
        <w:tc>
          <w:tcPr>
            <w:tcW w:w="680" w:type="dxa"/>
            <w:vAlign w:val="bottom"/>
            <w:shd w:val="clear" w:color="auto" w:fill="E5E5E5"/>
          </w:tcPr>
          <w:p>
            <w:pPr>
              <w:jc w:val="right"/>
              <w:ind w:right="28"/>
              <w:spacing w:after="0"/>
              <w:rPr>
                <w:sz w:val="20"/>
                <w:szCs w:val="20"/>
                <w:color w:val="auto"/>
              </w:rPr>
            </w:pPr>
            <w:r>
              <w:rPr>
                <w:rFonts w:ascii="Arial" w:cs="Arial" w:eastAsia="Arial" w:hAnsi="Arial"/>
                <w:sz w:val="16"/>
                <w:szCs w:val="16"/>
                <w:color w:val="auto"/>
              </w:rPr>
              <w:t>7,502</w:t>
            </w:r>
          </w:p>
        </w:tc>
        <w:tc>
          <w:tcPr>
            <w:tcW w:w="360" w:type="dxa"/>
            <w:vAlign w:val="bottom"/>
            <w:shd w:val="clear" w:color="auto" w:fill="E5E5E5"/>
          </w:tcPr>
          <w:p>
            <w:pPr>
              <w:jc w:val="right"/>
              <w:ind w:right="82"/>
              <w:spacing w:after="0"/>
              <w:rPr>
                <w:sz w:val="20"/>
                <w:szCs w:val="20"/>
                <w:color w:val="auto"/>
              </w:rPr>
            </w:pPr>
            <w:r>
              <w:rPr>
                <w:rFonts w:ascii="Arial" w:cs="Arial" w:eastAsia="Arial" w:hAnsi="Arial"/>
                <w:sz w:val="16"/>
                <w:szCs w:val="16"/>
                <w:color w:val="auto"/>
              </w:rPr>
              <w:t>$</w:t>
            </w:r>
          </w:p>
        </w:tc>
        <w:tc>
          <w:tcPr>
            <w:tcW w:w="660" w:type="dxa"/>
            <w:vAlign w:val="bottom"/>
            <w:shd w:val="clear" w:color="auto" w:fill="E5E5E5"/>
          </w:tcPr>
          <w:p>
            <w:pPr>
              <w:jc w:val="right"/>
              <w:ind w:right="28"/>
              <w:spacing w:after="0"/>
              <w:rPr>
                <w:sz w:val="20"/>
                <w:szCs w:val="20"/>
                <w:color w:val="auto"/>
              </w:rPr>
            </w:pPr>
            <w:r>
              <w:rPr>
                <w:rFonts w:ascii="Arial" w:cs="Arial" w:eastAsia="Arial" w:hAnsi="Arial"/>
                <w:sz w:val="16"/>
                <w:szCs w:val="16"/>
                <w:color w:val="auto"/>
              </w:rPr>
              <w:t>6,118</w:t>
            </w:r>
          </w:p>
        </w:tc>
      </w:tr>
      <w:tr>
        <w:trPr>
          <w:trHeight w:val="217"/>
        </w:trPr>
        <w:tc>
          <w:tcPr>
            <w:tcW w:w="5740" w:type="dxa"/>
            <w:vAlign w:val="bottom"/>
          </w:tcPr>
          <w:p>
            <w:pPr>
              <w:ind w:left="20"/>
              <w:spacing w:after="0"/>
              <w:rPr>
                <w:sz w:val="20"/>
                <w:szCs w:val="20"/>
                <w:color w:val="auto"/>
              </w:rPr>
            </w:pPr>
            <w:r>
              <w:rPr>
                <w:rFonts w:ascii="Arial" w:cs="Arial" w:eastAsia="Arial" w:hAnsi="Arial"/>
                <w:sz w:val="16"/>
                <w:szCs w:val="16"/>
                <w:color w:val="auto"/>
              </w:rPr>
              <w:t>Income tax benefits related to stock-based compensation</w:t>
            </w:r>
          </w:p>
        </w:tc>
        <w:tc>
          <w:tcPr>
            <w:tcW w:w="2040" w:type="dxa"/>
            <w:vAlign w:val="bottom"/>
          </w:tcPr>
          <w:p>
            <w:pPr>
              <w:spacing w:after="0"/>
              <w:rPr>
                <w:sz w:val="18"/>
                <w:szCs w:val="18"/>
                <w:color w:val="auto"/>
              </w:rPr>
            </w:pPr>
          </w:p>
        </w:tc>
        <w:tc>
          <w:tcPr>
            <w:tcW w:w="700" w:type="dxa"/>
            <w:vAlign w:val="bottom"/>
          </w:tcPr>
          <w:p>
            <w:pPr>
              <w:jc w:val="right"/>
              <w:ind w:right="48"/>
              <w:spacing w:after="0"/>
              <w:rPr>
                <w:sz w:val="20"/>
                <w:szCs w:val="20"/>
                <w:color w:val="auto"/>
              </w:rPr>
            </w:pPr>
            <w:r>
              <w:rPr>
                <w:rFonts w:ascii="Arial" w:cs="Arial" w:eastAsia="Arial" w:hAnsi="Arial"/>
                <w:sz w:val="16"/>
                <w:szCs w:val="16"/>
                <w:b w:val="1"/>
                <w:bCs w:val="1"/>
                <w:color w:val="auto"/>
              </w:rPr>
              <w:t>1,651</w:t>
            </w:r>
          </w:p>
        </w:tc>
        <w:tc>
          <w:tcPr>
            <w:tcW w:w="380" w:type="dxa"/>
            <w:vAlign w:val="bottom"/>
          </w:tcPr>
          <w:p>
            <w:pPr>
              <w:spacing w:after="0"/>
              <w:rPr>
                <w:sz w:val="18"/>
                <w:szCs w:val="18"/>
                <w:color w:val="auto"/>
              </w:rPr>
            </w:pPr>
          </w:p>
        </w:tc>
        <w:tc>
          <w:tcPr>
            <w:tcW w:w="680" w:type="dxa"/>
            <w:vAlign w:val="bottom"/>
          </w:tcPr>
          <w:p>
            <w:pPr>
              <w:jc w:val="right"/>
              <w:ind w:right="28"/>
              <w:spacing w:after="0"/>
              <w:rPr>
                <w:sz w:val="20"/>
                <w:szCs w:val="20"/>
                <w:color w:val="auto"/>
              </w:rPr>
            </w:pPr>
            <w:r>
              <w:rPr>
                <w:rFonts w:ascii="Arial" w:cs="Arial" w:eastAsia="Arial" w:hAnsi="Arial"/>
                <w:sz w:val="16"/>
                <w:szCs w:val="16"/>
                <w:color w:val="auto"/>
              </w:rPr>
              <w:t>1,293</w:t>
            </w:r>
          </w:p>
        </w:tc>
        <w:tc>
          <w:tcPr>
            <w:tcW w:w="360" w:type="dxa"/>
            <w:vAlign w:val="bottom"/>
          </w:tcPr>
          <w:p>
            <w:pPr>
              <w:spacing w:after="0"/>
              <w:rPr>
                <w:sz w:val="18"/>
                <w:szCs w:val="18"/>
                <w:color w:val="auto"/>
              </w:rPr>
            </w:pPr>
          </w:p>
        </w:tc>
        <w:tc>
          <w:tcPr>
            <w:tcW w:w="660" w:type="dxa"/>
            <w:vAlign w:val="bottom"/>
          </w:tcPr>
          <w:p>
            <w:pPr>
              <w:jc w:val="right"/>
              <w:ind w:right="28"/>
              <w:spacing w:after="0"/>
              <w:rPr>
                <w:sz w:val="20"/>
                <w:szCs w:val="20"/>
                <w:color w:val="auto"/>
              </w:rPr>
            </w:pPr>
            <w:r>
              <w:rPr>
                <w:rFonts w:ascii="Arial" w:cs="Arial" w:eastAsia="Arial" w:hAnsi="Arial"/>
                <w:sz w:val="16"/>
                <w:szCs w:val="16"/>
                <w:color w:val="auto"/>
              </w:rPr>
              <w:t>1,065</w:t>
            </w:r>
          </w:p>
        </w:tc>
      </w:tr>
    </w:tbl>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Plans</w:t>
      </w:r>
    </w:p>
    <w:p>
      <w:pPr>
        <w:spacing w:after="0" w:line="148"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Stock awards entitle the holder to receive shares of Microsoft common stock as the award vests. Stock awards generally vest over a service period of four years or five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Incentive Plan</w:t>
      </w:r>
    </w:p>
    <w:p>
      <w:pPr>
        <w:spacing w:after="0" w:line="14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Under the Executive Incentive Plan, the Compensation Committee approves stock awards to executive officers and certain senior executives. RSUs generally vest ratably over a service period of four years. PSUs generally vest over a performance period of three years. The number of shares the PSU holder receives is based on the extent to which the corresponding performance goals have been achieved.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Activity for All Stock Plans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stock awards was estimated on the date of grant using the following assumptions:</w:t>
      </w:r>
    </w:p>
    <w:p>
      <w:pPr>
        <w:spacing w:after="0" w:line="349"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940" w:type="dxa"/>
            <w:vAlign w:val="bottom"/>
          </w:tcPr>
          <w:p>
            <w:pPr>
              <w:spacing w:after="0"/>
              <w:rPr>
                <w:sz w:val="20"/>
                <w:szCs w:val="20"/>
                <w:color w:val="auto"/>
              </w:rPr>
            </w:pPr>
            <w:r>
              <w:rPr>
                <w:rFonts w:ascii="Arial" w:cs="Arial" w:eastAsia="Arial" w:hAnsi="Arial"/>
                <w:sz w:val="12"/>
                <w:szCs w:val="12"/>
                <w:b w:val="1"/>
                <w:bCs w:val="1"/>
                <w:color w:val="auto"/>
              </w:rPr>
              <w:t>Year ended June 30,</w:t>
            </w:r>
          </w:p>
        </w:tc>
        <w:tc>
          <w:tcPr>
            <w:tcW w:w="3840" w:type="dxa"/>
            <w:vAlign w:val="bottom"/>
          </w:tcPr>
          <w:p>
            <w:pPr>
              <w:jc w:val="right"/>
              <w:ind w:right="720"/>
              <w:spacing w:after="0"/>
              <w:rPr>
                <w:sz w:val="20"/>
                <w:szCs w:val="20"/>
                <w:color w:val="auto"/>
              </w:rPr>
            </w:pPr>
            <w:r>
              <w:rPr>
                <w:rFonts w:ascii="Arial" w:cs="Arial" w:eastAsia="Arial" w:hAnsi="Arial"/>
                <w:sz w:val="12"/>
                <w:szCs w:val="12"/>
                <w:b w:val="1"/>
                <w:bCs w:val="1"/>
                <w:color w:val="auto"/>
              </w:rPr>
              <w:t>2023</w:t>
            </w:r>
          </w:p>
        </w:tc>
        <w:tc>
          <w:tcPr>
            <w:tcW w:w="1720" w:type="dxa"/>
            <w:vAlign w:val="bottom"/>
          </w:tcPr>
          <w:p>
            <w:pPr>
              <w:jc w:val="right"/>
              <w:ind w:right="620"/>
              <w:spacing w:after="0"/>
              <w:rPr>
                <w:sz w:val="20"/>
                <w:szCs w:val="20"/>
                <w:color w:val="auto"/>
              </w:rPr>
            </w:pPr>
            <w:r>
              <w:rPr>
                <w:rFonts w:ascii="Arial" w:cs="Arial" w:eastAsia="Arial" w:hAnsi="Arial"/>
                <w:sz w:val="12"/>
                <w:szCs w:val="12"/>
                <w:b w:val="1"/>
                <w:bCs w:val="1"/>
                <w:color w:val="auto"/>
              </w:rPr>
              <w:t>2022</w:t>
            </w: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20" w:type="dxa"/>
            <w:vAlign w:val="bottom"/>
            <w:shd w:val="clear" w:color="auto" w:fill="E5E5E5"/>
          </w:tcPr>
          <w:p>
            <w:pPr>
              <w:ind w:left="20"/>
              <w:spacing w:after="0"/>
              <w:rPr>
                <w:sz w:val="20"/>
                <w:szCs w:val="20"/>
                <w:color w:val="auto"/>
              </w:rPr>
            </w:pPr>
            <w:r>
              <w:rPr>
                <w:rFonts w:ascii="Arial" w:cs="Arial" w:eastAsia="Arial" w:hAnsi="Arial"/>
                <w:sz w:val="16"/>
                <w:szCs w:val="16"/>
                <w:color w:val="auto"/>
              </w:rPr>
              <w:t>Dividends per share (quarterly amounts)</w:t>
            </w:r>
          </w:p>
        </w:tc>
        <w:tc>
          <w:tcPr>
            <w:tcW w:w="460" w:type="dxa"/>
            <w:vAlign w:val="bottom"/>
            <w:shd w:val="clear" w:color="auto" w:fill="E5E5E5"/>
          </w:tcPr>
          <w:p>
            <w:pPr>
              <w:jc w:val="right"/>
              <w:ind w:right="182"/>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0.62 – 0.68</w:t>
            </w:r>
          </w:p>
        </w:tc>
        <w:tc>
          <w:tcPr>
            <w:tcW w:w="440" w:type="dxa"/>
            <w:vAlign w:val="bottom"/>
            <w:shd w:val="clear" w:color="auto" w:fill="E5E5E5"/>
          </w:tcPr>
          <w:p>
            <w:pPr>
              <w:jc w:val="right"/>
              <w:ind w:right="202"/>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E5E5E5"/>
          </w:tcPr>
          <w:p>
            <w:pPr>
              <w:jc w:val="right"/>
              <w:ind w:right="180"/>
              <w:spacing w:after="0"/>
              <w:rPr>
                <w:sz w:val="20"/>
                <w:szCs w:val="20"/>
                <w:color w:val="auto"/>
              </w:rPr>
            </w:pPr>
            <w:r>
              <w:rPr>
                <w:rFonts w:ascii="Arial" w:cs="Arial" w:eastAsia="Arial" w:hAnsi="Arial"/>
                <w:sz w:val="16"/>
                <w:szCs w:val="16"/>
                <w:color w:val="auto"/>
              </w:rPr>
              <w:t>0.56 – 0.62</w:t>
            </w:r>
          </w:p>
        </w:tc>
        <w:tc>
          <w:tcPr>
            <w:tcW w:w="300" w:type="dxa"/>
            <w:vAlign w:val="bottom"/>
            <w:shd w:val="clear" w:color="auto" w:fill="E5E5E5"/>
          </w:tcPr>
          <w:p>
            <w:pPr>
              <w:jc w:val="right"/>
              <w:ind w:right="102"/>
              <w:spacing w:after="0"/>
              <w:rPr>
                <w:sz w:val="20"/>
                <w:szCs w:val="20"/>
                <w:color w:val="auto"/>
              </w:rPr>
            </w:pPr>
            <w:r>
              <w:rPr>
                <w:rFonts w:ascii="Arial" w:cs="Arial" w:eastAsia="Arial" w:hAnsi="Arial"/>
                <w:sz w:val="16"/>
                <w:szCs w:val="16"/>
                <w:color w:val="auto"/>
              </w:rPr>
              <w:t>$</w:t>
            </w:r>
          </w:p>
        </w:tc>
        <w:tc>
          <w:tcPr>
            <w:tcW w:w="1240" w:type="dxa"/>
            <w:vAlign w:val="bottom"/>
            <w:shd w:val="clear" w:color="auto" w:fill="E5E5E5"/>
          </w:tcPr>
          <w:p>
            <w:pPr>
              <w:jc w:val="right"/>
              <w:ind w:right="27"/>
              <w:spacing w:after="0"/>
              <w:rPr>
                <w:sz w:val="20"/>
                <w:szCs w:val="20"/>
                <w:color w:val="auto"/>
              </w:rPr>
            </w:pPr>
            <w:r>
              <w:rPr>
                <w:rFonts w:ascii="Arial" w:cs="Arial" w:eastAsia="Arial" w:hAnsi="Arial"/>
                <w:sz w:val="16"/>
                <w:szCs w:val="16"/>
                <w:color w:val="auto"/>
              </w:rPr>
              <w:t>0.51 – 0.56</w:t>
            </w:r>
          </w:p>
        </w:tc>
      </w:tr>
      <w:tr>
        <w:trPr>
          <w:trHeight w:val="217"/>
        </w:trPr>
        <w:tc>
          <w:tcPr>
            <w:tcW w:w="5420" w:type="dxa"/>
            <w:vAlign w:val="bottom"/>
          </w:tcPr>
          <w:p>
            <w:pPr>
              <w:ind w:left="20"/>
              <w:spacing w:after="0"/>
              <w:rPr>
                <w:sz w:val="20"/>
                <w:szCs w:val="20"/>
                <w:color w:val="auto"/>
              </w:rPr>
            </w:pPr>
            <w:r>
              <w:rPr>
                <w:rFonts w:ascii="Arial" w:cs="Arial" w:eastAsia="Arial" w:hAnsi="Arial"/>
                <w:sz w:val="16"/>
                <w:szCs w:val="16"/>
                <w:color w:val="auto"/>
              </w:rPr>
              <w:t>Interest rates</w:t>
            </w:r>
          </w:p>
        </w:tc>
        <w:tc>
          <w:tcPr>
            <w:tcW w:w="4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b w:val="1"/>
                <w:bCs w:val="1"/>
                <w:color w:val="auto"/>
              </w:rPr>
              <w:t>2.0% – 5.4%</w:t>
            </w:r>
          </w:p>
        </w:tc>
        <w:tc>
          <w:tcPr>
            <w:tcW w:w="4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0.03% – 3.6%</w:t>
            </w:r>
          </w:p>
        </w:tc>
        <w:tc>
          <w:tcPr>
            <w:tcW w:w="30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Arial" w:cs="Arial" w:eastAsia="Arial" w:hAnsi="Arial"/>
                <w:sz w:val="16"/>
                <w:szCs w:val="16"/>
                <w:color w:val="auto"/>
              </w:rPr>
              <w:t>0.01% – 1.5%</w:t>
            </w:r>
          </w:p>
        </w:tc>
      </w:tr>
      <w:tr>
        <w:trPr>
          <w:trHeight w:val="417"/>
        </w:trPr>
        <w:tc>
          <w:tcPr>
            <w:tcW w:w="5420" w:type="dxa"/>
            <w:vAlign w:val="bottom"/>
          </w:tcPr>
          <w:p>
            <w:pPr>
              <w:spacing w:after="0"/>
              <w:rPr>
                <w:sz w:val="20"/>
                <w:szCs w:val="20"/>
                <w:color w:val="auto"/>
              </w:rPr>
            </w:pPr>
            <w:r>
              <w:rPr>
                <w:rFonts w:ascii="Arial" w:cs="Arial" w:eastAsia="Arial" w:hAnsi="Arial"/>
                <w:sz w:val="16"/>
                <w:szCs w:val="16"/>
                <w:color w:val="auto"/>
                <w:w w:val="99"/>
              </w:rPr>
              <w:t>During fiscal year 2023, the following activity occurred under our stock plans:</w:t>
            </w: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48"/>
        </w:trPr>
        <w:tc>
          <w:tcPr>
            <w:tcW w:w="5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27"/>
              <w:spacing w:after="0"/>
              <w:rPr>
                <w:sz w:val="20"/>
                <w:szCs w:val="20"/>
                <w:color w:val="auto"/>
              </w:rPr>
            </w:pPr>
            <w:r>
              <w:rPr>
                <w:rFonts w:ascii="Arial" w:cs="Arial" w:eastAsia="Arial" w:hAnsi="Arial"/>
                <w:sz w:val="12"/>
                <w:szCs w:val="12"/>
                <w:b w:val="1"/>
                <w:bCs w:val="1"/>
                <w:color w:val="auto"/>
              </w:rPr>
              <w:t>Weighted Average</w:t>
            </w:r>
          </w:p>
        </w:tc>
      </w:tr>
      <w:tr>
        <w:trPr>
          <w:trHeight w:val="156"/>
        </w:trPr>
        <w:tc>
          <w:tcPr>
            <w:tcW w:w="5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jc w:val="right"/>
              <w:ind w:right="27"/>
              <w:spacing w:after="0"/>
              <w:rPr>
                <w:sz w:val="20"/>
                <w:szCs w:val="20"/>
                <w:color w:val="auto"/>
              </w:rPr>
            </w:pPr>
            <w:r>
              <w:rPr>
                <w:rFonts w:ascii="Arial" w:cs="Arial" w:eastAsia="Arial" w:hAnsi="Arial"/>
                <w:sz w:val="12"/>
                <w:szCs w:val="12"/>
                <w:b w:val="1"/>
                <w:bCs w:val="1"/>
                <w:color w:val="auto"/>
              </w:rPr>
              <w:t>Grant-Date Fair</w:t>
            </w:r>
          </w:p>
        </w:tc>
      </w:tr>
      <w:tr>
        <w:trPr>
          <w:trHeight w:val="167"/>
        </w:trPr>
        <w:tc>
          <w:tcPr>
            <w:tcW w:w="5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Arial" w:cs="Arial" w:eastAsia="Arial" w:hAnsi="Arial"/>
                <w:sz w:val="12"/>
                <w:szCs w:val="12"/>
                <w:b w:val="1"/>
                <w:bCs w:val="1"/>
                <w:color w:val="auto"/>
              </w:rPr>
              <w:t>Value</w:t>
            </w:r>
          </w:p>
        </w:tc>
      </w:tr>
      <w:tr>
        <w:trPr>
          <w:trHeight w:val="348"/>
        </w:trPr>
        <w:tc>
          <w:tcPr>
            <w:tcW w:w="5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2"/>
        </w:trPr>
        <w:tc>
          <w:tcPr>
            <w:tcW w:w="5420" w:type="dxa"/>
            <w:vAlign w:val="bottom"/>
          </w:tcPr>
          <w:p>
            <w:pPr>
              <w:ind w:left="20"/>
              <w:spacing w:after="0"/>
              <w:rPr>
                <w:sz w:val="20"/>
                <w:szCs w:val="20"/>
                <w:color w:val="auto"/>
              </w:rPr>
            </w:pPr>
            <w:r>
              <w:rPr>
                <w:rFonts w:ascii="Arial" w:cs="Arial" w:eastAsia="Arial" w:hAnsi="Arial"/>
                <w:sz w:val="12"/>
                <w:szCs w:val="12"/>
                <w:b w:val="1"/>
                <w:bCs w:val="1"/>
                <w:color w:val="auto"/>
              </w:rPr>
              <w:t>Stock Awards</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76"/>
        </w:trPr>
        <w:tc>
          <w:tcPr>
            <w:tcW w:w="5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04"/>
        </w:trPr>
        <w:tc>
          <w:tcPr>
            <w:tcW w:w="5420" w:type="dxa"/>
            <w:vAlign w:val="bottom"/>
            <w:shd w:val="clear" w:color="auto" w:fill="E5E5E5"/>
          </w:tcPr>
          <w:p>
            <w:pPr>
              <w:ind w:left="20"/>
              <w:spacing w:after="0"/>
              <w:rPr>
                <w:sz w:val="20"/>
                <w:szCs w:val="20"/>
                <w:color w:val="auto"/>
              </w:rPr>
            </w:pPr>
            <w:r>
              <w:rPr>
                <w:rFonts w:ascii="Arial" w:cs="Arial" w:eastAsia="Arial" w:hAnsi="Arial"/>
                <w:sz w:val="16"/>
                <w:szCs w:val="16"/>
                <w:color w:val="auto"/>
              </w:rPr>
              <w:t>Nonvested balance, beginning of year</w:t>
            </w:r>
          </w:p>
        </w:tc>
        <w:tc>
          <w:tcPr>
            <w:tcW w:w="46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E5E5E5"/>
          </w:tcPr>
          <w:p>
            <w:pPr>
              <w:jc w:val="right"/>
              <w:ind w:right="27"/>
              <w:spacing w:after="0"/>
              <w:rPr>
                <w:sz w:val="20"/>
                <w:szCs w:val="20"/>
                <w:color w:val="auto"/>
              </w:rPr>
            </w:pPr>
            <w:r>
              <w:rPr>
                <w:rFonts w:ascii="Arial" w:cs="Arial" w:eastAsia="Arial" w:hAnsi="Arial"/>
                <w:sz w:val="16"/>
                <w:szCs w:val="16"/>
                <w:b w:val="1"/>
                <w:bCs w:val="1"/>
                <w:color w:val="auto"/>
              </w:rPr>
              <w:t>227.59</w:t>
            </w:r>
          </w:p>
        </w:tc>
      </w:tr>
      <w:tr>
        <w:trPr>
          <w:trHeight w:val="204"/>
        </w:trPr>
        <w:tc>
          <w:tcPr>
            <w:tcW w:w="5420" w:type="dxa"/>
            <w:vAlign w:val="bottom"/>
          </w:tcPr>
          <w:p>
            <w:pPr>
              <w:ind w:left="220"/>
              <w:spacing w:after="0" w:line="204" w:lineRule="exact"/>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ind w:right="27"/>
              <w:spacing w:after="0"/>
              <w:rPr>
                <w:sz w:val="20"/>
                <w:szCs w:val="20"/>
                <w:color w:val="auto"/>
              </w:rPr>
            </w:pPr>
            <w:r>
              <w:rPr>
                <w:rFonts w:ascii="Arial" w:cs="Arial" w:eastAsia="Arial" w:hAnsi="Arial"/>
                <w:sz w:val="16"/>
                <w:szCs w:val="16"/>
                <w:b w:val="1"/>
                <w:bCs w:val="1"/>
                <w:color w:val="auto"/>
              </w:rPr>
              <w:t>252.59</w:t>
            </w:r>
          </w:p>
        </w:tc>
      </w:tr>
      <w:tr>
        <w:trPr>
          <w:trHeight w:val="204"/>
        </w:trPr>
        <w:tc>
          <w:tcPr>
            <w:tcW w:w="54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Vested</w:t>
            </w:r>
          </w:p>
        </w:tc>
        <w:tc>
          <w:tcPr>
            <w:tcW w:w="46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500" w:type="dxa"/>
            <w:vAlign w:val="bottom"/>
            <w:gridSpan w:val="2"/>
            <w:shd w:val="clear" w:color="auto" w:fill="E5E5E5"/>
          </w:tcPr>
          <w:p>
            <w:pPr>
              <w:jc w:val="right"/>
              <w:ind w:right="60"/>
              <w:spacing w:after="0"/>
              <w:rPr>
                <w:sz w:val="20"/>
                <w:szCs w:val="20"/>
                <w:color w:val="auto"/>
              </w:rPr>
            </w:pPr>
            <w:r>
              <w:rPr>
                <w:rFonts w:ascii="Arial" w:cs="Arial" w:eastAsia="Arial" w:hAnsi="Arial"/>
                <w:sz w:val="16"/>
                <w:szCs w:val="16"/>
                <w:b w:val="1"/>
                <w:bCs w:val="1"/>
                <w:color w:val="auto"/>
              </w:rPr>
              <w:t>(44)</w:t>
            </w:r>
          </w:p>
        </w:tc>
        <w:tc>
          <w:tcPr>
            <w:tcW w:w="300" w:type="dxa"/>
            <w:vAlign w:val="bottom"/>
            <w:shd w:val="clear" w:color="auto" w:fill="E5E5E5"/>
          </w:tcPr>
          <w:p>
            <w:pPr>
              <w:spacing w:after="0"/>
              <w:rPr>
                <w:sz w:val="17"/>
                <w:szCs w:val="17"/>
                <w:color w:val="auto"/>
              </w:rPr>
            </w:pPr>
          </w:p>
        </w:tc>
        <w:tc>
          <w:tcPr>
            <w:tcW w:w="1240" w:type="dxa"/>
            <w:vAlign w:val="bottom"/>
            <w:shd w:val="clear" w:color="auto" w:fill="E5E5E5"/>
          </w:tcPr>
          <w:p>
            <w:pPr>
              <w:jc w:val="right"/>
              <w:ind w:right="27"/>
              <w:spacing w:after="0"/>
              <w:rPr>
                <w:sz w:val="20"/>
                <w:szCs w:val="20"/>
                <w:color w:val="auto"/>
              </w:rPr>
            </w:pPr>
            <w:r>
              <w:rPr>
                <w:rFonts w:ascii="Arial" w:cs="Arial" w:eastAsia="Arial" w:hAnsi="Arial"/>
                <w:sz w:val="16"/>
                <w:szCs w:val="16"/>
                <w:b w:val="1"/>
                <w:bCs w:val="1"/>
                <w:color w:val="auto"/>
              </w:rPr>
              <w:t>206.90</w:t>
            </w:r>
          </w:p>
        </w:tc>
      </w:tr>
      <w:tr>
        <w:trPr>
          <w:trHeight w:val="217"/>
        </w:trPr>
        <w:tc>
          <w:tcPr>
            <w:tcW w:w="542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(9)</w:t>
            </w:r>
          </w:p>
        </w:tc>
        <w:tc>
          <w:tcPr>
            <w:tcW w:w="300" w:type="dxa"/>
            <w:vAlign w:val="bottom"/>
          </w:tcPr>
          <w:p>
            <w:pPr>
              <w:spacing w:after="0"/>
              <w:rPr>
                <w:sz w:val="18"/>
                <w:szCs w:val="18"/>
                <w:color w:val="auto"/>
              </w:rPr>
            </w:pPr>
          </w:p>
        </w:tc>
        <w:tc>
          <w:tcPr>
            <w:tcW w:w="1240" w:type="dxa"/>
            <w:vAlign w:val="bottom"/>
          </w:tcPr>
          <w:p>
            <w:pPr>
              <w:jc w:val="right"/>
              <w:ind w:right="27"/>
              <w:spacing w:after="0"/>
              <w:rPr>
                <w:sz w:val="20"/>
                <w:szCs w:val="20"/>
                <w:color w:val="auto"/>
              </w:rPr>
            </w:pPr>
            <w:r>
              <w:rPr>
                <w:rFonts w:ascii="Arial" w:cs="Arial" w:eastAsia="Arial" w:hAnsi="Arial"/>
                <w:sz w:val="16"/>
                <w:szCs w:val="16"/>
                <w:b w:val="1"/>
                <w:bCs w:val="1"/>
                <w:color w:val="auto"/>
              </w:rPr>
              <w:t>239.93</w:t>
            </w:r>
          </w:p>
        </w:tc>
      </w:tr>
      <w:tr>
        <w:trPr>
          <w:trHeight w:val="131"/>
        </w:trPr>
        <w:tc>
          <w:tcPr>
            <w:tcW w:w="5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04"/>
        </w:trPr>
        <w:tc>
          <w:tcPr>
            <w:tcW w:w="5420" w:type="dxa"/>
            <w:vAlign w:val="bottom"/>
            <w:shd w:val="clear" w:color="auto" w:fill="E5E5E5"/>
          </w:tcPr>
          <w:p>
            <w:pPr>
              <w:ind w:left="20"/>
              <w:spacing w:after="0"/>
              <w:rPr>
                <w:sz w:val="20"/>
                <w:szCs w:val="20"/>
                <w:color w:val="auto"/>
              </w:rPr>
            </w:pPr>
            <w:r>
              <w:rPr>
                <w:rFonts w:ascii="Arial" w:cs="Arial" w:eastAsia="Arial" w:hAnsi="Arial"/>
                <w:sz w:val="16"/>
                <w:szCs w:val="16"/>
                <w:color w:val="auto"/>
              </w:rPr>
              <w:t>Nonvested balance, end of year</w:t>
            </w:r>
          </w:p>
        </w:tc>
        <w:tc>
          <w:tcPr>
            <w:tcW w:w="460" w:type="dxa"/>
            <w:vAlign w:val="bottom"/>
            <w:shd w:val="clear" w:color="auto" w:fill="E5E5E5"/>
          </w:tcPr>
          <w:p>
            <w:pPr>
              <w:spacing w:after="0"/>
              <w:rPr>
                <w:sz w:val="17"/>
                <w:szCs w:val="17"/>
                <w:color w:val="auto"/>
              </w:rPr>
            </w:pPr>
          </w:p>
        </w:tc>
        <w:tc>
          <w:tcPr>
            <w:tcW w:w="12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13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96</w:t>
            </w:r>
          </w:p>
        </w:tc>
        <w:tc>
          <w:tcPr>
            <w:tcW w:w="12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22"/>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E5E5E5"/>
          </w:tcPr>
          <w:p>
            <w:pPr>
              <w:jc w:val="right"/>
              <w:ind w:right="27"/>
              <w:spacing w:after="0"/>
              <w:rPr>
                <w:sz w:val="20"/>
                <w:szCs w:val="20"/>
                <w:color w:val="auto"/>
              </w:rPr>
            </w:pPr>
            <w:r>
              <w:rPr>
                <w:rFonts w:ascii="Arial" w:cs="Arial" w:eastAsia="Arial" w:hAnsi="Arial"/>
                <w:sz w:val="16"/>
                <w:szCs w:val="16"/>
                <w:b w:val="1"/>
                <w:bCs w:val="1"/>
                <w:color w:val="auto"/>
              </w:rPr>
              <w:t>250.37</w:t>
            </w:r>
          </w:p>
        </w:tc>
      </w:tr>
      <w:tr>
        <w:trPr>
          <w:trHeight w:val="76"/>
        </w:trPr>
        <w:tc>
          <w:tcPr>
            <w:tcW w:w="5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-73025</wp:posOffset>
            </wp:positionV>
            <wp:extent cx="93980" cy="863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6360"/>
                    </a:xfrm>
                    <a:prstGeom prst="rect">
                      <a:avLst/>
                    </a:prstGeom>
                    <a:noFill/>
                  </pic:spPr>
                </pic:pic>
              </a:graphicData>
            </a:graphic>
          </wp:anchor>
        </w:drawing>
      </w:r>
    </w:p>
    <w:p>
      <w:pPr>
        <w:spacing w:after="0" w:line="13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Includes 1 million, 1 million, and 2 million of PSUs granted at target and performance adjustments above target levels for fiscal years 2023, 2022, and</w:t>
      </w:r>
      <w:r>
        <w:rPr>
          <w:rFonts w:ascii="Arial" w:cs="Arial" w:eastAsia="Arial" w:hAnsi="Arial"/>
          <w:sz w:val="16"/>
          <w:szCs w:val="16"/>
          <w:color w:val="auto"/>
        </w:rPr>
        <w:t xml:space="preserve"> </w:t>
      </w:r>
      <w:r>
        <w:rPr>
          <w:rFonts w:ascii="Arial" w:cs="Arial" w:eastAsia="Arial" w:hAnsi="Arial"/>
          <w:sz w:val="16"/>
          <w:szCs w:val="16"/>
          <w:i w:val="1"/>
          <w:iCs w:val="1"/>
          <w:color w:val="auto"/>
        </w:rPr>
        <w:t>2021, respectively.</w:t>
      </w:r>
    </w:p>
    <w:p>
      <w:pPr>
        <w:spacing w:after="0" w:line="137"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As of June 30, 2023, total unrecognized compensation costs related to stock awards were $18.6 billion. These costs are expected to be recognized over a weighted average period of three years. The weighted average grant-date fair value of stock awards granted was $252.59, $291.22, and $221.13 for fiscal years 2023, 2022, and 2021, respectively. The fair value of stock awards vested was $11.9 billion, $14.1 billion, and $13.4 billion, for fiscal years 2023, 2022, and 2021, respectively. As of June 30, 2023, an aggregate of 164 million shares were authorized for future grant under our stock plans.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48"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We have an ESPP for all eligible employees. Shares of our common stock may be purchased by employees at three-month intervals at 90% of the fair market value on the last trading day of each three-month period. Employees may purchase shares having a value not exceeding 15% of their gross compensation during an offering period.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Employees purchased the following shares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0" w:type="dxa"/>
            <w:vAlign w:val="bottom"/>
          </w:tcPr>
          <w:p>
            <w:pPr>
              <w:ind w:left="20"/>
              <w:spacing w:after="0"/>
              <w:rPr>
                <w:sz w:val="20"/>
                <w:szCs w:val="20"/>
                <w:color w:val="auto"/>
              </w:rPr>
            </w:pPr>
            <w:r>
              <w:rPr>
                <w:rFonts w:ascii="Arial" w:cs="Arial" w:eastAsia="Arial" w:hAnsi="Arial"/>
                <w:sz w:val="12"/>
                <w:szCs w:val="12"/>
                <w:b w:val="1"/>
                <w:bCs w:val="1"/>
                <w:color w:val="auto"/>
              </w:rPr>
              <w:t>(Shares in millions)</w:t>
            </w:r>
          </w:p>
        </w:tc>
        <w:tc>
          <w:tcPr>
            <w:tcW w:w="3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24"/>
        </w:trPr>
        <w:tc>
          <w:tcPr>
            <w:tcW w:w="460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14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Arial" w:cs="Arial" w:eastAsia="Arial" w:hAnsi="Arial"/>
                <w:sz w:val="12"/>
                <w:szCs w:val="12"/>
                <w:b w:val="1"/>
                <w:bCs w:val="1"/>
                <w:color w:val="auto"/>
              </w:rPr>
              <w:t>2023</w:t>
            </w:r>
          </w:p>
        </w:tc>
        <w:tc>
          <w:tcPr>
            <w:tcW w:w="34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2"/>
                <w:szCs w:val="12"/>
                <w:b w:val="1"/>
                <w:bCs w:val="1"/>
                <w:color w:val="auto"/>
              </w:rPr>
              <w:t>2022</w:t>
            </w:r>
          </w:p>
        </w:tc>
        <w:tc>
          <w:tcPr>
            <w:tcW w:w="3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2"/>
                <w:szCs w:val="12"/>
                <w:b w:val="1"/>
                <w:bCs w:val="1"/>
                <w:color w:val="auto"/>
              </w:rPr>
              <w:t>2021</w:t>
            </w:r>
          </w:p>
        </w:tc>
      </w:tr>
      <w:tr>
        <w:trPr>
          <w:trHeight w:val="76"/>
        </w:trPr>
        <w:tc>
          <w:tcPr>
            <w:tcW w:w="4600" w:type="dxa"/>
            <w:vAlign w:val="bottom"/>
          </w:tcPr>
          <w:p>
            <w:pPr>
              <w:spacing w:after="0"/>
              <w:rPr>
                <w:sz w:val="6"/>
                <w:szCs w:val="6"/>
                <w:color w:val="auto"/>
              </w:rPr>
            </w:pPr>
          </w:p>
        </w:tc>
        <w:tc>
          <w:tcPr>
            <w:tcW w:w="3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204"/>
        </w:trPr>
        <w:tc>
          <w:tcPr>
            <w:tcW w:w="4600" w:type="dxa"/>
            <w:vAlign w:val="bottom"/>
            <w:shd w:val="clear" w:color="auto" w:fill="E5E5E5"/>
          </w:tcPr>
          <w:p>
            <w:pPr>
              <w:ind w:left="20"/>
              <w:spacing w:after="0"/>
              <w:rPr>
                <w:sz w:val="20"/>
                <w:szCs w:val="20"/>
                <w:color w:val="auto"/>
              </w:rPr>
            </w:pPr>
            <w:r>
              <w:rPr>
                <w:rFonts w:ascii="Arial" w:cs="Arial" w:eastAsia="Arial" w:hAnsi="Arial"/>
                <w:sz w:val="16"/>
                <w:szCs w:val="16"/>
                <w:color w:val="auto"/>
              </w:rPr>
              <w:t>Shares purchased</w:t>
            </w:r>
          </w:p>
        </w:tc>
        <w:tc>
          <w:tcPr>
            <w:tcW w:w="3140" w:type="dxa"/>
            <w:vAlign w:val="bottom"/>
            <w:shd w:val="clear" w:color="auto" w:fill="E5E5E5"/>
          </w:tcPr>
          <w:p>
            <w:pPr>
              <w:spacing w:after="0"/>
              <w:rPr>
                <w:sz w:val="17"/>
                <w:szCs w:val="17"/>
                <w:color w:val="auto"/>
              </w:rPr>
            </w:pPr>
          </w:p>
        </w:tc>
        <w:tc>
          <w:tcPr>
            <w:tcW w:w="740" w:type="dxa"/>
            <w:vAlign w:val="bottom"/>
            <w:shd w:val="clear" w:color="auto" w:fill="E5E5E5"/>
          </w:tcPr>
          <w:p>
            <w:pPr>
              <w:jc w:val="right"/>
              <w:ind w:right="48"/>
              <w:spacing w:after="0"/>
              <w:rPr>
                <w:sz w:val="20"/>
                <w:szCs w:val="20"/>
                <w:color w:val="auto"/>
              </w:rPr>
            </w:pPr>
            <w:r>
              <w:rPr>
                <w:rFonts w:ascii="Arial" w:cs="Arial" w:eastAsia="Arial" w:hAnsi="Arial"/>
                <w:sz w:val="16"/>
                <w:szCs w:val="16"/>
                <w:b w:val="1"/>
                <w:bCs w:val="1"/>
                <w:color w:val="auto"/>
              </w:rPr>
              <w:t>7</w:t>
            </w:r>
          </w:p>
        </w:tc>
        <w:tc>
          <w:tcPr>
            <w:tcW w:w="340" w:type="dxa"/>
            <w:vAlign w:val="bottom"/>
            <w:shd w:val="clear" w:color="auto" w:fill="E5E5E5"/>
          </w:tcPr>
          <w:p>
            <w:pPr>
              <w:spacing w:after="0"/>
              <w:rPr>
                <w:sz w:val="17"/>
                <w:szCs w:val="17"/>
                <w:color w:val="auto"/>
              </w:rPr>
            </w:pPr>
          </w:p>
        </w:tc>
        <w:tc>
          <w:tcPr>
            <w:tcW w:w="720" w:type="dxa"/>
            <w:vAlign w:val="bottom"/>
            <w:shd w:val="clear" w:color="auto" w:fill="E5E5E5"/>
          </w:tcPr>
          <w:p>
            <w:pPr>
              <w:jc w:val="right"/>
              <w:ind w:right="28"/>
              <w:spacing w:after="0"/>
              <w:rPr>
                <w:sz w:val="20"/>
                <w:szCs w:val="20"/>
                <w:color w:val="auto"/>
              </w:rPr>
            </w:pPr>
            <w:r>
              <w:rPr>
                <w:rFonts w:ascii="Arial" w:cs="Arial" w:eastAsia="Arial" w:hAnsi="Arial"/>
                <w:sz w:val="16"/>
                <w:szCs w:val="16"/>
                <w:color w:val="auto"/>
              </w:rPr>
              <w:t>7</w:t>
            </w:r>
          </w:p>
        </w:tc>
        <w:tc>
          <w:tcPr>
            <w:tcW w:w="320" w:type="dxa"/>
            <w:vAlign w:val="bottom"/>
            <w:shd w:val="clear" w:color="auto" w:fill="E5E5E5"/>
          </w:tcPr>
          <w:p>
            <w:pPr>
              <w:spacing w:after="0"/>
              <w:rPr>
                <w:sz w:val="17"/>
                <w:szCs w:val="17"/>
                <w:color w:val="auto"/>
              </w:rPr>
            </w:pPr>
          </w:p>
        </w:tc>
        <w:tc>
          <w:tcPr>
            <w:tcW w:w="700" w:type="dxa"/>
            <w:vAlign w:val="bottom"/>
            <w:shd w:val="clear" w:color="auto" w:fill="E5E5E5"/>
          </w:tcPr>
          <w:p>
            <w:pPr>
              <w:jc w:val="right"/>
              <w:ind w:right="28"/>
              <w:spacing w:after="0"/>
              <w:rPr>
                <w:sz w:val="20"/>
                <w:szCs w:val="20"/>
                <w:color w:val="auto"/>
              </w:rPr>
            </w:pPr>
            <w:r>
              <w:rPr>
                <w:rFonts w:ascii="Arial" w:cs="Arial" w:eastAsia="Arial" w:hAnsi="Arial"/>
                <w:sz w:val="16"/>
                <w:szCs w:val="16"/>
                <w:color w:val="auto"/>
              </w:rPr>
              <w:t>8</w:t>
            </w:r>
          </w:p>
        </w:tc>
      </w:tr>
      <w:tr>
        <w:trPr>
          <w:trHeight w:val="217"/>
        </w:trPr>
        <w:tc>
          <w:tcPr>
            <w:tcW w:w="4600" w:type="dxa"/>
            <w:vAlign w:val="bottom"/>
          </w:tcPr>
          <w:p>
            <w:pPr>
              <w:ind w:left="20"/>
              <w:spacing w:after="0"/>
              <w:rPr>
                <w:sz w:val="20"/>
                <w:szCs w:val="20"/>
                <w:color w:val="auto"/>
              </w:rPr>
            </w:pPr>
            <w:r>
              <w:rPr>
                <w:rFonts w:ascii="Arial" w:cs="Arial" w:eastAsia="Arial" w:hAnsi="Arial"/>
                <w:sz w:val="16"/>
                <w:szCs w:val="16"/>
                <w:color w:val="auto"/>
              </w:rPr>
              <w:t>Average price per share</w:t>
            </w:r>
          </w:p>
        </w:tc>
        <w:tc>
          <w:tcPr>
            <w:tcW w:w="31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48"/>
              <w:spacing w:after="0"/>
              <w:rPr>
                <w:sz w:val="20"/>
                <w:szCs w:val="20"/>
                <w:color w:val="auto"/>
              </w:rPr>
            </w:pPr>
            <w:r>
              <w:rPr>
                <w:rFonts w:ascii="Arial" w:cs="Arial" w:eastAsia="Arial" w:hAnsi="Arial"/>
                <w:sz w:val="16"/>
                <w:szCs w:val="16"/>
                <w:b w:val="1"/>
                <w:bCs w:val="1"/>
                <w:color w:val="auto"/>
              </w:rPr>
              <w:t>245.59</w:t>
            </w:r>
          </w:p>
        </w:tc>
        <w:tc>
          <w:tcPr>
            <w:tcW w:w="3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8"/>
              <w:spacing w:after="0"/>
              <w:rPr>
                <w:sz w:val="20"/>
                <w:szCs w:val="20"/>
                <w:color w:val="auto"/>
              </w:rPr>
            </w:pPr>
            <w:r>
              <w:rPr>
                <w:rFonts w:ascii="Arial" w:cs="Arial" w:eastAsia="Arial" w:hAnsi="Arial"/>
                <w:sz w:val="16"/>
                <w:szCs w:val="16"/>
                <w:color w:val="auto"/>
              </w:rPr>
              <w:t>259.55</w:t>
            </w:r>
          </w:p>
        </w:tc>
        <w:tc>
          <w:tcPr>
            <w:tcW w:w="3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8"/>
              <w:spacing w:after="0"/>
              <w:rPr>
                <w:sz w:val="20"/>
                <w:szCs w:val="20"/>
                <w:color w:val="auto"/>
              </w:rPr>
            </w:pPr>
            <w:r>
              <w:rPr>
                <w:rFonts w:ascii="Arial" w:cs="Arial" w:eastAsia="Arial" w:hAnsi="Arial"/>
                <w:sz w:val="16"/>
                <w:szCs w:val="16"/>
                <w:color w:val="auto"/>
              </w:rPr>
              <w:t>207.88</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74 million shares of our common stock were reserved for future issuance through the ESPP.</w:t>
      </w:r>
    </w:p>
    <w:p>
      <w:pPr>
        <w:spacing w:after="0" w:line="188"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41910</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2" w:name="page93"/>
    <w:bookmarkEnd w:id="92"/>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Savings Plans</w:t>
      </w:r>
    </w:p>
    <w:p>
      <w:pPr>
        <w:spacing w:after="0" w:line="148" w:lineRule="exact"/>
        <w:rPr>
          <w:sz w:val="20"/>
          <w:szCs w:val="20"/>
          <w:color w:val="auto"/>
        </w:rPr>
      </w:pPr>
    </w:p>
    <w:p>
      <w:pPr>
        <w:ind w:right="360"/>
        <w:spacing w:after="0"/>
        <w:rPr>
          <w:sz w:val="20"/>
          <w:szCs w:val="20"/>
          <w:color w:val="auto"/>
        </w:rPr>
      </w:pPr>
      <w:r>
        <w:rPr>
          <w:rFonts w:ascii="Arial" w:cs="Arial" w:eastAsia="Arial" w:hAnsi="Arial"/>
          <w:sz w:val="16"/>
          <w:szCs w:val="16"/>
          <w:color w:val="auto"/>
        </w:rPr>
        <w:t>We have savings plans in the U.S. that qualify under Section 401(k) of the Internal Revenue Code, and a number of savings plans in international locations. Eligible U.S. employees may contribute a portion of their salary into the savings plans, subject to certain limitations. We match a portion of each dollar a participant contributes into the plans. Employer-funded retirement benefits for all plans were $1.6 billion, $1.4 billion, and $1.2 billion in fiscal years 2023, 2022, and 2021, respectively, and were expensed as contributed.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NOTE 19 — SEGMENT INFORMATION AND GEOGRAPHIC DATA</w:t>
      </w:r>
    </w:p>
    <w:p>
      <w:pPr>
        <w:spacing w:after="0" w:line="140"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We have recast certain prior period amounts to conform to the way we internally manage and monitor our business.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Our reportable segments are described below.</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Productivity and Business Processes</w:t>
      </w:r>
    </w:p>
    <w:p>
      <w:pPr>
        <w:spacing w:after="0" w:line="148"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Our Productivity and Business Processes segment consists of products and services in our portfolio of productivity, communication, and information services, spanning a variety of devices and platforms. This segment primarily comprises:</w:t>
      </w:r>
    </w:p>
    <w:p>
      <w:pPr>
        <w:spacing w:after="0" w:line="46" w:lineRule="exact"/>
        <w:rPr>
          <w:sz w:val="20"/>
          <w:szCs w:val="20"/>
          <w:color w:val="auto"/>
        </w:rPr>
      </w:pPr>
    </w:p>
    <w:p>
      <w:pPr>
        <w:ind w:left="600" w:right="140"/>
        <w:spacing w:after="0" w:line="243" w:lineRule="auto"/>
        <w:rPr>
          <w:sz w:val="20"/>
          <w:szCs w:val="20"/>
          <w:color w:val="auto"/>
        </w:rPr>
      </w:pPr>
      <w:r>
        <w:rPr>
          <w:rFonts w:ascii="Arial" w:cs="Arial" w:eastAsia="Arial" w:hAnsi="Arial"/>
          <w:sz w:val="16"/>
          <w:szCs w:val="16"/>
          <w:color w:val="auto"/>
        </w:rPr>
        <w:t>•Office Commercial (Office 365 subscriptions, the Office 365 portion of Microsoft 365 Commercial subscriptions, and Office licensed on-premises), comprising Office, Exchange, SharePoint, Microsoft Teams, Office 365 Security and Compliance, Microsoft Viva, and Microsoft 365 Copilot.</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•Office Consumer, including Microsoft 365 Consumer subscriptions, Office licensed on-premises, and other Office services.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•LinkedIn, including Talent Solutions, Marketing Solutions, Premium Subscriptions, and Sales Solutions.</w:t>
      </w:r>
    </w:p>
    <w:p>
      <w:pPr>
        <w:spacing w:after="0" w:line="68" w:lineRule="exact"/>
        <w:rPr>
          <w:sz w:val="20"/>
          <w:szCs w:val="20"/>
          <w:color w:val="auto"/>
        </w:rPr>
      </w:pPr>
    </w:p>
    <w:p>
      <w:pPr>
        <w:ind w:left="600" w:right="240"/>
        <w:spacing w:after="0" w:line="252" w:lineRule="auto"/>
        <w:rPr>
          <w:sz w:val="20"/>
          <w:szCs w:val="20"/>
          <w:color w:val="auto"/>
        </w:rPr>
      </w:pPr>
      <w:r>
        <w:rPr>
          <w:rFonts w:ascii="Arial" w:cs="Arial" w:eastAsia="Arial" w:hAnsi="Arial"/>
          <w:sz w:val="16"/>
          <w:szCs w:val="16"/>
          <w:color w:val="auto"/>
        </w:rPr>
        <w:t>•Dynamics business solutions, including Dynamics 365, comprising a set of intelligent, cloud-based applications across ERP, CRM (including Customer Insights), Power Apps, and Power Automate; and on-premises ERP and CRM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Intelligent Cloud</w:t>
      </w:r>
    </w:p>
    <w:p>
      <w:pPr>
        <w:spacing w:after="0" w:line="148"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Our Intelligent Cloud segment consists of our public, private, and hybrid server products and cloud services that can power modern business and developers. This segment primarily comprises:</w:t>
      </w:r>
    </w:p>
    <w:p>
      <w:pPr>
        <w:spacing w:after="0" w:line="46" w:lineRule="exact"/>
        <w:rPr>
          <w:sz w:val="20"/>
          <w:szCs w:val="20"/>
          <w:color w:val="auto"/>
        </w:rPr>
      </w:pPr>
    </w:p>
    <w:p>
      <w:pPr>
        <w:ind w:left="600"/>
        <w:spacing w:after="0" w:line="252" w:lineRule="auto"/>
        <w:rPr>
          <w:sz w:val="20"/>
          <w:szCs w:val="20"/>
          <w:color w:val="auto"/>
        </w:rPr>
      </w:pPr>
      <w:r>
        <w:rPr>
          <w:rFonts w:ascii="Arial" w:cs="Arial" w:eastAsia="Arial" w:hAnsi="Arial"/>
          <w:sz w:val="16"/>
          <w:szCs w:val="16"/>
          <w:color w:val="auto"/>
        </w:rPr>
        <w:t>•Server products and cloud services, including Azure and other cloud services; SQL Server, Windows Server, Visual Studio, System Center, and related Client Access Licenses (“CALs”); and Nuance and GitHub.</w:t>
      </w:r>
    </w:p>
    <w:p>
      <w:pPr>
        <w:spacing w:after="0" w:line="46" w:lineRule="exact"/>
        <w:rPr>
          <w:sz w:val="20"/>
          <w:szCs w:val="20"/>
          <w:color w:val="auto"/>
        </w:rPr>
      </w:pPr>
    </w:p>
    <w:p>
      <w:pPr>
        <w:ind w:left="600" w:right="800"/>
        <w:spacing w:after="0" w:line="252" w:lineRule="auto"/>
        <w:rPr>
          <w:sz w:val="20"/>
          <w:szCs w:val="20"/>
          <w:color w:val="auto"/>
        </w:rPr>
      </w:pPr>
      <w:r>
        <w:rPr>
          <w:rFonts w:ascii="Arial" w:cs="Arial" w:eastAsia="Arial" w:hAnsi="Arial"/>
          <w:sz w:val="16"/>
          <w:szCs w:val="16"/>
          <w:color w:val="auto"/>
        </w:rPr>
        <w:t>•Enterprise Services, including Enterprise Support Services, Industry Solutions (formerly Microsoft Consulting Services), and Nuance professional services.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More Personal Computing</w:t>
      </w:r>
    </w:p>
    <w:p>
      <w:pPr>
        <w:spacing w:after="0" w:line="148"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Our More Personal Computing segment consists of products and services that put customers at the center of the experience with our technology. This segment primarily comprises:</w:t>
      </w:r>
    </w:p>
    <w:p>
      <w:pPr>
        <w:spacing w:after="0" w:line="46" w:lineRule="exact"/>
        <w:rPr>
          <w:sz w:val="20"/>
          <w:szCs w:val="20"/>
          <w:color w:val="auto"/>
        </w:rPr>
      </w:pPr>
    </w:p>
    <w:p>
      <w:pPr>
        <w:ind w:left="600" w:right="500"/>
        <w:spacing w:after="0" w:line="243" w:lineRule="auto"/>
        <w:rPr>
          <w:sz w:val="20"/>
          <w:szCs w:val="20"/>
          <w:color w:val="auto"/>
        </w:rPr>
      </w:pPr>
      <w:r>
        <w:rPr>
          <w:rFonts w:ascii="Arial" w:cs="Arial" w:eastAsia="Arial" w:hAnsi="Arial"/>
          <w:sz w:val="16"/>
          <w:szCs w:val="16"/>
          <w:color w:val="auto"/>
        </w:rPr>
        <w:t>•Windows, including Windows OEM licensing and other non-volume licensing of the Windows operating system; Windows Commercial, comprising volume licensing of the Windows operating system, Windows cloud services, and other Windows commercial offerings; patent licensing; and Windows Internet of Things.</w:t>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•Devices, including Surface, HoloLens, and PC accessories.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Item 8</w:t>
      </w:r>
    </w:p>
    <w:p>
      <w:pPr>
        <w:spacing w:after="0" w:line="248" w:lineRule="exact"/>
        <w:rPr>
          <w:sz w:val="20"/>
          <w:szCs w:val="20"/>
          <w:color w:val="auto"/>
        </w:rPr>
      </w:pPr>
    </w:p>
    <w:p>
      <w:pPr>
        <w:ind w:left="600" w:right="460"/>
        <w:spacing w:after="0" w:line="322" w:lineRule="auto"/>
        <w:rPr>
          <w:sz w:val="20"/>
          <w:szCs w:val="20"/>
          <w:color w:val="auto"/>
        </w:rPr>
      </w:pPr>
      <w:r>
        <w:rPr>
          <w:rFonts w:ascii="Arial" w:cs="Arial" w:eastAsia="Arial" w:hAnsi="Arial"/>
          <w:sz w:val="14"/>
          <w:szCs w:val="14"/>
          <w:color w:val="auto"/>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ind w:left="600"/>
        <w:spacing w:after="0"/>
        <w:rPr>
          <w:sz w:val="20"/>
          <w:szCs w:val="20"/>
          <w:color w:val="auto"/>
        </w:rPr>
      </w:pPr>
      <w:r>
        <w:rPr>
          <w:rFonts w:ascii="Arial" w:cs="Arial" w:eastAsia="Arial" w:hAnsi="Arial"/>
          <w:sz w:val="16"/>
          <w:szCs w:val="16"/>
          <w:color w:val="auto"/>
        </w:rPr>
        <w:t>•Search and news advertising, comprising Bing (including Bing Chat), Microsoft News, Microsoft Edge, and third-party affiliates.</w:t>
      </w:r>
    </w:p>
    <w:p>
      <w:pPr>
        <w:spacing w:after="0" w:line="14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w:t>
      </w:r>
      <w:r>
        <w:rPr>
          <w:rFonts w:ascii="Arial" w:cs="Arial" w:eastAsia="Arial" w:hAnsi="Arial"/>
          <w:sz w:val="16"/>
          <w:szCs w:val="16"/>
          <w:u w:val="single" w:color="auto"/>
          <w:color w:val="auto"/>
        </w:rPr>
        <w:t>,</w:t>
      </w:r>
      <w:r>
        <w:rPr>
          <w:rFonts w:ascii="Arial" w:cs="Arial" w:eastAsia="Arial" w:hAnsi="Arial"/>
          <w:sz w:val="16"/>
          <w:szCs w:val="16"/>
          <w:color w:val="auto"/>
        </w:rPr>
        <w:t xml:space="preserve"> and severance incurred as part of a corporate program. Each allocation is measured differently based on the specific facts and circumstances of the costs being allocated and is generally based on relative gross margin or relative headcount.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Segment revenue and operating income were as follows during the periods presented: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6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 Processes</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69,274</w:t>
            </w:r>
          </w:p>
        </w:tc>
        <w:tc>
          <w:tcPr>
            <w:tcW w:w="5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63,364</w:t>
            </w:r>
          </w:p>
        </w:tc>
        <w:tc>
          <w:tcPr>
            <w:tcW w:w="4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53,915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87,907</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74,965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59,728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54,734</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59,941</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54,445</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211,915</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198,270</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168,088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8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Operating Income</w:t>
            </w: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68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6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gridSpan w:val="2"/>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gridSpan w:val="2"/>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Productivity and Business Processes</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34,189</w:t>
            </w:r>
          </w:p>
        </w:tc>
        <w:tc>
          <w:tcPr>
            <w:tcW w:w="50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29,690</w:t>
            </w:r>
          </w:p>
        </w:tc>
        <w:tc>
          <w:tcPr>
            <w:tcW w:w="48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24,351</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Intelligent Cloud</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37,884</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33,203</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26,471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More Personal Computing</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16,450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20,490</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19,094</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880" w:type="dxa"/>
            <w:vAlign w:val="bottom"/>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88,523</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83,383</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69,916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68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-949325</wp:posOffset>
            </wp:positionV>
            <wp:extent cx="93980" cy="863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-949325</wp:posOffset>
            </wp:positionV>
            <wp:extent cx="86360" cy="863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-949325</wp:posOffset>
            </wp:positionV>
            <wp:extent cx="86360" cy="863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-73025</wp:posOffset>
            </wp:positionV>
            <wp:extent cx="93980" cy="863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No sales to an individual customer or country other than the United States accounted for more than 10% of revenue for fiscal years 2023, 2022, or 2021.</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Revenue, classified by the major geographic areas in which our customers were located,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2022</w:t>
            </w:r>
          </w:p>
        </w:tc>
        <w:tc>
          <w:tcPr>
            <w:tcW w:w="3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2021</w:t>
            </w:r>
          </w:p>
        </w:tc>
      </w:tr>
      <w:tr>
        <w:trPr>
          <w:trHeight w:val="76"/>
        </w:trPr>
        <w:tc>
          <w:tcPr>
            <w:tcW w:w="6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6880" w:type="dxa"/>
            <w:vAlign w:val="bottom"/>
            <w:shd w:val="clear" w:color="auto" w:fill="E5E5E5"/>
          </w:tcPr>
          <w:p>
            <w:pPr>
              <w:ind w:left="20"/>
              <w:spacing w:after="0" w:line="204" w:lineRule="exact"/>
              <w:rPr>
                <w:sz w:val="20"/>
                <w:szCs w:val="20"/>
                <w:color w:val="auto"/>
              </w:rPr>
            </w:pPr>
            <w:r>
              <w:rPr>
                <w:rFonts w:ascii="Arial" w:cs="Arial" w:eastAsia="Arial" w:hAnsi="Arial"/>
                <w:sz w:val="16"/>
                <w:szCs w:val="16"/>
                <w:color w:val="auto"/>
              </w:rPr>
              <w:t xml:space="preserve">United States </w:t>
            </w:r>
            <w:r>
              <w:rPr>
                <w:rFonts w:ascii="Arial" w:cs="Arial" w:eastAsia="Arial" w:hAnsi="Arial"/>
                <w:sz w:val="21"/>
                <w:szCs w:val="21"/>
                <w:color w:val="auto"/>
                <w:vertAlign w:val="superscript"/>
              </w:rPr>
              <w:t>(a)</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106,744</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100,218</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83,953</w:t>
            </w:r>
          </w:p>
        </w:tc>
        <w:tc>
          <w:tcPr>
            <w:tcW w:w="80" w:type="dxa"/>
            <w:vAlign w:val="bottom"/>
            <w:shd w:val="clear" w:color="auto" w:fill="E5E5E5"/>
          </w:tcPr>
          <w:p>
            <w:pPr>
              <w:spacing w:after="0"/>
              <w:rPr>
                <w:sz w:val="17"/>
                <w:szCs w:val="17"/>
                <w:color w:val="auto"/>
              </w:rPr>
            </w:pPr>
          </w:p>
        </w:tc>
      </w:tr>
      <w:tr>
        <w:trPr>
          <w:trHeight w:val="217"/>
        </w:trPr>
        <w:tc>
          <w:tcPr>
            <w:tcW w:w="6880" w:type="dxa"/>
            <w:vAlign w:val="bottom"/>
          </w:tcPr>
          <w:p>
            <w:pPr>
              <w:ind w:left="20"/>
              <w:spacing w:after="0"/>
              <w:rPr>
                <w:sz w:val="20"/>
                <w:szCs w:val="20"/>
                <w:color w:val="auto"/>
              </w:rPr>
            </w:pPr>
            <w:r>
              <w:rPr>
                <w:rFonts w:ascii="Arial" w:cs="Arial" w:eastAsia="Arial" w:hAnsi="Arial"/>
                <w:sz w:val="16"/>
                <w:szCs w:val="16"/>
                <w:color w:val="auto"/>
              </w:rPr>
              <w:t>Other countries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105,171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98,052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84,135</w:t>
            </w:r>
          </w:p>
        </w:tc>
        <w:tc>
          <w:tcPr>
            <w:tcW w:w="80" w:type="dxa"/>
            <w:vAlign w:val="bottom"/>
          </w:tcPr>
          <w:p>
            <w:pPr>
              <w:spacing w:after="0"/>
              <w:rPr>
                <w:sz w:val="18"/>
                <w:szCs w:val="18"/>
                <w:color w:val="auto"/>
              </w:rPr>
            </w:pPr>
          </w:p>
        </w:tc>
      </w:tr>
      <w:tr>
        <w:trPr>
          <w:trHeight w:val="131"/>
        </w:trPr>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68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211,915</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198,270</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168,088</w:t>
            </w:r>
          </w:p>
        </w:tc>
        <w:tc>
          <w:tcPr>
            <w:tcW w:w="80" w:type="dxa"/>
            <w:vAlign w:val="bottom"/>
            <w:shd w:val="clear" w:color="auto" w:fill="E5E5E5"/>
          </w:tcPr>
          <w:p>
            <w:pPr>
              <w:spacing w:after="0"/>
              <w:rPr>
                <w:sz w:val="17"/>
                <w:szCs w:val="17"/>
                <w:color w:val="auto"/>
              </w:rPr>
            </w:pPr>
          </w:p>
        </w:tc>
      </w:tr>
      <w:tr>
        <w:trPr>
          <w:trHeight w:val="76"/>
        </w:trPr>
        <w:tc>
          <w:tcPr>
            <w:tcW w:w="68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-73025</wp:posOffset>
            </wp:positionV>
            <wp:extent cx="93980" cy="863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207"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(a)</w:t>
      </w:r>
      <w:r>
        <w:rPr>
          <w:rFonts w:ascii="Arial" w:cs="Arial" w:eastAsia="Arial" w:hAnsi="Arial"/>
          <w:sz w:val="16"/>
          <w:szCs w:val="16"/>
          <w:i w:val="1"/>
          <w:iCs w:val="1"/>
          <w:color w:val="auto"/>
        </w:rPr>
        <w:t>Includes billings to OEMs and certain multinational organizations because of the nature of these businesses and the impracticability of determining the</w:t>
      </w:r>
      <w:r>
        <w:rPr>
          <w:rFonts w:ascii="Arial" w:cs="Arial" w:eastAsia="Arial" w:hAnsi="Arial"/>
          <w:sz w:val="16"/>
          <w:szCs w:val="16"/>
          <w:color w:val="auto"/>
        </w:rPr>
        <w:t xml:space="preserve"> </w:t>
      </w:r>
      <w:r>
        <w:rPr>
          <w:rFonts w:ascii="Arial" w:cs="Arial" w:eastAsia="Arial" w:hAnsi="Arial"/>
          <w:sz w:val="16"/>
          <w:szCs w:val="16"/>
          <w:i w:val="1"/>
          <w:iCs w:val="1"/>
          <w:color w:val="auto"/>
        </w:rPr>
        <w:t>geographic source of the revenue.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4" w:name="page95"/>
    <w:bookmarkEnd w:id="94"/>
    <w:p>
      <w:pPr>
        <w:jc w:val="center"/>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Revenue, classified by significant product and service offerings,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24"/>
        </w:trPr>
        <w:tc>
          <w:tcPr>
            <w:tcW w:w="6880" w:type="dxa"/>
            <w:vAlign w:val="bottom"/>
          </w:tcPr>
          <w:p>
            <w:pPr>
              <w:ind w:left="20"/>
              <w:spacing w:after="0"/>
              <w:rPr>
                <w:sz w:val="20"/>
                <w:szCs w:val="20"/>
                <w:color w:val="auto"/>
              </w:rPr>
            </w:pPr>
            <w:r>
              <w:rPr>
                <w:rFonts w:ascii="Arial" w:cs="Arial" w:eastAsia="Arial" w:hAnsi="Arial"/>
                <w:sz w:val="12"/>
                <w:szCs w:val="12"/>
                <w:b w:val="1"/>
                <w:bCs w:val="1"/>
                <w:color w:val="auto"/>
              </w:rPr>
              <w:t>Year Ended June 30,</w:t>
            </w:r>
          </w:p>
        </w:tc>
        <w:tc>
          <w:tcPr>
            <w:tcW w:w="3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2022</w:t>
            </w:r>
          </w:p>
        </w:tc>
        <w:tc>
          <w:tcPr>
            <w:tcW w:w="3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2021</w:t>
            </w:r>
          </w:p>
        </w:tc>
      </w:tr>
      <w:tr>
        <w:trPr>
          <w:trHeight w:val="76"/>
        </w:trPr>
        <w:tc>
          <w:tcPr>
            <w:tcW w:w="6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Server products and cloud services</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79,970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67,350</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52,589</w:t>
            </w:r>
          </w:p>
        </w:tc>
        <w:tc>
          <w:tcPr>
            <w:tcW w:w="80" w:type="dxa"/>
            <w:vAlign w:val="bottom"/>
            <w:shd w:val="clear" w:color="auto" w:fill="E5E5E5"/>
          </w:tcPr>
          <w:p>
            <w:pPr>
              <w:spacing w:after="0"/>
              <w:rPr>
                <w:sz w:val="17"/>
                <w:szCs w:val="17"/>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Office products and cloud services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48,728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44,862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39,872</w:t>
            </w:r>
          </w:p>
        </w:tc>
        <w:tc>
          <w:tcPr>
            <w:tcW w:w="80" w:type="dxa"/>
            <w:vAlign w:val="bottom"/>
          </w:tcPr>
          <w:p>
            <w:pPr>
              <w:spacing w:after="0"/>
              <w:rPr>
                <w:sz w:val="17"/>
                <w:szCs w:val="17"/>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Windows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21,507</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24,732</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22,488</w:t>
            </w:r>
          </w:p>
        </w:tc>
        <w:tc>
          <w:tcPr>
            <w:tcW w:w="80" w:type="dxa"/>
            <w:vAlign w:val="bottom"/>
            <w:shd w:val="clear" w:color="auto" w:fill="E5E5E5"/>
          </w:tcPr>
          <w:p>
            <w:pPr>
              <w:spacing w:after="0"/>
              <w:rPr>
                <w:sz w:val="17"/>
                <w:szCs w:val="17"/>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Gaming</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15,466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16,230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15,370</w:t>
            </w:r>
          </w:p>
        </w:tc>
        <w:tc>
          <w:tcPr>
            <w:tcW w:w="80" w:type="dxa"/>
            <w:vAlign w:val="bottom"/>
          </w:tcPr>
          <w:p>
            <w:pPr>
              <w:spacing w:after="0"/>
              <w:rPr>
                <w:sz w:val="17"/>
                <w:szCs w:val="17"/>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LinkedIn</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15,145</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13,816</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10,289</w:t>
            </w:r>
          </w:p>
        </w:tc>
        <w:tc>
          <w:tcPr>
            <w:tcW w:w="80" w:type="dxa"/>
            <w:vAlign w:val="bottom"/>
            <w:shd w:val="clear" w:color="auto" w:fill="E5E5E5"/>
          </w:tcPr>
          <w:p>
            <w:pPr>
              <w:spacing w:after="0"/>
              <w:rPr>
                <w:sz w:val="17"/>
                <w:szCs w:val="17"/>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Search and news advertising</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12,208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11,591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9,267</w:t>
            </w:r>
          </w:p>
        </w:tc>
        <w:tc>
          <w:tcPr>
            <w:tcW w:w="80" w:type="dxa"/>
            <w:vAlign w:val="bottom"/>
          </w:tcPr>
          <w:p>
            <w:pPr>
              <w:spacing w:after="0"/>
              <w:rPr>
                <w:sz w:val="17"/>
                <w:szCs w:val="17"/>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Enterprise Services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7,722</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7,407</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6,943</w:t>
            </w:r>
          </w:p>
        </w:tc>
        <w:tc>
          <w:tcPr>
            <w:tcW w:w="80" w:type="dxa"/>
            <w:vAlign w:val="bottom"/>
            <w:shd w:val="clear" w:color="auto" w:fill="E5E5E5"/>
          </w:tcPr>
          <w:p>
            <w:pPr>
              <w:spacing w:after="0"/>
              <w:rPr>
                <w:sz w:val="17"/>
                <w:szCs w:val="17"/>
                <w:color w:val="auto"/>
              </w:rPr>
            </w:pPr>
          </w:p>
        </w:tc>
      </w:tr>
      <w:tr>
        <w:trPr>
          <w:trHeight w:val="204"/>
        </w:trPr>
        <w:tc>
          <w:tcPr>
            <w:tcW w:w="6880" w:type="dxa"/>
            <w:vAlign w:val="bottom"/>
          </w:tcPr>
          <w:p>
            <w:pPr>
              <w:ind w:left="20"/>
              <w:spacing w:after="0"/>
              <w:rPr>
                <w:sz w:val="20"/>
                <w:szCs w:val="20"/>
                <w:color w:val="auto"/>
              </w:rPr>
            </w:pPr>
            <w:r>
              <w:rPr>
                <w:rFonts w:ascii="Arial" w:cs="Arial" w:eastAsia="Arial" w:hAnsi="Arial"/>
                <w:sz w:val="16"/>
                <w:szCs w:val="16"/>
                <w:color w:val="auto"/>
              </w:rPr>
              <w:t>Devices</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5,521</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7,306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7,143</w:t>
            </w:r>
          </w:p>
        </w:tc>
        <w:tc>
          <w:tcPr>
            <w:tcW w:w="80" w:type="dxa"/>
            <w:vAlign w:val="bottom"/>
          </w:tcPr>
          <w:p>
            <w:pPr>
              <w:spacing w:after="0"/>
              <w:rPr>
                <w:sz w:val="17"/>
                <w:szCs w:val="17"/>
                <w:color w:val="auto"/>
              </w:rPr>
            </w:pPr>
          </w:p>
        </w:tc>
      </w:tr>
      <w:tr>
        <w:trPr>
          <w:trHeight w:val="204"/>
        </w:trPr>
        <w:tc>
          <w:tcPr>
            <w:tcW w:w="6880" w:type="dxa"/>
            <w:vAlign w:val="bottom"/>
            <w:shd w:val="clear" w:color="auto" w:fill="E5E5E5"/>
          </w:tcPr>
          <w:p>
            <w:pPr>
              <w:ind w:left="20"/>
              <w:spacing w:after="0"/>
              <w:rPr>
                <w:sz w:val="20"/>
                <w:szCs w:val="20"/>
                <w:color w:val="auto"/>
              </w:rPr>
            </w:pPr>
            <w:r>
              <w:rPr>
                <w:rFonts w:ascii="Arial" w:cs="Arial" w:eastAsia="Arial" w:hAnsi="Arial"/>
                <w:sz w:val="16"/>
                <w:szCs w:val="16"/>
                <w:color w:val="auto"/>
              </w:rPr>
              <w:t>Dynamics</w:t>
            </w: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5,437</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4,687</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3,754</w:t>
            </w:r>
          </w:p>
        </w:tc>
        <w:tc>
          <w:tcPr>
            <w:tcW w:w="80" w:type="dxa"/>
            <w:vAlign w:val="bottom"/>
            <w:shd w:val="clear" w:color="auto" w:fill="E5E5E5"/>
          </w:tcPr>
          <w:p>
            <w:pPr>
              <w:spacing w:after="0"/>
              <w:rPr>
                <w:sz w:val="17"/>
                <w:szCs w:val="17"/>
                <w:color w:val="auto"/>
              </w:rPr>
            </w:pPr>
          </w:p>
        </w:tc>
      </w:tr>
      <w:tr>
        <w:trPr>
          <w:trHeight w:val="217"/>
        </w:trPr>
        <w:tc>
          <w:tcPr>
            <w:tcW w:w="688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8"/>
                <w:szCs w:val="18"/>
                <w:color w:val="auto"/>
              </w:rPr>
            </w:pPr>
          </w:p>
        </w:tc>
      </w:tr>
      <w:tr>
        <w:trPr>
          <w:trHeight w:val="131"/>
        </w:trPr>
        <w:tc>
          <w:tcPr>
            <w:tcW w:w="6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04"/>
        </w:trPr>
        <w:tc>
          <w:tcPr>
            <w:tcW w:w="6880" w:type="dxa"/>
            <w:vAlign w:val="bottom"/>
            <w:shd w:val="clear" w:color="auto" w:fill="E5E5E5"/>
          </w:tcPr>
          <w:p>
            <w:pPr>
              <w:ind w:left="2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211,915</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198,270</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168,088</w:t>
            </w:r>
          </w:p>
        </w:tc>
        <w:tc>
          <w:tcPr>
            <w:tcW w:w="80" w:type="dxa"/>
            <w:vAlign w:val="bottom"/>
            <w:shd w:val="clear" w:color="auto" w:fill="E5E5E5"/>
          </w:tcPr>
          <w:p>
            <w:pPr>
              <w:spacing w:after="0"/>
              <w:rPr>
                <w:sz w:val="17"/>
                <w:szCs w:val="17"/>
                <w:color w:val="auto"/>
              </w:rPr>
            </w:pPr>
          </w:p>
        </w:tc>
      </w:tr>
      <w:tr>
        <w:trPr>
          <w:trHeight w:val="76"/>
        </w:trPr>
        <w:tc>
          <w:tcPr>
            <w:tcW w:w="68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-73025</wp:posOffset>
            </wp:positionV>
            <wp:extent cx="93980" cy="863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-73025</wp:posOffset>
            </wp:positionV>
            <wp:extent cx="86360" cy="863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-73025</wp:posOffset>
            </wp:positionV>
            <wp:extent cx="86360" cy="863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6360" cy="86360"/>
                    </a:xfrm>
                    <a:prstGeom prst="rect">
                      <a:avLst/>
                    </a:prstGeom>
                    <a:noFill/>
                  </pic:spPr>
                </pic:pic>
              </a:graphicData>
            </a:graphic>
          </wp:anchor>
        </w:drawing>
      </w:r>
    </w:p>
    <w:p>
      <w:pPr>
        <w:spacing w:after="0" w:line="141"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color w:val="auto"/>
        </w:rPr>
        <w:t>Our Microsoft Cloud revenue, which includes Azure and other cloud services, Office 365 Commercial, the commercial portion of LinkedIn, Dynamics 365, and other commercial cloud properties, was $111.6 billion, $91.4 billion, and $69.1 billion in fiscal years 2023, 2022, and 2021, respectively. These amounts are primarily included in Server products and cloud services, Office products and cloud services, LinkedIn, and Dynamics in the table above.</w:t>
      </w:r>
    </w:p>
    <w:p>
      <w:pPr>
        <w:spacing w:after="0" w:line="9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spacing w:after="0" w:line="125"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Long -lived assets, excluding financial instruments and tax assets, classified by the location of the controlling statutory company and with countries over 10% of the total shown separately,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ind w:left="20"/>
              <w:spacing w:after="0"/>
              <w:rPr>
                <w:sz w:val="20"/>
                <w:szCs w:val="20"/>
                <w:color w:val="auto"/>
              </w:rPr>
            </w:pPr>
            <w:r>
              <w:rPr>
                <w:rFonts w:ascii="Arial" w:cs="Arial" w:eastAsia="Arial" w:hAnsi="Arial"/>
                <w:sz w:val="12"/>
                <w:szCs w:val="12"/>
                <w:b w:val="1"/>
                <w:bCs w:val="1"/>
                <w:color w:val="auto"/>
              </w:rPr>
              <w:t>(In millions)</w:t>
            </w:r>
          </w:p>
        </w:tc>
        <w:tc>
          <w:tcPr>
            <w:tcW w:w="3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4"/>
        </w:trPr>
        <w:tc>
          <w:tcPr>
            <w:tcW w:w="3140" w:type="dxa"/>
            <w:vAlign w:val="bottom"/>
          </w:tcPr>
          <w:p>
            <w:pPr>
              <w:ind w:left="20"/>
              <w:spacing w:after="0"/>
              <w:rPr>
                <w:sz w:val="20"/>
                <w:szCs w:val="20"/>
                <w:color w:val="auto"/>
              </w:rPr>
            </w:pPr>
            <w:r>
              <w:rPr>
                <w:rFonts w:ascii="Arial" w:cs="Arial" w:eastAsia="Arial" w:hAnsi="Arial"/>
                <w:sz w:val="12"/>
                <w:szCs w:val="12"/>
                <w:b w:val="1"/>
                <w:bCs w:val="1"/>
                <w:color w:val="auto"/>
              </w:rPr>
              <w:t>June 30,</w:t>
            </w:r>
          </w:p>
        </w:tc>
        <w:tc>
          <w:tcPr>
            <w:tcW w:w="3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2023</w:t>
            </w:r>
          </w:p>
        </w:tc>
        <w:tc>
          <w:tcPr>
            <w:tcW w:w="30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2022</w:t>
            </w:r>
          </w:p>
        </w:tc>
        <w:tc>
          <w:tcPr>
            <w:tcW w:w="3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2021</w:t>
            </w:r>
          </w:p>
        </w:tc>
        <w:tc>
          <w:tcPr>
            <w:tcW w:w="0" w:type="dxa"/>
            <w:vAlign w:val="bottom"/>
          </w:tcPr>
          <w:p>
            <w:pPr>
              <w:spacing w:after="0"/>
              <w:rPr>
                <w:sz w:val="1"/>
                <w:szCs w:val="1"/>
                <w:color w:val="auto"/>
              </w:rPr>
            </w:pPr>
          </w:p>
        </w:tc>
      </w:tr>
      <w:tr>
        <w:trPr>
          <w:trHeight w:val="76"/>
        </w:trPr>
        <w:tc>
          <w:tcPr>
            <w:tcW w:w="3140" w:type="dxa"/>
            <w:vAlign w:val="bottom"/>
          </w:tcPr>
          <w:p>
            <w:pPr>
              <w:spacing w:after="0"/>
              <w:rPr>
                <w:sz w:val="6"/>
                <w:szCs w:val="6"/>
                <w:color w:val="auto"/>
              </w:rPr>
            </w:pPr>
          </w:p>
        </w:tc>
        <w:tc>
          <w:tcPr>
            <w:tcW w:w="3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United States</w:t>
            </w:r>
          </w:p>
        </w:tc>
        <w:tc>
          <w:tcPr>
            <w:tcW w:w="4040" w:type="dxa"/>
            <w:vAlign w:val="bottom"/>
            <w:gridSpan w:val="2"/>
            <w:shd w:val="clear" w:color="auto" w:fill="E5E5E5"/>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114,380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106,430</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76,153</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Pr>
          <w:p>
            <w:pPr>
              <w:ind w:left="20"/>
              <w:spacing w:after="0"/>
              <w:rPr>
                <w:sz w:val="20"/>
                <w:szCs w:val="20"/>
                <w:color w:val="auto"/>
              </w:rPr>
            </w:pPr>
            <w:r>
              <w:rPr>
                <w:rFonts w:ascii="Arial" w:cs="Arial" w:eastAsia="Arial" w:hAnsi="Arial"/>
                <w:sz w:val="16"/>
                <w:szCs w:val="16"/>
                <w:color w:val="auto"/>
              </w:rPr>
              <w:t>Ireland</w:t>
            </w:r>
          </w:p>
        </w:tc>
        <w:tc>
          <w:tcPr>
            <w:tcW w:w="3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16,359</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15,505</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shd w:val="clear" w:color="auto" w:fill="E5E5E5"/>
          </w:tcPr>
          <w:p>
            <w:pPr>
              <w:ind w:left="20"/>
              <w:spacing w:after="0"/>
              <w:rPr>
                <w:sz w:val="20"/>
                <w:szCs w:val="20"/>
                <w:color w:val="auto"/>
              </w:rPr>
            </w:pPr>
            <w:r>
              <w:rPr>
                <w:rFonts w:ascii="Arial" w:cs="Arial" w:eastAsia="Arial" w:hAnsi="Arial"/>
                <w:sz w:val="16"/>
                <w:szCs w:val="16"/>
                <w:color w:val="auto"/>
              </w:rPr>
              <w:t>Other countries</w:t>
            </w:r>
          </w:p>
        </w:tc>
        <w:tc>
          <w:tcPr>
            <w:tcW w:w="374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b w:val="1"/>
                <w:bCs w:val="1"/>
                <w:color w:val="auto"/>
              </w:rPr>
              <w:t>56,500</w:t>
            </w:r>
          </w:p>
        </w:tc>
        <w:tc>
          <w:tcPr>
            <w:tcW w:w="20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44,433</w:t>
            </w:r>
          </w:p>
        </w:tc>
        <w:tc>
          <w:tcPr>
            <w:tcW w:w="18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38,858</w:t>
            </w:r>
          </w:p>
        </w:tc>
        <w:tc>
          <w:tcPr>
            <w:tcW w:w="80" w:type="dxa"/>
            <w:vAlign w:val="bottom"/>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3140" w:type="dxa"/>
            <w:vAlign w:val="bottom"/>
          </w:tcPr>
          <w:p>
            <w:pPr>
              <w:ind w:left="220"/>
              <w:spacing w:after="0"/>
              <w:rPr>
                <w:sz w:val="20"/>
                <w:szCs w:val="20"/>
                <w:color w:val="auto"/>
              </w:rPr>
            </w:pPr>
            <w:r>
              <w:rPr>
                <w:rFonts w:ascii="Arial" w:cs="Arial" w:eastAsia="Arial" w:hAnsi="Arial"/>
                <w:sz w:val="16"/>
                <w:szCs w:val="16"/>
                <w:color w:val="auto"/>
              </w:rPr>
              <w:t>Total</w:t>
            </w:r>
          </w:p>
        </w:tc>
        <w:tc>
          <w:tcPr>
            <w:tcW w:w="4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187,239</w:t>
            </w:r>
          </w:p>
        </w:tc>
        <w:tc>
          <w:tcPr>
            <w:tcW w:w="200" w:type="dxa"/>
            <w:vAlign w:val="bottom"/>
          </w:tcPr>
          <w:p>
            <w:pPr>
              <w:spacing w:after="0"/>
              <w:rPr>
                <w:sz w:val="24"/>
                <w:szCs w:val="24"/>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166,368</w:t>
            </w:r>
          </w:p>
        </w:tc>
        <w:tc>
          <w:tcPr>
            <w:tcW w:w="180" w:type="dxa"/>
            <w:vAlign w:val="bottom"/>
          </w:tcPr>
          <w:p>
            <w:pPr>
              <w:spacing w:after="0"/>
              <w:rPr>
                <w:sz w:val="24"/>
                <w:szCs w:val="24"/>
                <w:color w:val="auto"/>
              </w:rPr>
            </w:pP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128,314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3140" w:type="dxa"/>
            <w:vAlign w:val="bottom"/>
          </w:tcPr>
          <w:p>
            <w:pPr>
              <w:spacing w:after="0"/>
              <w:rPr>
                <w:sz w:val="5"/>
                <w:szCs w:val="5"/>
                <w:color w:val="auto"/>
              </w:rPr>
            </w:pPr>
          </w:p>
        </w:tc>
        <w:tc>
          <w:tcPr>
            <w:tcW w:w="3740" w:type="dxa"/>
            <w:vAlign w:val="bottom"/>
            <w:vMerge w:val="restart"/>
          </w:tcPr>
          <w:p>
            <w:pPr>
              <w:jc w:val="right"/>
              <w:ind w:right="1446"/>
              <w:spacing w:after="0"/>
              <w:rPr>
                <w:sz w:val="20"/>
                <w:szCs w:val="20"/>
                <w:color w:val="auto"/>
              </w:rPr>
            </w:pPr>
            <w:r>
              <w:rPr>
                <w:rFonts w:ascii="Arial" w:cs="Arial" w:eastAsia="Arial" w:hAnsi="Arial"/>
                <w:sz w:val="13"/>
                <w:szCs w:val="13"/>
                <w:color w:val="auto"/>
              </w:rPr>
              <w:t>95</w:t>
            </w: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0"/>
        </w:trPr>
        <w:tc>
          <w:tcPr>
            <w:tcW w:w="3140" w:type="dxa"/>
            <w:vAlign w:val="bottom"/>
          </w:tcPr>
          <w:p>
            <w:pPr>
              <w:spacing w:after="0"/>
              <w:rPr>
                <w:sz w:val="24"/>
                <w:szCs w:val="24"/>
                <w:color w:val="auto"/>
              </w:rPr>
            </w:pPr>
          </w:p>
        </w:tc>
        <w:tc>
          <w:tcPr>
            <w:tcW w:w="3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3140" w:type="dxa"/>
            <w:vAlign w:val="bottom"/>
            <w:tcBorders>
              <w:bottom w:val="single" w:sz="8" w:color="EEEEEE"/>
            </w:tcBorders>
          </w:tcPr>
          <w:p>
            <w:pPr>
              <w:spacing w:after="0"/>
              <w:rPr>
                <w:sz w:val="9"/>
                <w:szCs w:val="9"/>
                <w:color w:val="auto"/>
              </w:rPr>
            </w:pPr>
          </w:p>
        </w:tc>
        <w:tc>
          <w:tcPr>
            <w:tcW w:w="374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20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780" w:type="dxa"/>
            <w:vAlign w:val="bottom"/>
            <w:tcBorders>
              <w:bottom w:val="single" w:sz="8" w:color="EEEEEE"/>
            </w:tcBorders>
          </w:tcPr>
          <w:p>
            <w:pPr>
              <w:spacing w:after="0"/>
              <w:rPr>
                <w:sz w:val="9"/>
                <w:szCs w:val="9"/>
                <w:color w:val="auto"/>
              </w:rPr>
            </w:pPr>
          </w:p>
        </w:tc>
        <w:tc>
          <w:tcPr>
            <w:tcW w:w="18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76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-484505</wp:posOffset>
            </wp:positionV>
            <wp:extent cx="93980" cy="863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980" cy="86360"/>
                    </a:xfrm>
                    <a:prstGeom prst="rect">
                      <a:avLst/>
                    </a:prstGeom>
                    <a:noFill/>
                  </pic:spPr>
                </pic:pic>
              </a:graphicData>
            </a:graphic>
          </wp:anchor>
        </w:drawing>
        <w:drawing>
          <wp:anchor simplePos="0" relativeHeight="251657728" behindDoc="1" locked="0" layoutInCell="0" allowOverlap="1">
            <wp:simplePos x="0" y="0"/>
            <wp:positionH relativeFrom="column">
              <wp:posOffset>5852795</wp:posOffset>
            </wp:positionH>
            <wp:positionV relativeFrom="paragraph">
              <wp:posOffset>-484505</wp:posOffset>
            </wp:positionV>
            <wp:extent cx="86360" cy="863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6637655</wp:posOffset>
            </wp:positionH>
            <wp:positionV relativeFrom="paragraph">
              <wp:posOffset>-484505</wp:posOffset>
            </wp:positionV>
            <wp:extent cx="86360" cy="863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6360" cy="8636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95" w:name="page96"/>
    <w:bookmarkEnd w:id="95"/>
    <w:p>
      <w:pPr>
        <w:jc w:val="center"/>
        <w:ind w:right="-13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Item 8</w:t>
      </w:r>
    </w:p>
    <w:p>
      <w:pPr>
        <w:spacing w:after="0" w:line="168" w:lineRule="exact"/>
        <w:rPr>
          <w:sz w:val="20"/>
          <w:szCs w:val="20"/>
          <w:color w:val="auto"/>
        </w:rPr>
      </w:pPr>
    </w:p>
    <w:p>
      <w:pPr>
        <w:ind w:right="4800"/>
        <w:spacing w:after="0" w:line="42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Microsoft Corporation </w:t>
      </w: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We have audited the accompanying consolidated balance sheets of Microsoft Corporation and subsidiaries (the "Company") as of June 30, 2023 and 2022, the related consolidated statements of income, comprehensive income, cash flows, and stockholders' equity, for each of the three years in the period ended June 30, 2023, and the related notes (collectively referred to as the "financial statements"). In our opinion, the financial statements present fairly, in all material respects, the financial position of the Company as of June 30, 2023 and 2022, and the results of its operations and its cash flows for each of the three years in the period ended June 30, 2023, in conformity with accounting principles generally accepted in the United States of America.</w:t>
      </w:r>
    </w:p>
    <w:p>
      <w:pPr>
        <w:spacing w:after="0" w:line="13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June 30, 2023,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and our report dated July 27, 2023, expressed an</w:t>
      </w:r>
      <w:r>
        <w:rPr>
          <w:rFonts w:ascii="Arial" w:cs="Arial" w:eastAsia="Arial" w:hAnsi="Arial"/>
          <w:sz w:val="16"/>
          <w:szCs w:val="16"/>
          <w:i w:val="1"/>
          <w:iCs w:val="1"/>
          <w:color w:val="auto"/>
        </w:rPr>
        <w:t xml:space="preserve"> </w:t>
      </w:r>
      <w:r>
        <w:rPr>
          <w:rFonts w:ascii="Arial" w:cs="Arial" w:eastAsia="Arial" w:hAnsi="Arial"/>
          <w:sz w:val="16"/>
          <w:szCs w:val="16"/>
          <w:color w:val="auto"/>
        </w:rPr>
        <w:t>unqualified opinion on the Company's internal control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8" w:lineRule="exact"/>
        <w:rPr>
          <w:sz w:val="20"/>
          <w:szCs w:val="20"/>
          <w:color w:val="auto"/>
        </w:rPr>
      </w:pPr>
    </w:p>
    <w:p>
      <w:pPr>
        <w:spacing w:after="0" w:line="279"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48" w:lineRule="exact"/>
        <w:rPr>
          <w:sz w:val="20"/>
          <w:szCs w:val="20"/>
          <w:color w:val="auto"/>
        </w:rPr>
      </w:pPr>
    </w:p>
    <w:p>
      <w:pPr>
        <w:ind w:right="240"/>
        <w:spacing w:after="0" w:line="239"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 – Refer to Note 1 to the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46" w:lineRule="exact"/>
        <w:rPr>
          <w:sz w:val="20"/>
          <w:szCs w:val="20"/>
          <w:color w:val="auto"/>
        </w:rPr>
      </w:pPr>
    </w:p>
    <w:p>
      <w:pPr>
        <w:ind w:right="220"/>
        <w:spacing w:after="0"/>
        <w:rPr>
          <w:sz w:val="20"/>
          <w:szCs w:val="20"/>
          <w:color w:val="auto"/>
        </w:rPr>
      </w:pPr>
      <w:r>
        <w:rPr>
          <w:rFonts w:ascii="Arial" w:cs="Arial" w:eastAsia="Arial" w:hAnsi="Arial"/>
          <w:sz w:val="16"/>
          <w:szCs w:val="16"/>
          <w:color w:val="auto"/>
        </w:rPr>
        <w:t>The Company recognizes revenue upon transfer of control of promised products or services to customers in an amount that reflects the consideration the Company expects to receive in exchange for those products or services. The Company offers customers the ability to acquire multiple licenses of software products and services, including cloud-based services, in its customer agreements through its volume licensing programs.</w:t>
      </w:r>
    </w:p>
    <w:p>
      <w:pPr>
        <w:spacing w:after="0" w:line="176"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57150</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840" w:top="573" w:right="980" w:bottom="1440" w:gutter="0" w:footer="0" w:header="0"/>
        </w:sectPr>
      </w:pPr>
    </w:p>
    <w:bookmarkStart w:id="96" w:name="page97"/>
    <w:bookmarkEnd w:id="96"/>
    <w:p>
      <w:pPr>
        <w:jc w:val="center"/>
        <w:ind w:right="-15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Item 8</w:t>
      </w: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color w:val="auto"/>
        </w:rPr>
        <w:t>Significant judgment is exercised by the Company in determining revenue recognition for these customer agreements, and includes the following:</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•Determination of whether products and services are considered distinct performance obligations that should be accounted for separately versus together, such as software licenses and related services that are sold with cloud-based services.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pattern of delivery (i.e., timing of when revenue is recognized) for each distinct performance obligation.</w:t>
      </w:r>
    </w:p>
    <w:p>
      <w:pPr>
        <w:spacing w:after="0" w:line="14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•Identification and treatment of contract terms that may impact the timing and amount of revenue recognized (e.g., variable consideration, optional purchases, and free services).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stand-alone selling prices for each distinct performance obligation and for products and services that are not sold separately.</w:t>
      </w:r>
    </w:p>
    <w:p>
      <w:pPr>
        <w:spacing w:after="0" w:line="163"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Given these factors and due to the volume of transactions, the related audit effort in evaluating management's judgments in determining revenue recognition for these customer agreements was extensive and required a high degree of auditor judgment.</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Our principal audit procedures related to the Company's revenue recognition for these customer agreements included the following:</w:t>
      </w:r>
    </w:p>
    <w:p>
      <w:pPr>
        <w:spacing w:after="0" w:line="92" w:lineRule="exact"/>
        <w:rPr>
          <w:sz w:val="20"/>
          <w:szCs w:val="20"/>
          <w:color w:val="auto"/>
        </w:rPr>
      </w:pPr>
    </w:p>
    <w:p>
      <w:pPr>
        <w:ind w:left="340" w:right="420" w:hanging="322"/>
        <w:spacing w:after="0" w:line="25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tested the effectiveness of controls related to the identification of distinct performance obligations, the determination of the timing of revenue recognition, and the estimation of variable consideration.</w:t>
      </w:r>
    </w:p>
    <w:p>
      <w:pPr>
        <w:spacing w:after="0" w:line="93" w:lineRule="exact"/>
        <w:rPr>
          <w:rFonts w:ascii="Arial" w:cs="Arial" w:eastAsia="Arial" w:hAnsi="Arial"/>
          <w:sz w:val="16"/>
          <w:szCs w:val="16"/>
          <w:color w:val="auto"/>
        </w:rPr>
      </w:pPr>
    </w:p>
    <w:p>
      <w:pPr>
        <w:ind w:left="340" w:hanging="32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evaluated management's significant accounting policies related to these customer agreements for reasonableness.</w:t>
      </w:r>
    </w:p>
    <w:p>
      <w:pPr>
        <w:spacing w:after="0" w:line="116" w:lineRule="exact"/>
        <w:rPr>
          <w:rFonts w:ascii="Arial" w:cs="Arial" w:eastAsia="Arial" w:hAnsi="Arial"/>
          <w:sz w:val="16"/>
          <w:szCs w:val="16"/>
          <w:color w:val="auto"/>
        </w:rPr>
      </w:pPr>
    </w:p>
    <w:p>
      <w:pPr>
        <w:ind w:left="340" w:hanging="32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selected a sample of customer agreements and performed the following procedures:</w:t>
      </w:r>
    </w:p>
    <w:p>
      <w:pPr>
        <w:spacing w:after="0" w:line="116" w:lineRule="exact"/>
        <w:rPr>
          <w:sz w:val="20"/>
          <w:szCs w:val="20"/>
          <w:color w:val="auto"/>
        </w:rPr>
      </w:pPr>
    </w:p>
    <w:p>
      <w:pPr>
        <w:ind w:left="340" w:right="200" w:hanging="322"/>
        <w:spacing w:after="0" w:line="25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Obtained and read contract source documents for each selection, including master agreements, and other documents that were part of the agreement.</w:t>
      </w:r>
    </w:p>
    <w:p>
      <w:pPr>
        <w:spacing w:after="0" w:line="93" w:lineRule="exact"/>
        <w:rPr>
          <w:rFonts w:ascii="Arial" w:cs="Arial" w:eastAsia="Arial" w:hAnsi="Arial"/>
          <w:sz w:val="16"/>
          <w:szCs w:val="16"/>
          <w:color w:val="auto"/>
        </w:rPr>
      </w:pPr>
    </w:p>
    <w:p>
      <w:pPr>
        <w:ind w:left="340" w:hanging="32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Tested management's identification and treatment of contract terms.</w:t>
      </w:r>
    </w:p>
    <w:p>
      <w:pPr>
        <w:spacing w:after="0" w:line="116" w:lineRule="exact"/>
        <w:rPr>
          <w:rFonts w:ascii="Arial" w:cs="Arial" w:eastAsia="Arial" w:hAnsi="Arial"/>
          <w:sz w:val="16"/>
          <w:szCs w:val="16"/>
          <w:color w:val="auto"/>
        </w:rPr>
      </w:pPr>
    </w:p>
    <w:p>
      <w:pPr>
        <w:ind w:left="340" w:right="80" w:hanging="322"/>
        <w:spacing w:after="0" w:line="25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Assessed the terms in the customer agreement and evaluated the appropriateness of management's application of their accounting policies, along with their use of estimates, in the determination of revenue recognition conclusions.</w:t>
      </w:r>
    </w:p>
    <w:p>
      <w:pPr>
        <w:spacing w:after="0" w:line="94" w:lineRule="exact"/>
        <w:rPr>
          <w:sz w:val="20"/>
          <w:szCs w:val="20"/>
          <w:color w:val="auto"/>
        </w:rPr>
      </w:pPr>
    </w:p>
    <w:p>
      <w:pPr>
        <w:ind w:left="340" w:right="580" w:hanging="322"/>
        <w:spacing w:after="0" w:line="25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evaluated the reasonableness of management's estimate of stand-alone selling prices for products and services that are not sold separately.</w:t>
      </w:r>
    </w:p>
    <w:p>
      <w:pPr>
        <w:spacing w:after="0" w:line="93" w:lineRule="exact"/>
        <w:rPr>
          <w:rFonts w:ascii="Arial" w:cs="Arial" w:eastAsia="Arial" w:hAnsi="Arial"/>
          <w:sz w:val="16"/>
          <w:szCs w:val="16"/>
          <w:color w:val="auto"/>
        </w:rPr>
      </w:pPr>
    </w:p>
    <w:p>
      <w:pPr>
        <w:ind w:left="340" w:right="440" w:hanging="322"/>
        <w:spacing w:after="0" w:line="25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tested the mathematical accuracy of management's calculations of revenue and the associated timing of revenue recognized in the financial statements.</w:t>
      </w:r>
    </w:p>
    <w:p>
      <w:pPr>
        <w:spacing w:after="0" w:line="122" w:lineRule="exact"/>
        <w:rPr>
          <w:sz w:val="20"/>
          <w:szCs w:val="20"/>
          <w:color w:val="auto"/>
        </w:rPr>
      </w:pPr>
    </w:p>
    <w:p>
      <w:pPr>
        <w:ind w:right="3700"/>
        <w:spacing w:after="0" w:line="427" w:lineRule="auto"/>
        <w:rPr>
          <w:sz w:val="20"/>
          <w:szCs w:val="20"/>
          <w:color w:val="auto"/>
        </w:rPr>
      </w:pPr>
      <w:r>
        <w:rPr>
          <w:rFonts w:ascii="Arial" w:cs="Arial" w:eastAsia="Arial" w:hAnsi="Arial"/>
          <w:sz w:val="16"/>
          <w:szCs w:val="16"/>
          <w:b w:val="1"/>
          <w:bCs w:val="1"/>
          <w:i w:val="1"/>
          <w:iCs w:val="1"/>
          <w:color w:val="auto"/>
        </w:rPr>
        <w:t xml:space="preserve">Income Taxes – Uncertain Tax Positions – Refer to Note 12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The Company's long-term income taxes liability includes uncertain tax positions related to transfer pricing issues that remain unresolved with the Internal Revenue Service ("IRS"). The Company remains under IRS audit, or subject to IRS audit, for tax years subsequent to 2003. While the Company has settled a portion of the IRS audits, resolution of the remaining matters could have a material impact on the Company's financial statements.</w:t>
      </w:r>
    </w:p>
    <w:p>
      <w:pPr>
        <w:spacing w:after="0" w:line="128"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Conclusions on recognizing and measuring uncertain tax positions involve significant estimates and management judgment and include complex considerations of the Internal Revenue Code, related regulations, tax case laws, and prior-year audit settlements. Given the complexity and the subjective nature of the transfer pricing issues that remain unresolved with the IRS, evaluating management's estimates relating to their determination of uncertain tax positions required extensive audit effort and a high degree of auditor judgment, including involvement of our tax specialists.</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57150</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60"/>
          </w:cols>
          <w:pgMar w:left="840" w:top="573" w:right="1000" w:bottom="1440" w:gutter="0" w:footer="0" w:header="0"/>
        </w:sectPr>
      </w:pPr>
    </w:p>
    <w:bookmarkStart w:id="97" w:name="page98"/>
    <w:bookmarkEnd w:id="97"/>
    <w:p>
      <w:pPr>
        <w:jc w:val="center"/>
        <w:ind w:right="-1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Item 8</w:t>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46"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Our principal audit procedures to evaluate management's estimates of uncertain tax positions related to unresolved transfer pricing issues included the following:</w:t>
      </w:r>
    </w:p>
    <w:p>
      <w:pPr>
        <w:spacing w:after="0" w:line="118" w:lineRule="exact"/>
        <w:rPr>
          <w:sz w:val="20"/>
          <w:szCs w:val="20"/>
          <w:color w:val="auto"/>
        </w:rPr>
      </w:pPr>
    </w:p>
    <w:p>
      <w:pPr>
        <w:ind w:right="780"/>
        <w:spacing w:after="0" w:line="322" w:lineRule="auto"/>
        <w:rPr>
          <w:sz w:val="20"/>
          <w:szCs w:val="20"/>
          <w:color w:val="auto"/>
        </w:rPr>
      </w:pPr>
      <w:r>
        <w:rPr>
          <w:rFonts w:ascii="Arial" w:cs="Arial" w:eastAsia="Arial" w:hAnsi="Arial"/>
          <w:sz w:val="14"/>
          <w:szCs w:val="14"/>
          <w:color w:val="auto"/>
        </w:rPr>
        <w:t>•We evaluated the appropriateness and consistency of management's methods and assumptions used in the identification, recognition, measurement, and disclosure of uncertain tax positions, which included testing the effectiveness of the related internal controls.</w:t>
      </w:r>
    </w:p>
    <w:p>
      <w:pPr>
        <w:spacing w:after="0" w:line="72"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•We read and evaluated management's documentation, including relevant accounting policies and information obtained by management from outside tax specialists, that detailed the basis of the uncertain tax positions.</w:t>
      </w:r>
    </w:p>
    <w:p>
      <w:pPr>
        <w:spacing w:after="0" w:line="118"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•We tested the reasonableness of management's judgments regarding the future resolution of the uncertain tax positions, including an evaluation of the technical merits of the uncertain tax positions.</w:t>
      </w:r>
    </w:p>
    <w:p>
      <w:pPr>
        <w:spacing w:after="0" w:line="118"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•For those uncertain tax positions that had not been effectively settled, we evaluated whether management had appropriately considered new information that could significantly change the recognition, measurement or disclosure of the uncertain tax positions.</w:t>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evaluated the reasonableness of management's estimates by considering how tax law, including statutes, regulations and case law, impacted management's judgments.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/s/ D</w:t>
      </w:r>
      <w:r>
        <w:rPr>
          <w:rFonts w:ascii="Arial" w:cs="Arial" w:eastAsia="Arial" w:hAnsi="Arial"/>
          <w:sz w:val="12"/>
          <w:szCs w:val="12"/>
          <w:color w:val="auto"/>
        </w:rPr>
        <w:t>ELOITTE</w:t>
      </w:r>
      <w:r>
        <w:rPr>
          <w:rFonts w:ascii="Arial" w:cs="Arial" w:eastAsia="Arial" w:hAnsi="Arial"/>
          <w:sz w:val="16"/>
          <w:szCs w:val="16"/>
          <w:color w:val="auto"/>
        </w:rPr>
        <w:t xml:space="preserve"> &amp; T</w:t>
      </w:r>
      <w:r>
        <w:rPr>
          <w:rFonts w:ascii="Arial" w:cs="Arial" w:eastAsia="Arial" w:hAnsi="Arial"/>
          <w:sz w:val="12"/>
          <w:szCs w:val="12"/>
          <w:color w:val="auto"/>
        </w:rPr>
        <w:t>OUCHE</w:t>
      </w:r>
      <w:r>
        <w:rPr>
          <w:rFonts w:ascii="Arial" w:cs="Arial" w:eastAsia="Arial" w:hAnsi="Arial"/>
          <w:sz w:val="16"/>
          <w:szCs w:val="16"/>
          <w:color w:val="auto"/>
        </w:rPr>
        <w:t xml:space="preserve">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1983.</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57150</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80"/>
          </w:cols>
          <w:pgMar w:left="840" w:top="573" w:right="980"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Item 9, 9A</w:t>
      </w:r>
    </w:p>
    <w:p>
      <w:pPr>
        <w:spacing w:after="0" w:line="165" w:lineRule="exact"/>
        <w:rPr>
          <w:sz w:val="20"/>
          <w:szCs w:val="20"/>
          <w:color w:val="auto"/>
        </w:rPr>
      </w:pPr>
    </w:p>
    <w:p>
      <w:pPr>
        <w:jc w:val="center"/>
        <w:ind w:left="700" w:right="520"/>
        <w:spacing w:after="0" w:line="306" w:lineRule="auto"/>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ITEM 9A. CONTROLS AND PROCEDURES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MANAGEMENT ON INTERNAL CONTROL OVER FINANCIAL REPORTING</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consolidated financial statements; providing reasonable assurance that receipts and expenditures of company assets are made in accordance with management authorization; and providing reasonable assurance that unauthorized acquisition, use, or disposition of company assets that could have a material effect on our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123"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Based on this evaluation,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concluded that the Company’s internal control over financial reporting was effective as of June 30, 2023. There were no changes in our internal control over financial reporting during the quarter ended June 30, 2023 that have materially affected, or are reasonably likely to materially affect, our internal control over financial reporting. Deloitte &amp; Touche LLP has audited our internal control over financial reporting as of June 30, 2023; their report is included in Item 9A.</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73" w:right="700" w:bottom="1440" w:gutter="0" w:footer="0" w:header="0"/>
        </w:sectPr>
      </w:pPr>
    </w:p>
    <w:bookmarkStart w:id="99" w:name="page100"/>
    <w:bookmarkEnd w:id="99"/>
    <w:p>
      <w:pPr>
        <w:ind w:left="4900"/>
        <w:spacing w:after="0"/>
        <w:rPr>
          <w:sz w:val="20"/>
          <w:szCs w:val="20"/>
          <w:color w:val="auto"/>
        </w:rPr>
      </w:pPr>
      <w:r>
        <w:rPr>
          <w:rFonts w:ascii="Arial" w:cs="Arial" w:eastAsia="Arial" w:hAnsi="Arial"/>
          <w:sz w:val="12"/>
          <w:szCs w:val="12"/>
          <w:u w:val="single" w:color="auto"/>
          <w:color w:val="auto"/>
        </w:rPr>
        <w:t>PART II</w:t>
      </w:r>
    </w:p>
    <w:p>
      <w:pPr>
        <w:spacing w:after="0" w:line="18" w:lineRule="exact"/>
        <w:rPr>
          <w:sz w:val="20"/>
          <w:szCs w:val="20"/>
          <w:color w:val="auto"/>
        </w:rPr>
      </w:pPr>
    </w:p>
    <w:p>
      <w:pPr>
        <w:ind w:left="4900"/>
        <w:spacing w:after="0"/>
        <w:rPr>
          <w:sz w:val="20"/>
          <w:szCs w:val="20"/>
          <w:color w:val="auto"/>
        </w:rPr>
      </w:pPr>
      <w:r>
        <w:rPr>
          <w:rFonts w:ascii="Arial" w:cs="Arial" w:eastAsia="Arial" w:hAnsi="Arial"/>
          <w:sz w:val="12"/>
          <w:szCs w:val="12"/>
          <w:color w:val="auto"/>
        </w:rPr>
        <w:t>Item 9A</w:t>
      </w:r>
    </w:p>
    <w:p>
      <w:pPr>
        <w:spacing w:after="0" w:line="168" w:lineRule="exact"/>
        <w:rPr>
          <w:sz w:val="20"/>
          <w:szCs w:val="20"/>
          <w:color w:val="auto"/>
        </w:rPr>
      </w:pPr>
    </w:p>
    <w:p>
      <w:pPr>
        <w:ind w:right="4840"/>
        <w:spacing w:after="0" w:line="426"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 xml:space="preserve">To the Stockholders and the Board of Directors of Microsoft Corporation </w:t>
      </w:r>
      <w:r>
        <w:rPr>
          <w:rFonts w:ascii="Arial" w:cs="Arial" w:eastAsia="Arial" w:hAnsi="Arial"/>
          <w:sz w:val="16"/>
          <w:szCs w:val="16"/>
          <w:b w:val="1"/>
          <w:bCs w:val="1"/>
          <w:color w:val="auto"/>
        </w:rPr>
        <w:t>Opinion on Internal Control over Financial Reporting</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6"/>
          <w:szCs w:val="16"/>
          <w:color w:val="auto"/>
        </w:rPr>
        <w:t xml:space="preserve">We have audited the internal control over financial reporting of Microsoft Corporation and subsidiaries (the "Company") as of June 30,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June 30,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28"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June 30, 2023, of the Company and our report dated July 27, 2023, expressed an unqualified opinion on those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48"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2"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 D</w:t>
      </w:r>
      <w:r>
        <w:rPr>
          <w:rFonts w:ascii="Arial" w:cs="Arial" w:eastAsia="Arial" w:hAnsi="Arial"/>
          <w:sz w:val="12"/>
          <w:szCs w:val="12"/>
          <w:color w:val="auto"/>
        </w:rPr>
        <w:t>ELOITTE</w:t>
      </w:r>
      <w:r>
        <w:rPr>
          <w:rFonts w:ascii="Arial" w:cs="Arial" w:eastAsia="Arial" w:hAnsi="Arial"/>
          <w:sz w:val="16"/>
          <w:szCs w:val="16"/>
          <w:color w:val="auto"/>
        </w:rPr>
        <w:t xml:space="preserve"> &amp; T</w:t>
      </w:r>
      <w:r>
        <w:rPr>
          <w:rFonts w:ascii="Arial" w:cs="Arial" w:eastAsia="Arial" w:hAnsi="Arial"/>
          <w:sz w:val="12"/>
          <w:szCs w:val="12"/>
          <w:color w:val="auto"/>
        </w:rPr>
        <w:t>OUCHE</w:t>
      </w:r>
      <w:r>
        <w:rPr>
          <w:rFonts w:ascii="Arial" w:cs="Arial" w:eastAsia="Arial" w:hAnsi="Arial"/>
          <w:sz w:val="16"/>
          <w:szCs w:val="16"/>
          <w:color w:val="auto"/>
        </w:rPr>
        <w:t xml:space="preserve">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57150</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120"/>
          </w:cols>
          <w:pgMar w:left="840" w:top="573" w:right="940" w:bottom="1440" w:gutter="0" w:footer="0" w:header="0"/>
        </w:sectPr>
      </w:pPr>
    </w:p>
    <w:bookmarkStart w:id="100" w:name="page101"/>
    <w:bookmarkEnd w:id="100"/>
    <w:p>
      <w:pPr>
        <w:jc w:val="center"/>
        <w:ind w:right="-79"/>
        <w:spacing w:after="0"/>
        <w:rPr>
          <w:sz w:val="20"/>
          <w:szCs w:val="20"/>
          <w:color w:val="auto"/>
        </w:rPr>
      </w:pPr>
      <w:r>
        <w:rPr>
          <w:rFonts w:ascii="Arial" w:cs="Arial" w:eastAsia="Arial" w:hAnsi="Arial"/>
          <w:sz w:val="12"/>
          <w:szCs w:val="12"/>
          <w:u w:val="single" w:color="auto"/>
          <w:color w:val="auto"/>
        </w:rPr>
        <w:t>PART II, III</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Item 9B, 9C, 10, 11, 12, 13, 14</w:t>
      </w:r>
    </w:p>
    <w:p>
      <w:pPr>
        <w:spacing w:after="0" w:line="16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ITEM 9B. OTHER INFORMATION</w:t>
      </w:r>
    </w:p>
    <w:p>
      <w:pPr>
        <w:spacing w:after="0" w:line="164"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During the three months ended June 30, 2023, none of our directors or officers (as defined in Rule 16a-1(f) of the Securities Exchange Act of 1934) informed us of the adoption or termination of a “Rule 10b5-1 trading arrangement” or “non-Rule 10b5-1 trading arrangement,” as defined in Item 408 of Regulation S-K.</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III</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164" w:lineRule="exact"/>
        <w:rPr>
          <w:sz w:val="20"/>
          <w:szCs w:val="20"/>
          <w:color w:val="auto"/>
        </w:rPr>
      </w:pPr>
    </w:p>
    <w:p>
      <w:pPr>
        <w:jc w:val="both"/>
        <w:ind w:right="240"/>
        <w:spacing w:after="0"/>
        <w:rPr>
          <w:sz w:val="20"/>
          <w:szCs w:val="20"/>
          <w:color w:val="auto"/>
        </w:rPr>
      </w:pPr>
      <w:r>
        <w:rPr>
          <w:rFonts w:ascii="Arial" w:cs="Arial" w:eastAsia="Arial" w:hAnsi="Arial"/>
          <w:sz w:val="16"/>
          <w:szCs w:val="16"/>
          <w:color w:val="auto"/>
        </w:rPr>
        <w:t>A list of our executive officers and biographical information appears in Part I, Item 1 of this Form 10-K. Information about our directors may be found under the caption “Our Director Nominees” in our Proxy Statement for the Annual Meeting of Shareholders to be held December 7, 2023 (the “Proxy Statement”). Information about our Audit Committee may be found under the caption “Board Committees” in the Proxy Statement. That information is incorporated herein by reference.</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have adopted the Microsoft Finance Code of Professional Conduct (the “finance code of ethics”), a code of ethics that applies to our Chief Executive Officer, Chief Financial Officer, Chief Accounting Officer, and other finance organization employees. The finance code of ethics is publicly available on our website at https://aka.ms/FinanceCodeProfessionalConduct. If we make any substantive amendments to the finance code of ethics or grant any waiver, including any implicit waiver, from a provision of the code to our Chief Executive Officer, Chief Financial Officer, or Chief Accounting Officer, we will disclose the nature of the amendment or waiver on that website or in a report on Form 8-K.</w:t>
      </w:r>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ITEM 11. EXECUTIVE COMPENSATION</w:t>
      </w:r>
    </w:p>
    <w:p>
      <w:pPr>
        <w:spacing w:after="0" w:line="164"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The information in the Proxy Statement set forth under the captions “Director Compensation,” “Named Executive Officer Compensation,” “Compensation Committee Report,” and, if required, “Compensation Committee Interlocks and Insider Participation,” is incorporated herein by reference.</w:t>
      </w:r>
    </w:p>
    <w:p>
      <w:pPr>
        <w:spacing w:after="0" w:line="134" w:lineRule="exact"/>
        <w:rPr>
          <w:sz w:val="20"/>
          <w:szCs w:val="20"/>
          <w:color w:val="auto"/>
        </w:rPr>
      </w:pPr>
    </w:p>
    <w:p>
      <w:pPr>
        <w:jc w:val="center"/>
        <w:ind w:left="760" w:right="320"/>
        <w:spacing w:after="0" w:line="306"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54"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information in the Proxy Statement set forth under the captions “Stock Ownership Information,” “Principal Shareholders” and “Equity Compensation Plan Information” is incorporated herein by reference.</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164" w:lineRule="exact"/>
        <w:rPr>
          <w:sz w:val="20"/>
          <w:szCs w:val="20"/>
          <w:color w:val="auto"/>
        </w:rPr>
      </w:pPr>
    </w:p>
    <w:p>
      <w:pPr>
        <w:ind w:right="580"/>
        <w:spacing w:after="0" w:line="252" w:lineRule="auto"/>
        <w:rPr>
          <w:sz w:val="20"/>
          <w:szCs w:val="20"/>
          <w:color w:val="auto"/>
        </w:rPr>
      </w:pPr>
      <w:r>
        <w:rPr>
          <w:rFonts w:ascii="Arial" w:cs="Arial" w:eastAsia="Arial" w:hAnsi="Arial"/>
          <w:sz w:val="16"/>
          <w:szCs w:val="16"/>
          <w:color w:val="auto"/>
        </w:rPr>
        <w:t>The information set forth in the Proxy Statement under the captions “Director Independence Guidelines” and “Certain Relationships and Related Transactions” is incorporated herein by reference.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164"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Information concerning fees and services provided by our principal accountant, Deloitte &amp; Touche LLP (PCAOB ID No. 34), appears in the Proxy Statement under the headings “Fees Billed by Deloitte &amp; Touche” and “Policy on Audit Committee Pre-Approval of Audit and Permissible Non-Audit Services of Independent Auditor” and is incorporated herein by reference.</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73" w:right="760" w:bottom="1440" w:gutter="0" w:footer="0" w:header="0"/>
        </w:sectPr>
      </w:pPr>
    </w:p>
    <w:bookmarkStart w:id="101" w:name="page102"/>
    <w:bookmarkEnd w:id="101"/>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15</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PART IV</w:t>
      </w:r>
    </w:p>
    <w:p>
      <w:pPr>
        <w:spacing w:after="0" w:line="138" w:lineRule="exact"/>
        <w:rPr>
          <w:sz w:val="20"/>
          <w:szCs w:val="20"/>
          <w:color w:val="auto"/>
        </w:rPr>
      </w:pPr>
    </w:p>
    <w:p>
      <w:pPr>
        <w:ind w:left="2480"/>
        <w:spacing w:after="0"/>
        <w:rPr>
          <w:sz w:val="20"/>
          <w:szCs w:val="20"/>
          <w:color w:val="auto"/>
        </w:rPr>
      </w:pPr>
      <w:r>
        <w:rPr>
          <w:rFonts w:ascii="Arial" w:cs="Arial" w:eastAsia="Arial" w:hAnsi="Arial"/>
          <w:sz w:val="19"/>
          <w:szCs w:val="19"/>
          <w:b w:val="1"/>
          <w:bCs w:val="1"/>
          <w:color w:val="auto"/>
        </w:rPr>
        <w:t>ITEM 15. EXHIBIT AND FINANCIAL STATEMENT SCHEDULES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(a)Financial Statements and Schedules</w:t>
      </w:r>
    </w:p>
    <w:p>
      <w:pPr>
        <w:spacing w:after="0" w:line="14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financial statements are set forth under Part II, Item 8 of this Form 10- K, as indexed below. Financial statement schedules have been omitted since they either are not required, not applicable, or the information is otherwise included.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gridSpan w:val="20"/>
          </w:tcPr>
          <w:p>
            <w:pPr>
              <w:spacing w:after="0"/>
              <w:rPr>
                <w:sz w:val="20"/>
                <w:szCs w:val="20"/>
                <w:color w:val="auto"/>
              </w:rPr>
            </w:pPr>
            <w:r>
              <w:rPr>
                <w:rFonts w:ascii="Arial" w:cs="Arial" w:eastAsia="Arial" w:hAnsi="Arial"/>
                <w:sz w:val="12"/>
                <w:szCs w:val="12"/>
                <w:b w:val="1"/>
                <w:bCs w:val="1"/>
                <w:color w:val="auto"/>
              </w:rPr>
              <w:t>Index to Financial Statements</w:t>
            </w:r>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72"/>
        </w:trPr>
        <w:tc>
          <w:tcPr>
            <w:tcW w:w="20" w:type="dxa"/>
            <w:vAlign w:val="bottom"/>
          </w:tcPr>
          <w:p>
            <w:pPr>
              <w:spacing w:after="0"/>
              <w:rPr>
                <w:sz w:val="14"/>
                <w:szCs w:val="14"/>
                <w:color w:val="auto"/>
              </w:rPr>
            </w:pPr>
          </w:p>
        </w:tc>
        <w:tc>
          <w:tcPr>
            <w:tcW w:w="4420" w:type="dxa"/>
            <w:vAlign w:val="bottom"/>
            <w:gridSpan w:val="20"/>
          </w:tcPr>
          <w:p>
            <w:pPr>
              <w:spacing w:after="0" w:line="172" w:lineRule="exact"/>
              <w:rPr>
                <w:rFonts w:ascii="Arial" w:cs="Arial" w:eastAsia="Arial" w:hAnsi="Arial"/>
                <w:sz w:val="16"/>
                <w:szCs w:val="16"/>
                <w:color w:val="0000FF"/>
              </w:rPr>
            </w:pPr>
            <w:hyperlink w:anchor="page58">
              <w:r>
                <w:rPr>
                  <w:rFonts w:ascii="Arial" w:cs="Arial" w:eastAsia="Arial" w:hAnsi="Arial"/>
                  <w:sz w:val="16"/>
                  <w:szCs w:val="16"/>
                  <w:color w:val="0000FF"/>
                </w:rPr>
                <w:t>Income Statements</w:t>
              </w:r>
            </w:hyperlink>
          </w:p>
        </w:tc>
        <w:tc>
          <w:tcPr>
            <w:tcW w:w="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spacing w:after="0" w:line="172" w:lineRule="exact"/>
              <w:rPr>
                <w:sz w:val="20"/>
                <w:szCs w:val="20"/>
                <w:color w:val="auto"/>
              </w:rPr>
            </w:pPr>
            <w:r>
              <w:rPr>
                <w:rFonts w:ascii="Arial" w:cs="Arial" w:eastAsia="Arial" w:hAnsi="Arial"/>
                <w:sz w:val="16"/>
                <w:szCs w:val="16"/>
                <w:color w:val="auto"/>
              </w:rPr>
              <w:t>58</w:t>
            </w:r>
          </w:p>
        </w:tc>
      </w:tr>
      <w:tr>
        <w:trPr>
          <w:trHeight w:val="20"/>
        </w:trPr>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tcBorders>
              <w:bottom w:val="single" w:sz="8" w:color="0000FF"/>
            </w:tcBorders>
            <w:gridSpan w:val="9"/>
          </w:tcPr>
          <w:p>
            <w:pPr>
              <w:spacing w:after="0"/>
              <w:rPr>
                <w:rFonts w:ascii="Arial" w:cs="Arial" w:eastAsia="Arial" w:hAnsi="Arial"/>
                <w:sz w:val="16"/>
                <w:szCs w:val="16"/>
                <w:color w:val="0000FF"/>
                <w:w w:val="96"/>
              </w:rPr>
            </w:pPr>
            <w:hyperlink w:anchor="page59">
              <w:r>
                <w:rPr>
                  <w:rFonts w:ascii="Arial" w:cs="Arial" w:eastAsia="Arial" w:hAnsi="Arial"/>
                  <w:sz w:val="16"/>
                  <w:szCs w:val="16"/>
                  <w:color w:val="0000FF"/>
                  <w:w w:val="96"/>
                </w:rPr>
                <w:t>Comprehensive Income Statements</w:t>
              </w:r>
            </w:hyperlink>
          </w:p>
        </w:tc>
        <w:tc>
          <w:tcPr>
            <w:tcW w:w="1940" w:type="dxa"/>
            <w:vAlign w:val="bottom"/>
            <w:gridSpan w:val="11"/>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6"/>
        </w:trPr>
        <w:tc>
          <w:tcPr>
            <w:tcW w:w="20" w:type="dxa"/>
            <w:vAlign w:val="bottom"/>
          </w:tcPr>
          <w:p>
            <w:pPr>
              <w:spacing w:after="0"/>
              <w:rPr>
                <w:sz w:val="22"/>
                <w:szCs w:val="22"/>
                <w:color w:val="auto"/>
              </w:rPr>
            </w:pPr>
          </w:p>
        </w:tc>
        <w:tc>
          <w:tcPr>
            <w:tcW w:w="1100" w:type="dxa"/>
            <w:vAlign w:val="bottom"/>
            <w:tcBorders>
              <w:bottom w:val="single" w:sz="8" w:color="0000FF"/>
            </w:tcBorders>
            <w:gridSpan w:val="3"/>
          </w:tcPr>
          <w:p>
            <w:pPr>
              <w:spacing w:after="0"/>
              <w:rPr>
                <w:rFonts w:ascii="Arial" w:cs="Arial" w:eastAsia="Arial" w:hAnsi="Arial"/>
                <w:sz w:val="16"/>
                <w:szCs w:val="16"/>
                <w:color w:val="0000FF"/>
                <w:w w:val="96"/>
              </w:rPr>
            </w:pPr>
            <w:hyperlink w:anchor="page60">
              <w:r>
                <w:rPr>
                  <w:rFonts w:ascii="Arial" w:cs="Arial" w:eastAsia="Arial" w:hAnsi="Arial"/>
                  <w:sz w:val="16"/>
                  <w:szCs w:val="16"/>
                  <w:color w:val="0000FF"/>
                  <w:w w:val="96"/>
                </w:rPr>
                <w:t>Balance Sheets</w:t>
              </w:r>
            </w:hyperlink>
          </w:p>
        </w:tc>
        <w:tc>
          <w:tcPr>
            <w:tcW w:w="3320" w:type="dxa"/>
            <w:vAlign w:val="bottom"/>
            <w:gridSpan w:val="17"/>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6"/>
        </w:trPr>
        <w:tc>
          <w:tcPr>
            <w:tcW w:w="20" w:type="dxa"/>
            <w:vAlign w:val="bottom"/>
          </w:tcPr>
          <w:p>
            <w:pPr>
              <w:spacing w:after="0"/>
              <w:rPr>
                <w:sz w:val="22"/>
                <w:szCs w:val="22"/>
                <w:color w:val="auto"/>
              </w:rPr>
            </w:pPr>
          </w:p>
        </w:tc>
        <w:tc>
          <w:tcPr>
            <w:tcW w:w="4420" w:type="dxa"/>
            <w:vAlign w:val="bottom"/>
            <w:gridSpan w:val="20"/>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Cash Flows Statements</w:t>
              </w:r>
            </w:hyperlink>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4420" w:type="dxa"/>
            <w:vAlign w:val="bottom"/>
            <w:gridSpan w:val="20"/>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Stockholders’ Equity Statements</w:t>
              </w:r>
            </w:hyperlink>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56"/>
        </w:trPr>
        <w:tc>
          <w:tcPr>
            <w:tcW w:w="20" w:type="dxa"/>
            <w:vAlign w:val="bottom"/>
          </w:tcPr>
          <w:p>
            <w:pPr>
              <w:spacing w:after="0"/>
              <w:rPr>
                <w:sz w:val="22"/>
                <w:szCs w:val="22"/>
                <w:color w:val="auto"/>
              </w:rPr>
            </w:pPr>
          </w:p>
        </w:tc>
        <w:tc>
          <w:tcPr>
            <w:tcW w:w="208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96"/>
              </w:rPr>
            </w:pPr>
            <w:hyperlink w:anchor="page63">
              <w:r>
                <w:rPr>
                  <w:rFonts w:ascii="Arial" w:cs="Arial" w:eastAsia="Arial" w:hAnsi="Arial"/>
                  <w:sz w:val="16"/>
                  <w:szCs w:val="16"/>
                  <w:color w:val="0000FF"/>
                  <w:w w:val="96"/>
                </w:rPr>
                <w:t>Notes to Financial Statements</w:t>
              </w:r>
            </w:hyperlink>
          </w:p>
        </w:tc>
        <w:tc>
          <w:tcPr>
            <w:tcW w:w="160" w:type="dxa"/>
            <w:vAlign w:val="bottom"/>
            <w:tcBorders>
              <w:top w:val="single" w:sz="8" w:color="0000FF"/>
            </w:tcBorders>
          </w:tcPr>
          <w:p>
            <w:pPr>
              <w:spacing w:after="0"/>
              <w:rPr>
                <w:sz w:val="22"/>
                <w:szCs w:val="22"/>
                <w:color w:val="auto"/>
              </w:rPr>
            </w:pPr>
          </w:p>
        </w:tc>
        <w:tc>
          <w:tcPr>
            <w:tcW w:w="2180" w:type="dxa"/>
            <w:vAlign w:val="bottom"/>
            <w:gridSpan w:val="13"/>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6"/>
        </w:trPr>
        <w:tc>
          <w:tcPr>
            <w:tcW w:w="20" w:type="dxa"/>
            <w:vAlign w:val="bottom"/>
          </w:tcPr>
          <w:p>
            <w:pPr>
              <w:spacing w:after="0"/>
              <w:rPr>
                <w:sz w:val="22"/>
                <w:szCs w:val="22"/>
                <w:color w:val="auto"/>
              </w:rPr>
            </w:pPr>
          </w:p>
        </w:tc>
        <w:tc>
          <w:tcPr>
            <w:tcW w:w="4420" w:type="dxa"/>
            <w:vAlign w:val="bottom"/>
            <w:gridSpan w:val="20"/>
          </w:tcPr>
          <w:p>
            <w:pPr>
              <w:spacing w:after="0"/>
              <w:rPr>
                <w:rFonts w:ascii="Arial" w:cs="Arial" w:eastAsia="Arial" w:hAnsi="Arial"/>
                <w:sz w:val="16"/>
                <w:szCs w:val="16"/>
                <w:color w:val="0000FF"/>
              </w:rPr>
            </w:pPr>
            <w:hyperlink w:anchor="page96">
              <w:r>
                <w:rPr>
                  <w:rFonts w:ascii="Arial" w:cs="Arial" w:eastAsia="Arial" w:hAnsi="Arial"/>
                  <w:sz w:val="16"/>
                  <w:szCs w:val="16"/>
                  <w:color w:val="0000FF"/>
                </w:rPr>
                <w:t>Report of Independent Registered Public Accounting Firm</w:t>
              </w:r>
            </w:hyperlink>
          </w:p>
        </w:tc>
        <w:tc>
          <w:tcPr>
            <w:tcW w:w="8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0"/>
        </w:trPr>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58"/>
        </w:trPr>
        <w:tc>
          <w:tcPr>
            <w:tcW w:w="4440" w:type="dxa"/>
            <w:vAlign w:val="bottom"/>
            <w:gridSpan w:val="21"/>
          </w:tcPr>
          <w:p>
            <w:pPr>
              <w:spacing w:after="0"/>
              <w:rPr>
                <w:sz w:val="20"/>
                <w:szCs w:val="20"/>
                <w:color w:val="auto"/>
              </w:rPr>
            </w:pPr>
            <w:r>
              <w:rPr>
                <w:rFonts w:ascii="Arial" w:cs="Arial" w:eastAsia="Arial" w:hAnsi="Arial"/>
                <w:sz w:val="16"/>
                <w:szCs w:val="16"/>
                <w:b w:val="1"/>
                <w:bCs w:val="1"/>
                <w:color w:val="auto"/>
              </w:rPr>
              <w:t>(b)Exhibit Listing</w:t>
            </w: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jc w:val="right"/>
              <w:ind w:right="625"/>
              <w:spacing w:after="0"/>
              <w:rPr>
                <w:sz w:val="20"/>
                <w:szCs w:val="20"/>
                <w:color w:val="auto"/>
              </w:rPr>
            </w:pPr>
            <w:r>
              <w:rPr>
                <w:rFonts w:ascii="Arial" w:cs="Arial" w:eastAsia="Arial" w:hAnsi="Arial"/>
                <w:sz w:val="12"/>
                <w:szCs w:val="12"/>
                <w:b w:val="1"/>
                <w:bCs w:val="1"/>
                <w:color w:val="auto"/>
              </w:rPr>
              <w:t>Incorporated by Reference</w:t>
            </w:r>
          </w:p>
        </w:tc>
        <w:tc>
          <w:tcPr>
            <w:tcW w:w="1120" w:type="dxa"/>
            <w:vAlign w:val="bottom"/>
            <w:tcBorders>
              <w:bottom w:val="single" w:sz="8" w:color="auto"/>
            </w:tcBorders>
          </w:tcPr>
          <w:p>
            <w:pPr>
              <w:spacing w:after="0"/>
              <w:rPr>
                <w:sz w:val="24"/>
                <w:szCs w:val="24"/>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Exhibit</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jc w:val="center"/>
              <w:ind w:left="60"/>
              <w:spacing w:after="0"/>
              <w:rPr>
                <w:sz w:val="20"/>
                <w:szCs w:val="20"/>
                <w:color w:val="auto"/>
              </w:rPr>
            </w:pPr>
            <w:r>
              <w:rPr>
                <w:rFonts w:ascii="Arial" w:cs="Arial" w:eastAsia="Arial" w:hAnsi="Arial"/>
                <w:sz w:val="12"/>
                <w:szCs w:val="12"/>
                <w:b w:val="1"/>
                <w:bCs w:val="1"/>
                <w:color w:val="auto"/>
                <w:w w:val="99"/>
              </w:rPr>
              <w:t>Filed</w:t>
            </w:r>
          </w:p>
        </w:tc>
        <w:tc>
          <w:tcPr>
            <w:tcW w:w="1440" w:type="dxa"/>
            <w:vAlign w:val="bottom"/>
          </w:tcPr>
          <w:p>
            <w:pPr>
              <w:spacing w:after="0"/>
              <w:rPr>
                <w:sz w:val="14"/>
                <w:szCs w:val="14"/>
                <w:color w:val="auto"/>
              </w:rPr>
            </w:pPr>
          </w:p>
        </w:tc>
        <w:tc>
          <w:tcPr>
            <w:tcW w:w="1460" w:type="dxa"/>
            <w:vAlign w:val="bottom"/>
          </w:tcPr>
          <w:p>
            <w:pPr>
              <w:jc w:val="right"/>
              <w:ind w:right="340"/>
              <w:spacing w:after="0"/>
              <w:rPr>
                <w:sz w:val="20"/>
                <w:szCs w:val="20"/>
                <w:color w:val="auto"/>
              </w:rPr>
            </w:pPr>
            <w:r>
              <w:rPr>
                <w:rFonts w:ascii="Arial" w:cs="Arial" w:eastAsia="Arial" w:hAnsi="Arial"/>
                <w:sz w:val="12"/>
                <w:szCs w:val="12"/>
                <w:b w:val="1"/>
                <w:bCs w:val="1"/>
                <w:color w:val="auto"/>
              </w:rPr>
              <w:t>Period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Number</w:t>
            </w:r>
          </w:p>
        </w:tc>
        <w:tc>
          <w:tcPr>
            <w:tcW w:w="3660" w:type="dxa"/>
            <w:vAlign w:val="bottom"/>
            <w:tcBorders>
              <w:bottom w:val="single" w:sz="8" w:color="auto"/>
            </w:tcBorders>
            <w:gridSpan w:val="19"/>
          </w:tcPr>
          <w:p>
            <w:pPr>
              <w:ind w:left="300"/>
              <w:spacing w:after="0"/>
              <w:rPr>
                <w:sz w:val="20"/>
                <w:szCs w:val="20"/>
                <w:color w:val="auto"/>
              </w:rPr>
            </w:pPr>
            <w:r>
              <w:rPr>
                <w:rFonts w:ascii="Arial" w:cs="Arial" w:eastAsia="Arial" w:hAnsi="Arial"/>
                <w:sz w:val="12"/>
                <w:szCs w:val="12"/>
                <w:b w:val="1"/>
                <w:bCs w:val="1"/>
                <w:color w:val="auto"/>
              </w:rPr>
              <w:t>Exhibit Description</w:t>
            </w:r>
          </w:p>
        </w:tc>
        <w:tc>
          <w:tcPr>
            <w:tcW w:w="880" w:type="dxa"/>
            <w:vAlign w:val="bottom"/>
            <w:tcBorders>
              <w:bottom w:val="single" w:sz="8" w:color="auto"/>
            </w:tcBorders>
          </w:tcPr>
          <w:p>
            <w:pPr>
              <w:jc w:val="center"/>
              <w:ind w:left="60"/>
              <w:spacing w:after="0"/>
              <w:rPr>
                <w:sz w:val="20"/>
                <w:szCs w:val="20"/>
                <w:color w:val="auto"/>
              </w:rPr>
            </w:pPr>
            <w:r>
              <w:rPr>
                <w:rFonts w:ascii="Arial" w:cs="Arial" w:eastAsia="Arial" w:hAnsi="Arial"/>
                <w:sz w:val="12"/>
                <w:szCs w:val="12"/>
                <w:b w:val="1"/>
                <w:bCs w:val="1"/>
                <w:color w:val="auto"/>
              </w:rPr>
              <w:t>Herewith</w:t>
            </w:r>
          </w:p>
        </w:tc>
        <w:tc>
          <w:tcPr>
            <w:tcW w:w="1440" w:type="dxa"/>
            <w:vAlign w:val="bottom"/>
            <w:tcBorders>
              <w:bottom w:val="single" w:sz="8" w:color="auto"/>
            </w:tcBorders>
          </w:tcPr>
          <w:p>
            <w:pPr>
              <w:jc w:val="right"/>
              <w:ind w:right="305"/>
              <w:spacing w:after="0"/>
              <w:rPr>
                <w:sz w:val="20"/>
                <w:szCs w:val="20"/>
                <w:color w:val="auto"/>
              </w:rPr>
            </w:pPr>
            <w:r>
              <w:rPr>
                <w:rFonts w:ascii="Arial" w:cs="Arial" w:eastAsia="Arial" w:hAnsi="Arial"/>
                <w:sz w:val="12"/>
                <w:szCs w:val="12"/>
                <w:b w:val="1"/>
                <w:bCs w:val="1"/>
                <w:color w:val="auto"/>
              </w:rPr>
              <w:t>Form</w:t>
            </w:r>
          </w:p>
        </w:tc>
        <w:tc>
          <w:tcPr>
            <w:tcW w:w="14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Ending</w:t>
            </w:r>
          </w:p>
        </w:tc>
        <w:tc>
          <w:tcPr>
            <w:tcW w:w="1140" w:type="dxa"/>
            <w:vAlign w:val="bottom"/>
            <w:tcBorders>
              <w:bottom w:val="single" w:sz="8" w:color="auto"/>
            </w:tcBorders>
          </w:tcPr>
          <w:p>
            <w:pPr>
              <w:jc w:val="right"/>
              <w:ind w:right="245"/>
              <w:spacing w:after="0"/>
              <w:rPr>
                <w:sz w:val="20"/>
                <w:szCs w:val="20"/>
                <w:color w:val="auto"/>
              </w:rPr>
            </w:pPr>
            <w:r>
              <w:rPr>
                <w:rFonts w:ascii="Arial" w:cs="Arial" w:eastAsia="Arial" w:hAnsi="Arial"/>
                <w:sz w:val="12"/>
                <w:szCs w:val="12"/>
                <w:b w:val="1"/>
                <w:bCs w:val="1"/>
                <w:color w:val="auto"/>
              </w:rPr>
              <w:t>Exhibit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r>
      <w:tr>
        <w:trPr>
          <w:trHeight w:val="234"/>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3.1</w:t>
            </w:r>
          </w:p>
        </w:tc>
        <w:tc>
          <w:tcPr>
            <w:tcW w:w="300" w:type="dxa"/>
            <w:vAlign w:val="bottom"/>
          </w:tcPr>
          <w:p>
            <w:pPr>
              <w:spacing w:after="0"/>
              <w:rPr>
                <w:sz w:val="20"/>
                <w:szCs w:val="20"/>
                <w:color w:val="auto"/>
              </w:rPr>
            </w:pPr>
          </w:p>
        </w:tc>
        <w:tc>
          <w:tcPr>
            <w:tcW w:w="3360" w:type="dxa"/>
            <w:vAlign w:val="bottom"/>
            <w:tcBorders>
              <w:bottom w:val="single" w:sz="8" w:color="0000FF"/>
            </w:tcBorders>
            <w:gridSpan w:val="18"/>
          </w:tcPr>
          <w:p>
            <w:pPr>
              <w:spacing w:after="0"/>
              <w:rPr>
                <w:rFonts w:ascii="Arial" w:cs="Arial" w:eastAsia="Arial" w:hAnsi="Arial"/>
                <w:sz w:val="16"/>
                <w:szCs w:val="16"/>
                <w:color w:val="0000FF"/>
                <w:w w:val="98"/>
              </w:rPr>
            </w:pPr>
            <w:hyperlink r:id="rId322">
              <w:r>
                <w:rPr>
                  <w:rFonts w:ascii="Arial" w:cs="Arial" w:eastAsia="Arial" w:hAnsi="Arial"/>
                  <w:sz w:val="16"/>
                  <w:szCs w:val="16"/>
                  <w:color w:val="0000FF"/>
                  <w:w w:val="98"/>
                </w:rPr>
                <w:t>Amended and Restated Articles of Incorporation</w:t>
              </w:r>
            </w:hyperlink>
          </w:p>
        </w:tc>
        <w:tc>
          <w:tcPr>
            <w:tcW w:w="880" w:type="dxa"/>
            <w:vAlign w:val="bottom"/>
          </w:tcPr>
          <w:p>
            <w:pPr>
              <w:spacing w:after="0"/>
              <w:rPr>
                <w:sz w:val="20"/>
                <w:szCs w:val="20"/>
                <w:color w:val="auto"/>
              </w:rPr>
            </w:pPr>
          </w:p>
        </w:tc>
        <w:tc>
          <w:tcPr>
            <w:tcW w:w="1440" w:type="dxa"/>
            <w:vAlign w:val="bottom"/>
          </w:tcPr>
          <w:p>
            <w:pPr>
              <w:jc w:val="right"/>
              <w:ind w:right="325"/>
              <w:spacing w:after="0"/>
              <w:rPr>
                <w:sz w:val="20"/>
                <w:szCs w:val="20"/>
                <w:color w:val="auto"/>
              </w:rPr>
            </w:pPr>
            <w:r>
              <w:rPr>
                <w:rFonts w:ascii="Arial" w:cs="Arial" w:eastAsia="Arial" w:hAnsi="Arial"/>
                <w:sz w:val="16"/>
                <w:szCs w:val="16"/>
                <w:color w:val="auto"/>
              </w:rPr>
              <w:t>8-K</w:t>
            </w:r>
          </w:p>
        </w:tc>
        <w:tc>
          <w:tcPr>
            <w:tcW w:w="1460" w:type="dxa"/>
            <w:vAlign w:val="bottom"/>
          </w:tcPr>
          <w:p>
            <w:pPr>
              <w:spacing w:after="0"/>
              <w:rPr>
                <w:sz w:val="20"/>
                <w:szCs w:val="20"/>
                <w:color w:val="auto"/>
              </w:rPr>
            </w:pPr>
          </w:p>
        </w:tc>
        <w:tc>
          <w:tcPr>
            <w:tcW w:w="1140" w:type="dxa"/>
            <w:vAlign w:val="bottom"/>
          </w:tcPr>
          <w:p>
            <w:pPr>
              <w:jc w:val="right"/>
              <w:ind w:right="265"/>
              <w:spacing w:after="0"/>
              <w:rPr>
                <w:sz w:val="20"/>
                <w:szCs w:val="20"/>
                <w:color w:val="auto"/>
              </w:rPr>
            </w:pPr>
            <w:r>
              <w:rPr>
                <w:rFonts w:ascii="Arial" w:cs="Arial" w:eastAsia="Arial" w:hAnsi="Arial"/>
                <w:sz w:val="16"/>
                <w:szCs w:val="16"/>
                <w:color w:val="auto"/>
              </w:rPr>
              <w:t>3.1</w:t>
            </w:r>
          </w:p>
        </w:tc>
        <w:tc>
          <w:tcPr>
            <w:tcW w:w="1120" w:type="dxa"/>
            <w:vAlign w:val="bottom"/>
          </w:tcPr>
          <w:p>
            <w:pPr>
              <w:jc w:val="right"/>
              <w:spacing w:after="0"/>
              <w:rPr>
                <w:sz w:val="20"/>
                <w:szCs w:val="20"/>
                <w:color w:val="auto"/>
              </w:rPr>
            </w:pPr>
            <w:r>
              <w:rPr>
                <w:rFonts w:ascii="Arial" w:cs="Arial" w:eastAsia="Arial" w:hAnsi="Arial"/>
                <w:sz w:val="16"/>
                <w:szCs w:val="16"/>
                <w:color w:val="auto"/>
              </w:rPr>
              <w:t>12/1/2016</w:t>
            </w: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tcBorders>
              <w:bottom w:val="single" w:sz="8" w:color="0000FF"/>
            </w:tcBorders>
            <w:gridSpan w:val="8"/>
          </w:tcPr>
          <w:p>
            <w:pPr>
              <w:spacing w:after="0" w:line="160" w:lineRule="exact"/>
              <w:rPr>
                <w:rFonts w:ascii="Arial" w:cs="Arial" w:eastAsia="Arial" w:hAnsi="Arial"/>
                <w:sz w:val="16"/>
                <w:szCs w:val="16"/>
                <w:color w:val="0000FF"/>
                <w:w w:val="97"/>
              </w:rPr>
            </w:pPr>
            <w:hyperlink r:id="rId322">
              <w:r>
                <w:rPr>
                  <w:rFonts w:ascii="Arial" w:cs="Arial" w:eastAsia="Arial" w:hAnsi="Arial"/>
                  <w:sz w:val="16"/>
                  <w:szCs w:val="16"/>
                  <w:color w:val="0000FF"/>
                  <w:w w:val="97"/>
                </w:rPr>
                <w:t>of Microsoft Corporation</w:t>
              </w:r>
            </w:hyperlink>
          </w:p>
        </w:tc>
        <w:tc>
          <w:tcPr>
            <w:tcW w:w="1680" w:type="dxa"/>
            <w:vAlign w:val="bottom"/>
            <w:gridSpan w:val="10"/>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22"/>
                <w:szCs w:val="22"/>
                <w:color w:val="auto"/>
              </w:rPr>
            </w:pPr>
          </w:p>
        </w:tc>
        <w:tc>
          <w:tcPr>
            <w:tcW w:w="3360" w:type="dxa"/>
            <w:vAlign w:val="bottom"/>
            <w:gridSpan w:val="18"/>
          </w:tcPr>
          <w:p>
            <w:pPr>
              <w:spacing w:after="0"/>
              <w:rPr>
                <w:rFonts w:ascii="Arial" w:cs="Arial" w:eastAsia="Arial" w:hAnsi="Arial"/>
                <w:sz w:val="16"/>
                <w:szCs w:val="16"/>
                <w:color w:val="0000FF"/>
              </w:rPr>
            </w:pPr>
            <w:hyperlink r:id="rId323">
              <w:r>
                <w:rPr>
                  <w:rFonts w:ascii="Arial" w:cs="Arial" w:eastAsia="Arial" w:hAnsi="Arial"/>
                  <w:sz w:val="16"/>
                  <w:szCs w:val="16"/>
                  <w:color w:val="0000FF"/>
                </w:rPr>
                <w:t>Bylaws of Microsoft Corporation</w:t>
              </w:r>
            </w:hyperlink>
          </w:p>
        </w:tc>
        <w:tc>
          <w:tcPr>
            <w:tcW w:w="880" w:type="dxa"/>
            <w:vAlign w:val="bottom"/>
          </w:tcPr>
          <w:p>
            <w:pPr>
              <w:spacing w:after="0"/>
              <w:rPr>
                <w:sz w:val="22"/>
                <w:szCs w:val="22"/>
                <w:color w:val="auto"/>
              </w:rPr>
            </w:pPr>
          </w:p>
        </w:tc>
        <w:tc>
          <w:tcPr>
            <w:tcW w:w="1440" w:type="dxa"/>
            <w:vAlign w:val="bottom"/>
          </w:tcPr>
          <w:p>
            <w:pPr>
              <w:jc w:val="right"/>
              <w:ind w:right="325"/>
              <w:spacing w:after="0"/>
              <w:rPr>
                <w:sz w:val="20"/>
                <w:szCs w:val="20"/>
                <w:color w:val="auto"/>
              </w:rPr>
            </w:pPr>
            <w:r>
              <w:rPr>
                <w:rFonts w:ascii="Arial" w:cs="Arial" w:eastAsia="Arial" w:hAnsi="Arial"/>
                <w:sz w:val="16"/>
                <w:szCs w:val="16"/>
                <w:color w:val="auto"/>
              </w:rPr>
              <w:t>8-K</w:t>
            </w:r>
          </w:p>
        </w:tc>
        <w:tc>
          <w:tcPr>
            <w:tcW w:w="1460" w:type="dxa"/>
            <w:vAlign w:val="bottom"/>
          </w:tcPr>
          <w:p>
            <w:pPr>
              <w:spacing w:after="0"/>
              <w:rPr>
                <w:sz w:val="22"/>
                <w:szCs w:val="22"/>
                <w:color w:val="auto"/>
              </w:rPr>
            </w:pPr>
          </w:p>
        </w:tc>
        <w:tc>
          <w:tcPr>
            <w:tcW w:w="1140" w:type="dxa"/>
            <w:vAlign w:val="bottom"/>
          </w:tcPr>
          <w:p>
            <w:pPr>
              <w:jc w:val="right"/>
              <w:ind w:right="265"/>
              <w:spacing w:after="0"/>
              <w:rPr>
                <w:sz w:val="20"/>
                <w:szCs w:val="20"/>
                <w:color w:val="auto"/>
              </w:rPr>
            </w:pPr>
            <w:r>
              <w:rPr>
                <w:rFonts w:ascii="Arial" w:cs="Arial" w:eastAsia="Arial" w:hAnsi="Arial"/>
                <w:sz w:val="16"/>
                <w:szCs w:val="16"/>
                <w:color w:val="auto"/>
              </w:rPr>
              <w:t>3.2</w:t>
            </w:r>
          </w:p>
        </w:tc>
        <w:tc>
          <w:tcPr>
            <w:tcW w:w="1120" w:type="dxa"/>
            <w:vAlign w:val="bottom"/>
          </w:tcPr>
          <w:p>
            <w:pPr>
              <w:jc w:val="right"/>
              <w:spacing w:after="0"/>
              <w:rPr>
                <w:sz w:val="20"/>
                <w:szCs w:val="20"/>
                <w:color w:val="auto"/>
              </w:rPr>
            </w:pPr>
            <w:r>
              <w:rPr>
                <w:rFonts w:ascii="Arial" w:cs="Arial" w:eastAsia="Arial" w:hAnsi="Arial"/>
                <w:sz w:val="16"/>
                <w:szCs w:val="16"/>
                <w:color w:val="auto"/>
              </w:rPr>
              <w:t>7/3/2023</w:t>
            </w:r>
          </w:p>
        </w:tc>
      </w:tr>
      <w:tr>
        <w:trPr>
          <w:trHeight w:val="20"/>
        </w:trPr>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6"/>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6"/>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2"/>
                <w:szCs w:val="22"/>
                <w:color w:val="auto"/>
              </w:rPr>
            </w:pPr>
          </w:p>
        </w:tc>
        <w:tc>
          <w:tcPr>
            <w:tcW w:w="3240" w:type="dxa"/>
            <w:vAlign w:val="bottom"/>
            <w:tcBorders>
              <w:bottom w:val="single" w:sz="8" w:color="0000FF"/>
            </w:tcBorders>
            <w:gridSpan w:val="16"/>
          </w:tcPr>
          <w:p>
            <w:pPr>
              <w:spacing w:after="0"/>
              <w:rPr>
                <w:rFonts w:ascii="Arial" w:cs="Arial" w:eastAsia="Arial" w:hAnsi="Arial"/>
                <w:sz w:val="16"/>
                <w:szCs w:val="16"/>
                <w:color w:val="0000FF"/>
                <w:w w:val="98"/>
              </w:rPr>
            </w:pPr>
            <w:hyperlink r:id="rId324">
              <w:r>
                <w:rPr>
                  <w:rFonts w:ascii="Arial" w:cs="Arial" w:eastAsia="Arial" w:hAnsi="Arial"/>
                  <w:sz w:val="16"/>
                  <w:szCs w:val="16"/>
                  <w:color w:val="0000FF"/>
                  <w:w w:val="98"/>
                </w:rPr>
                <w:t>Indenture, dated as of May 18, 2009, between</w:t>
              </w:r>
            </w:hyperlink>
          </w:p>
        </w:tc>
        <w:tc>
          <w:tcPr>
            <w:tcW w:w="12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jc w:val="right"/>
              <w:ind w:right="325"/>
              <w:spacing w:after="0"/>
              <w:rPr>
                <w:sz w:val="20"/>
                <w:szCs w:val="20"/>
                <w:color w:val="auto"/>
              </w:rPr>
            </w:pPr>
            <w:r>
              <w:rPr>
                <w:rFonts w:ascii="Arial" w:cs="Arial" w:eastAsia="Arial" w:hAnsi="Arial"/>
                <w:sz w:val="16"/>
                <w:szCs w:val="16"/>
                <w:color w:val="auto"/>
              </w:rPr>
              <w:t>S-3ASR</w:t>
            </w:r>
          </w:p>
        </w:tc>
        <w:tc>
          <w:tcPr>
            <w:tcW w:w="1460" w:type="dxa"/>
            <w:vAlign w:val="bottom"/>
          </w:tcPr>
          <w:p>
            <w:pPr>
              <w:spacing w:after="0"/>
              <w:rPr>
                <w:sz w:val="22"/>
                <w:szCs w:val="22"/>
                <w:color w:val="auto"/>
              </w:rPr>
            </w:pPr>
          </w:p>
        </w:tc>
        <w:tc>
          <w:tcPr>
            <w:tcW w:w="1140" w:type="dxa"/>
            <w:vAlign w:val="bottom"/>
          </w:tcPr>
          <w:p>
            <w:pPr>
              <w:jc w:val="right"/>
              <w:ind w:right="265"/>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10/29/2015</w:t>
            </w: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2"/>
          </w:tcPr>
          <w:p>
            <w:pPr>
              <w:spacing w:after="0" w:line="160" w:lineRule="exact"/>
              <w:rPr>
                <w:rFonts w:ascii="Arial" w:cs="Arial" w:eastAsia="Arial" w:hAnsi="Arial"/>
                <w:sz w:val="16"/>
                <w:szCs w:val="16"/>
                <w:color w:val="0000FF"/>
                <w:w w:val="98"/>
              </w:rPr>
            </w:pPr>
            <w:hyperlink r:id="rId324">
              <w:r>
                <w:rPr>
                  <w:rFonts w:ascii="Arial" w:cs="Arial" w:eastAsia="Arial" w:hAnsi="Arial"/>
                  <w:sz w:val="16"/>
                  <w:szCs w:val="16"/>
                  <w:color w:val="0000FF"/>
                  <w:w w:val="98"/>
                </w:rPr>
                <w:t>Microsoft Corporation and The Bank of New</w:t>
              </w:r>
            </w:hyperlink>
          </w:p>
        </w:tc>
        <w:tc>
          <w:tcPr>
            <w:tcW w:w="26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24">
              <w:r>
                <w:rPr>
                  <w:rFonts w:ascii="Arial" w:cs="Arial" w:eastAsia="Arial" w:hAnsi="Arial"/>
                  <w:sz w:val="16"/>
                  <w:szCs w:val="16"/>
                  <w:color w:val="0000FF"/>
                  <w:w w:val="98"/>
                </w:rPr>
                <w:t>York Mellon Trust Company, N.A., as Trustee</w:t>
              </w:r>
            </w:hyperlink>
          </w:p>
        </w:tc>
        <w:tc>
          <w:tcPr>
            <w:tcW w:w="16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Borders>
              <w:bottom w:val="single" w:sz="8" w:color="0000FF"/>
            </w:tcBorders>
            <w:gridSpan w:val="6"/>
          </w:tcPr>
          <w:p>
            <w:pPr>
              <w:spacing w:after="0" w:line="160" w:lineRule="exact"/>
              <w:rPr>
                <w:rFonts w:ascii="Arial" w:cs="Arial" w:eastAsia="Arial" w:hAnsi="Arial"/>
                <w:sz w:val="16"/>
                <w:szCs w:val="16"/>
                <w:color w:val="0000FF"/>
                <w:w w:val="97"/>
              </w:rPr>
            </w:pPr>
            <w:hyperlink r:id="rId324">
              <w:r>
                <w:rPr>
                  <w:rFonts w:ascii="Arial" w:cs="Arial" w:eastAsia="Arial" w:hAnsi="Arial"/>
                  <w:sz w:val="16"/>
                  <w:szCs w:val="16"/>
                  <w:color w:val="0000FF"/>
                  <w:w w:val="97"/>
                </w:rPr>
                <w:t>(“Base Indenture”)</w:t>
              </w:r>
            </w:hyperlink>
          </w:p>
        </w:tc>
        <w:tc>
          <w:tcPr>
            <w:tcW w:w="208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4.2</w:t>
            </w:r>
          </w:p>
        </w:tc>
        <w:tc>
          <w:tcPr>
            <w:tcW w:w="300" w:type="dxa"/>
            <w:vAlign w:val="bottom"/>
          </w:tcPr>
          <w:p>
            <w:pPr>
              <w:spacing w:after="0"/>
              <w:rPr>
                <w:sz w:val="22"/>
                <w:szCs w:val="22"/>
                <w:color w:val="auto"/>
              </w:rPr>
            </w:pPr>
          </w:p>
        </w:tc>
        <w:tc>
          <w:tcPr>
            <w:tcW w:w="3340" w:type="dxa"/>
            <w:vAlign w:val="bottom"/>
            <w:tcBorders>
              <w:bottom w:val="single" w:sz="8" w:color="0000FF"/>
            </w:tcBorders>
            <w:gridSpan w:val="17"/>
          </w:tcPr>
          <w:p>
            <w:pPr>
              <w:spacing w:after="0"/>
              <w:rPr>
                <w:rFonts w:ascii="Arial" w:cs="Arial" w:eastAsia="Arial" w:hAnsi="Arial"/>
                <w:sz w:val="16"/>
                <w:szCs w:val="16"/>
                <w:color w:val="0000FF"/>
                <w:w w:val="98"/>
              </w:rPr>
            </w:pPr>
            <w:hyperlink r:id="rId325">
              <w:r>
                <w:rPr>
                  <w:rFonts w:ascii="Arial" w:cs="Arial" w:eastAsia="Arial" w:hAnsi="Arial"/>
                  <w:sz w:val="16"/>
                  <w:szCs w:val="16"/>
                  <w:color w:val="0000FF"/>
                  <w:w w:val="98"/>
                </w:rPr>
                <w:t>Form of First Supplemental Indenture for 2.95%</w:t>
              </w:r>
            </w:hyperlink>
          </w:p>
        </w:tc>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jc w:val="right"/>
              <w:ind w:right="325"/>
              <w:spacing w:after="0"/>
              <w:rPr>
                <w:sz w:val="20"/>
                <w:szCs w:val="20"/>
                <w:color w:val="auto"/>
              </w:rPr>
            </w:pPr>
            <w:r>
              <w:rPr>
                <w:rFonts w:ascii="Arial" w:cs="Arial" w:eastAsia="Arial" w:hAnsi="Arial"/>
                <w:sz w:val="16"/>
                <w:szCs w:val="16"/>
                <w:color w:val="auto"/>
              </w:rPr>
              <w:t>8-K</w:t>
            </w:r>
          </w:p>
        </w:tc>
        <w:tc>
          <w:tcPr>
            <w:tcW w:w="1460" w:type="dxa"/>
            <w:vAlign w:val="bottom"/>
          </w:tcPr>
          <w:p>
            <w:pPr>
              <w:spacing w:after="0"/>
              <w:rPr>
                <w:sz w:val="22"/>
                <w:szCs w:val="22"/>
                <w:color w:val="auto"/>
              </w:rPr>
            </w:pPr>
          </w:p>
        </w:tc>
        <w:tc>
          <w:tcPr>
            <w:tcW w:w="1140" w:type="dxa"/>
            <w:vAlign w:val="bottom"/>
          </w:tcPr>
          <w:p>
            <w:pPr>
              <w:jc w:val="right"/>
              <w:ind w:right="265"/>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5/15/2009</w:t>
            </w: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8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25">
              <w:r>
                <w:rPr>
                  <w:rFonts w:ascii="Arial" w:cs="Arial" w:eastAsia="Arial" w:hAnsi="Arial"/>
                  <w:sz w:val="16"/>
                  <w:szCs w:val="16"/>
                  <w:color w:val="0000FF"/>
                  <w:w w:val="98"/>
                </w:rPr>
                <w:t>Notes due 2014, 4.20% Notes due 2019, and</w:t>
              </w:r>
            </w:hyperlink>
          </w:p>
        </w:tc>
        <w:tc>
          <w:tcPr>
            <w:tcW w:w="180" w:type="dxa"/>
            <w:vAlign w:val="bottom"/>
            <w:gridSpan w:val="5"/>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2"/>
          </w:tcPr>
          <w:p>
            <w:pPr>
              <w:spacing w:after="0" w:line="160" w:lineRule="exact"/>
              <w:rPr>
                <w:rFonts w:ascii="Arial" w:cs="Arial" w:eastAsia="Arial" w:hAnsi="Arial"/>
                <w:sz w:val="16"/>
                <w:szCs w:val="16"/>
                <w:color w:val="0000FF"/>
                <w:w w:val="98"/>
              </w:rPr>
            </w:pPr>
            <w:hyperlink r:id="rId325">
              <w:r>
                <w:rPr>
                  <w:rFonts w:ascii="Arial" w:cs="Arial" w:eastAsia="Arial" w:hAnsi="Arial"/>
                  <w:sz w:val="16"/>
                  <w:szCs w:val="16"/>
                  <w:color w:val="0000FF"/>
                  <w:w w:val="98"/>
                </w:rPr>
                <w:t>5.</w:t>
              </w:r>
              <w:r>
                <w:rPr>
                  <w:rFonts w:ascii="Arial" w:cs="Arial" w:eastAsia="Arial" w:hAnsi="Arial"/>
                  <w:sz w:val="16"/>
                  <w:szCs w:val="16"/>
                  <w:u w:val="single" w:color="auto"/>
                  <w:color w:val="0000FF"/>
                  <w:w w:val="98"/>
                </w:rPr>
                <w:t>20%</w:t>
              </w:r>
              <w:r>
                <w:rPr>
                  <w:rFonts w:ascii="Arial" w:cs="Arial" w:eastAsia="Arial" w:hAnsi="Arial"/>
                  <w:sz w:val="16"/>
                  <w:szCs w:val="16"/>
                  <w:color w:val="0000FF"/>
                  <w:w w:val="98"/>
                </w:rPr>
                <w:t xml:space="preserve"> Notes due 2039, dated as of May 18,</w:t>
              </w:r>
            </w:hyperlink>
          </w:p>
        </w:tc>
        <w:tc>
          <w:tcPr>
            <w:tcW w:w="26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15"/>
          </w:tcPr>
          <w:p>
            <w:pPr>
              <w:spacing w:after="0" w:line="160" w:lineRule="exact"/>
              <w:rPr>
                <w:rFonts w:ascii="Arial" w:cs="Arial" w:eastAsia="Arial" w:hAnsi="Arial"/>
                <w:sz w:val="16"/>
                <w:szCs w:val="16"/>
                <w:color w:val="0000FF"/>
                <w:w w:val="98"/>
              </w:rPr>
            </w:pPr>
            <w:hyperlink r:id="rId325">
              <w:r>
                <w:rPr>
                  <w:rFonts w:ascii="Arial" w:cs="Arial" w:eastAsia="Arial" w:hAnsi="Arial"/>
                  <w:sz w:val="16"/>
                  <w:szCs w:val="16"/>
                  <w:color w:val="0000FF"/>
                  <w:w w:val="98"/>
                </w:rPr>
                <w:t>2009, between Microsoft Corporation and The</w:t>
              </w:r>
            </w:hyperlink>
          </w:p>
        </w:tc>
        <w:tc>
          <w:tcPr>
            <w:tcW w:w="14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7"/>
          </w:tcPr>
          <w:p>
            <w:pPr>
              <w:spacing w:after="0" w:line="160" w:lineRule="exact"/>
              <w:rPr>
                <w:rFonts w:ascii="Arial" w:cs="Arial" w:eastAsia="Arial" w:hAnsi="Arial"/>
                <w:sz w:val="16"/>
                <w:szCs w:val="16"/>
                <w:color w:val="0000FF"/>
                <w:w w:val="98"/>
              </w:rPr>
            </w:pPr>
            <w:hyperlink r:id="rId325">
              <w:r>
                <w:rPr>
                  <w:rFonts w:ascii="Arial" w:cs="Arial" w:eastAsia="Arial" w:hAnsi="Arial"/>
                  <w:sz w:val="16"/>
                  <w:szCs w:val="16"/>
                  <w:color w:val="0000FF"/>
                  <w:w w:val="98"/>
                </w:rPr>
                <w:t>Bank of New York Mellon Trust Company, N.A.,</w:t>
              </w:r>
            </w:hyperlink>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20" w:type="dxa"/>
            <w:vAlign w:val="bottom"/>
            <w:tcBorders>
              <w:bottom w:val="single" w:sz="8" w:color="0000FF"/>
            </w:tcBorders>
            <w:gridSpan w:val="10"/>
          </w:tcPr>
          <w:p>
            <w:pPr>
              <w:spacing w:after="0" w:line="160" w:lineRule="exact"/>
              <w:rPr>
                <w:rFonts w:ascii="Arial" w:cs="Arial" w:eastAsia="Arial" w:hAnsi="Arial"/>
                <w:sz w:val="16"/>
                <w:szCs w:val="16"/>
                <w:color w:val="0000FF"/>
                <w:w w:val="96"/>
              </w:rPr>
            </w:pPr>
            <w:hyperlink r:id="rId325">
              <w:r>
                <w:rPr>
                  <w:rFonts w:ascii="Arial" w:cs="Arial" w:eastAsia="Arial" w:hAnsi="Arial"/>
                  <w:sz w:val="16"/>
                  <w:szCs w:val="16"/>
                  <w:color w:val="0000FF"/>
                  <w:w w:val="96"/>
                </w:rPr>
                <w:t>as Trustee, to the Base Indenture</w:t>
              </w:r>
            </w:hyperlink>
          </w:p>
        </w:tc>
        <w:tc>
          <w:tcPr>
            <w:tcW w:w="1040" w:type="dxa"/>
            <w:vAlign w:val="bottom"/>
            <w:gridSpan w:val="8"/>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780" w:type="dxa"/>
            <w:vAlign w:val="bottom"/>
            <w:gridSpan w:val="2"/>
          </w:tcPr>
          <w:p>
            <w:pPr>
              <w:ind w:left="20"/>
              <w:spacing w:after="0"/>
              <w:rPr>
                <w:sz w:val="20"/>
                <w:szCs w:val="20"/>
                <w:color w:val="auto"/>
              </w:rPr>
            </w:pPr>
            <w:r>
              <w:rPr>
                <w:rFonts w:ascii="Arial" w:cs="Arial" w:eastAsia="Arial" w:hAnsi="Arial"/>
                <w:sz w:val="16"/>
                <w:szCs w:val="16"/>
                <w:color w:val="auto"/>
              </w:rPr>
              <w:t>4.5</w:t>
            </w:r>
          </w:p>
        </w:tc>
        <w:tc>
          <w:tcPr>
            <w:tcW w:w="300" w:type="dxa"/>
            <w:vAlign w:val="bottom"/>
          </w:tcPr>
          <w:p>
            <w:pPr>
              <w:spacing w:after="0"/>
              <w:rPr>
                <w:sz w:val="22"/>
                <w:szCs w:val="22"/>
                <w:color w:val="auto"/>
              </w:rPr>
            </w:pPr>
          </w:p>
        </w:tc>
        <w:tc>
          <w:tcPr>
            <w:tcW w:w="3100" w:type="dxa"/>
            <w:vAlign w:val="bottom"/>
            <w:tcBorders>
              <w:bottom w:val="single" w:sz="8" w:color="0000FF"/>
            </w:tcBorders>
            <w:gridSpan w:val="12"/>
          </w:tcPr>
          <w:p>
            <w:pPr>
              <w:spacing w:after="0"/>
              <w:rPr>
                <w:rFonts w:ascii="Arial" w:cs="Arial" w:eastAsia="Arial" w:hAnsi="Arial"/>
                <w:sz w:val="16"/>
                <w:szCs w:val="16"/>
                <w:color w:val="0000FF"/>
                <w:w w:val="98"/>
              </w:rPr>
            </w:pPr>
            <w:hyperlink r:id="rId326">
              <w:r>
                <w:rPr>
                  <w:rFonts w:ascii="Arial" w:cs="Arial" w:eastAsia="Arial" w:hAnsi="Arial"/>
                  <w:sz w:val="16"/>
                  <w:szCs w:val="16"/>
                  <w:color w:val="0000FF"/>
                  <w:w w:val="98"/>
                </w:rPr>
                <w:t>Form of Second Supplemental Indenture for</w:t>
              </w:r>
            </w:hyperlink>
          </w:p>
        </w:tc>
        <w:tc>
          <w:tcPr>
            <w:tcW w:w="260" w:type="dxa"/>
            <w:vAlign w:val="bottom"/>
            <w:gridSpan w:val="6"/>
          </w:tcPr>
          <w:p>
            <w:pPr>
              <w:spacing w:after="0"/>
              <w:rPr>
                <w:sz w:val="22"/>
                <w:szCs w:val="22"/>
                <w:color w:val="auto"/>
              </w:rPr>
            </w:pPr>
          </w:p>
        </w:tc>
        <w:tc>
          <w:tcPr>
            <w:tcW w:w="880" w:type="dxa"/>
            <w:vAlign w:val="bottom"/>
          </w:tcPr>
          <w:p>
            <w:pPr>
              <w:spacing w:after="0"/>
              <w:rPr>
                <w:sz w:val="22"/>
                <w:szCs w:val="22"/>
                <w:color w:val="auto"/>
              </w:rPr>
            </w:pPr>
          </w:p>
        </w:tc>
        <w:tc>
          <w:tcPr>
            <w:tcW w:w="1440" w:type="dxa"/>
            <w:vAlign w:val="bottom"/>
          </w:tcPr>
          <w:p>
            <w:pPr>
              <w:jc w:val="right"/>
              <w:ind w:right="325"/>
              <w:spacing w:after="0"/>
              <w:rPr>
                <w:sz w:val="20"/>
                <w:szCs w:val="20"/>
                <w:color w:val="auto"/>
              </w:rPr>
            </w:pPr>
            <w:r>
              <w:rPr>
                <w:rFonts w:ascii="Arial" w:cs="Arial" w:eastAsia="Arial" w:hAnsi="Arial"/>
                <w:sz w:val="16"/>
                <w:szCs w:val="16"/>
                <w:color w:val="auto"/>
              </w:rPr>
              <w:t>8-K</w:t>
            </w:r>
          </w:p>
        </w:tc>
        <w:tc>
          <w:tcPr>
            <w:tcW w:w="1460" w:type="dxa"/>
            <w:vAlign w:val="bottom"/>
          </w:tcPr>
          <w:p>
            <w:pPr>
              <w:spacing w:after="0"/>
              <w:rPr>
                <w:sz w:val="22"/>
                <w:szCs w:val="22"/>
                <w:color w:val="auto"/>
              </w:rPr>
            </w:pPr>
          </w:p>
        </w:tc>
        <w:tc>
          <w:tcPr>
            <w:tcW w:w="1140" w:type="dxa"/>
            <w:vAlign w:val="bottom"/>
          </w:tcPr>
          <w:p>
            <w:pPr>
              <w:jc w:val="right"/>
              <w:ind w:right="265"/>
              <w:spacing w:after="0"/>
              <w:rPr>
                <w:sz w:val="20"/>
                <w:szCs w:val="20"/>
                <w:color w:val="auto"/>
              </w:rPr>
            </w:pPr>
            <w:r>
              <w:rPr>
                <w:rFonts w:ascii="Arial" w:cs="Arial" w:eastAsia="Arial" w:hAnsi="Arial"/>
                <w:sz w:val="16"/>
                <w:szCs w:val="16"/>
                <w:color w:val="auto"/>
              </w:rPr>
              <w:t>4.2</w:t>
            </w:r>
          </w:p>
        </w:tc>
        <w:tc>
          <w:tcPr>
            <w:tcW w:w="1120" w:type="dxa"/>
            <w:vAlign w:val="bottom"/>
          </w:tcPr>
          <w:p>
            <w:pPr>
              <w:jc w:val="right"/>
              <w:spacing w:after="0"/>
              <w:rPr>
                <w:sz w:val="20"/>
                <w:szCs w:val="20"/>
                <w:color w:val="auto"/>
              </w:rPr>
            </w:pPr>
            <w:r>
              <w:rPr>
                <w:rFonts w:ascii="Arial" w:cs="Arial" w:eastAsia="Arial" w:hAnsi="Arial"/>
                <w:sz w:val="16"/>
                <w:szCs w:val="16"/>
                <w:color w:val="auto"/>
              </w:rPr>
              <w:t>9/27/2010</w:t>
            </w:r>
          </w:p>
        </w:tc>
      </w:tr>
      <w:tr>
        <w:trPr>
          <w:trHeight w:val="160"/>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2"/>
          </w:tcPr>
          <w:p>
            <w:pPr>
              <w:spacing w:after="0" w:line="160" w:lineRule="exact"/>
              <w:rPr>
                <w:rFonts w:ascii="Arial" w:cs="Arial" w:eastAsia="Arial" w:hAnsi="Arial"/>
                <w:sz w:val="16"/>
                <w:szCs w:val="16"/>
                <w:color w:val="0000FF"/>
                <w:w w:val="98"/>
              </w:rPr>
            </w:pPr>
            <w:hyperlink r:id="rId326">
              <w:r>
                <w:rPr>
                  <w:rFonts w:ascii="Arial" w:cs="Arial" w:eastAsia="Arial" w:hAnsi="Arial"/>
                  <w:sz w:val="16"/>
                  <w:szCs w:val="16"/>
                  <w:color w:val="0000FF"/>
                  <w:w w:val="98"/>
                </w:rPr>
                <w:t>0.</w:t>
              </w:r>
              <w:r>
                <w:rPr>
                  <w:rFonts w:ascii="Arial" w:cs="Arial" w:eastAsia="Arial" w:hAnsi="Arial"/>
                  <w:sz w:val="16"/>
                  <w:szCs w:val="16"/>
                  <w:u w:val="single" w:color="auto"/>
                  <w:color w:val="0000FF"/>
                  <w:w w:val="98"/>
                </w:rPr>
                <w:t>875%</w:t>
              </w:r>
              <w:r>
                <w:rPr>
                  <w:rFonts w:ascii="Arial" w:cs="Arial" w:eastAsia="Arial" w:hAnsi="Arial"/>
                  <w:sz w:val="16"/>
                  <w:szCs w:val="16"/>
                  <w:color w:val="0000FF"/>
                  <w:w w:val="98"/>
                </w:rPr>
                <w:t xml:space="preserve"> Notes due 2013, 1.625% Notes due</w:t>
              </w:r>
            </w:hyperlink>
          </w:p>
        </w:tc>
        <w:tc>
          <w:tcPr>
            <w:tcW w:w="26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-2359660</wp:posOffset>
            </wp:positionV>
            <wp:extent cx="86360" cy="3683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ind w:left="1080"/>
        <w:spacing w:after="0"/>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2015, 3.00% Notes due 2020, and 4.50% Notes</w:t>
        </w:r>
      </w:hyperlink>
    </w:p>
    <w:p>
      <w:pPr>
        <w:spacing w:after="0" w:line="2" w:lineRule="exact"/>
        <w:rPr>
          <w:sz w:val="20"/>
          <w:szCs w:val="20"/>
          <w:color w:val="auto"/>
        </w:rPr>
      </w:pPr>
    </w:p>
    <w:p>
      <w:pPr>
        <w:ind w:left="1080"/>
        <w:spacing w:after="0"/>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due 2040, dated as of September 27, 2010,</w:t>
        </w:r>
      </w:hyperlink>
    </w:p>
    <w:p>
      <w:pPr>
        <w:ind w:left="1080"/>
        <w:spacing w:after="0" w:line="234" w:lineRule="auto"/>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between Microsoft Corporation and The Bank of</w:t>
        </w:r>
      </w:hyperlink>
    </w:p>
    <w:p>
      <w:pPr>
        <w:ind w:left="1080"/>
        <w:spacing w:after="0" w:line="235" w:lineRule="auto"/>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New York Mellon Trust Company, N.A., as</w:t>
        </w:r>
      </w:hyperlink>
    </w:p>
    <w:p>
      <w:pPr>
        <w:ind w:left="1080"/>
        <w:spacing w:after="0" w:line="235" w:lineRule="auto"/>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Trustee, to the Indenture, dated as of May 18,</w:t>
        </w:r>
      </w:hyperlink>
    </w:p>
    <w:p>
      <w:pPr>
        <w:ind w:left="1080"/>
        <w:spacing w:after="0" w:line="235" w:lineRule="auto"/>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2009, between Microsoft Corporation and The</w:t>
        </w:r>
      </w:hyperlink>
    </w:p>
    <w:p>
      <w:pPr>
        <w:ind w:left="1080"/>
        <w:spacing w:after="0" w:line="235" w:lineRule="auto"/>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Bank of New York Mellon Trust Company, N.A.,</w:t>
        </w:r>
      </w:hyperlink>
    </w:p>
    <w:p>
      <w:pPr>
        <w:ind w:left="1080"/>
        <w:spacing w:after="0"/>
        <w:rPr>
          <w:rFonts w:ascii="Arial" w:cs="Arial" w:eastAsia="Arial" w:hAnsi="Arial"/>
          <w:sz w:val="16"/>
          <w:szCs w:val="16"/>
          <w:u w:val="single" w:color="auto"/>
          <w:color w:val="0000FF"/>
        </w:rPr>
      </w:pPr>
      <w:hyperlink r:id="rId326">
        <w:r>
          <w:rPr>
            <w:rFonts w:ascii="Arial" w:cs="Arial" w:eastAsia="Arial" w:hAnsi="Arial"/>
            <w:sz w:val="16"/>
            <w:szCs w:val="16"/>
            <w:u w:val="single" w:color="auto"/>
            <w:color w:val="0000FF"/>
          </w:rPr>
          <w:t>as Trustee</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73" w:right="760" w:bottom="1440" w:gutter="0" w:footer="0" w:header="0"/>
        </w:sectPr>
      </w:pPr>
    </w:p>
    <w:bookmarkStart w:id="102" w:name="page103"/>
    <w:bookmarkEnd w:id="102"/>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118745</wp:posOffset>
            </wp:positionV>
            <wp:extent cx="86360" cy="3683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2"/>
                <w:szCs w:val="12"/>
                <w:b w:val="1"/>
                <w:bCs w:val="1"/>
                <w:color w:val="auto"/>
              </w:rPr>
              <w:t>Incorporated by Reference</w:t>
            </w:r>
          </w:p>
        </w:tc>
        <w:tc>
          <w:tcPr>
            <w:tcW w:w="1080" w:type="dxa"/>
            <w:vAlign w:val="bottom"/>
            <w:tcBorders>
              <w:bottom w:val="single" w:sz="8" w:color="auto"/>
            </w:tcBorders>
          </w:tcPr>
          <w:p>
            <w:pPr>
              <w:spacing w:after="0"/>
              <w:rPr>
                <w:sz w:val="14"/>
                <w:szCs w:val="14"/>
                <w:color w:val="auto"/>
              </w:rPr>
            </w:pPr>
          </w:p>
        </w:tc>
      </w:tr>
      <w:tr>
        <w:trPr>
          <w:trHeight w:val="161"/>
        </w:trPr>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Exhibit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ind w:left="40"/>
              <w:spacing w:after="0"/>
              <w:rPr>
                <w:sz w:val="20"/>
                <w:szCs w:val="20"/>
                <w:color w:val="auto"/>
              </w:rPr>
            </w:pPr>
            <w:r>
              <w:rPr>
                <w:rFonts w:ascii="Arial" w:cs="Arial" w:eastAsia="Arial" w:hAnsi="Arial"/>
                <w:sz w:val="12"/>
                <w:szCs w:val="12"/>
                <w:b w:val="1"/>
                <w:bCs w:val="1"/>
                <w:color w:val="auto"/>
                <w:w w:val="99"/>
              </w:rPr>
              <w:t>Filed</w:t>
            </w:r>
          </w:p>
        </w:tc>
        <w:tc>
          <w:tcPr>
            <w:tcW w:w="1440" w:type="dxa"/>
            <w:vAlign w:val="bottom"/>
          </w:tcPr>
          <w:p>
            <w:pPr>
              <w:spacing w:after="0"/>
              <w:rPr>
                <w:sz w:val="14"/>
                <w:szCs w:val="14"/>
                <w:color w:val="auto"/>
              </w:rPr>
            </w:pPr>
          </w:p>
        </w:tc>
        <w:tc>
          <w:tcPr>
            <w:tcW w:w="1460" w:type="dxa"/>
            <w:vAlign w:val="bottom"/>
          </w:tcPr>
          <w:p>
            <w:pPr>
              <w:jc w:val="right"/>
              <w:ind w:right="340"/>
              <w:spacing w:after="0"/>
              <w:rPr>
                <w:sz w:val="20"/>
                <w:szCs w:val="20"/>
                <w:color w:val="auto"/>
              </w:rPr>
            </w:pPr>
            <w:r>
              <w:rPr>
                <w:rFonts w:ascii="Arial" w:cs="Arial" w:eastAsia="Arial" w:hAnsi="Arial"/>
                <w:sz w:val="12"/>
                <w:szCs w:val="12"/>
                <w:b w:val="1"/>
                <w:bCs w:val="1"/>
                <w:color w:val="auto"/>
              </w:rPr>
              <w:t>Period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9"/>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3680" w:type="dxa"/>
            <w:vAlign w:val="bottom"/>
            <w:tcBorders>
              <w:bottom w:val="single" w:sz="8" w:color="auto"/>
            </w:tcBorders>
            <w:gridSpan w:val="16"/>
          </w:tcPr>
          <w:p>
            <w:pPr>
              <w:ind w:left="300"/>
              <w:spacing w:after="0"/>
              <w:rPr>
                <w:sz w:val="20"/>
                <w:szCs w:val="20"/>
                <w:color w:val="auto"/>
              </w:rPr>
            </w:pPr>
            <w:r>
              <w:rPr>
                <w:rFonts w:ascii="Arial" w:cs="Arial" w:eastAsia="Arial" w:hAnsi="Arial"/>
                <w:sz w:val="12"/>
                <w:szCs w:val="12"/>
                <w:b w:val="1"/>
                <w:bCs w:val="1"/>
                <w:color w:val="auto"/>
              </w:rPr>
              <w:t>Exhibit Description</w:t>
            </w:r>
          </w:p>
        </w:tc>
        <w:tc>
          <w:tcPr>
            <w:tcW w:w="86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rPr>
              <w:t>Herewith</w:t>
            </w:r>
          </w:p>
        </w:tc>
        <w:tc>
          <w:tcPr>
            <w:tcW w:w="1440" w:type="dxa"/>
            <w:vAlign w:val="bottom"/>
            <w:tcBorders>
              <w:bottom w:val="single" w:sz="8" w:color="auto"/>
            </w:tcBorders>
          </w:tcPr>
          <w:p>
            <w:pPr>
              <w:jc w:val="center"/>
              <w:ind w:left="306"/>
              <w:spacing w:after="0"/>
              <w:rPr>
                <w:sz w:val="20"/>
                <w:szCs w:val="20"/>
                <w:color w:val="auto"/>
              </w:rPr>
            </w:pPr>
            <w:r>
              <w:rPr>
                <w:rFonts w:ascii="Arial" w:cs="Arial" w:eastAsia="Arial" w:hAnsi="Arial"/>
                <w:sz w:val="12"/>
                <w:szCs w:val="12"/>
                <w:b w:val="1"/>
                <w:bCs w:val="1"/>
                <w:color w:val="auto"/>
                <w:w w:val="99"/>
              </w:rPr>
              <w:t>Form</w:t>
            </w:r>
          </w:p>
        </w:tc>
        <w:tc>
          <w:tcPr>
            <w:tcW w:w="14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Ending</w:t>
            </w:r>
          </w:p>
        </w:tc>
        <w:tc>
          <w:tcPr>
            <w:tcW w:w="11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Exhibit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r>
      <w:tr>
        <w:trPr>
          <w:trHeight w:val="234"/>
        </w:trPr>
        <w:tc>
          <w:tcPr>
            <w:tcW w:w="780" w:type="dxa"/>
            <w:vAlign w:val="bottom"/>
          </w:tcPr>
          <w:p>
            <w:pPr>
              <w:ind w:left="20"/>
              <w:spacing w:after="0"/>
              <w:rPr>
                <w:sz w:val="20"/>
                <w:szCs w:val="20"/>
                <w:color w:val="auto"/>
              </w:rPr>
            </w:pPr>
            <w:r>
              <w:rPr>
                <w:rFonts w:ascii="Arial" w:cs="Arial" w:eastAsia="Arial" w:hAnsi="Arial"/>
                <w:sz w:val="16"/>
                <w:szCs w:val="16"/>
                <w:color w:val="auto"/>
              </w:rPr>
              <w:t>4.6</w:t>
            </w:r>
          </w:p>
        </w:tc>
        <w:tc>
          <w:tcPr>
            <w:tcW w:w="300" w:type="dxa"/>
            <w:vAlign w:val="bottom"/>
          </w:tcPr>
          <w:p>
            <w:pPr>
              <w:spacing w:after="0"/>
              <w:rPr>
                <w:sz w:val="20"/>
                <w:szCs w:val="20"/>
                <w:color w:val="auto"/>
              </w:rPr>
            </w:pPr>
          </w:p>
        </w:tc>
        <w:tc>
          <w:tcPr>
            <w:tcW w:w="3360" w:type="dxa"/>
            <w:vAlign w:val="bottom"/>
            <w:tcBorders>
              <w:bottom w:val="single" w:sz="8" w:color="0000FF"/>
            </w:tcBorders>
            <w:gridSpan w:val="14"/>
          </w:tcPr>
          <w:p>
            <w:pPr>
              <w:spacing w:after="0"/>
              <w:rPr>
                <w:rFonts w:ascii="Arial" w:cs="Arial" w:eastAsia="Arial" w:hAnsi="Arial"/>
                <w:sz w:val="16"/>
                <w:szCs w:val="16"/>
                <w:color w:val="0000FF"/>
                <w:w w:val="98"/>
              </w:rPr>
            </w:pPr>
            <w:hyperlink r:id="rId330">
              <w:r>
                <w:rPr>
                  <w:rFonts w:ascii="Arial" w:cs="Arial" w:eastAsia="Arial" w:hAnsi="Arial"/>
                  <w:sz w:val="16"/>
                  <w:szCs w:val="16"/>
                  <w:color w:val="0000FF"/>
                  <w:w w:val="98"/>
                </w:rPr>
                <w:t>Third Supplemental Indenture for 2.500% Notes</w:t>
              </w:r>
            </w:hyperlink>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0"/>
                <w:szCs w:val="20"/>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4.2</w:t>
            </w:r>
          </w:p>
        </w:tc>
        <w:tc>
          <w:tcPr>
            <w:tcW w:w="1080" w:type="dxa"/>
            <w:vAlign w:val="bottom"/>
          </w:tcPr>
          <w:p>
            <w:pPr>
              <w:jc w:val="right"/>
              <w:spacing w:after="0"/>
              <w:rPr>
                <w:sz w:val="20"/>
                <w:szCs w:val="20"/>
                <w:color w:val="auto"/>
              </w:rPr>
            </w:pPr>
            <w:r>
              <w:rPr>
                <w:rFonts w:ascii="Arial" w:cs="Arial" w:eastAsia="Arial" w:hAnsi="Arial"/>
                <w:sz w:val="16"/>
                <w:szCs w:val="16"/>
                <w:color w:val="auto"/>
              </w:rPr>
              <w:t>2/8/2011</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7"/>
              </w:rPr>
            </w:pPr>
            <w:hyperlink r:id="rId330">
              <w:r>
                <w:rPr>
                  <w:rFonts w:ascii="Arial" w:cs="Arial" w:eastAsia="Arial" w:hAnsi="Arial"/>
                  <w:sz w:val="16"/>
                  <w:szCs w:val="16"/>
                  <w:color w:val="0000FF"/>
                  <w:w w:val="97"/>
                </w:rPr>
                <w:t>due 2016, 4.000% Notes due 2021, and 5.300%</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11"/>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Notes due 2041, dated as of February 8, 2011,</w:t>
              </w:r>
            </w:hyperlink>
          </w:p>
        </w:tc>
        <w:tc>
          <w:tcPr>
            <w:tcW w:w="10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between Microsoft Corporation and The Bank of</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5"/>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New York Mellon Trust Company, N.A., as</w:t>
              </w:r>
            </w:hyperlink>
          </w:p>
        </w:tc>
        <w:tc>
          <w:tcPr>
            <w:tcW w:w="40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9"/>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Trustee, to the Indenture, dated as of May 18,</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9"/>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2009, between Microsoft Corporation and The</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0">
              <w:r>
                <w:rPr>
                  <w:rFonts w:ascii="Arial" w:cs="Arial" w:eastAsia="Arial" w:hAnsi="Arial"/>
                  <w:sz w:val="16"/>
                  <w:szCs w:val="16"/>
                  <w:color w:val="0000FF"/>
                  <w:w w:val="98"/>
                </w:rPr>
                <w:t>Bank of New York Mellon Trust Company, N.A.,</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15"/>
          </w:tcPr>
          <w:p>
            <w:pPr>
              <w:spacing w:after="0" w:line="160" w:lineRule="exact"/>
              <w:rPr>
                <w:rFonts w:ascii="Arial" w:cs="Arial" w:eastAsia="Arial" w:hAnsi="Arial"/>
                <w:sz w:val="16"/>
                <w:szCs w:val="16"/>
                <w:color w:val="0000FF"/>
              </w:rPr>
            </w:pPr>
            <w:hyperlink r:id="rId330">
              <w:r>
                <w:rPr>
                  <w:rFonts w:ascii="Arial" w:cs="Arial" w:eastAsia="Arial" w:hAnsi="Arial"/>
                  <w:sz w:val="16"/>
                  <w:szCs w:val="16"/>
                  <w:color w:val="0000FF"/>
                </w:rPr>
                <w:t>as Trustee</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4.7</w:t>
            </w:r>
          </w:p>
        </w:tc>
        <w:tc>
          <w:tcPr>
            <w:tcW w:w="300" w:type="dxa"/>
            <w:vAlign w:val="bottom"/>
          </w:tcPr>
          <w:p>
            <w:pPr>
              <w:spacing w:after="0"/>
              <w:rPr>
                <w:sz w:val="22"/>
                <w:szCs w:val="22"/>
                <w:color w:val="auto"/>
              </w:rPr>
            </w:pPr>
          </w:p>
        </w:tc>
        <w:tc>
          <w:tcPr>
            <w:tcW w:w="3000" w:type="dxa"/>
            <w:vAlign w:val="bottom"/>
            <w:tcBorders>
              <w:bottom w:val="single" w:sz="8" w:color="0000FF"/>
            </w:tcBorders>
            <w:gridSpan w:val="6"/>
          </w:tcPr>
          <w:p>
            <w:pPr>
              <w:spacing w:after="0"/>
              <w:rPr>
                <w:rFonts w:ascii="Arial" w:cs="Arial" w:eastAsia="Arial" w:hAnsi="Arial"/>
                <w:sz w:val="16"/>
                <w:szCs w:val="16"/>
                <w:color w:val="0000FF"/>
                <w:w w:val="98"/>
              </w:rPr>
            </w:pPr>
            <w:hyperlink r:id="rId331">
              <w:r>
                <w:rPr>
                  <w:rFonts w:ascii="Arial" w:cs="Arial" w:eastAsia="Arial" w:hAnsi="Arial"/>
                  <w:sz w:val="16"/>
                  <w:szCs w:val="16"/>
                  <w:color w:val="0000FF"/>
                  <w:w w:val="98"/>
                </w:rPr>
                <w:t>Fourth Supplemental Indenture for 0.875%</w:t>
              </w:r>
            </w:hyperlink>
          </w:p>
        </w:tc>
        <w:tc>
          <w:tcPr>
            <w:tcW w:w="380" w:type="dxa"/>
            <w:vAlign w:val="bottom"/>
            <w:gridSpan w:val="9"/>
          </w:tcPr>
          <w:p>
            <w:pPr>
              <w:spacing w:after="0"/>
              <w:rPr>
                <w:sz w:val="22"/>
                <w:szCs w:val="22"/>
                <w:color w:val="auto"/>
              </w:rPr>
            </w:pPr>
          </w:p>
        </w:tc>
        <w:tc>
          <w:tcPr>
            <w:tcW w:w="860" w:type="dxa"/>
            <w:vAlign w:val="bottom"/>
          </w:tcPr>
          <w:p>
            <w:pPr>
              <w:spacing w:after="0"/>
              <w:rPr>
                <w:sz w:val="22"/>
                <w:szCs w:val="22"/>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2"/>
                <w:szCs w:val="22"/>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11/7/2012</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31">
              <w:r>
                <w:rPr>
                  <w:rFonts w:ascii="Arial" w:cs="Arial" w:eastAsia="Arial" w:hAnsi="Arial"/>
                  <w:sz w:val="16"/>
                  <w:szCs w:val="16"/>
                  <w:color w:val="0000FF"/>
                  <w:w w:val="98"/>
                </w:rPr>
                <w:t>Notes due 2017, 2.125% Notes due 2022, and</w:t>
              </w:r>
            </w:hyperlink>
          </w:p>
        </w:tc>
        <w:tc>
          <w:tcPr>
            <w:tcW w:w="1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1">
              <w:r>
                <w:rPr>
                  <w:rFonts w:ascii="Arial" w:cs="Arial" w:eastAsia="Arial" w:hAnsi="Arial"/>
                  <w:sz w:val="16"/>
                  <w:szCs w:val="16"/>
                  <w:color w:val="0000FF"/>
                  <w:w w:val="98"/>
                </w:rPr>
                <w:t>3.</w:t>
              </w:r>
              <w:r>
                <w:rPr>
                  <w:rFonts w:ascii="Arial" w:cs="Arial" w:eastAsia="Arial" w:hAnsi="Arial"/>
                  <w:sz w:val="16"/>
                  <w:szCs w:val="16"/>
                  <w:u w:val="single" w:color="auto"/>
                  <w:color w:val="0000FF"/>
                  <w:w w:val="98"/>
                </w:rPr>
                <w:t>500%</w:t>
              </w:r>
              <w:r>
                <w:rPr>
                  <w:rFonts w:ascii="Arial" w:cs="Arial" w:eastAsia="Arial" w:hAnsi="Arial"/>
                  <w:sz w:val="16"/>
                  <w:szCs w:val="16"/>
                  <w:color w:val="0000FF"/>
                  <w:w w:val="98"/>
                </w:rPr>
                <w:t xml:space="preserve"> Notes due 2042, dated as of November</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7"/>
              </w:rPr>
            </w:pPr>
            <w:hyperlink r:id="rId331">
              <w:r>
                <w:rPr>
                  <w:rFonts w:ascii="Arial" w:cs="Arial" w:eastAsia="Arial" w:hAnsi="Arial"/>
                  <w:sz w:val="16"/>
                  <w:szCs w:val="16"/>
                  <w:color w:val="0000FF"/>
                  <w:w w:val="97"/>
                </w:rPr>
                <w:t>7, 2012, between Microsoft Corporation and The</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1">
              <w:r>
                <w:rPr>
                  <w:rFonts w:ascii="Arial" w:cs="Arial" w:eastAsia="Arial" w:hAnsi="Arial"/>
                  <w:sz w:val="16"/>
                  <w:szCs w:val="16"/>
                  <w:color w:val="0000FF"/>
                  <w:w w:val="98"/>
                </w:rPr>
                <w:t>Bank of New York Mellon Trust Company, N.A.,</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5"/>
          </w:tcPr>
          <w:p>
            <w:pPr>
              <w:spacing w:after="0" w:line="160" w:lineRule="exact"/>
              <w:rPr>
                <w:rFonts w:ascii="Arial" w:cs="Arial" w:eastAsia="Arial" w:hAnsi="Arial"/>
                <w:sz w:val="16"/>
                <w:szCs w:val="16"/>
                <w:color w:val="0000FF"/>
                <w:w w:val="97"/>
              </w:rPr>
            </w:pPr>
            <w:hyperlink r:id="rId331">
              <w:r>
                <w:rPr>
                  <w:rFonts w:ascii="Arial" w:cs="Arial" w:eastAsia="Arial" w:hAnsi="Arial"/>
                  <w:sz w:val="16"/>
                  <w:szCs w:val="16"/>
                  <w:color w:val="0000FF"/>
                  <w:w w:val="97"/>
                </w:rPr>
                <w:t>as Trustee, to the Indenture, dated as of May 18,</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9"/>
          </w:tcPr>
          <w:p>
            <w:pPr>
              <w:spacing w:after="0" w:line="160" w:lineRule="exact"/>
              <w:rPr>
                <w:rFonts w:ascii="Arial" w:cs="Arial" w:eastAsia="Arial" w:hAnsi="Arial"/>
                <w:sz w:val="16"/>
                <w:szCs w:val="16"/>
                <w:color w:val="0000FF"/>
                <w:w w:val="98"/>
              </w:rPr>
            </w:pPr>
            <w:hyperlink r:id="rId331">
              <w:r>
                <w:rPr>
                  <w:rFonts w:ascii="Arial" w:cs="Arial" w:eastAsia="Arial" w:hAnsi="Arial"/>
                  <w:sz w:val="16"/>
                  <w:szCs w:val="16"/>
                  <w:color w:val="0000FF"/>
                  <w:w w:val="98"/>
                </w:rPr>
                <w:t>2009, between Microsoft Corporation and The</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1">
              <w:r>
                <w:rPr>
                  <w:rFonts w:ascii="Arial" w:cs="Arial" w:eastAsia="Arial" w:hAnsi="Arial"/>
                  <w:sz w:val="16"/>
                  <w:szCs w:val="16"/>
                  <w:color w:val="0000FF"/>
                  <w:w w:val="98"/>
                </w:rPr>
                <w:t>Bank of New York Mellon Trust Company, N.A.,</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15"/>
          </w:tcPr>
          <w:p>
            <w:pPr>
              <w:spacing w:after="0" w:line="160" w:lineRule="exact"/>
              <w:rPr>
                <w:rFonts w:ascii="Arial" w:cs="Arial" w:eastAsia="Arial" w:hAnsi="Arial"/>
                <w:sz w:val="16"/>
                <w:szCs w:val="16"/>
                <w:color w:val="0000FF"/>
              </w:rPr>
            </w:pPr>
            <w:hyperlink r:id="rId331">
              <w:r>
                <w:rPr>
                  <w:rFonts w:ascii="Arial" w:cs="Arial" w:eastAsia="Arial" w:hAnsi="Arial"/>
                  <w:sz w:val="16"/>
                  <w:szCs w:val="16"/>
                  <w:color w:val="0000FF"/>
                </w:rPr>
                <w:t>as Trustee</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68"/>
        </w:trPr>
        <w:tc>
          <w:tcPr>
            <w:tcW w:w="780" w:type="dxa"/>
            <w:vAlign w:val="bottom"/>
          </w:tcPr>
          <w:p>
            <w:pPr>
              <w:ind w:left="20"/>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23"/>
                <w:szCs w:val="23"/>
                <w:color w:val="auto"/>
              </w:rPr>
            </w:pPr>
          </w:p>
        </w:tc>
        <w:tc>
          <w:tcPr>
            <w:tcW w:w="3300" w:type="dxa"/>
            <w:vAlign w:val="bottom"/>
            <w:tcBorders>
              <w:bottom w:val="single" w:sz="8" w:color="0000FF"/>
            </w:tcBorders>
            <w:gridSpan w:val="12"/>
          </w:tcPr>
          <w:p>
            <w:pPr>
              <w:spacing w:after="0"/>
              <w:rPr>
                <w:rFonts w:ascii="Arial" w:cs="Arial" w:eastAsia="Arial" w:hAnsi="Arial"/>
                <w:sz w:val="16"/>
                <w:szCs w:val="16"/>
                <w:color w:val="0000FF"/>
                <w:w w:val="98"/>
              </w:rPr>
            </w:pPr>
            <w:hyperlink r:id="rId332">
              <w:r>
                <w:rPr>
                  <w:rFonts w:ascii="Arial" w:cs="Arial" w:eastAsia="Arial" w:hAnsi="Arial"/>
                  <w:sz w:val="16"/>
                  <w:szCs w:val="16"/>
                  <w:color w:val="0000FF"/>
                  <w:w w:val="98"/>
                </w:rPr>
                <w:t>Fifth Supplemental Indenture for 2.625% Notes</w:t>
              </w:r>
            </w:hyperlink>
          </w:p>
        </w:tc>
        <w:tc>
          <w:tcPr>
            <w:tcW w:w="80" w:type="dxa"/>
            <w:vAlign w:val="bottom"/>
            <w:gridSpan w:val="3"/>
          </w:tcPr>
          <w:p>
            <w:pPr>
              <w:spacing w:after="0"/>
              <w:rPr>
                <w:sz w:val="23"/>
                <w:szCs w:val="23"/>
                <w:color w:val="auto"/>
              </w:rPr>
            </w:pPr>
          </w:p>
        </w:tc>
        <w:tc>
          <w:tcPr>
            <w:tcW w:w="860" w:type="dxa"/>
            <w:vAlign w:val="bottom"/>
          </w:tcPr>
          <w:p>
            <w:pPr>
              <w:spacing w:after="0"/>
              <w:rPr>
                <w:sz w:val="23"/>
                <w:szCs w:val="23"/>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3"/>
                <w:szCs w:val="23"/>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5/1/2013</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Borders>
              <w:bottom w:val="single" w:sz="8" w:color="0000FF"/>
            </w:tcBorders>
            <w:gridSpan w:val="8"/>
          </w:tcPr>
          <w:p>
            <w:pPr>
              <w:spacing w:after="0" w:line="160" w:lineRule="exact"/>
              <w:rPr>
                <w:rFonts w:ascii="Arial" w:cs="Arial" w:eastAsia="Arial" w:hAnsi="Arial"/>
                <w:sz w:val="16"/>
                <w:szCs w:val="16"/>
                <w:color w:val="0000FF"/>
                <w:w w:val="98"/>
              </w:rPr>
            </w:pPr>
            <w:hyperlink r:id="rId332">
              <w:r>
                <w:rPr>
                  <w:rFonts w:ascii="Arial" w:cs="Arial" w:eastAsia="Arial" w:hAnsi="Arial"/>
                  <w:sz w:val="16"/>
                  <w:szCs w:val="16"/>
                  <w:color w:val="0000FF"/>
                  <w:w w:val="98"/>
                </w:rPr>
                <w:t>due 2033, dated as of May 2, 2013, between</w:t>
              </w:r>
            </w:hyperlink>
          </w:p>
        </w:tc>
        <w:tc>
          <w:tcPr>
            <w:tcW w:w="240" w:type="dxa"/>
            <w:vAlign w:val="bottom"/>
            <w:gridSpan w:val="7"/>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r:id="rId332">
              <w:r>
                <w:rPr>
                  <w:rFonts w:ascii="Arial" w:cs="Arial" w:eastAsia="Arial" w:hAnsi="Arial"/>
                  <w:sz w:val="16"/>
                  <w:szCs w:val="16"/>
                  <w:color w:val="0000FF"/>
                  <w:w w:val="98"/>
                </w:rPr>
                <w:t>Microsoft Corporation and The Bank of New</w:t>
              </w:r>
            </w:hyperlink>
          </w:p>
        </w:tc>
        <w:tc>
          <w:tcPr>
            <w:tcW w:w="28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15"/>
          </w:tcPr>
          <w:p>
            <w:pPr>
              <w:spacing w:after="0" w:line="160" w:lineRule="exact"/>
              <w:rPr>
                <w:rFonts w:ascii="Arial" w:cs="Arial" w:eastAsia="Arial" w:hAnsi="Arial"/>
                <w:sz w:val="16"/>
                <w:szCs w:val="16"/>
                <w:color w:val="0000FF"/>
                <w:w w:val="97"/>
              </w:rPr>
            </w:pPr>
            <w:hyperlink r:id="rId332">
              <w:r>
                <w:rPr>
                  <w:rFonts w:ascii="Arial" w:cs="Arial" w:eastAsia="Arial" w:hAnsi="Arial"/>
                  <w:sz w:val="16"/>
                  <w:szCs w:val="16"/>
                  <w:color w:val="0000FF"/>
                  <w:w w:val="97"/>
                </w:rPr>
                <w:t>York Mellon Trust Company, N.A., as Trustee, to</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3"/>
          </w:tcPr>
          <w:p>
            <w:pPr>
              <w:spacing w:after="0" w:line="160" w:lineRule="exact"/>
              <w:rPr>
                <w:rFonts w:ascii="Arial" w:cs="Arial" w:eastAsia="Arial" w:hAnsi="Arial"/>
                <w:sz w:val="16"/>
                <w:szCs w:val="16"/>
                <w:color w:val="0000FF"/>
                <w:w w:val="98"/>
              </w:rPr>
            </w:pPr>
            <w:hyperlink r:id="rId332">
              <w:r>
                <w:rPr>
                  <w:rFonts w:ascii="Arial" w:cs="Arial" w:eastAsia="Arial" w:hAnsi="Arial"/>
                  <w:sz w:val="16"/>
                  <w:szCs w:val="16"/>
                  <w:color w:val="0000FF"/>
                  <w:w w:val="98"/>
                </w:rPr>
                <w:t>the Indenture, dated as of May 18, 2009,</w:t>
              </w:r>
            </w:hyperlink>
          </w:p>
        </w:tc>
        <w:tc>
          <w:tcPr>
            <w:tcW w:w="5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32">
              <w:r>
                <w:rPr>
                  <w:rFonts w:ascii="Arial" w:cs="Arial" w:eastAsia="Arial" w:hAnsi="Arial"/>
                  <w:sz w:val="16"/>
                  <w:szCs w:val="16"/>
                  <w:color w:val="0000FF"/>
                  <w:w w:val="98"/>
                </w:rPr>
                <w:t>between Microsoft Corporation and The Bank of</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5"/>
          </w:tcPr>
          <w:p>
            <w:pPr>
              <w:spacing w:after="0" w:line="160" w:lineRule="exact"/>
              <w:rPr>
                <w:rFonts w:ascii="Arial" w:cs="Arial" w:eastAsia="Arial" w:hAnsi="Arial"/>
                <w:sz w:val="16"/>
                <w:szCs w:val="16"/>
                <w:color w:val="0000FF"/>
                <w:w w:val="98"/>
              </w:rPr>
            </w:pPr>
            <w:hyperlink r:id="rId332">
              <w:r>
                <w:rPr>
                  <w:rFonts w:ascii="Arial" w:cs="Arial" w:eastAsia="Arial" w:hAnsi="Arial"/>
                  <w:sz w:val="16"/>
                  <w:szCs w:val="16"/>
                  <w:color w:val="0000FF"/>
                  <w:w w:val="98"/>
                </w:rPr>
                <w:t>New York Mellon Trust Company, N.A., as</w:t>
              </w:r>
            </w:hyperlink>
          </w:p>
        </w:tc>
        <w:tc>
          <w:tcPr>
            <w:tcW w:w="40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0000FF"/>
            </w:tcBorders>
          </w:tcPr>
          <w:p>
            <w:pPr>
              <w:spacing w:after="0" w:line="160" w:lineRule="exact"/>
              <w:rPr>
                <w:rFonts w:ascii="Arial" w:cs="Arial" w:eastAsia="Arial" w:hAnsi="Arial"/>
                <w:sz w:val="16"/>
                <w:szCs w:val="16"/>
                <w:color w:val="0000FF"/>
                <w:w w:val="95"/>
              </w:rPr>
            </w:pPr>
            <w:hyperlink r:id="rId332">
              <w:r>
                <w:rPr>
                  <w:rFonts w:ascii="Arial" w:cs="Arial" w:eastAsia="Arial" w:hAnsi="Arial"/>
                  <w:sz w:val="16"/>
                  <w:szCs w:val="16"/>
                  <w:color w:val="0000FF"/>
                  <w:w w:val="95"/>
                </w:rPr>
                <w:t>Trustee</w:t>
              </w:r>
            </w:hyperlink>
          </w:p>
        </w:tc>
        <w:tc>
          <w:tcPr>
            <w:tcW w:w="2840" w:type="dxa"/>
            <w:vAlign w:val="bottom"/>
            <w:gridSpan w:val="14"/>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22"/>
                <w:szCs w:val="22"/>
                <w:color w:val="auto"/>
              </w:rPr>
            </w:pPr>
          </w:p>
        </w:tc>
        <w:tc>
          <w:tcPr>
            <w:tcW w:w="3340" w:type="dxa"/>
            <w:vAlign w:val="bottom"/>
            <w:tcBorders>
              <w:bottom w:val="single" w:sz="8" w:color="0000FF"/>
            </w:tcBorders>
            <w:gridSpan w:val="13"/>
          </w:tcPr>
          <w:p>
            <w:pPr>
              <w:spacing w:after="0"/>
              <w:rPr>
                <w:rFonts w:ascii="Arial" w:cs="Arial" w:eastAsia="Arial" w:hAnsi="Arial"/>
                <w:sz w:val="16"/>
                <w:szCs w:val="16"/>
                <w:color w:val="0000FF"/>
                <w:w w:val="98"/>
              </w:rPr>
            </w:pPr>
            <w:hyperlink r:id="rId333">
              <w:r>
                <w:rPr>
                  <w:rFonts w:ascii="Arial" w:cs="Arial" w:eastAsia="Arial" w:hAnsi="Arial"/>
                  <w:sz w:val="16"/>
                  <w:szCs w:val="16"/>
                  <w:color w:val="0000FF"/>
                  <w:w w:val="98"/>
                </w:rPr>
                <w:t>Sixth Supplemental Indenture for 1.000% Notes</w:t>
              </w:r>
            </w:hyperlink>
          </w:p>
        </w:tc>
        <w:tc>
          <w:tcPr>
            <w:tcW w:w="4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2"/>
                <w:szCs w:val="22"/>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4.2</w:t>
            </w:r>
          </w:p>
        </w:tc>
        <w:tc>
          <w:tcPr>
            <w:tcW w:w="1080" w:type="dxa"/>
            <w:vAlign w:val="bottom"/>
          </w:tcPr>
          <w:p>
            <w:pPr>
              <w:jc w:val="right"/>
              <w:spacing w:after="0"/>
              <w:rPr>
                <w:sz w:val="20"/>
                <w:szCs w:val="20"/>
                <w:color w:val="auto"/>
              </w:rPr>
            </w:pPr>
            <w:r>
              <w:rPr>
                <w:rFonts w:ascii="Arial" w:cs="Arial" w:eastAsia="Arial" w:hAnsi="Arial"/>
                <w:sz w:val="16"/>
                <w:szCs w:val="16"/>
                <w:color w:val="auto"/>
              </w:rPr>
              <w:t>5/1/2013</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7"/>
              </w:rPr>
            </w:pPr>
            <w:hyperlink r:id="rId333">
              <w:r>
                <w:rPr>
                  <w:rFonts w:ascii="Arial" w:cs="Arial" w:eastAsia="Arial" w:hAnsi="Arial"/>
                  <w:sz w:val="16"/>
                  <w:szCs w:val="16"/>
                  <w:color w:val="0000FF"/>
                  <w:w w:val="97"/>
                </w:rPr>
                <w:t>due 2018, 2.375% Notes due 2023, and 3.750%</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4"/>
          </w:tcPr>
          <w:p>
            <w:pPr>
              <w:spacing w:after="0" w:line="160" w:lineRule="exact"/>
              <w:rPr>
                <w:rFonts w:ascii="Arial" w:cs="Arial" w:eastAsia="Arial" w:hAnsi="Arial"/>
                <w:sz w:val="16"/>
                <w:szCs w:val="16"/>
                <w:color w:val="0000FF"/>
                <w:w w:val="98"/>
              </w:rPr>
            </w:pPr>
            <w:hyperlink r:id="rId333">
              <w:r>
                <w:rPr>
                  <w:rFonts w:ascii="Arial" w:cs="Arial" w:eastAsia="Arial" w:hAnsi="Arial"/>
                  <w:sz w:val="16"/>
                  <w:szCs w:val="16"/>
                  <w:color w:val="0000FF"/>
                  <w:w w:val="98"/>
                </w:rPr>
                <w:t>Notes due 2043, dated as of May 2, 2013,</w:t>
              </w:r>
            </w:hyperlink>
          </w:p>
        </w:tc>
        <w:tc>
          <w:tcPr>
            <w:tcW w:w="42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33">
              <w:r>
                <w:rPr>
                  <w:rFonts w:ascii="Arial" w:cs="Arial" w:eastAsia="Arial" w:hAnsi="Arial"/>
                  <w:sz w:val="16"/>
                  <w:szCs w:val="16"/>
                  <w:color w:val="0000FF"/>
                  <w:w w:val="98"/>
                </w:rPr>
                <w:t>between Microsoft Corporation and The Bank of</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-2080260</wp:posOffset>
            </wp:positionV>
            <wp:extent cx="76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4">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1080"/>
        <w:spacing w:after="0"/>
        <w:rPr>
          <w:rFonts w:ascii="Arial" w:cs="Arial" w:eastAsia="Arial" w:hAnsi="Arial"/>
          <w:sz w:val="16"/>
          <w:szCs w:val="16"/>
          <w:u w:val="single" w:color="auto"/>
          <w:color w:val="0000FF"/>
        </w:rPr>
      </w:pPr>
      <w:hyperlink r:id="rId333">
        <w:r>
          <w:rPr>
            <w:rFonts w:ascii="Arial" w:cs="Arial" w:eastAsia="Arial" w:hAnsi="Arial"/>
            <w:sz w:val="16"/>
            <w:szCs w:val="16"/>
            <w:u w:val="single" w:color="auto"/>
            <w:color w:val="0000FF"/>
          </w:rPr>
          <w:t>New York Mellon Trust Company, N.A., as</w:t>
        </w:r>
      </w:hyperlink>
    </w:p>
    <w:p>
      <w:pPr>
        <w:spacing w:after="0" w:line="2" w:lineRule="exact"/>
        <w:rPr>
          <w:sz w:val="20"/>
          <w:szCs w:val="20"/>
          <w:color w:val="auto"/>
        </w:rPr>
      </w:pPr>
    </w:p>
    <w:p>
      <w:pPr>
        <w:ind w:left="1080"/>
        <w:spacing w:after="0"/>
        <w:rPr>
          <w:rFonts w:ascii="Arial" w:cs="Arial" w:eastAsia="Arial" w:hAnsi="Arial"/>
          <w:sz w:val="16"/>
          <w:szCs w:val="16"/>
          <w:u w:val="single" w:color="auto"/>
          <w:color w:val="0000FF"/>
        </w:rPr>
      </w:pPr>
      <w:hyperlink r:id="rId333">
        <w:r>
          <w:rPr>
            <w:rFonts w:ascii="Arial" w:cs="Arial" w:eastAsia="Arial" w:hAnsi="Arial"/>
            <w:sz w:val="16"/>
            <w:szCs w:val="16"/>
            <w:u w:val="single" w:color="auto"/>
            <w:color w:val="0000FF"/>
          </w:rPr>
          <w:t>Trustee, to the Indenture, dated as of May 18,</w:t>
        </w:r>
      </w:hyperlink>
    </w:p>
    <w:p>
      <w:pPr>
        <w:ind w:left="1080"/>
        <w:spacing w:after="0" w:line="234" w:lineRule="auto"/>
        <w:rPr>
          <w:rFonts w:ascii="Arial" w:cs="Arial" w:eastAsia="Arial" w:hAnsi="Arial"/>
          <w:sz w:val="16"/>
          <w:szCs w:val="16"/>
          <w:u w:val="single" w:color="auto"/>
          <w:color w:val="0000FF"/>
        </w:rPr>
      </w:pPr>
      <w:hyperlink r:id="rId333">
        <w:r>
          <w:rPr>
            <w:rFonts w:ascii="Arial" w:cs="Arial" w:eastAsia="Arial" w:hAnsi="Arial"/>
            <w:sz w:val="16"/>
            <w:szCs w:val="16"/>
            <w:u w:val="single" w:color="auto"/>
            <w:color w:val="0000FF"/>
          </w:rPr>
          <w:t>2009, between Microsoft Corporation and The</w:t>
        </w:r>
      </w:hyperlink>
    </w:p>
    <w:p>
      <w:pPr>
        <w:ind w:left="1080"/>
        <w:spacing w:after="0" w:line="235" w:lineRule="auto"/>
        <w:rPr>
          <w:rFonts w:ascii="Arial" w:cs="Arial" w:eastAsia="Arial" w:hAnsi="Arial"/>
          <w:sz w:val="16"/>
          <w:szCs w:val="16"/>
          <w:u w:val="single" w:color="auto"/>
          <w:color w:val="0000FF"/>
        </w:rPr>
      </w:pPr>
      <w:hyperlink r:id="rId333">
        <w:r>
          <w:rPr>
            <w:rFonts w:ascii="Arial" w:cs="Arial" w:eastAsia="Arial" w:hAnsi="Arial"/>
            <w:sz w:val="16"/>
            <w:szCs w:val="16"/>
            <w:u w:val="single" w:color="auto"/>
            <w:color w:val="0000FF"/>
          </w:rPr>
          <w:t>Bank of New York Mellon Trust Company, N.A.,</w:t>
        </w:r>
      </w:hyperlink>
    </w:p>
    <w:p>
      <w:pPr>
        <w:spacing w:after="0" w:line="1" w:lineRule="exact"/>
        <w:rPr>
          <w:sz w:val="20"/>
          <w:szCs w:val="20"/>
          <w:color w:val="auto"/>
        </w:rPr>
      </w:pPr>
    </w:p>
    <w:p>
      <w:pPr>
        <w:ind w:left="1080"/>
        <w:spacing w:after="0"/>
        <w:rPr>
          <w:rFonts w:ascii="Arial" w:cs="Arial" w:eastAsia="Arial" w:hAnsi="Arial"/>
          <w:sz w:val="16"/>
          <w:szCs w:val="16"/>
          <w:u w:val="single" w:color="auto"/>
          <w:color w:val="0000FF"/>
        </w:rPr>
      </w:pPr>
      <w:hyperlink r:id="rId333">
        <w:r>
          <w:rPr>
            <w:rFonts w:ascii="Arial" w:cs="Arial" w:eastAsia="Arial" w:hAnsi="Arial"/>
            <w:sz w:val="16"/>
            <w:szCs w:val="16"/>
            <w:u w:val="single" w:color="auto"/>
            <w:color w:val="0000FF"/>
          </w:rPr>
          <w:t>as Trustee</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73" w:right="760" w:bottom="1440" w:gutter="0" w:footer="0" w:header="0"/>
        </w:sectPr>
      </w:pPr>
    </w:p>
    <w:bookmarkStart w:id="103" w:name="page104"/>
    <w:bookmarkEnd w:id="103"/>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118745</wp:posOffset>
            </wp:positionV>
            <wp:extent cx="86360" cy="3683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2"/>
          </w:tcPr>
          <w:p>
            <w:pPr>
              <w:jc w:val="right"/>
              <w:ind w:right="666"/>
              <w:spacing w:after="0"/>
              <w:rPr>
                <w:sz w:val="20"/>
                <w:szCs w:val="20"/>
                <w:color w:val="auto"/>
              </w:rPr>
            </w:pPr>
            <w:r>
              <w:rPr>
                <w:rFonts w:ascii="Arial" w:cs="Arial" w:eastAsia="Arial" w:hAnsi="Arial"/>
                <w:sz w:val="12"/>
                <w:szCs w:val="12"/>
                <w:b w:val="1"/>
                <w:bCs w:val="1"/>
                <w:color w:val="auto"/>
              </w:rPr>
              <w:t>Incorporated by Reference</w:t>
            </w:r>
          </w:p>
        </w:tc>
        <w:tc>
          <w:tcPr>
            <w:tcW w:w="1080" w:type="dxa"/>
            <w:vAlign w:val="bottom"/>
            <w:tcBorders>
              <w:bottom w:val="single" w:sz="8" w:color="auto"/>
            </w:tcBorders>
          </w:tcPr>
          <w:p>
            <w:pPr>
              <w:spacing w:after="0"/>
              <w:rPr>
                <w:sz w:val="14"/>
                <w:szCs w:val="14"/>
                <w:color w:val="auto"/>
              </w:rPr>
            </w:pPr>
          </w:p>
        </w:tc>
      </w:tr>
      <w:tr>
        <w:trPr>
          <w:trHeight w:val="161"/>
        </w:trPr>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Exhibit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ind w:left="40"/>
              <w:spacing w:after="0"/>
              <w:rPr>
                <w:sz w:val="20"/>
                <w:szCs w:val="20"/>
                <w:color w:val="auto"/>
              </w:rPr>
            </w:pPr>
            <w:r>
              <w:rPr>
                <w:rFonts w:ascii="Arial" w:cs="Arial" w:eastAsia="Arial" w:hAnsi="Arial"/>
                <w:sz w:val="12"/>
                <w:szCs w:val="12"/>
                <w:b w:val="1"/>
                <w:bCs w:val="1"/>
                <w:color w:val="auto"/>
                <w:w w:val="99"/>
              </w:rPr>
              <w:t>Filed</w:t>
            </w:r>
          </w:p>
        </w:tc>
        <w:tc>
          <w:tcPr>
            <w:tcW w:w="1440" w:type="dxa"/>
            <w:vAlign w:val="bottom"/>
          </w:tcPr>
          <w:p>
            <w:pPr>
              <w:spacing w:after="0"/>
              <w:rPr>
                <w:sz w:val="14"/>
                <w:szCs w:val="14"/>
                <w:color w:val="auto"/>
              </w:rPr>
            </w:pPr>
          </w:p>
        </w:tc>
        <w:tc>
          <w:tcPr>
            <w:tcW w:w="1460" w:type="dxa"/>
            <w:vAlign w:val="bottom"/>
          </w:tcPr>
          <w:p>
            <w:pPr>
              <w:jc w:val="right"/>
              <w:ind w:right="340"/>
              <w:spacing w:after="0"/>
              <w:rPr>
                <w:sz w:val="20"/>
                <w:szCs w:val="20"/>
                <w:color w:val="auto"/>
              </w:rPr>
            </w:pPr>
            <w:r>
              <w:rPr>
                <w:rFonts w:ascii="Arial" w:cs="Arial" w:eastAsia="Arial" w:hAnsi="Arial"/>
                <w:sz w:val="12"/>
                <w:szCs w:val="12"/>
                <w:b w:val="1"/>
                <w:bCs w:val="1"/>
                <w:color w:val="auto"/>
              </w:rPr>
              <w:t>Period</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9"/>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3680" w:type="dxa"/>
            <w:vAlign w:val="bottom"/>
            <w:tcBorders>
              <w:bottom w:val="single" w:sz="8" w:color="auto"/>
            </w:tcBorders>
            <w:gridSpan w:val="20"/>
          </w:tcPr>
          <w:p>
            <w:pPr>
              <w:ind w:left="300"/>
              <w:spacing w:after="0"/>
              <w:rPr>
                <w:sz w:val="20"/>
                <w:szCs w:val="20"/>
                <w:color w:val="auto"/>
              </w:rPr>
            </w:pPr>
            <w:r>
              <w:rPr>
                <w:rFonts w:ascii="Arial" w:cs="Arial" w:eastAsia="Arial" w:hAnsi="Arial"/>
                <w:sz w:val="12"/>
                <w:szCs w:val="12"/>
                <w:b w:val="1"/>
                <w:bCs w:val="1"/>
                <w:color w:val="auto"/>
              </w:rPr>
              <w:t>Exhibit Description</w:t>
            </w:r>
          </w:p>
        </w:tc>
        <w:tc>
          <w:tcPr>
            <w:tcW w:w="86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rPr>
              <w:t>Herewith</w:t>
            </w:r>
          </w:p>
        </w:tc>
        <w:tc>
          <w:tcPr>
            <w:tcW w:w="1440" w:type="dxa"/>
            <w:vAlign w:val="bottom"/>
            <w:tcBorders>
              <w:bottom w:val="single" w:sz="8" w:color="auto"/>
            </w:tcBorders>
          </w:tcPr>
          <w:p>
            <w:pPr>
              <w:jc w:val="center"/>
              <w:ind w:left="306"/>
              <w:spacing w:after="0"/>
              <w:rPr>
                <w:sz w:val="20"/>
                <w:szCs w:val="20"/>
                <w:color w:val="auto"/>
              </w:rPr>
            </w:pPr>
            <w:r>
              <w:rPr>
                <w:rFonts w:ascii="Arial" w:cs="Arial" w:eastAsia="Arial" w:hAnsi="Arial"/>
                <w:sz w:val="12"/>
                <w:szCs w:val="12"/>
                <w:b w:val="1"/>
                <w:bCs w:val="1"/>
                <w:color w:val="auto"/>
                <w:w w:val="99"/>
              </w:rPr>
              <w:t>Form</w:t>
            </w:r>
          </w:p>
        </w:tc>
        <w:tc>
          <w:tcPr>
            <w:tcW w:w="146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b w:val="1"/>
                <w:bCs w:val="1"/>
                <w:color w:val="auto"/>
              </w:rPr>
              <w:t>Ending</w:t>
            </w:r>
          </w:p>
        </w:tc>
        <w:tc>
          <w:tcPr>
            <w:tcW w:w="1180" w:type="dxa"/>
            <w:vAlign w:val="bottom"/>
            <w:tcBorders>
              <w:bottom w:val="single" w:sz="8" w:color="auto"/>
            </w:tcBorders>
          </w:tcPr>
          <w:p>
            <w:pPr>
              <w:jc w:val="right"/>
              <w:ind w:right="286"/>
              <w:spacing w:after="0"/>
              <w:rPr>
                <w:sz w:val="20"/>
                <w:szCs w:val="20"/>
                <w:color w:val="auto"/>
              </w:rPr>
            </w:pPr>
            <w:r>
              <w:rPr>
                <w:rFonts w:ascii="Arial" w:cs="Arial" w:eastAsia="Arial" w:hAnsi="Arial"/>
                <w:sz w:val="12"/>
                <w:szCs w:val="12"/>
                <w:b w:val="1"/>
                <w:bCs w:val="1"/>
                <w:color w:val="auto"/>
              </w:rPr>
              <w:t>Exhibit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r>
      <w:tr>
        <w:trPr>
          <w:trHeight w:val="234"/>
        </w:trPr>
        <w:tc>
          <w:tcPr>
            <w:tcW w:w="780" w:type="dxa"/>
            <w:vAlign w:val="bottom"/>
          </w:tcPr>
          <w:p>
            <w:pPr>
              <w:ind w:left="20"/>
              <w:spacing w:after="0"/>
              <w:rPr>
                <w:sz w:val="20"/>
                <w:szCs w:val="20"/>
                <w:color w:val="auto"/>
              </w:rPr>
            </w:pPr>
            <w:r>
              <w:rPr>
                <w:rFonts w:ascii="Arial" w:cs="Arial" w:eastAsia="Arial" w:hAnsi="Arial"/>
                <w:sz w:val="16"/>
                <w:szCs w:val="16"/>
                <w:color w:val="auto"/>
              </w:rPr>
              <w:t>4.10</w:t>
            </w:r>
          </w:p>
        </w:tc>
        <w:tc>
          <w:tcPr>
            <w:tcW w:w="300" w:type="dxa"/>
            <w:vAlign w:val="bottom"/>
          </w:tcPr>
          <w:p>
            <w:pPr>
              <w:spacing w:after="0"/>
              <w:rPr>
                <w:sz w:val="20"/>
                <w:szCs w:val="20"/>
                <w:color w:val="auto"/>
              </w:rPr>
            </w:pPr>
          </w:p>
        </w:tc>
        <w:tc>
          <w:tcPr>
            <w:tcW w:w="3120" w:type="dxa"/>
            <w:vAlign w:val="bottom"/>
            <w:tcBorders>
              <w:bottom w:val="single" w:sz="8" w:color="0000FF"/>
            </w:tcBorders>
            <w:gridSpan w:val="12"/>
          </w:tcPr>
          <w:p>
            <w:pPr>
              <w:spacing w:after="0"/>
              <w:rPr>
                <w:rFonts w:ascii="Arial" w:cs="Arial" w:eastAsia="Arial" w:hAnsi="Arial"/>
                <w:sz w:val="16"/>
                <w:szCs w:val="16"/>
                <w:color w:val="0000FF"/>
                <w:w w:val="98"/>
              </w:rPr>
            </w:pPr>
            <w:hyperlink r:id="rId337">
              <w:r>
                <w:rPr>
                  <w:rFonts w:ascii="Arial" w:cs="Arial" w:eastAsia="Arial" w:hAnsi="Arial"/>
                  <w:sz w:val="16"/>
                  <w:szCs w:val="16"/>
                  <w:color w:val="0000FF"/>
                  <w:w w:val="98"/>
                </w:rPr>
                <w:t>Seventh Supplemental Indenture for 2.125%</w:t>
              </w:r>
            </w:hyperlink>
          </w:p>
        </w:tc>
        <w:tc>
          <w:tcPr>
            <w:tcW w:w="26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0"/>
                <w:szCs w:val="20"/>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12/6/2013</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Notes due 2021 and 3.125% Notes due 2028,</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tcBorders>
              <w:bottom w:val="single" w:sz="8" w:color="0000FF"/>
            </w:tcBorders>
            <w:gridSpan w:val="5"/>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dated as of December 6, 2013, between</w:t>
              </w:r>
            </w:hyperlink>
          </w:p>
        </w:tc>
        <w:tc>
          <w:tcPr>
            <w:tcW w:w="560" w:type="dxa"/>
            <w:vAlign w:val="bottom"/>
            <w:gridSpan w:val="14"/>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1"/>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Microsoft Corporation and The Bank of New</w:t>
              </w:r>
            </w:hyperlink>
          </w:p>
        </w:tc>
        <w:tc>
          <w:tcPr>
            <w:tcW w:w="28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9"/>
          </w:tcPr>
          <w:p>
            <w:pPr>
              <w:spacing w:after="0" w:line="160" w:lineRule="exact"/>
              <w:rPr>
                <w:rFonts w:ascii="Arial" w:cs="Arial" w:eastAsia="Arial" w:hAnsi="Arial"/>
                <w:sz w:val="16"/>
                <w:szCs w:val="16"/>
                <w:color w:val="0000FF"/>
                <w:w w:val="97"/>
              </w:rPr>
            </w:pPr>
            <w:hyperlink r:id="rId337">
              <w:r>
                <w:rPr>
                  <w:rFonts w:ascii="Arial" w:cs="Arial" w:eastAsia="Arial" w:hAnsi="Arial"/>
                  <w:sz w:val="16"/>
                  <w:szCs w:val="16"/>
                  <w:color w:val="0000FF"/>
                  <w:w w:val="97"/>
                </w:rPr>
                <w:t>York Mellon Trust Company, N.A., as Trustee, to</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60" w:type="dxa"/>
            <w:vAlign w:val="bottom"/>
            <w:tcBorders>
              <w:bottom w:val="single" w:sz="8" w:color="0000FF"/>
            </w:tcBorders>
            <w:gridSpan w:val="6"/>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the Indenture, dated as of May 18, 2009,</w:t>
              </w:r>
            </w:hyperlink>
          </w:p>
        </w:tc>
        <w:tc>
          <w:tcPr>
            <w:tcW w:w="52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9"/>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between Microsoft Corporation and The Bank of</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8"/>
          </w:tcPr>
          <w:p>
            <w:pPr>
              <w:spacing w:after="0" w:line="160" w:lineRule="exact"/>
              <w:rPr>
                <w:rFonts w:ascii="Arial" w:cs="Arial" w:eastAsia="Arial" w:hAnsi="Arial"/>
                <w:sz w:val="16"/>
                <w:szCs w:val="16"/>
                <w:color w:val="0000FF"/>
                <w:w w:val="98"/>
              </w:rPr>
            </w:pPr>
            <w:hyperlink r:id="rId337">
              <w:r>
                <w:rPr>
                  <w:rFonts w:ascii="Arial" w:cs="Arial" w:eastAsia="Arial" w:hAnsi="Arial"/>
                  <w:sz w:val="16"/>
                  <w:szCs w:val="16"/>
                  <w:color w:val="0000FF"/>
                  <w:w w:val="98"/>
                </w:rPr>
                <w:t>New York Mellon Trust Company, N.A., as</w:t>
              </w:r>
            </w:hyperlink>
          </w:p>
        </w:tc>
        <w:tc>
          <w:tcPr>
            <w:tcW w:w="400" w:type="dxa"/>
            <w:vAlign w:val="bottom"/>
            <w:gridSpan w:val="11"/>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bottom w:val="single" w:sz="8" w:color="0000FF"/>
            </w:tcBorders>
          </w:tcPr>
          <w:p>
            <w:pPr>
              <w:spacing w:after="0" w:line="160" w:lineRule="exact"/>
              <w:rPr>
                <w:rFonts w:ascii="Arial" w:cs="Arial" w:eastAsia="Arial" w:hAnsi="Arial"/>
                <w:sz w:val="16"/>
                <w:szCs w:val="16"/>
                <w:color w:val="0000FF"/>
                <w:w w:val="95"/>
              </w:rPr>
            </w:pPr>
            <w:hyperlink r:id="rId337">
              <w:r>
                <w:rPr>
                  <w:rFonts w:ascii="Arial" w:cs="Arial" w:eastAsia="Arial" w:hAnsi="Arial"/>
                  <w:sz w:val="16"/>
                  <w:szCs w:val="16"/>
                  <w:color w:val="0000FF"/>
                  <w:w w:val="95"/>
                </w:rPr>
                <w:t>Trustee</w:t>
              </w:r>
            </w:hyperlink>
          </w:p>
        </w:tc>
        <w:tc>
          <w:tcPr>
            <w:tcW w:w="284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4.11</w:t>
            </w:r>
          </w:p>
        </w:tc>
        <w:tc>
          <w:tcPr>
            <w:tcW w:w="300" w:type="dxa"/>
            <w:vAlign w:val="bottom"/>
          </w:tcPr>
          <w:p>
            <w:pPr>
              <w:spacing w:after="0"/>
              <w:rPr>
                <w:sz w:val="22"/>
                <w:szCs w:val="22"/>
                <w:color w:val="auto"/>
              </w:rPr>
            </w:pPr>
          </w:p>
        </w:tc>
        <w:tc>
          <w:tcPr>
            <w:tcW w:w="3000" w:type="dxa"/>
            <w:vAlign w:val="bottom"/>
            <w:tcBorders>
              <w:bottom w:val="single" w:sz="8" w:color="0000FF"/>
            </w:tcBorders>
            <w:gridSpan w:val="9"/>
          </w:tcPr>
          <w:p>
            <w:pPr>
              <w:spacing w:after="0"/>
              <w:rPr>
                <w:rFonts w:ascii="Arial" w:cs="Arial" w:eastAsia="Arial" w:hAnsi="Arial"/>
                <w:sz w:val="16"/>
                <w:szCs w:val="16"/>
                <w:color w:val="0000FF"/>
                <w:w w:val="98"/>
              </w:rPr>
            </w:pPr>
            <w:hyperlink r:id="rId338">
              <w:r>
                <w:rPr>
                  <w:rFonts w:ascii="Arial" w:cs="Arial" w:eastAsia="Arial" w:hAnsi="Arial"/>
                  <w:sz w:val="16"/>
                  <w:szCs w:val="16"/>
                  <w:color w:val="0000FF"/>
                  <w:w w:val="98"/>
                </w:rPr>
                <w:t>Eighth Supplemental Indenture for 1.625%</w:t>
              </w:r>
            </w:hyperlink>
          </w:p>
        </w:tc>
        <w:tc>
          <w:tcPr>
            <w:tcW w:w="380" w:type="dxa"/>
            <w:vAlign w:val="bottom"/>
            <w:gridSpan w:val="10"/>
          </w:tcPr>
          <w:p>
            <w:pPr>
              <w:spacing w:after="0"/>
              <w:rPr>
                <w:sz w:val="22"/>
                <w:szCs w:val="22"/>
                <w:color w:val="auto"/>
              </w:rPr>
            </w:pPr>
          </w:p>
        </w:tc>
        <w:tc>
          <w:tcPr>
            <w:tcW w:w="860" w:type="dxa"/>
            <w:vAlign w:val="bottom"/>
          </w:tcPr>
          <w:p>
            <w:pPr>
              <w:spacing w:after="0"/>
              <w:rPr>
                <w:sz w:val="22"/>
                <w:szCs w:val="22"/>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2"/>
                <w:szCs w:val="22"/>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4.2</w:t>
            </w:r>
          </w:p>
        </w:tc>
        <w:tc>
          <w:tcPr>
            <w:tcW w:w="1080" w:type="dxa"/>
            <w:vAlign w:val="bottom"/>
          </w:tcPr>
          <w:p>
            <w:pPr>
              <w:jc w:val="right"/>
              <w:spacing w:after="0"/>
              <w:rPr>
                <w:sz w:val="20"/>
                <w:szCs w:val="20"/>
                <w:color w:val="auto"/>
              </w:rPr>
            </w:pPr>
            <w:r>
              <w:rPr>
                <w:rFonts w:ascii="Arial" w:cs="Arial" w:eastAsia="Arial" w:hAnsi="Arial"/>
                <w:sz w:val="16"/>
                <w:szCs w:val="16"/>
                <w:color w:val="auto"/>
              </w:rPr>
              <w:t>12/6/2013</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tcBorders>
              <w:bottom w:val="single" w:sz="8" w:color="0000FF"/>
            </w:tcBorders>
            <w:gridSpan w:val="15"/>
          </w:tcPr>
          <w:p>
            <w:pPr>
              <w:spacing w:after="0" w:line="160" w:lineRule="exact"/>
              <w:rPr>
                <w:rFonts w:ascii="Arial" w:cs="Arial" w:eastAsia="Arial" w:hAnsi="Arial"/>
                <w:sz w:val="16"/>
                <w:szCs w:val="16"/>
                <w:color w:val="0000FF"/>
                <w:w w:val="98"/>
              </w:rPr>
            </w:pPr>
            <w:hyperlink r:id="rId338">
              <w:r>
                <w:rPr>
                  <w:rFonts w:ascii="Arial" w:cs="Arial" w:eastAsia="Arial" w:hAnsi="Arial"/>
                  <w:sz w:val="16"/>
                  <w:szCs w:val="16"/>
                  <w:color w:val="0000FF"/>
                  <w:w w:val="98"/>
                </w:rPr>
                <w:t>Notes due 2018, 3.625% Notes due 2023, and</w:t>
              </w:r>
            </w:hyperlink>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38">
              <w:r>
                <w:rPr>
                  <w:rFonts w:ascii="Arial" w:cs="Arial" w:eastAsia="Arial" w:hAnsi="Arial"/>
                  <w:sz w:val="16"/>
                  <w:szCs w:val="16"/>
                  <w:color w:val="0000FF"/>
                  <w:w w:val="98"/>
                </w:rPr>
                <w:t>4.</w:t>
              </w:r>
              <w:r>
                <w:rPr>
                  <w:rFonts w:ascii="Arial" w:cs="Arial" w:eastAsia="Arial" w:hAnsi="Arial"/>
                  <w:sz w:val="16"/>
                  <w:szCs w:val="16"/>
                  <w:u w:val="single" w:color="auto"/>
                  <w:color w:val="0000FF"/>
                  <w:w w:val="98"/>
                </w:rPr>
                <w:t>875%</w:t>
              </w:r>
              <w:r>
                <w:rPr>
                  <w:rFonts w:ascii="Arial" w:cs="Arial" w:eastAsia="Arial" w:hAnsi="Arial"/>
                  <w:sz w:val="16"/>
                  <w:szCs w:val="16"/>
                  <w:color w:val="0000FF"/>
                  <w:w w:val="98"/>
                </w:rPr>
                <w:t xml:space="preserve"> Notes due 2043, dated as of December</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9"/>
          </w:tcPr>
          <w:p>
            <w:pPr>
              <w:spacing w:after="0" w:line="160" w:lineRule="exact"/>
              <w:rPr>
                <w:rFonts w:ascii="Arial" w:cs="Arial" w:eastAsia="Arial" w:hAnsi="Arial"/>
                <w:sz w:val="16"/>
                <w:szCs w:val="16"/>
                <w:color w:val="0000FF"/>
                <w:w w:val="97"/>
              </w:rPr>
            </w:pPr>
            <w:hyperlink r:id="rId338">
              <w:r>
                <w:rPr>
                  <w:rFonts w:ascii="Arial" w:cs="Arial" w:eastAsia="Arial" w:hAnsi="Arial"/>
                  <w:sz w:val="16"/>
                  <w:szCs w:val="16"/>
                  <w:color w:val="0000FF"/>
                  <w:w w:val="97"/>
                </w:rPr>
                <w:t>6, 2013, between Microsoft Corporation and The</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38">
              <w:r>
                <w:rPr>
                  <w:rFonts w:ascii="Arial" w:cs="Arial" w:eastAsia="Arial" w:hAnsi="Arial"/>
                  <w:sz w:val="16"/>
                  <w:szCs w:val="16"/>
                  <w:color w:val="0000FF"/>
                  <w:w w:val="98"/>
                </w:rPr>
                <w:t>Bank of New York Mellon Trust Company, N.A.,</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9"/>
          </w:tcPr>
          <w:p>
            <w:pPr>
              <w:spacing w:after="0" w:line="160" w:lineRule="exact"/>
              <w:rPr>
                <w:rFonts w:ascii="Arial" w:cs="Arial" w:eastAsia="Arial" w:hAnsi="Arial"/>
                <w:sz w:val="16"/>
                <w:szCs w:val="16"/>
                <w:color w:val="0000FF"/>
                <w:w w:val="97"/>
              </w:rPr>
            </w:pPr>
            <w:hyperlink r:id="rId338">
              <w:r>
                <w:rPr>
                  <w:rFonts w:ascii="Arial" w:cs="Arial" w:eastAsia="Arial" w:hAnsi="Arial"/>
                  <w:sz w:val="16"/>
                  <w:szCs w:val="16"/>
                  <w:color w:val="0000FF"/>
                  <w:w w:val="97"/>
                </w:rPr>
                <w:t>as Trustee, to the Indenture, dated as of May 18,</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38">
              <w:r>
                <w:rPr>
                  <w:rFonts w:ascii="Arial" w:cs="Arial" w:eastAsia="Arial" w:hAnsi="Arial"/>
                  <w:sz w:val="16"/>
                  <w:szCs w:val="16"/>
                  <w:color w:val="0000FF"/>
                  <w:w w:val="98"/>
                </w:rPr>
                <w:t>2009, between Microsoft Corporation and The</w:t>
              </w:r>
            </w:hyperlink>
          </w:p>
        </w:tc>
        <w:tc>
          <w:tcPr>
            <w:tcW w:w="14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38">
              <w:r>
                <w:rPr>
                  <w:rFonts w:ascii="Arial" w:cs="Arial" w:eastAsia="Arial" w:hAnsi="Arial"/>
                  <w:sz w:val="16"/>
                  <w:szCs w:val="16"/>
                  <w:color w:val="0000FF"/>
                  <w:w w:val="98"/>
                </w:rPr>
                <w:t>Bank of New York Mellon Trust Company, N.A.,</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19"/>
          </w:tcPr>
          <w:p>
            <w:pPr>
              <w:spacing w:after="0" w:line="160" w:lineRule="exact"/>
              <w:rPr>
                <w:rFonts w:ascii="Arial" w:cs="Arial" w:eastAsia="Arial" w:hAnsi="Arial"/>
                <w:sz w:val="16"/>
                <w:szCs w:val="16"/>
                <w:color w:val="0000FF"/>
              </w:rPr>
            </w:pPr>
            <w:hyperlink r:id="rId338">
              <w:r>
                <w:rPr>
                  <w:rFonts w:ascii="Arial" w:cs="Arial" w:eastAsia="Arial" w:hAnsi="Arial"/>
                  <w:sz w:val="16"/>
                  <w:szCs w:val="16"/>
                  <w:color w:val="0000FF"/>
                </w:rPr>
                <w:t>as Trustee</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4.12</w:t>
            </w:r>
          </w:p>
        </w:tc>
        <w:tc>
          <w:tcPr>
            <w:tcW w:w="300" w:type="dxa"/>
            <w:vAlign w:val="bottom"/>
          </w:tcPr>
          <w:p>
            <w:pPr>
              <w:spacing w:after="0"/>
              <w:rPr>
                <w:sz w:val="22"/>
                <w:szCs w:val="22"/>
                <w:color w:val="auto"/>
              </w:rPr>
            </w:pPr>
          </w:p>
        </w:tc>
        <w:tc>
          <w:tcPr>
            <w:tcW w:w="3380" w:type="dxa"/>
            <w:vAlign w:val="bottom"/>
            <w:tcBorders>
              <w:bottom w:val="single" w:sz="8" w:color="0000FF"/>
            </w:tcBorders>
            <w:gridSpan w:val="19"/>
          </w:tcPr>
          <w:p>
            <w:pPr>
              <w:spacing w:after="0"/>
              <w:rPr>
                <w:rFonts w:ascii="Arial" w:cs="Arial" w:eastAsia="Arial" w:hAnsi="Arial"/>
                <w:sz w:val="16"/>
                <w:szCs w:val="16"/>
                <w:color w:val="0000FF"/>
                <w:w w:val="98"/>
              </w:rPr>
            </w:pPr>
            <w:hyperlink r:id="rId339">
              <w:r>
                <w:rPr>
                  <w:rFonts w:ascii="Arial" w:cs="Arial" w:eastAsia="Arial" w:hAnsi="Arial"/>
                  <w:sz w:val="16"/>
                  <w:szCs w:val="16"/>
                  <w:color w:val="0000FF"/>
                  <w:w w:val="98"/>
                </w:rPr>
                <w:t>Ninth Supplemental Indenture for 1.850% Notes</w:t>
              </w:r>
            </w:hyperlink>
          </w:p>
        </w:tc>
        <w:tc>
          <w:tcPr>
            <w:tcW w:w="860" w:type="dxa"/>
            <w:vAlign w:val="bottom"/>
          </w:tcPr>
          <w:p>
            <w:pPr>
              <w:spacing w:after="0"/>
              <w:rPr>
                <w:sz w:val="22"/>
                <w:szCs w:val="22"/>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2"/>
                <w:szCs w:val="22"/>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2/12/2015</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due 2020, 2.375% Notes due 2022, 2.700%</w:t>
              </w:r>
            </w:hyperlink>
          </w:p>
        </w:tc>
        <w:tc>
          <w:tcPr>
            <w:tcW w:w="3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Notes due 2025, 3.500% Notes due 2035,</w:t>
              </w:r>
            </w:hyperlink>
          </w:p>
        </w:tc>
        <w:tc>
          <w:tcPr>
            <w:tcW w:w="420" w:type="dxa"/>
            <w:vAlign w:val="bottom"/>
            <w:gridSpan w:val="1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19"/>
          </w:tcPr>
          <w:p>
            <w:pPr>
              <w:spacing w:after="0" w:line="160" w:lineRule="exact"/>
              <w:rPr>
                <w:rFonts w:ascii="Arial" w:cs="Arial" w:eastAsia="Arial" w:hAnsi="Arial"/>
                <w:sz w:val="16"/>
                <w:szCs w:val="16"/>
                <w:color w:val="0000FF"/>
                <w:w w:val="97"/>
              </w:rPr>
            </w:pPr>
            <w:hyperlink r:id="rId339">
              <w:r>
                <w:rPr>
                  <w:rFonts w:ascii="Arial" w:cs="Arial" w:eastAsia="Arial" w:hAnsi="Arial"/>
                  <w:sz w:val="16"/>
                  <w:szCs w:val="16"/>
                  <w:color w:val="0000FF"/>
                  <w:w w:val="97"/>
                </w:rPr>
                <w:t>3.</w:t>
              </w:r>
              <w:r>
                <w:rPr>
                  <w:rFonts w:ascii="Arial" w:cs="Arial" w:eastAsia="Arial" w:hAnsi="Arial"/>
                  <w:sz w:val="16"/>
                  <w:szCs w:val="16"/>
                  <w:u w:val="single" w:color="auto"/>
                  <w:color w:val="0000FF"/>
                  <w:w w:val="97"/>
                </w:rPr>
                <w:t>750%</w:t>
              </w:r>
              <w:r>
                <w:rPr>
                  <w:rFonts w:ascii="Arial" w:cs="Arial" w:eastAsia="Arial" w:hAnsi="Arial"/>
                  <w:sz w:val="16"/>
                  <w:szCs w:val="16"/>
                  <w:color w:val="0000FF"/>
                  <w:w w:val="97"/>
                </w:rPr>
                <w:t xml:space="preserve"> Notes due 2045, and 4.000% Notes due</w:t>
              </w:r>
            </w:hyperlink>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Borders>
              <w:bottom w:val="single" w:sz="8" w:color="0000FF"/>
            </w:tcBorders>
            <w:gridSpan w:val="14"/>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2055, dated as of February 12, 2015, between</w:t>
              </w:r>
            </w:hyperlink>
          </w:p>
        </w:tc>
        <w:tc>
          <w:tcPr>
            <w:tcW w:w="14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Microsoft Corporation and U.S. Bank National</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40" w:type="dxa"/>
            <w:vAlign w:val="bottom"/>
            <w:tcBorders>
              <w:bottom w:val="single" w:sz="8" w:color="0000FF"/>
            </w:tcBorders>
            <w:gridSpan w:val="17"/>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Association, as Trustee, to the Indenture, dated</w:t>
              </w:r>
            </w:hyperlink>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tcBorders>
              <w:bottom w:val="single" w:sz="8" w:color="0000FF"/>
            </w:tcBorders>
            <w:gridSpan w:val="4"/>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as of May 18, 2009, between Microsoft</w:t>
              </w:r>
            </w:hyperlink>
          </w:p>
        </w:tc>
        <w:tc>
          <w:tcPr>
            <w:tcW w:w="640" w:type="dxa"/>
            <w:vAlign w:val="bottom"/>
            <w:gridSpan w:val="15"/>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16"/>
          </w:tcPr>
          <w:p>
            <w:pPr>
              <w:spacing w:after="0" w:line="160" w:lineRule="exact"/>
              <w:rPr>
                <w:rFonts w:ascii="Arial" w:cs="Arial" w:eastAsia="Arial" w:hAnsi="Arial"/>
                <w:sz w:val="16"/>
                <w:szCs w:val="16"/>
                <w:color w:val="0000FF"/>
                <w:w w:val="98"/>
              </w:rPr>
            </w:pPr>
            <w:hyperlink r:id="rId339">
              <w:r>
                <w:rPr>
                  <w:rFonts w:ascii="Arial" w:cs="Arial" w:eastAsia="Arial" w:hAnsi="Arial"/>
                  <w:sz w:val="16"/>
                  <w:szCs w:val="16"/>
                  <w:color w:val="0000FF"/>
                  <w:w w:val="98"/>
                </w:rPr>
                <w:t>Corporation and The Bank of New York Mellon</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Borders>
              <w:bottom w:val="single" w:sz="8" w:color="0000FF"/>
            </w:tcBorders>
            <w:gridSpan w:val="3"/>
          </w:tcPr>
          <w:p>
            <w:pPr>
              <w:spacing w:after="0" w:line="160" w:lineRule="exact"/>
              <w:rPr>
                <w:rFonts w:ascii="Arial" w:cs="Arial" w:eastAsia="Arial" w:hAnsi="Arial"/>
                <w:sz w:val="16"/>
                <w:szCs w:val="16"/>
                <w:color w:val="0000FF"/>
                <w:w w:val="97"/>
              </w:rPr>
            </w:pPr>
            <w:hyperlink r:id="rId339">
              <w:r>
                <w:rPr>
                  <w:rFonts w:ascii="Arial" w:cs="Arial" w:eastAsia="Arial" w:hAnsi="Arial"/>
                  <w:sz w:val="16"/>
                  <w:szCs w:val="16"/>
                  <w:color w:val="0000FF"/>
                  <w:w w:val="97"/>
                </w:rPr>
                <w:t>Trust Company, N.A., as trustee</w:t>
              </w:r>
            </w:hyperlink>
          </w:p>
        </w:tc>
        <w:tc>
          <w:tcPr>
            <w:tcW w:w="1140" w:type="dxa"/>
            <w:vAlign w:val="bottom"/>
            <w:gridSpan w:val="16"/>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4.13</w:t>
            </w:r>
          </w:p>
        </w:tc>
        <w:tc>
          <w:tcPr>
            <w:tcW w:w="300" w:type="dxa"/>
            <w:vAlign w:val="bottom"/>
          </w:tcPr>
          <w:p>
            <w:pPr>
              <w:spacing w:after="0"/>
              <w:rPr>
                <w:sz w:val="22"/>
                <w:szCs w:val="22"/>
                <w:color w:val="auto"/>
              </w:rPr>
            </w:pPr>
          </w:p>
        </w:tc>
        <w:tc>
          <w:tcPr>
            <w:tcW w:w="3380" w:type="dxa"/>
            <w:vAlign w:val="bottom"/>
            <w:tcBorders>
              <w:bottom w:val="single" w:sz="8" w:color="0000FF"/>
            </w:tcBorders>
            <w:gridSpan w:val="19"/>
          </w:tcPr>
          <w:p>
            <w:pPr>
              <w:spacing w:after="0"/>
              <w:rPr>
                <w:rFonts w:ascii="Arial" w:cs="Arial" w:eastAsia="Arial" w:hAnsi="Arial"/>
                <w:sz w:val="16"/>
                <w:szCs w:val="16"/>
                <w:color w:val="0000FF"/>
                <w:w w:val="97"/>
              </w:rPr>
            </w:pPr>
            <w:hyperlink r:id="rId340">
              <w:r>
                <w:rPr>
                  <w:rFonts w:ascii="Arial" w:cs="Arial" w:eastAsia="Arial" w:hAnsi="Arial"/>
                  <w:sz w:val="16"/>
                  <w:szCs w:val="16"/>
                  <w:color w:val="0000FF"/>
                  <w:w w:val="97"/>
                </w:rPr>
                <w:t>Tenth Supplemental Indenture for 1.300% Notes</w:t>
              </w:r>
            </w:hyperlink>
          </w:p>
        </w:tc>
        <w:tc>
          <w:tcPr>
            <w:tcW w:w="860" w:type="dxa"/>
            <w:vAlign w:val="bottom"/>
          </w:tcPr>
          <w:p>
            <w:pPr>
              <w:spacing w:after="0"/>
              <w:rPr>
                <w:sz w:val="22"/>
                <w:szCs w:val="22"/>
                <w:color w:val="auto"/>
              </w:rPr>
            </w:pPr>
          </w:p>
        </w:tc>
        <w:tc>
          <w:tcPr>
            <w:tcW w:w="1440" w:type="dxa"/>
            <w:vAlign w:val="bottom"/>
          </w:tcPr>
          <w:p>
            <w:pPr>
              <w:jc w:val="center"/>
              <w:ind w:left="326"/>
              <w:spacing w:after="0"/>
              <w:rPr>
                <w:sz w:val="20"/>
                <w:szCs w:val="20"/>
                <w:color w:val="auto"/>
              </w:rPr>
            </w:pPr>
            <w:r>
              <w:rPr>
                <w:rFonts w:ascii="Arial" w:cs="Arial" w:eastAsia="Arial" w:hAnsi="Arial"/>
                <w:sz w:val="16"/>
                <w:szCs w:val="16"/>
                <w:color w:val="auto"/>
                <w:w w:val="96"/>
              </w:rPr>
              <w:t>8-K</w:t>
            </w:r>
          </w:p>
        </w:tc>
        <w:tc>
          <w:tcPr>
            <w:tcW w:w="1460" w:type="dxa"/>
            <w:vAlign w:val="bottom"/>
          </w:tcPr>
          <w:p>
            <w:pPr>
              <w:spacing w:after="0"/>
              <w:rPr>
                <w:sz w:val="22"/>
                <w:szCs w:val="22"/>
                <w:color w:val="auto"/>
              </w:rPr>
            </w:pPr>
          </w:p>
        </w:tc>
        <w:tc>
          <w:tcPr>
            <w:tcW w:w="1180" w:type="dxa"/>
            <w:vAlign w:val="bottom"/>
          </w:tcPr>
          <w:p>
            <w:pPr>
              <w:jc w:val="right"/>
              <w:ind w:right="306"/>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11/3/2015</w:t>
            </w: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8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40">
              <w:r>
                <w:rPr>
                  <w:rFonts w:ascii="Arial" w:cs="Arial" w:eastAsia="Arial" w:hAnsi="Arial"/>
                  <w:sz w:val="16"/>
                  <w:szCs w:val="16"/>
                  <w:color w:val="0000FF"/>
                  <w:w w:val="98"/>
                </w:rPr>
                <w:t>due 2018, 2.000% Notes due 2020, 2.650%</w:t>
              </w:r>
            </w:hyperlink>
          </w:p>
        </w:tc>
        <w:tc>
          <w:tcPr>
            <w:tcW w:w="30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r:id="rId340">
              <w:r>
                <w:rPr>
                  <w:rFonts w:ascii="Arial" w:cs="Arial" w:eastAsia="Arial" w:hAnsi="Arial"/>
                  <w:sz w:val="16"/>
                  <w:szCs w:val="16"/>
                  <w:color w:val="0000FF"/>
                  <w:w w:val="98"/>
                </w:rPr>
                <w:t>Notes due 2022, 3.125% Notes due 2025,</w:t>
              </w:r>
            </w:hyperlink>
          </w:p>
        </w:tc>
        <w:tc>
          <w:tcPr>
            <w:tcW w:w="420" w:type="dxa"/>
            <w:vAlign w:val="bottom"/>
            <w:gridSpan w:val="12"/>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1"/>
          </w:tcPr>
          <w:p>
            <w:pPr>
              <w:spacing w:after="0" w:line="160" w:lineRule="exact"/>
              <w:rPr>
                <w:rFonts w:ascii="Arial" w:cs="Arial" w:eastAsia="Arial" w:hAnsi="Arial"/>
                <w:sz w:val="16"/>
                <w:szCs w:val="16"/>
                <w:color w:val="0000FF"/>
                <w:w w:val="98"/>
              </w:rPr>
            </w:pPr>
            <w:hyperlink r:id="rId340">
              <w:r>
                <w:rPr>
                  <w:rFonts w:ascii="Arial" w:cs="Arial" w:eastAsia="Arial" w:hAnsi="Arial"/>
                  <w:sz w:val="16"/>
                  <w:szCs w:val="16"/>
                  <w:color w:val="0000FF"/>
                  <w:w w:val="98"/>
                </w:rPr>
                <w:t>4.</w:t>
              </w:r>
              <w:r>
                <w:rPr>
                  <w:rFonts w:ascii="Arial" w:cs="Arial" w:eastAsia="Arial" w:hAnsi="Arial"/>
                  <w:sz w:val="16"/>
                  <w:szCs w:val="16"/>
                  <w:u w:val="single" w:color="auto"/>
                  <w:color w:val="0000FF"/>
                  <w:w w:val="98"/>
                </w:rPr>
                <w:t>200%</w:t>
              </w:r>
              <w:r>
                <w:rPr>
                  <w:rFonts w:ascii="Arial" w:cs="Arial" w:eastAsia="Arial" w:hAnsi="Arial"/>
                  <w:sz w:val="16"/>
                  <w:szCs w:val="16"/>
                  <w:color w:val="0000FF"/>
                  <w:w w:val="98"/>
                </w:rPr>
                <w:t xml:space="preserve"> Notes due 2035, 4.450% Notes due</w:t>
              </w:r>
            </w:hyperlink>
          </w:p>
        </w:tc>
        <w:tc>
          <w:tcPr>
            <w:tcW w:w="28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2816225</wp:posOffset>
            </wp:positionH>
            <wp:positionV relativeFrom="paragraph">
              <wp:posOffset>-2301240</wp:posOffset>
            </wp:positionV>
            <wp:extent cx="76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-1211580</wp:posOffset>
            </wp:positionV>
            <wp:extent cx="762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-349885</wp:posOffset>
            </wp:positionV>
            <wp:extent cx="76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620" cy="7620"/>
                    </a:xfrm>
                    <a:prstGeom prst="rect">
                      <a:avLst/>
                    </a:prstGeom>
                    <a:noFill/>
                  </pic:spPr>
                </pic:pic>
              </a:graphicData>
            </a:graphic>
          </wp:anchor>
        </w:drawing>
      </w:r>
    </w:p>
    <w:p>
      <w:pPr>
        <w:ind w:left="1080"/>
        <w:spacing w:after="0"/>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2045, and 4.750% Notes due 2055, dated as of</w:t>
        </w:r>
      </w:hyperlink>
    </w:p>
    <w:p>
      <w:pPr>
        <w:spacing w:after="0" w:line="2" w:lineRule="exact"/>
        <w:rPr>
          <w:sz w:val="20"/>
          <w:szCs w:val="20"/>
          <w:color w:val="auto"/>
        </w:rPr>
      </w:pPr>
    </w:p>
    <w:p>
      <w:pPr>
        <w:ind w:left="1080"/>
        <w:spacing w:after="0"/>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November 3, 2015, between Microsoft</w:t>
        </w:r>
      </w:hyperlink>
    </w:p>
    <w:p>
      <w:pPr>
        <w:ind w:left="1080"/>
        <w:spacing w:after="0" w:line="234" w:lineRule="auto"/>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Corporation and U.S. Bank National Association,</w:t>
        </w:r>
      </w:hyperlink>
    </w:p>
    <w:p>
      <w:pPr>
        <w:ind w:left="1080"/>
        <w:spacing w:after="0" w:line="235" w:lineRule="auto"/>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as Trustee, to the Indenture, dated as of May 18,</w:t>
        </w:r>
      </w:hyperlink>
    </w:p>
    <w:p>
      <w:pPr>
        <w:ind w:left="1080"/>
        <w:spacing w:after="0" w:line="235" w:lineRule="auto"/>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2009, between Microsoft Corporation and The</w:t>
        </w:r>
      </w:hyperlink>
    </w:p>
    <w:p>
      <w:pPr>
        <w:ind w:left="1080"/>
        <w:spacing w:after="0" w:line="235" w:lineRule="auto"/>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Bank of New York Mellon Trust Company, N.A.,</w:t>
        </w:r>
      </w:hyperlink>
    </w:p>
    <w:p>
      <w:pPr>
        <w:ind w:left="1080"/>
        <w:spacing w:after="0"/>
        <w:rPr>
          <w:rFonts w:ascii="Arial" w:cs="Arial" w:eastAsia="Arial" w:hAnsi="Arial"/>
          <w:sz w:val="16"/>
          <w:szCs w:val="16"/>
          <w:u w:val="single" w:color="auto"/>
          <w:color w:val="0000FF"/>
        </w:rPr>
      </w:pPr>
      <w:hyperlink r:id="rId340">
        <w:r>
          <w:rPr>
            <w:rFonts w:ascii="Arial" w:cs="Arial" w:eastAsia="Arial" w:hAnsi="Arial"/>
            <w:sz w:val="16"/>
            <w:szCs w:val="16"/>
            <w:u w:val="single" w:color="auto"/>
            <w:color w:val="0000FF"/>
          </w:rPr>
          <w:t>as trustee</w:t>
        </w:r>
      </w:hyperlink>
    </w:p>
    <w:p>
      <w:pPr>
        <w:spacing w:after="0" w:line="19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73" w:right="760" w:bottom="1440" w:gutter="0" w:footer="0" w:header="0"/>
        </w:sectPr>
      </w:pPr>
    </w:p>
    <w:bookmarkStart w:id="104" w:name="page105"/>
    <w:bookmarkEnd w:id="104"/>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118745</wp:posOffset>
            </wp:positionV>
            <wp:extent cx="86360" cy="3683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2"/>
          </w:tcPr>
          <w:p>
            <w:pPr>
              <w:jc w:val="right"/>
              <w:ind w:right="624"/>
              <w:spacing w:after="0"/>
              <w:rPr>
                <w:sz w:val="20"/>
                <w:szCs w:val="20"/>
                <w:color w:val="auto"/>
              </w:rPr>
            </w:pPr>
            <w:r>
              <w:rPr>
                <w:rFonts w:ascii="Arial" w:cs="Arial" w:eastAsia="Arial" w:hAnsi="Arial"/>
                <w:sz w:val="12"/>
                <w:szCs w:val="12"/>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Exhibit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Filed</w:t>
            </w:r>
          </w:p>
        </w:tc>
        <w:tc>
          <w:tcPr>
            <w:tcW w:w="1040" w:type="dxa"/>
            <w:vAlign w:val="bottom"/>
          </w:tcPr>
          <w:p>
            <w:pPr>
              <w:spacing w:after="0"/>
              <w:rPr>
                <w:sz w:val="14"/>
                <w:szCs w:val="14"/>
                <w:color w:val="auto"/>
              </w:rPr>
            </w:pPr>
          </w:p>
        </w:tc>
        <w:tc>
          <w:tcPr>
            <w:tcW w:w="1480" w:type="dxa"/>
            <w:vAlign w:val="bottom"/>
          </w:tcPr>
          <w:p>
            <w:pPr>
              <w:jc w:val="right"/>
              <w:ind w:right="331"/>
              <w:spacing w:after="0"/>
              <w:rPr>
                <w:sz w:val="20"/>
                <w:szCs w:val="20"/>
                <w:color w:val="auto"/>
              </w:rPr>
            </w:pPr>
            <w:r>
              <w:rPr>
                <w:rFonts w:ascii="Arial" w:cs="Arial" w:eastAsia="Arial" w:hAnsi="Arial"/>
                <w:sz w:val="12"/>
                <w:szCs w:val="12"/>
                <w:b w:val="1"/>
                <w:bCs w:val="1"/>
                <w:color w:val="auto"/>
              </w:rPr>
              <w:t>Period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3680" w:type="dxa"/>
            <w:vAlign w:val="bottom"/>
            <w:tcBorders>
              <w:bottom w:val="single" w:sz="8" w:color="auto"/>
            </w:tcBorders>
            <w:gridSpan w:val="24"/>
          </w:tcPr>
          <w:p>
            <w:pPr>
              <w:ind w:left="300"/>
              <w:spacing w:after="0"/>
              <w:rPr>
                <w:sz w:val="20"/>
                <w:szCs w:val="20"/>
                <w:color w:val="auto"/>
              </w:rPr>
            </w:pPr>
            <w:r>
              <w:rPr>
                <w:rFonts w:ascii="Arial" w:cs="Arial" w:eastAsia="Arial" w:hAnsi="Arial"/>
                <w:sz w:val="12"/>
                <w:szCs w:val="12"/>
                <w:b w:val="1"/>
                <w:bCs w:val="1"/>
                <w:color w:val="auto"/>
              </w:rPr>
              <w:t>Exhibit Description</w:t>
            </w:r>
          </w:p>
        </w:tc>
        <w:tc>
          <w:tcPr>
            <w:tcW w:w="12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rPr>
              <w:t>Herewith</w:t>
            </w:r>
          </w:p>
        </w:tc>
        <w:tc>
          <w:tcPr>
            <w:tcW w:w="1040" w:type="dxa"/>
            <w:vAlign w:val="bottom"/>
            <w:tcBorders>
              <w:bottom w:val="single" w:sz="8" w:color="auto"/>
            </w:tcBorders>
          </w:tcPr>
          <w:p>
            <w:pPr>
              <w:jc w:val="right"/>
              <w:ind w:right="284"/>
              <w:spacing w:after="0"/>
              <w:rPr>
                <w:sz w:val="20"/>
                <w:szCs w:val="20"/>
                <w:color w:val="auto"/>
              </w:rPr>
            </w:pPr>
            <w:r>
              <w:rPr>
                <w:rFonts w:ascii="Arial" w:cs="Arial" w:eastAsia="Arial" w:hAnsi="Arial"/>
                <w:sz w:val="12"/>
                <w:szCs w:val="12"/>
                <w:b w:val="1"/>
                <w:bCs w:val="1"/>
                <w:color w:val="auto"/>
              </w:rPr>
              <w:t>Form</w:t>
            </w: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Ending</w:t>
            </w:r>
          </w:p>
        </w:tc>
        <w:tc>
          <w:tcPr>
            <w:tcW w:w="1140" w:type="dxa"/>
            <w:vAlign w:val="bottom"/>
            <w:tcBorders>
              <w:bottom w:val="single" w:sz="8" w:color="auto"/>
            </w:tcBorders>
          </w:tcPr>
          <w:p>
            <w:pPr>
              <w:jc w:val="right"/>
              <w:ind w:right="244"/>
              <w:spacing w:after="0"/>
              <w:rPr>
                <w:sz w:val="20"/>
                <w:szCs w:val="20"/>
                <w:color w:val="auto"/>
              </w:rPr>
            </w:pPr>
            <w:r>
              <w:rPr>
                <w:rFonts w:ascii="Arial" w:cs="Arial" w:eastAsia="Arial" w:hAnsi="Arial"/>
                <w:sz w:val="12"/>
                <w:szCs w:val="12"/>
                <w:b w:val="1"/>
                <w:bCs w:val="1"/>
                <w:color w:val="auto"/>
              </w:rPr>
              <w:t>Exhibit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c>
          <w:tcPr>
            <w:tcW w:w="80" w:type="dxa"/>
            <w:vAlign w:val="bottom"/>
          </w:tcPr>
          <w:p>
            <w:pPr>
              <w:spacing w:after="0"/>
              <w:rPr>
                <w:sz w:val="14"/>
                <w:szCs w:val="14"/>
                <w:color w:val="auto"/>
              </w:rPr>
            </w:pPr>
          </w:p>
        </w:tc>
      </w:tr>
      <w:tr>
        <w:trPr>
          <w:trHeight w:val="234"/>
        </w:trPr>
        <w:tc>
          <w:tcPr>
            <w:tcW w:w="780" w:type="dxa"/>
            <w:vAlign w:val="bottom"/>
          </w:tcPr>
          <w:p>
            <w:pPr>
              <w:ind w:left="20"/>
              <w:spacing w:after="0"/>
              <w:rPr>
                <w:sz w:val="20"/>
                <w:szCs w:val="20"/>
                <w:color w:val="auto"/>
              </w:rPr>
            </w:pPr>
            <w:r>
              <w:rPr>
                <w:rFonts w:ascii="Arial" w:cs="Arial" w:eastAsia="Arial" w:hAnsi="Arial"/>
                <w:sz w:val="16"/>
                <w:szCs w:val="16"/>
                <w:color w:val="auto"/>
              </w:rPr>
              <w:t>4.14</w:t>
            </w:r>
          </w:p>
        </w:tc>
        <w:tc>
          <w:tcPr>
            <w:tcW w:w="300" w:type="dxa"/>
            <w:vAlign w:val="bottom"/>
          </w:tcPr>
          <w:p>
            <w:pPr>
              <w:spacing w:after="0"/>
              <w:rPr>
                <w:sz w:val="20"/>
                <w:szCs w:val="20"/>
                <w:color w:val="auto"/>
              </w:rPr>
            </w:pPr>
          </w:p>
        </w:tc>
        <w:tc>
          <w:tcPr>
            <w:tcW w:w="3160" w:type="dxa"/>
            <w:vAlign w:val="bottom"/>
            <w:tcBorders>
              <w:bottom w:val="single" w:sz="8" w:color="0000FF"/>
            </w:tcBorders>
            <w:gridSpan w:val="16"/>
          </w:tcPr>
          <w:p>
            <w:pPr>
              <w:spacing w:after="0"/>
              <w:rPr>
                <w:rFonts w:ascii="Arial" w:cs="Arial" w:eastAsia="Arial" w:hAnsi="Arial"/>
                <w:sz w:val="16"/>
                <w:szCs w:val="16"/>
                <w:color w:val="0000FF"/>
                <w:w w:val="98"/>
              </w:rPr>
            </w:pPr>
            <w:hyperlink r:id="rId346">
              <w:r>
                <w:rPr>
                  <w:rFonts w:ascii="Arial" w:cs="Arial" w:eastAsia="Arial" w:hAnsi="Arial"/>
                  <w:sz w:val="16"/>
                  <w:szCs w:val="16"/>
                  <w:color w:val="0000FF"/>
                  <w:w w:val="98"/>
                </w:rPr>
                <w:t>Eleventh Supplemental Indenture for 1.100%</w:t>
              </w:r>
            </w:hyperlink>
          </w:p>
        </w:tc>
        <w:tc>
          <w:tcPr>
            <w:tcW w:w="220" w:type="dxa"/>
            <w:vAlign w:val="bottom"/>
            <w:gridSpan w:val="7"/>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jc w:val="right"/>
              <w:ind w:right="304"/>
              <w:spacing w:after="0"/>
              <w:rPr>
                <w:sz w:val="20"/>
                <w:szCs w:val="20"/>
                <w:color w:val="auto"/>
              </w:rPr>
            </w:pPr>
            <w:r>
              <w:rPr>
                <w:rFonts w:ascii="Arial" w:cs="Arial" w:eastAsia="Arial" w:hAnsi="Arial"/>
                <w:sz w:val="16"/>
                <w:szCs w:val="16"/>
                <w:color w:val="auto"/>
              </w:rPr>
              <w:t>8-K</w:t>
            </w:r>
          </w:p>
        </w:tc>
        <w:tc>
          <w:tcPr>
            <w:tcW w:w="1480" w:type="dxa"/>
            <w:vAlign w:val="bottom"/>
          </w:tcPr>
          <w:p>
            <w:pPr>
              <w:spacing w:after="0"/>
              <w:rPr>
                <w:sz w:val="20"/>
                <w:szCs w:val="20"/>
                <w:color w:val="auto"/>
              </w:rPr>
            </w:pP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8/5/2016</w:t>
            </w:r>
          </w:p>
        </w:tc>
        <w:tc>
          <w:tcPr>
            <w:tcW w:w="80" w:type="dxa"/>
            <w:vAlign w:val="bottom"/>
          </w:tcPr>
          <w:p>
            <w:pPr>
              <w:spacing w:after="0"/>
              <w:rPr>
                <w:sz w:val="20"/>
                <w:szCs w:val="20"/>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Notes due 2019, 1.550% Notes due 2021,</w:t>
              </w:r>
            </w:hyperlink>
          </w:p>
        </w:tc>
        <w:tc>
          <w:tcPr>
            <w:tcW w:w="42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2.</w:t>
              </w:r>
              <w:r>
                <w:rPr>
                  <w:rFonts w:ascii="Arial" w:cs="Arial" w:eastAsia="Arial" w:hAnsi="Arial"/>
                  <w:sz w:val="16"/>
                  <w:szCs w:val="16"/>
                  <w:u w:val="single" w:color="auto"/>
                  <w:color w:val="0000FF"/>
                  <w:w w:val="98"/>
                </w:rPr>
                <w:t>000%</w:t>
              </w:r>
              <w:r>
                <w:rPr>
                  <w:rFonts w:ascii="Arial" w:cs="Arial" w:eastAsia="Arial" w:hAnsi="Arial"/>
                  <w:sz w:val="16"/>
                  <w:szCs w:val="16"/>
                  <w:color w:val="0000FF"/>
                  <w:w w:val="98"/>
                </w:rPr>
                <w:t xml:space="preserve"> Notes due 2023, 2.400% Notes due</w:t>
              </w:r>
            </w:hyperlink>
          </w:p>
        </w:tc>
        <w:tc>
          <w:tcPr>
            <w:tcW w:w="28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2026, 3.450% Notes due 2036, 3.700% Notes</w:t>
              </w:r>
            </w:hyperlink>
          </w:p>
        </w:tc>
        <w:tc>
          <w:tcPr>
            <w:tcW w:w="14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20"/>
          </w:tcPr>
          <w:p>
            <w:pPr>
              <w:spacing w:after="0" w:line="160" w:lineRule="exact"/>
              <w:rPr>
                <w:rFonts w:ascii="Arial" w:cs="Arial" w:eastAsia="Arial" w:hAnsi="Arial"/>
                <w:sz w:val="16"/>
                <w:szCs w:val="16"/>
                <w:color w:val="0000FF"/>
                <w:w w:val="99"/>
              </w:rPr>
            </w:pPr>
            <w:hyperlink r:id="rId346">
              <w:r>
                <w:rPr>
                  <w:rFonts w:ascii="Arial" w:cs="Arial" w:eastAsia="Arial" w:hAnsi="Arial"/>
                  <w:sz w:val="16"/>
                  <w:szCs w:val="16"/>
                  <w:color w:val="0000FF"/>
                  <w:w w:val="99"/>
                </w:rPr>
                <w:t>due 2046, and 3.950% Notes due 2056, dated</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tcBorders>
              <w:bottom w:val="single" w:sz="8" w:color="0000FF"/>
            </w:tcBorders>
            <w:gridSpan w:val="9"/>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as of August 8, 2016, between Microsoft</w:t>
              </w:r>
            </w:hyperlink>
          </w:p>
        </w:tc>
        <w:tc>
          <w:tcPr>
            <w:tcW w:w="540" w:type="dxa"/>
            <w:vAlign w:val="bottom"/>
            <w:gridSpan w:val="14"/>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80" w:type="dxa"/>
            <w:vAlign w:val="bottom"/>
            <w:tcBorders>
              <w:bottom w:val="single" w:sz="8" w:color="0000FF"/>
            </w:tcBorders>
            <w:gridSpan w:val="5"/>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Corporation and U.S. Bank, National</w:t>
              </w:r>
            </w:hyperlink>
          </w:p>
        </w:tc>
        <w:tc>
          <w:tcPr>
            <w:tcW w:w="800" w:type="dxa"/>
            <w:vAlign w:val="bottom"/>
            <w:gridSpan w:val="18"/>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22"/>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Association, as Trustee, to the Indenture, dated</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4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as of May 18, 2009, between Microsoft</w:t>
              </w:r>
            </w:hyperlink>
          </w:p>
        </w:tc>
        <w:tc>
          <w:tcPr>
            <w:tcW w:w="640" w:type="dxa"/>
            <w:vAlign w:val="bottom"/>
            <w:gridSpan w:val="16"/>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20"/>
          </w:tcPr>
          <w:p>
            <w:pPr>
              <w:spacing w:after="0" w:line="160" w:lineRule="exact"/>
              <w:rPr>
                <w:rFonts w:ascii="Arial" w:cs="Arial" w:eastAsia="Arial" w:hAnsi="Arial"/>
                <w:sz w:val="16"/>
                <w:szCs w:val="16"/>
                <w:color w:val="0000FF"/>
                <w:w w:val="98"/>
              </w:rPr>
            </w:pPr>
            <w:hyperlink r:id="rId346">
              <w:r>
                <w:rPr>
                  <w:rFonts w:ascii="Arial" w:cs="Arial" w:eastAsia="Arial" w:hAnsi="Arial"/>
                  <w:sz w:val="16"/>
                  <w:szCs w:val="16"/>
                  <w:color w:val="0000FF"/>
                  <w:w w:val="98"/>
                </w:rPr>
                <w:t>Corporation and The Bank of New York Mellon</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40" w:type="dxa"/>
            <w:vAlign w:val="bottom"/>
            <w:tcBorders>
              <w:bottom w:val="single" w:sz="8" w:color="0000FF"/>
            </w:tcBorders>
            <w:gridSpan w:val="4"/>
          </w:tcPr>
          <w:p>
            <w:pPr>
              <w:spacing w:after="0" w:line="160" w:lineRule="exact"/>
              <w:rPr>
                <w:rFonts w:ascii="Arial" w:cs="Arial" w:eastAsia="Arial" w:hAnsi="Arial"/>
                <w:sz w:val="16"/>
                <w:szCs w:val="16"/>
                <w:color w:val="0000FF"/>
                <w:w w:val="97"/>
              </w:rPr>
            </w:pPr>
            <w:hyperlink r:id="rId346">
              <w:r>
                <w:rPr>
                  <w:rFonts w:ascii="Arial" w:cs="Arial" w:eastAsia="Arial" w:hAnsi="Arial"/>
                  <w:sz w:val="16"/>
                  <w:szCs w:val="16"/>
                  <w:color w:val="0000FF"/>
                  <w:w w:val="97"/>
                </w:rPr>
                <w:t>Trust Company, N.A., as trustee</w:t>
              </w:r>
            </w:hyperlink>
          </w:p>
        </w:tc>
        <w:tc>
          <w:tcPr>
            <w:tcW w:w="1140" w:type="dxa"/>
            <w:vAlign w:val="bottom"/>
            <w:gridSpan w:val="19"/>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4.15</w:t>
            </w:r>
          </w:p>
        </w:tc>
        <w:tc>
          <w:tcPr>
            <w:tcW w:w="300" w:type="dxa"/>
            <w:vAlign w:val="bottom"/>
          </w:tcPr>
          <w:p>
            <w:pPr>
              <w:spacing w:after="0"/>
              <w:rPr>
                <w:sz w:val="22"/>
                <w:szCs w:val="22"/>
                <w:color w:val="auto"/>
              </w:rPr>
            </w:pPr>
          </w:p>
        </w:tc>
        <w:tc>
          <w:tcPr>
            <w:tcW w:w="3060" w:type="dxa"/>
            <w:vAlign w:val="bottom"/>
            <w:tcBorders>
              <w:bottom w:val="single" w:sz="8" w:color="0000FF"/>
            </w:tcBorders>
            <w:gridSpan w:val="12"/>
          </w:tcPr>
          <w:p>
            <w:pPr>
              <w:spacing w:after="0"/>
              <w:rPr>
                <w:rFonts w:ascii="Arial" w:cs="Arial" w:eastAsia="Arial" w:hAnsi="Arial"/>
                <w:sz w:val="16"/>
                <w:szCs w:val="16"/>
                <w:color w:val="0000FF"/>
                <w:w w:val="98"/>
              </w:rPr>
            </w:pPr>
            <w:hyperlink r:id="rId347">
              <w:r>
                <w:rPr>
                  <w:rFonts w:ascii="Arial" w:cs="Arial" w:eastAsia="Arial" w:hAnsi="Arial"/>
                  <w:sz w:val="16"/>
                  <w:szCs w:val="16"/>
                  <w:color w:val="0000FF"/>
                  <w:w w:val="98"/>
                </w:rPr>
                <w:t>Twelfth Supplemental Indenture for 1.850%</w:t>
              </w:r>
            </w:hyperlink>
          </w:p>
        </w:tc>
        <w:tc>
          <w:tcPr>
            <w:tcW w:w="320" w:type="dxa"/>
            <w:vAlign w:val="bottom"/>
            <w:gridSpan w:val="11"/>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4"/>
              <w:spacing w:after="0"/>
              <w:rPr>
                <w:sz w:val="20"/>
                <w:szCs w:val="20"/>
                <w:color w:val="auto"/>
              </w:rPr>
            </w:pPr>
            <w:r>
              <w:rPr>
                <w:rFonts w:ascii="Arial" w:cs="Arial" w:eastAsia="Arial" w:hAnsi="Arial"/>
                <w:sz w:val="16"/>
                <w:szCs w:val="16"/>
                <w:color w:val="auto"/>
              </w:rPr>
              <w:t>8-K</w:t>
            </w:r>
          </w:p>
        </w:tc>
        <w:tc>
          <w:tcPr>
            <w:tcW w:w="1480" w:type="dxa"/>
            <w:vAlign w:val="bottom"/>
          </w:tcPr>
          <w:p>
            <w:pPr>
              <w:spacing w:after="0"/>
              <w:rPr>
                <w:sz w:val="22"/>
                <w:szCs w:val="22"/>
                <w:color w:val="auto"/>
              </w:rPr>
            </w:pP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2/3/2017</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Notes due 2020, 2.400% Notes due 2022,</w:t>
              </w:r>
            </w:hyperlink>
          </w:p>
        </w:tc>
        <w:tc>
          <w:tcPr>
            <w:tcW w:w="420" w:type="dxa"/>
            <w:vAlign w:val="bottom"/>
            <w:gridSpan w:val="1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2.</w:t>
              </w:r>
              <w:r>
                <w:rPr>
                  <w:rFonts w:ascii="Arial" w:cs="Arial" w:eastAsia="Arial" w:hAnsi="Arial"/>
                  <w:sz w:val="16"/>
                  <w:szCs w:val="16"/>
                  <w:u w:val="single" w:color="auto"/>
                  <w:color w:val="0000FF"/>
                  <w:w w:val="98"/>
                </w:rPr>
                <w:t>875%</w:t>
              </w:r>
              <w:r>
                <w:rPr>
                  <w:rFonts w:ascii="Arial" w:cs="Arial" w:eastAsia="Arial" w:hAnsi="Arial"/>
                  <w:sz w:val="16"/>
                  <w:szCs w:val="16"/>
                  <w:color w:val="0000FF"/>
                  <w:w w:val="98"/>
                </w:rPr>
                <w:t xml:space="preserve"> Notes due 2024, 3.300% Notes due</w:t>
              </w:r>
            </w:hyperlink>
          </w:p>
        </w:tc>
        <w:tc>
          <w:tcPr>
            <w:tcW w:w="28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2027, 4.100% Notes due 2037, 4.250% Notes</w:t>
              </w:r>
            </w:hyperlink>
          </w:p>
        </w:tc>
        <w:tc>
          <w:tcPr>
            <w:tcW w:w="14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20"/>
          </w:tcPr>
          <w:p>
            <w:pPr>
              <w:spacing w:after="0" w:line="160" w:lineRule="exact"/>
              <w:rPr>
                <w:rFonts w:ascii="Arial" w:cs="Arial" w:eastAsia="Arial" w:hAnsi="Arial"/>
                <w:sz w:val="16"/>
                <w:szCs w:val="16"/>
                <w:color w:val="0000FF"/>
                <w:w w:val="99"/>
              </w:rPr>
            </w:pPr>
            <w:hyperlink r:id="rId347">
              <w:r>
                <w:rPr>
                  <w:rFonts w:ascii="Arial" w:cs="Arial" w:eastAsia="Arial" w:hAnsi="Arial"/>
                  <w:sz w:val="16"/>
                  <w:szCs w:val="16"/>
                  <w:color w:val="0000FF"/>
                  <w:w w:val="99"/>
                </w:rPr>
                <w:t>due 2047, and 4.500% Notes due 2057, dated</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11"/>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as of February 6, 2017, between Microsoft</w:t>
              </w:r>
            </w:hyperlink>
          </w:p>
        </w:tc>
        <w:tc>
          <w:tcPr>
            <w:tcW w:w="400" w:type="dxa"/>
            <w:vAlign w:val="bottom"/>
            <w:gridSpan w:val="12"/>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20"/>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Corporation and The Bank of New York Mellon</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Trust Company, N.A., as Trustee, to the</w:t>
              </w:r>
            </w:hyperlink>
          </w:p>
        </w:tc>
        <w:tc>
          <w:tcPr>
            <w:tcW w:w="560" w:type="dxa"/>
            <w:vAlign w:val="bottom"/>
            <w:gridSpan w:val="15"/>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tcBorders>
              <w:bottom w:val="single" w:sz="8" w:color="0000FF"/>
            </w:tcBorders>
            <w:gridSpan w:val="19"/>
          </w:tcPr>
          <w:p>
            <w:pPr>
              <w:spacing w:after="0" w:line="160" w:lineRule="exact"/>
              <w:rPr>
                <w:rFonts w:ascii="Arial" w:cs="Arial" w:eastAsia="Arial" w:hAnsi="Arial"/>
                <w:sz w:val="16"/>
                <w:szCs w:val="16"/>
                <w:color w:val="0000FF"/>
                <w:w w:val="99"/>
              </w:rPr>
            </w:pPr>
            <w:hyperlink r:id="rId347">
              <w:r>
                <w:rPr>
                  <w:rFonts w:ascii="Arial" w:cs="Arial" w:eastAsia="Arial" w:hAnsi="Arial"/>
                  <w:sz w:val="16"/>
                  <w:szCs w:val="16"/>
                  <w:color w:val="0000FF"/>
                  <w:w w:val="99"/>
                </w:rPr>
                <w:t>Indenture, dated as of May 18, 2009, between</w:t>
              </w:r>
            </w:hyperlink>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47">
              <w:r>
                <w:rPr>
                  <w:rFonts w:ascii="Arial" w:cs="Arial" w:eastAsia="Arial" w:hAnsi="Arial"/>
                  <w:sz w:val="16"/>
                  <w:szCs w:val="16"/>
                  <w:color w:val="0000FF"/>
                  <w:w w:val="98"/>
                </w:rPr>
                <w:t>Microsoft Corporation and The Bank of New</w:t>
              </w:r>
            </w:hyperlink>
          </w:p>
        </w:tc>
        <w:tc>
          <w:tcPr>
            <w:tcW w:w="28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tcBorders>
              <w:bottom w:val="single" w:sz="8" w:color="0000FF"/>
            </w:tcBorders>
            <w:gridSpan w:val="14"/>
          </w:tcPr>
          <w:p>
            <w:pPr>
              <w:spacing w:after="0" w:line="160" w:lineRule="exact"/>
              <w:rPr>
                <w:rFonts w:ascii="Arial" w:cs="Arial" w:eastAsia="Arial" w:hAnsi="Arial"/>
                <w:sz w:val="16"/>
                <w:szCs w:val="16"/>
                <w:color w:val="0000FF"/>
                <w:w w:val="97"/>
              </w:rPr>
            </w:pPr>
            <w:hyperlink r:id="rId347">
              <w:r>
                <w:rPr>
                  <w:rFonts w:ascii="Arial" w:cs="Arial" w:eastAsia="Arial" w:hAnsi="Arial"/>
                  <w:sz w:val="16"/>
                  <w:szCs w:val="16"/>
                  <w:color w:val="0000FF"/>
                  <w:w w:val="97"/>
                </w:rPr>
                <w:t>York Mellon Trust Company, N.A., as trustee</w:t>
              </w:r>
            </w:hyperlink>
          </w:p>
        </w:tc>
        <w:tc>
          <w:tcPr>
            <w:tcW w:w="26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4.16</w:t>
            </w:r>
          </w:p>
        </w:tc>
        <w:tc>
          <w:tcPr>
            <w:tcW w:w="300" w:type="dxa"/>
            <w:vAlign w:val="bottom"/>
          </w:tcPr>
          <w:p>
            <w:pPr>
              <w:spacing w:after="0"/>
              <w:rPr>
                <w:sz w:val="22"/>
                <w:szCs w:val="22"/>
                <w:color w:val="auto"/>
              </w:rPr>
            </w:pPr>
          </w:p>
        </w:tc>
        <w:tc>
          <w:tcPr>
            <w:tcW w:w="3280" w:type="dxa"/>
            <w:vAlign w:val="bottom"/>
            <w:tcBorders>
              <w:bottom w:val="single" w:sz="8" w:color="0000FF"/>
            </w:tcBorders>
            <w:gridSpan w:val="20"/>
          </w:tcPr>
          <w:p>
            <w:pPr>
              <w:spacing w:after="0"/>
              <w:rPr>
                <w:rFonts w:ascii="Arial" w:cs="Arial" w:eastAsia="Arial" w:hAnsi="Arial"/>
                <w:sz w:val="16"/>
                <w:szCs w:val="16"/>
                <w:color w:val="0000FF"/>
                <w:w w:val="99"/>
              </w:rPr>
            </w:pPr>
            <w:hyperlink r:id="rId348">
              <w:r>
                <w:rPr>
                  <w:rFonts w:ascii="Arial" w:cs="Arial" w:eastAsia="Arial" w:hAnsi="Arial"/>
                  <w:sz w:val="16"/>
                  <w:szCs w:val="16"/>
                  <w:color w:val="0000FF"/>
                  <w:w w:val="99"/>
                </w:rPr>
                <w:t>Thirteenth Supplemental Indenture for 2.525%</w:t>
              </w:r>
            </w:hyperlink>
          </w:p>
        </w:tc>
        <w:tc>
          <w:tcPr>
            <w:tcW w:w="100" w:type="dxa"/>
            <w:vAlign w:val="bottom"/>
            <w:gridSpan w:val="3"/>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4"/>
              <w:spacing w:after="0"/>
              <w:rPr>
                <w:sz w:val="20"/>
                <w:szCs w:val="20"/>
                <w:color w:val="auto"/>
              </w:rPr>
            </w:pPr>
            <w:r>
              <w:rPr>
                <w:rFonts w:ascii="Arial" w:cs="Arial" w:eastAsia="Arial" w:hAnsi="Arial"/>
                <w:sz w:val="16"/>
                <w:szCs w:val="16"/>
                <w:color w:val="auto"/>
              </w:rPr>
              <w:t>8-K</w:t>
            </w:r>
          </w:p>
        </w:tc>
        <w:tc>
          <w:tcPr>
            <w:tcW w:w="1480" w:type="dxa"/>
            <w:vAlign w:val="bottom"/>
          </w:tcPr>
          <w:p>
            <w:pPr>
              <w:spacing w:after="0"/>
              <w:rPr>
                <w:sz w:val="22"/>
                <w:szCs w:val="22"/>
                <w:color w:val="auto"/>
              </w:rPr>
            </w:pP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6/1/2020</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17"/>
          </w:tcPr>
          <w:p>
            <w:pPr>
              <w:spacing w:after="0" w:line="160" w:lineRule="exact"/>
              <w:rPr>
                <w:rFonts w:ascii="Arial" w:cs="Arial" w:eastAsia="Arial" w:hAnsi="Arial"/>
                <w:sz w:val="16"/>
                <w:szCs w:val="16"/>
                <w:color w:val="0000FF"/>
                <w:w w:val="98"/>
              </w:rPr>
            </w:pPr>
            <w:hyperlink r:id="rId348">
              <w:r>
                <w:rPr>
                  <w:rFonts w:ascii="Arial" w:cs="Arial" w:eastAsia="Arial" w:hAnsi="Arial"/>
                  <w:sz w:val="16"/>
                  <w:szCs w:val="16"/>
                  <w:color w:val="0000FF"/>
                  <w:w w:val="98"/>
                </w:rPr>
                <w:t>Notes due 2050 and 2.675% Notes due 2060,</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40" w:type="dxa"/>
            <w:vAlign w:val="bottom"/>
            <w:tcBorders>
              <w:bottom w:val="single" w:sz="8" w:color="0000FF"/>
            </w:tcBorders>
            <w:gridSpan w:val="15"/>
          </w:tcPr>
          <w:p>
            <w:pPr>
              <w:spacing w:after="0" w:line="160" w:lineRule="exact"/>
              <w:rPr>
                <w:rFonts w:ascii="Arial" w:cs="Arial" w:eastAsia="Arial" w:hAnsi="Arial"/>
                <w:sz w:val="16"/>
                <w:szCs w:val="16"/>
                <w:color w:val="0000FF"/>
                <w:w w:val="99"/>
              </w:rPr>
            </w:pPr>
            <w:hyperlink r:id="rId348">
              <w:r>
                <w:rPr>
                  <w:rFonts w:ascii="Arial" w:cs="Arial" w:eastAsia="Arial" w:hAnsi="Arial"/>
                  <w:sz w:val="16"/>
                  <w:szCs w:val="16"/>
                  <w:color w:val="0000FF"/>
                  <w:w w:val="99"/>
                </w:rPr>
                <w:t>dated as of June 1, 2020, between Microsoft</w:t>
              </w:r>
            </w:hyperlink>
          </w:p>
        </w:tc>
        <w:tc>
          <w:tcPr>
            <w:tcW w:w="240" w:type="dxa"/>
            <w:vAlign w:val="bottom"/>
            <w:gridSpan w:val="8"/>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gridSpan w:val="23"/>
          </w:tcPr>
          <w:p>
            <w:pPr>
              <w:spacing w:after="0" w:line="160" w:lineRule="exact"/>
              <w:rPr>
                <w:rFonts w:ascii="Arial" w:cs="Arial" w:eastAsia="Arial" w:hAnsi="Arial"/>
                <w:sz w:val="16"/>
                <w:szCs w:val="16"/>
                <w:color w:val="0000FF"/>
                <w:w w:val="97"/>
              </w:rPr>
            </w:pPr>
            <w:hyperlink r:id="rId348">
              <w:r>
                <w:rPr>
                  <w:rFonts w:ascii="Arial" w:cs="Arial" w:eastAsia="Arial" w:hAnsi="Arial"/>
                  <w:sz w:val="16"/>
                  <w:szCs w:val="16"/>
                  <w:color w:val="0000FF"/>
                  <w:w w:val="97"/>
                </w:rPr>
                <w:t>Corporation and U.S. Bank National Association,</w:t>
              </w:r>
            </w:hyperlink>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620" w:type="dxa"/>
            <w:vAlign w:val="bottom"/>
            <w:gridSpan w:val="15"/>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Borders>
              <w:bottom w:val="single" w:sz="8" w:color="0000FF"/>
            </w:tcBorders>
            <w:gridSpan w:val="23"/>
          </w:tcPr>
          <w:p>
            <w:pPr>
              <w:spacing w:after="0" w:line="160" w:lineRule="exact"/>
              <w:rPr>
                <w:rFonts w:ascii="Arial" w:cs="Arial" w:eastAsia="Arial" w:hAnsi="Arial"/>
                <w:sz w:val="16"/>
                <w:szCs w:val="16"/>
                <w:color w:val="0000FF"/>
                <w:w w:val="97"/>
              </w:rPr>
            </w:pPr>
            <w:hyperlink r:id="rId348">
              <w:r>
                <w:rPr>
                  <w:rFonts w:ascii="Arial" w:cs="Arial" w:eastAsia="Arial" w:hAnsi="Arial"/>
                  <w:sz w:val="16"/>
                  <w:szCs w:val="16"/>
                  <w:color w:val="0000FF"/>
                  <w:w w:val="97"/>
                </w:rPr>
                <w:t>as Trustee, to the Indenture, dated as of May 18,</w:t>
              </w:r>
            </w:hyperlink>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40" w:type="dxa"/>
            <w:vAlign w:val="bottom"/>
            <w:tcBorders>
              <w:bottom w:val="single" w:sz="8" w:color="0000FF"/>
            </w:tcBorders>
            <w:gridSpan w:val="18"/>
          </w:tcPr>
          <w:p>
            <w:pPr>
              <w:spacing w:after="0" w:line="160" w:lineRule="exact"/>
              <w:rPr>
                <w:rFonts w:ascii="Arial" w:cs="Arial" w:eastAsia="Arial" w:hAnsi="Arial"/>
                <w:sz w:val="16"/>
                <w:szCs w:val="16"/>
                <w:color w:val="0000FF"/>
                <w:w w:val="98"/>
              </w:rPr>
            </w:pPr>
            <w:hyperlink r:id="rId348">
              <w:r>
                <w:rPr>
                  <w:rFonts w:ascii="Arial" w:cs="Arial" w:eastAsia="Arial" w:hAnsi="Arial"/>
                  <w:sz w:val="16"/>
                  <w:szCs w:val="16"/>
                  <w:color w:val="0000FF"/>
                  <w:w w:val="98"/>
                </w:rPr>
                <w:t>2009, between Microsoft Corporation and The</w:t>
              </w:r>
            </w:hyperlink>
          </w:p>
        </w:tc>
        <w:tc>
          <w:tcPr>
            <w:tcW w:w="14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22"/>
          </w:tcPr>
          <w:p>
            <w:pPr>
              <w:spacing w:after="0" w:line="160" w:lineRule="exact"/>
              <w:rPr>
                <w:rFonts w:ascii="Arial" w:cs="Arial" w:eastAsia="Arial" w:hAnsi="Arial"/>
                <w:sz w:val="16"/>
                <w:szCs w:val="16"/>
                <w:color w:val="0000FF"/>
                <w:w w:val="98"/>
              </w:rPr>
            </w:pPr>
            <w:hyperlink r:id="rId348">
              <w:r>
                <w:rPr>
                  <w:rFonts w:ascii="Arial" w:cs="Arial" w:eastAsia="Arial" w:hAnsi="Arial"/>
                  <w:sz w:val="16"/>
                  <w:szCs w:val="16"/>
                  <w:color w:val="0000FF"/>
                  <w:w w:val="98"/>
                </w:rPr>
                <w:t>Bank of New York Mellon Trust Company, N.A.,</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bottom w:val="single" w:sz="8" w:color="0000FF"/>
            </w:tcBorders>
            <w:gridSpan w:val="2"/>
          </w:tcPr>
          <w:p>
            <w:pPr>
              <w:spacing w:after="0" w:line="160" w:lineRule="exact"/>
              <w:rPr>
                <w:rFonts w:ascii="Arial" w:cs="Arial" w:eastAsia="Arial" w:hAnsi="Arial"/>
                <w:sz w:val="16"/>
                <w:szCs w:val="16"/>
                <w:color w:val="0000FF"/>
                <w:w w:val="96"/>
              </w:rPr>
            </w:pPr>
            <w:hyperlink r:id="rId348">
              <w:r>
                <w:rPr>
                  <w:rFonts w:ascii="Arial" w:cs="Arial" w:eastAsia="Arial" w:hAnsi="Arial"/>
                  <w:sz w:val="16"/>
                  <w:szCs w:val="16"/>
                  <w:color w:val="0000FF"/>
                  <w:w w:val="96"/>
                </w:rPr>
                <w:t>as trustee</w:t>
              </w:r>
            </w:hyperlink>
          </w:p>
        </w:tc>
        <w:tc>
          <w:tcPr>
            <w:tcW w:w="2680" w:type="dxa"/>
            <w:vAlign w:val="bottom"/>
            <w:gridSpan w:val="21"/>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4.17</w:t>
            </w:r>
          </w:p>
        </w:tc>
        <w:tc>
          <w:tcPr>
            <w:tcW w:w="300" w:type="dxa"/>
            <w:vAlign w:val="bottom"/>
          </w:tcPr>
          <w:p>
            <w:pPr>
              <w:spacing w:after="0"/>
              <w:rPr>
                <w:sz w:val="22"/>
                <w:szCs w:val="22"/>
                <w:color w:val="auto"/>
              </w:rPr>
            </w:pPr>
          </w:p>
        </w:tc>
        <w:tc>
          <w:tcPr>
            <w:tcW w:w="3300" w:type="dxa"/>
            <w:vAlign w:val="bottom"/>
            <w:tcBorders>
              <w:bottom w:val="single" w:sz="8" w:color="0000FF"/>
            </w:tcBorders>
            <w:gridSpan w:val="21"/>
          </w:tcPr>
          <w:p>
            <w:pPr>
              <w:spacing w:after="0"/>
              <w:rPr>
                <w:rFonts w:ascii="Arial" w:cs="Arial" w:eastAsia="Arial" w:hAnsi="Arial"/>
                <w:sz w:val="16"/>
                <w:szCs w:val="16"/>
                <w:color w:val="0000FF"/>
                <w:w w:val="98"/>
              </w:rPr>
            </w:pPr>
            <w:hyperlink r:id="rId349">
              <w:r>
                <w:rPr>
                  <w:rFonts w:ascii="Arial" w:cs="Arial" w:eastAsia="Arial" w:hAnsi="Arial"/>
                  <w:sz w:val="16"/>
                  <w:szCs w:val="16"/>
                  <w:color w:val="0000FF"/>
                  <w:w w:val="98"/>
                </w:rPr>
                <w:t>Fourteenth Supplemental Indenture for 2.921%</w:t>
              </w:r>
            </w:hyperlink>
          </w:p>
        </w:tc>
        <w:tc>
          <w:tcPr>
            <w:tcW w:w="80" w:type="dxa"/>
            <w:vAlign w:val="bottom"/>
            <w:gridSpan w:val="2"/>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4"/>
              <w:spacing w:after="0"/>
              <w:rPr>
                <w:sz w:val="20"/>
                <w:szCs w:val="20"/>
                <w:color w:val="auto"/>
              </w:rPr>
            </w:pPr>
            <w:r>
              <w:rPr>
                <w:rFonts w:ascii="Arial" w:cs="Arial" w:eastAsia="Arial" w:hAnsi="Arial"/>
                <w:sz w:val="16"/>
                <w:szCs w:val="16"/>
                <w:color w:val="auto"/>
              </w:rPr>
              <w:t>8-K</w:t>
            </w:r>
          </w:p>
        </w:tc>
        <w:tc>
          <w:tcPr>
            <w:tcW w:w="1480" w:type="dxa"/>
            <w:vAlign w:val="bottom"/>
          </w:tcPr>
          <w:p>
            <w:pPr>
              <w:spacing w:after="0"/>
              <w:rPr>
                <w:sz w:val="22"/>
                <w:szCs w:val="22"/>
                <w:color w:val="auto"/>
              </w:rPr>
            </w:pP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4.1</w:t>
            </w:r>
          </w:p>
        </w:tc>
        <w:tc>
          <w:tcPr>
            <w:tcW w:w="1120" w:type="dxa"/>
            <w:vAlign w:val="bottom"/>
          </w:tcPr>
          <w:p>
            <w:pPr>
              <w:jc w:val="right"/>
              <w:spacing w:after="0"/>
              <w:rPr>
                <w:sz w:val="20"/>
                <w:szCs w:val="20"/>
                <w:color w:val="auto"/>
              </w:rPr>
            </w:pPr>
            <w:r>
              <w:rPr>
                <w:rFonts w:ascii="Arial" w:cs="Arial" w:eastAsia="Arial" w:hAnsi="Arial"/>
                <w:sz w:val="16"/>
                <w:szCs w:val="16"/>
                <w:color w:val="auto"/>
              </w:rPr>
              <w:t>3/17/2021</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20" w:type="dxa"/>
            <w:vAlign w:val="bottom"/>
            <w:tcBorders>
              <w:bottom w:val="single" w:sz="8" w:color="0000FF"/>
            </w:tcBorders>
            <w:gridSpan w:val="17"/>
          </w:tcPr>
          <w:p>
            <w:pPr>
              <w:spacing w:after="0" w:line="160" w:lineRule="exact"/>
              <w:rPr>
                <w:rFonts w:ascii="Arial" w:cs="Arial" w:eastAsia="Arial" w:hAnsi="Arial"/>
                <w:sz w:val="16"/>
                <w:szCs w:val="16"/>
                <w:color w:val="0000FF"/>
                <w:w w:val="98"/>
              </w:rPr>
            </w:pPr>
            <w:hyperlink r:id="rId349">
              <w:r>
                <w:rPr>
                  <w:rFonts w:ascii="Arial" w:cs="Arial" w:eastAsia="Arial" w:hAnsi="Arial"/>
                  <w:sz w:val="16"/>
                  <w:szCs w:val="16"/>
                  <w:color w:val="0000FF"/>
                  <w:w w:val="98"/>
                </w:rPr>
                <w:t>Notes due 2052 and 3.041% Notes due 2062,</w:t>
              </w:r>
            </w:hyperlink>
          </w:p>
        </w:tc>
        <w:tc>
          <w:tcPr>
            <w:tcW w:w="160" w:type="dxa"/>
            <w:vAlign w:val="bottom"/>
            <w:gridSpan w:val="6"/>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00" w:type="dxa"/>
            <w:vAlign w:val="bottom"/>
            <w:tcBorders>
              <w:bottom w:val="single" w:sz="8" w:color="0000FF"/>
            </w:tcBorders>
            <w:gridSpan w:val="21"/>
          </w:tcPr>
          <w:p>
            <w:pPr>
              <w:spacing w:after="0" w:line="160" w:lineRule="exact"/>
              <w:rPr>
                <w:rFonts w:ascii="Arial" w:cs="Arial" w:eastAsia="Arial" w:hAnsi="Arial"/>
                <w:sz w:val="16"/>
                <w:szCs w:val="16"/>
                <w:color w:val="0000FF"/>
                <w:w w:val="98"/>
              </w:rPr>
            </w:pPr>
            <w:hyperlink r:id="rId349">
              <w:r>
                <w:rPr>
                  <w:rFonts w:ascii="Arial" w:cs="Arial" w:eastAsia="Arial" w:hAnsi="Arial"/>
                  <w:sz w:val="16"/>
                  <w:szCs w:val="16"/>
                  <w:color w:val="0000FF"/>
                  <w:w w:val="98"/>
                </w:rPr>
                <w:t>dated as of March 17, 2021, between Microsoft</w:t>
              </w:r>
            </w:hyperlink>
          </w:p>
        </w:tc>
        <w:tc>
          <w:tcPr>
            <w:tcW w:w="8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80" w:type="dxa"/>
            <w:vAlign w:val="bottom"/>
            <w:tcBorders>
              <w:bottom w:val="single" w:sz="8" w:color="0000FF"/>
            </w:tcBorders>
            <w:gridSpan w:val="20"/>
          </w:tcPr>
          <w:p>
            <w:pPr>
              <w:spacing w:after="0" w:line="160" w:lineRule="exact"/>
              <w:rPr>
                <w:rFonts w:ascii="Arial" w:cs="Arial" w:eastAsia="Arial" w:hAnsi="Arial"/>
                <w:sz w:val="16"/>
                <w:szCs w:val="16"/>
                <w:color w:val="0000FF"/>
                <w:w w:val="98"/>
              </w:rPr>
            </w:pPr>
            <w:hyperlink r:id="rId349">
              <w:r>
                <w:rPr>
                  <w:rFonts w:ascii="Arial" w:cs="Arial" w:eastAsia="Arial" w:hAnsi="Arial"/>
                  <w:sz w:val="16"/>
                  <w:szCs w:val="16"/>
                  <w:color w:val="0000FF"/>
                  <w:w w:val="98"/>
                </w:rPr>
                <w:t>Corporation and The Bank of New York Mellon</w:t>
              </w:r>
            </w:hyperlink>
          </w:p>
        </w:tc>
        <w:tc>
          <w:tcPr>
            <w:tcW w:w="10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60" w:lineRule="exact"/>
              <w:rPr>
                <w:rFonts w:ascii="Arial" w:cs="Arial" w:eastAsia="Arial" w:hAnsi="Arial"/>
                <w:sz w:val="16"/>
                <w:szCs w:val="16"/>
                <w:color w:val="0000FF"/>
                <w:w w:val="98"/>
              </w:rPr>
            </w:pPr>
            <w:hyperlink r:id="rId349">
              <w:r>
                <w:rPr>
                  <w:rFonts w:ascii="Arial" w:cs="Arial" w:eastAsia="Arial" w:hAnsi="Arial"/>
                  <w:sz w:val="16"/>
                  <w:szCs w:val="16"/>
                  <w:color w:val="0000FF"/>
                  <w:w w:val="98"/>
                </w:rPr>
                <w:t>Trust Company, N.A., as Trustee, to the</w:t>
              </w:r>
            </w:hyperlink>
          </w:p>
        </w:tc>
        <w:tc>
          <w:tcPr>
            <w:tcW w:w="560" w:type="dxa"/>
            <w:vAlign w:val="bottom"/>
            <w:gridSpan w:val="15"/>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tcBorders>
              <w:bottom w:val="single" w:sz="8" w:color="0000FF"/>
            </w:tcBorders>
            <w:gridSpan w:val="19"/>
          </w:tcPr>
          <w:p>
            <w:pPr>
              <w:spacing w:after="0" w:line="160" w:lineRule="exact"/>
              <w:rPr>
                <w:rFonts w:ascii="Arial" w:cs="Arial" w:eastAsia="Arial" w:hAnsi="Arial"/>
                <w:sz w:val="16"/>
                <w:szCs w:val="16"/>
                <w:color w:val="0000FF"/>
                <w:w w:val="99"/>
              </w:rPr>
            </w:pPr>
            <w:hyperlink r:id="rId349">
              <w:r>
                <w:rPr>
                  <w:rFonts w:ascii="Arial" w:cs="Arial" w:eastAsia="Arial" w:hAnsi="Arial"/>
                  <w:sz w:val="16"/>
                  <w:szCs w:val="16"/>
                  <w:color w:val="0000FF"/>
                  <w:w w:val="99"/>
                </w:rPr>
                <w:t>Indenture, dated as of May 18, 2009, between</w:t>
              </w:r>
            </w:hyperlink>
          </w:p>
        </w:tc>
        <w:tc>
          <w:tcPr>
            <w:tcW w:w="120" w:type="dxa"/>
            <w:vAlign w:val="bottom"/>
            <w:gridSpan w:val="4"/>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49">
              <w:r>
                <w:rPr>
                  <w:rFonts w:ascii="Arial" w:cs="Arial" w:eastAsia="Arial" w:hAnsi="Arial"/>
                  <w:sz w:val="16"/>
                  <w:szCs w:val="16"/>
                  <w:color w:val="0000FF"/>
                  <w:w w:val="98"/>
                </w:rPr>
                <w:t>Microsoft Corporation and The Bank of New</w:t>
              </w:r>
            </w:hyperlink>
          </w:p>
        </w:tc>
        <w:tc>
          <w:tcPr>
            <w:tcW w:w="28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tcBorders>
              <w:bottom w:val="single" w:sz="8" w:color="0000FF"/>
            </w:tcBorders>
            <w:gridSpan w:val="14"/>
          </w:tcPr>
          <w:p>
            <w:pPr>
              <w:spacing w:after="0" w:line="160" w:lineRule="exact"/>
              <w:rPr>
                <w:rFonts w:ascii="Arial" w:cs="Arial" w:eastAsia="Arial" w:hAnsi="Arial"/>
                <w:sz w:val="16"/>
                <w:szCs w:val="16"/>
                <w:color w:val="0000FF"/>
                <w:w w:val="97"/>
              </w:rPr>
            </w:pPr>
            <w:hyperlink r:id="rId349">
              <w:r>
                <w:rPr>
                  <w:rFonts w:ascii="Arial" w:cs="Arial" w:eastAsia="Arial" w:hAnsi="Arial"/>
                  <w:sz w:val="16"/>
                  <w:szCs w:val="16"/>
                  <w:color w:val="0000FF"/>
                  <w:w w:val="97"/>
                </w:rPr>
                <w:t>York Mellon Trust Company, N.A., as trustee</w:t>
              </w:r>
            </w:hyperlink>
          </w:p>
        </w:tc>
        <w:tc>
          <w:tcPr>
            <w:tcW w:w="260" w:type="dxa"/>
            <w:vAlign w:val="bottom"/>
            <w:gridSpan w:val="9"/>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4.18</w:t>
            </w:r>
          </w:p>
        </w:tc>
        <w:tc>
          <w:tcPr>
            <w:tcW w:w="300" w:type="dxa"/>
            <w:vAlign w:val="bottom"/>
          </w:tcPr>
          <w:p>
            <w:pPr>
              <w:spacing w:after="0"/>
              <w:rPr>
                <w:sz w:val="22"/>
                <w:szCs w:val="22"/>
                <w:color w:val="auto"/>
              </w:rPr>
            </w:pPr>
          </w:p>
        </w:tc>
        <w:tc>
          <w:tcPr>
            <w:tcW w:w="3380" w:type="dxa"/>
            <w:vAlign w:val="bottom"/>
            <w:gridSpan w:val="23"/>
          </w:tcPr>
          <w:p>
            <w:pPr>
              <w:spacing w:after="0"/>
              <w:rPr>
                <w:rFonts w:ascii="Arial" w:cs="Arial" w:eastAsia="Arial" w:hAnsi="Arial"/>
                <w:sz w:val="16"/>
                <w:szCs w:val="16"/>
                <w:color w:val="0000FF"/>
              </w:rPr>
            </w:pPr>
            <w:hyperlink r:id="rId350">
              <w:r>
                <w:rPr>
                  <w:rFonts w:ascii="Arial" w:cs="Arial" w:eastAsia="Arial" w:hAnsi="Arial"/>
                  <w:sz w:val="16"/>
                  <w:szCs w:val="16"/>
                  <w:color w:val="0000FF"/>
                </w:rPr>
                <w:t>Description of Securities</w:t>
              </w:r>
            </w:hyperlink>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284"/>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351"/>
              <w:spacing w:after="0"/>
              <w:rPr>
                <w:sz w:val="20"/>
                <w:szCs w:val="20"/>
                <w:color w:val="auto"/>
              </w:rPr>
            </w:pPr>
            <w:r>
              <w:rPr>
                <w:rFonts w:ascii="Arial" w:cs="Arial" w:eastAsia="Arial" w:hAnsi="Arial"/>
                <w:sz w:val="16"/>
                <w:szCs w:val="16"/>
                <w:color w:val="auto"/>
              </w:rPr>
              <w:t>6/30/2019</w:t>
            </w: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4.16</w:t>
            </w:r>
          </w:p>
        </w:tc>
        <w:tc>
          <w:tcPr>
            <w:tcW w:w="1120" w:type="dxa"/>
            <w:vAlign w:val="bottom"/>
          </w:tcPr>
          <w:p>
            <w:pPr>
              <w:jc w:val="right"/>
              <w:spacing w:after="0"/>
              <w:rPr>
                <w:sz w:val="20"/>
                <w:szCs w:val="20"/>
                <w:color w:val="auto"/>
              </w:rPr>
            </w:pPr>
            <w:r>
              <w:rPr>
                <w:rFonts w:ascii="Arial" w:cs="Arial" w:eastAsia="Arial" w:hAnsi="Arial"/>
                <w:sz w:val="16"/>
                <w:szCs w:val="16"/>
                <w:color w:val="auto"/>
              </w:rPr>
              <w:t>8/1/2019</w:t>
            </w:r>
          </w:p>
        </w:tc>
        <w:tc>
          <w:tcPr>
            <w:tcW w:w="80" w:type="dxa"/>
            <w:vAlign w:val="bottom"/>
          </w:tcPr>
          <w:p>
            <w:pPr>
              <w:spacing w:after="0"/>
              <w:rPr>
                <w:sz w:val="22"/>
                <w:szCs w:val="22"/>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22"/>
                <w:szCs w:val="22"/>
                <w:color w:val="auto"/>
              </w:rPr>
            </w:pPr>
          </w:p>
        </w:tc>
        <w:tc>
          <w:tcPr>
            <w:tcW w:w="2680" w:type="dxa"/>
            <w:vAlign w:val="bottom"/>
            <w:tcBorders>
              <w:bottom w:val="single" w:sz="8" w:color="0000FF"/>
            </w:tcBorders>
            <w:gridSpan w:val="6"/>
          </w:tcPr>
          <w:p>
            <w:pPr>
              <w:spacing w:after="0"/>
              <w:rPr>
                <w:rFonts w:ascii="Arial" w:cs="Arial" w:eastAsia="Arial" w:hAnsi="Arial"/>
                <w:sz w:val="16"/>
                <w:szCs w:val="16"/>
                <w:color w:val="0000FF"/>
                <w:w w:val="97"/>
              </w:rPr>
            </w:pPr>
            <w:hyperlink r:id="rId351">
              <w:r>
                <w:rPr>
                  <w:rFonts w:ascii="Arial" w:cs="Arial" w:eastAsia="Arial" w:hAnsi="Arial"/>
                  <w:sz w:val="16"/>
                  <w:szCs w:val="16"/>
                  <w:color w:val="0000FF"/>
                  <w:w w:val="97"/>
                </w:rPr>
                <w:t>Microsoft Corporation 2001 Stock Plan</w:t>
              </w:r>
            </w:hyperlink>
          </w:p>
        </w:tc>
        <w:tc>
          <w:tcPr>
            <w:tcW w:w="700" w:type="dxa"/>
            <w:vAlign w:val="bottom"/>
            <w:gridSpan w:val="17"/>
          </w:tcPr>
          <w:p>
            <w:pPr>
              <w:spacing w:after="0"/>
              <w:rPr>
                <w:sz w:val="22"/>
                <w:szCs w:val="22"/>
                <w:color w:val="auto"/>
              </w:rPr>
            </w:pPr>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304"/>
              <w:spacing w:after="0"/>
              <w:rPr>
                <w:sz w:val="20"/>
                <w:szCs w:val="20"/>
                <w:color w:val="auto"/>
              </w:rPr>
            </w:pPr>
            <w:r>
              <w:rPr>
                <w:rFonts w:ascii="Arial" w:cs="Arial" w:eastAsia="Arial" w:hAnsi="Arial"/>
                <w:sz w:val="16"/>
                <w:szCs w:val="16"/>
                <w:color w:val="auto"/>
              </w:rPr>
              <w:t>10-Q</w:t>
            </w:r>
          </w:p>
        </w:tc>
        <w:tc>
          <w:tcPr>
            <w:tcW w:w="1480" w:type="dxa"/>
            <w:vAlign w:val="bottom"/>
          </w:tcPr>
          <w:p>
            <w:pPr>
              <w:jc w:val="right"/>
              <w:ind w:right="351"/>
              <w:spacing w:after="0"/>
              <w:rPr>
                <w:sz w:val="20"/>
                <w:szCs w:val="20"/>
                <w:color w:val="auto"/>
              </w:rPr>
            </w:pPr>
            <w:r>
              <w:rPr>
                <w:rFonts w:ascii="Arial" w:cs="Arial" w:eastAsia="Arial" w:hAnsi="Arial"/>
                <w:sz w:val="16"/>
                <w:szCs w:val="16"/>
                <w:color w:val="auto"/>
              </w:rPr>
              <w:t>9/30/2016</w:t>
            </w: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10.1</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22"/>
                <w:szCs w:val="22"/>
                <w:color w:val="auto"/>
              </w:rPr>
            </w:pPr>
          </w:p>
        </w:tc>
        <w:tc>
          <w:tcPr>
            <w:tcW w:w="3380" w:type="dxa"/>
            <w:vAlign w:val="bottom"/>
            <w:gridSpan w:val="23"/>
          </w:tcPr>
          <w:p>
            <w:pPr>
              <w:spacing w:after="0"/>
              <w:rPr>
                <w:rFonts w:ascii="Arial" w:cs="Arial" w:eastAsia="Arial" w:hAnsi="Arial"/>
                <w:sz w:val="16"/>
                <w:szCs w:val="16"/>
                <w:color w:val="0000FF"/>
                <w:w w:val="97"/>
              </w:rPr>
            </w:pPr>
            <w:hyperlink r:id="rId352">
              <w:r>
                <w:rPr>
                  <w:rFonts w:ascii="Arial" w:cs="Arial" w:eastAsia="Arial" w:hAnsi="Arial"/>
                  <w:sz w:val="16"/>
                  <w:szCs w:val="16"/>
                  <w:color w:val="0000FF"/>
                  <w:w w:val="97"/>
                </w:rPr>
                <w:t>Microsoft Corporation Employee Stock Purchase</w:t>
              </w:r>
            </w:hyperlink>
          </w:p>
        </w:tc>
        <w:tc>
          <w:tcPr>
            <w:tcW w:w="8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jc w:val="right"/>
              <w:ind w:right="284"/>
              <w:spacing w:after="0"/>
              <w:rPr>
                <w:sz w:val="20"/>
                <w:szCs w:val="20"/>
                <w:color w:val="auto"/>
              </w:rPr>
            </w:pPr>
            <w:r>
              <w:rPr>
                <w:rFonts w:ascii="Arial" w:cs="Arial" w:eastAsia="Arial" w:hAnsi="Arial"/>
                <w:sz w:val="16"/>
                <w:szCs w:val="16"/>
                <w:color w:val="auto"/>
              </w:rPr>
              <w:t>10-K</w:t>
            </w:r>
          </w:p>
        </w:tc>
        <w:tc>
          <w:tcPr>
            <w:tcW w:w="1480" w:type="dxa"/>
            <w:vAlign w:val="bottom"/>
          </w:tcPr>
          <w:p>
            <w:pPr>
              <w:jc w:val="right"/>
              <w:ind w:right="351"/>
              <w:spacing w:after="0"/>
              <w:rPr>
                <w:sz w:val="20"/>
                <w:szCs w:val="20"/>
                <w:color w:val="auto"/>
              </w:rPr>
            </w:pPr>
            <w:r>
              <w:rPr>
                <w:rFonts w:ascii="Arial" w:cs="Arial" w:eastAsia="Arial" w:hAnsi="Arial"/>
                <w:sz w:val="16"/>
                <w:szCs w:val="16"/>
                <w:color w:val="auto"/>
              </w:rPr>
              <w:t>6/30/2012</w:t>
            </w:r>
          </w:p>
        </w:tc>
        <w:tc>
          <w:tcPr>
            <w:tcW w:w="1140" w:type="dxa"/>
            <w:vAlign w:val="bottom"/>
          </w:tcPr>
          <w:p>
            <w:pPr>
              <w:jc w:val="right"/>
              <w:ind w:right="264"/>
              <w:spacing w:after="0"/>
              <w:rPr>
                <w:sz w:val="20"/>
                <w:szCs w:val="20"/>
                <w:color w:val="auto"/>
              </w:rPr>
            </w:pPr>
            <w:r>
              <w:rPr>
                <w:rFonts w:ascii="Arial" w:cs="Arial" w:eastAsia="Arial" w:hAnsi="Arial"/>
                <w:sz w:val="16"/>
                <w:szCs w:val="16"/>
                <w:color w:val="auto"/>
              </w:rPr>
              <w:t>10.4</w:t>
            </w:r>
          </w:p>
        </w:tc>
        <w:tc>
          <w:tcPr>
            <w:tcW w:w="1120" w:type="dxa"/>
            <w:vAlign w:val="bottom"/>
          </w:tcPr>
          <w:p>
            <w:pPr>
              <w:jc w:val="right"/>
              <w:spacing w:after="0"/>
              <w:rPr>
                <w:sz w:val="20"/>
                <w:szCs w:val="20"/>
                <w:color w:val="auto"/>
              </w:rPr>
            </w:pPr>
            <w:r>
              <w:rPr>
                <w:rFonts w:ascii="Arial" w:cs="Arial" w:eastAsia="Arial" w:hAnsi="Arial"/>
                <w:sz w:val="16"/>
                <w:szCs w:val="16"/>
                <w:color w:val="auto"/>
              </w:rPr>
              <w:t>7/26/2012</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top w:val="single" w:sz="8" w:color="0000FF"/>
            </w:tcBorders>
            <w:gridSpan w:val="22"/>
          </w:tcPr>
          <w:p>
            <w:pPr>
              <w:spacing w:after="0" w:line="160" w:lineRule="exact"/>
              <w:rPr>
                <w:rFonts w:ascii="Arial" w:cs="Arial" w:eastAsia="Arial" w:hAnsi="Arial"/>
                <w:sz w:val="16"/>
                <w:szCs w:val="16"/>
                <w:color w:val="0000FF"/>
              </w:rPr>
            </w:pPr>
            <w:hyperlink r:id="rId352">
              <w:r>
                <w:rPr>
                  <w:rFonts w:ascii="Arial" w:cs="Arial" w:eastAsia="Arial" w:hAnsi="Arial"/>
                  <w:sz w:val="16"/>
                  <w:szCs w:val="16"/>
                  <w:color w:val="0000FF"/>
                </w:rPr>
                <w:t>Plan</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6"/>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color w:val="auto"/>
              </w:rPr>
              <w:t>105</w:t>
            </w: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6"/>
        </w:trPr>
        <w:tc>
          <w:tcPr>
            <w:tcW w:w="78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980" w:type="dxa"/>
            <w:vAlign w:val="bottom"/>
            <w:tcBorders>
              <w:bottom w:val="single" w:sz="8" w:color="EEEEEE"/>
            </w:tcBorders>
          </w:tcPr>
          <w:p>
            <w:pPr>
              <w:spacing w:after="0"/>
              <w:rPr>
                <w:sz w:val="9"/>
                <w:szCs w:val="9"/>
                <w:color w:val="auto"/>
              </w:rPr>
            </w:pPr>
          </w:p>
        </w:tc>
        <w:tc>
          <w:tcPr>
            <w:tcW w:w="56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860" w:type="dxa"/>
            <w:vAlign w:val="bottom"/>
            <w:tcBorders>
              <w:bottom w:val="single" w:sz="8" w:color="EEEEEE"/>
            </w:tcBorders>
          </w:tcPr>
          <w:p>
            <w:pPr>
              <w:spacing w:after="0"/>
              <w:rPr>
                <w:sz w:val="9"/>
                <w:szCs w:val="9"/>
                <w:color w:val="auto"/>
              </w:rPr>
            </w:pPr>
          </w:p>
        </w:tc>
        <w:tc>
          <w:tcPr>
            <w:tcW w:w="380" w:type="dxa"/>
            <w:vAlign w:val="bottom"/>
            <w:tcBorders>
              <w:bottom w:val="single" w:sz="8" w:color="EEEEEE"/>
            </w:tcBorders>
          </w:tcPr>
          <w:p>
            <w:pPr>
              <w:spacing w:after="0"/>
              <w:rPr>
                <w:sz w:val="9"/>
                <w:szCs w:val="9"/>
                <w:color w:val="auto"/>
              </w:rPr>
            </w:pPr>
          </w:p>
        </w:tc>
        <w:tc>
          <w:tcPr>
            <w:tcW w:w="1040" w:type="dxa"/>
            <w:vAlign w:val="bottom"/>
            <w:tcBorders>
              <w:bottom w:val="single" w:sz="8" w:color="EEEEEE"/>
            </w:tcBorders>
          </w:tcPr>
          <w:p>
            <w:pPr>
              <w:spacing w:after="0"/>
              <w:rPr>
                <w:sz w:val="9"/>
                <w:szCs w:val="9"/>
                <w:color w:val="auto"/>
              </w:rPr>
            </w:pPr>
          </w:p>
        </w:tc>
        <w:tc>
          <w:tcPr>
            <w:tcW w:w="1480" w:type="dxa"/>
            <w:vAlign w:val="bottom"/>
            <w:tcBorders>
              <w:bottom w:val="single" w:sz="8" w:color="EEEEEE"/>
            </w:tcBorders>
          </w:tcPr>
          <w:p>
            <w:pPr>
              <w:spacing w:after="0"/>
              <w:rPr>
                <w:sz w:val="9"/>
                <w:szCs w:val="9"/>
                <w:color w:val="auto"/>
              </w:rPr>
            </w:pPr>
          </w:p>
        </w:tc>
        <w:tc>
          <w:tcPr>
            <w:tcW w:w="1140" w:type="dxa"/>
            <w:vAlign w:val="bottom"/>
            <w:tcBorders>
              <w:bottom w:val="single" w:sz="8" w:color="EEEEEE"/>
            </w:tcBorders>
          </w:tcPr>
          <w:p>
            <w:pPr>
              <w:spacing w:after="0"/>
              <w:rPr>
                <w:sz w:val="9"/>
                <w:szCs w:val="9"/>
                <w:color w:val="auto"/>
              </w:rPr>
            </w:pPr>
          </w:p>
        </w:tc>
        <w:tc>
          <w:tcPr>
            <w:tcW w:w="112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105" w:name="page106"/>
    <w:bookmarkEnd w:id="105"/>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6637655</wp:posOffset>
            </wp:positionH>
            <wp:positionV relativeFrom="paragraph">
              <wp:posOffset>118745</wp:posOffset>
            </wp:positionV>
            <wp:extent cx="86360" cy="3683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4">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jc w:val="right"/>
              <w:ind w:right="623"/>
              <w:spacing w:after="0"/>
              <w:rPr>
                <w:sz w:val="20"/>
                <w:szCs w:val="20"/>
                <w:color w:val="auto"/>
              </w:rPr>
            </w:pPr>
            <w:r>
              <w:rPr>
                <w:rFonts w:ascii="Arial" w:cs="Arial" w:eastAsia="Arial" w:hAnsi="Arial"/>
                <w:sz w:val="12"/>
                <w:szCs w:val="12"/>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Exhibit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Filed</w:t>
            </w:r>
          </w:p>
        </w:tc>
        <w:tc>
          <w:tcPr>
            <w:tcW w:w="112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Arial" w:cs="Arial" w:eastAsia="Arial" w:hAnsi="Arial"/>
                <w:sz w:val="12"/>
                <w:szCs w:val="12"/>
                <w:b w:val="1"/>
                <w:bCs w:val="1"/>
                <w:color w:val="auto"/>
              </w:rPr>
              <w:t>Period</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3660" w:type="dxa"/>
            <w:vAlign w:val="bottom"/>
            <w:tcBorders>
              <w:bottom w:val="single" w:sz="8" w:color="auto"/>
            </w:tcBorders>
            <w:gridSpan w:val="23"/>
          </w:tcPr>
          <w:p>
            <w:pPr>
              <w:ind w:left="300"/>
              <w:spacing w:after="0"/>
              <w:rPr>
                <w:sz w:val="20"/>
                <w:szCs w:val="20"/>
                <w:color w:val="auto"/>
              </w:rPr>
            </w:pPr>
            <w:r>
              <w:rPr>
                <w:rFonts w:ascii="Arial" w:cs="Arial" w:eastAsia="Arial" w:hAnsi="Arial"/>
                <w:sz w:val="12"/>
                <w:szCs w:val="12"/>
                <w:b w:val="1"/>
                <w:bCs w:val="1"/>
                <w:color w:val="auto"/>
              </w:rPr>
              <w:t>Exhibit Description</w:t>
            </w: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2"/>
                <w:szCs w:val="12"/>
                <w:b w:val="1"/>
                <w:bCs w:val="1"/>
                <w:color w:val="auto"/>
              </w:rPr>
              <w:t>Herewith</w:t>
            </w: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Form</w:t>
            </w:r>
          </w:p>
        </w:tc>
        <w:tc>
          <w:tcPr>
            <w:tcW w:w="1420" w:type="dxa"/>
            <w:vAlign w:val="bottom"/>
            <w:tcBorders>
              <w:bottom w:val="single" w:sz="8" w:color="auto"/>
            </w:tcBorders>
          </w:tcPr>
          <w:p>
            <w:pPr>
              <w:jc w:val="right"/>
              <w:ind w:right="226"/>
              <w:spacing w:after="0"/>
              <w:rPr>
                <w:sz w:val="20"/>
                <w:szCs w:val="20"/>
                <w:color w:val="auto"/>
              </w:rPr>
            </w:pPr>
            <w:r>
              <w:rPr>
                <w:rFonts w:ascii="Arial" w:cs="Arial" w:eastAsia="Arial" w:hAnsi="Arial"/>
                <w:sz w:val="12"/>
                <w:szCs w:val="12"/>
                <w:b w:val="1"/>
                <w:bCs w:val="1"/>
                <w:color w:val="auto"/>
              </w:rPr>
              <w:t>Ending</w:t>
            </w:r>
          </w:p>
        </w:tc>
        <w:tc>
          <w:tcPr>
            <w:tcW w:w="1240" w:type="dxa"/>
            <w:vAlign w:val="bottom"/>
            <w:tcBorders>
              <w:bottom w:val="single" w:sz="8" w:color="auto"/>
            </w:tcBorders>
          </w:tcPr>
          <w:p>
            <w:pPr>
              <w:jc w:val="right"/>
              <w:ind w:right="243"/>
              <w:spacing w:after="0"/>
              <w:rPr>
                <w:sz w:val="20"/>
                <w:szCs w:val="20"/>
                <w:color w:val="auto"/>
              </w:rPr>
            </w:pPr>
            <w:r>
              <w:rPr>
                <w:rFonts w:ascii="Arial" w:cs="Arial" w:eastAsia="Arial" w:hAnsi="Arial"/>
                <w:sz w:val="12"/>
                <w:szCs w:val="12"/>
                <w:b w:val="1"/>
                <w:bCs w:val="1"/>
                <w:color w:val="auto"/>
              </w:rPr>
              <w:t>Exhibit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c>
          <w:tcPr>
            <w:tcW w:w="80" w:type="dxa"/>
            <w:vAlign w:val="bottom"/>
          </w:tcPr>
          <w:p>
            <w:pPr>
              <w:spacing w:after="0"/>
              <w:rPr>
                <w:sz w:val="14"/>
                <w:szCs w:val="14"/>
                <w:color w:val="auto"/>
              </w:rPr>
            </w:pPr>
          </w:p>
        </w:tc>
      </w:tr>
      <w:tr>
        <w:trPr>
          <w:trHeight w:val="234"/>
        </w:trPr>
        <w:tc>
          <w:tcPr>
            <w:tcW w:w="780" w:type="dxa"/>
            <w:vAlign w:val="bottom"/>
          </w:tcPr>
          <w:p>
            <w:pPr>
              <w:ind w:left="20"/>
              <w:spacing w:after="0"/>
              <w:rPr>
                <w:sz w:val="20"/>
                <w:szCs w:val="20"/>
                <w:color w:val="auto"/>
              </w:rPr>
            </w:pPr>
            <w:r>
              <w:rPr>
                <w:rFonts w:ascii="Arial" w:cs="Arial" w:eastAsia="Arial" w:hAnsi="Arial"/>
                <w:sz w:val="16"/>
                <w:szCs w:val="16"/>
                <w:color w:val="auto"/>
              </w:rPr>
              <w:t>10.5*</w:t>
            </w:r>
          </w:p>
        </w:tc>
        <w:tc>
          <w:tcPr>
            <w:tcW w:w="300" w:type="dxa"/>
            <w:vAlign w:val="bottom"/>
          </w:tcPr>
          <w:p>
            <w:pPr>
              <w:spacing w:after="0"/>
              <w:rPr>
                <w:sz w:val="20"/>
                <w:szCs w:val="20"/>
                <w:color w:val="auto"/>
              </w:rPr>
            </w:pPr>
          </w:p>
        </w:tc>
        <w:tc>
          <w:tcPr>
            <w:tcW w:w="3240" w:type="dxa"/>
            <w:vAlign w:val="bottom"/>
            <w:tcBorders>
              <w:bottom w:val="single" w:sz="8" w:color="0000FF"/>
            </w:tcBorders>
            <w:gridSpan w:val="19"/>
          </w:tcPr>
          <w:p>
            <w:pPr>
              <w:spacing w:after="0"/>
              <w:rPr>
                <w:rFonts w:ascii="Arial" w:cs="Arial" w:eastAsia="Arial" w:hAnsi="Arial"/>
                <w:sz w:val="16"/>
                <w:szCs w:val="16"/>
                <w:color w:val="0000FF"/>
                <w:w w:val="98"/>
              </w:rPr>
            </w:pPr>
            <w:hyperlink r:id="rId355">
              <w:r>
                <w:rPr>
                  <w:rFonts w:ascii="Arial" w:cs="Arial" w:eastAsia="Arial" w:hAnsi="Arial"/>
                  <w:sz w:val="16"/>
                  <w:szCs w:val="16"/>
                  <w:color w:val="0000FF"/>
                  <w:w w:val="98"/>
                </w:rPr>
                <w:t>Microsoft Corporation Deferred Compensation</w:t>
              </w:r>
            </w:hyperlink>
          </w:p>
        </w:tc>
        <w:tc>
          <w:tcPr>
            <w:tcW w:w="12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6/30/2018</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10.5</w:t>
            </w:r>
          </w:p>
        </w:tc>
        <w:tc>
          <w:tcPr>
            <w:tcW w:w="1120" w:type="dxa"/>
            <w:vAlign w:val="bottom"/>
          </w:tcPr>
          <w:p>
            <w:pPr>
              <w:jc w:val="right"/>
              <w:spacing w:after="0"/>
              <w:rPr>
                <w:sz w:val="20"/>
                <w:szCs w:val="20"/>
                <w:color w:val="auto"/>
              </w:rPr>
            </w:pPr>
            <w:r>
              <w:rPr>
                <w:rFonts w:ascii="Arial" w:cs="Arial" w:eastAsia="Arial" w:hAnsi="Arial"/>
                <w:sz w:val="16"/>
                <w:szCs w:val="16"/>
                <w:color w:val="auto"/>
              </w:rPr>
              <w:t>8/3/2018</w:t>
            </w:r>
          </w:p>
        </w:tc>
        <w:tc>
          <w:tcPr>
            <w:tcW w:w="80" w:type="dxa"/>
            <w:vAlign w:val="bottom"/>
          </w:tcPr>
          <w:p>
            <w:pPr>
              <w:spacing w:after="0"/>
              <w:rPr>
                <w:sz w:val="20"/>
                <w:szCs w:val="20"/>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bottom w:val="single" w:sz="8" w:color="0000FF"/>
            </w:tcBorders>
          </w:tcPr>
          <w:p>
            <w:pPr>
              <w:spacing w:after="0" w:line="160" w:lineRule="exact"/>
              <w:rPr>
                <w:rFonts w:ascii="Arial" w:cs="Arial" w:eastAsia="Arial" w:hAnsi="Arial"/>
                <w:sz w:val="16"/>
                <w:szCs w:val="16"/>
                <w:color w:val="0000FF"/>
                <w:w w:val="93"/>
              </w:rPr>
            </w:pPr>
            <w:hyperlink r:id="rId355">
              <w:r>
                <w:rPr>
                  <w:rFonts w:ascii="Arial" w:cs="Arial" w:eastAsia="Arial" w:hAnsi="Arial"/>
                  <w:sz w:val="16"/>
                  <w:szCs w:val="16"/>
                  <w:color w:val="0000FF"/>
                  <w:w w:val="93"/>
                </w:rPr>
                <w:t>Plan</w:t>
              </w:r>
            </w:hyperlink>
          </w:p>
        </w:tc>
        <w:tc>
          <w:tcPr>
            <w:tcW w:w="3040" w:type="dxa"/>
            <w:vAlign w:val="bottom"/>
            <w:gridSpan w:val="21"/>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10.6*</w:t>
            </w:r>
          </w:p>
        </w:tc>
        <w:tc>
          <w:tcPr>
            <w:tcW w:w="300" w:type="dxa"/>
            <w:vAlign w:val="bottom"/>
          </w:tcPr>
          <w:p>
            <w:pPr>
              <w:spacing w:after="0"/>
              <w:rPr>
                <w:sz w:val="22"/>
                <w:szCs w:val="22"/>
                <w:color w:val="auto"/>
              </w:rPr>
            </w:pPr>
          </w:p>
        </w:tc>
        <w:tc>
          <w:tcPr>
            <w:tcW w:w="2680" w:type="dxa"/>
            <w:vAlign w:val="bottom"/>
            <w:tcBorders>
              <w:bottom w:val="single" w:sz="8" w:color="0000FF"/>
            </w:tcBorders>
            <w:gridSpan w:val="6"/>
          </w:tcPr>
          <w:p>
            <w:pPr>
              <w:spacing w:after="0"/>
              <w:rPr>
                <w:rFonts w:ascii="Arial" w:cs="Arial" w:eastAsia="Arial" w:hAnsi="Arial"/>
                <w:sz w:val="16"/>
                <w:szCs w:val="16"/>
                <w:color w:val="0000FF"/>
                <w:w w:val="97"/>
              </w:rPr>
            </w:pPr>
            <w:hyperlink r:id="rId356">
              <w:r>
                <w:rPr>
                  <w:rFonts w:ascii="Arial" w:cs="Arial" w:eastAsia="Arial" w:hAnsi="Arial"/>
                  <w:sz w:val="16"/>
                  <w:szCs w:val="16"/>
                  <w:color w:val="0000FF"/>
                  <w:w w:val="97"/>
                </w:rPr>
                <w:t>Microsoft Corporation 2017 Stock Plan</w:t>
              </w:r>
            </w:hyperlink>
          </w:p>
        </w:tc>
        <w:tc>
          <w:tcPr>
            <w:tcW w:w="680" w:type="dxa"/>
            <w:vAlign w:val="bottom"/>
            <w:gridSpan w:val="16"/>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DEF14A</w:t>
            </w:r>
          </w:p>
        </w:tc>
        <w:tc>
          <w:tcPr>
            <w:tcW w:w="1420" w:type="dxa"/>
            <w:vAlign w:val="bottom"/>
          </w:tcPr>
          <w:p>
            <w:pPr>
              <w:spacing w:after="0"/>
              <w:rPr>
                <w:sz w:val="22"/>
                <w:szCs w:val="22"/>
                <w:color w:val="auto"/>
              </w:rPr>
            </w:pP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Annex C</w:t>
            </w:r>
          </w:p>
        </w:tc>
        <w:tc>
          <w:tcPr>
            <w:tcW w:w="1120" w:type="dxa"/>
            <w:vAlign w:val="bottom"/>
          </w:tcPr>
          <w:p>
            <w:pPr>
              <w:jc w:val="right"/>
              <w:spacing w:after="0"/>
              <w:rPr>
                <w:sz w:val="20"/>
                <w:szCs w:val="20"/>
                <w:color w:val="auto"/>
              </w:rPr>
            </w:pPr>
            <w:r>
              <w:rPr>
                <w:rFonts w:ascii="Arial" w:cs="Arial" w:eastAsia="Arial" w:hAnsi="Arial"/>
                <w:sz w:val="16"/>
                <w:szCs w:val="16"/>
                <w:color w:val="auto"/>
              </w:rPr>
              <w:t>10/16/2017</w:t>
            </w:r>
          </w:p>
        </w:tc>
        <w:tc>
          <w:tcPr>
            <w:tcW w:w="80" w:type="dxa"/>
            <w:vAlign w:val="bottom"/>
          </w:tcPr>
          <w:p>
            <w:pPr>
              <w:spacing w:after="0"/>
              <w:rPr>
                <w:sz w:val="22"/>
                <w:szCs w:val="22"/>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22"/>
                <w:szCs w:val="22"/>
                <w:color w:val="auto"/>
              </w:rPr>
            </w:pPr>
          </w:p>
        </w:tc>
        <w:tc>
          <w:tcPr>
            <w:tcW w:w="3040" w:type="dxa"/>
            <w:vAlign w:val="bottom"/>
            <w:tcBorders>
              <w:bottom w:val="single" w:sz="8" w:color="0000FF"/>
            </w:tcBorders>
            <w:gridSpan w:val="14"/>
          </w:tcPr>
          <w:p>
            <w:pPr>
              <w:spacing w:after="0"/>
              <w:rPr>
                <w:rFonts w:ascii="Arial" w:cs="Arial" w:eastAsia="Arial" w:hAnsi="Arial"/>
                <w:sz w:val="16"/>
                <w:szCs w:val="16"/>
                <w:color w:val="0000FF"/>
                <w:w w:val="98"/>
              </w:rPr>
            </w:pPr>
            <w:hyperlink r:id="rId357">
              <w:r>
                <w:rPr>
                  <w:rFonts w:ascii="Arial" w:cs="Arial" w:eastAsia="Arial" w:hAnsi="Arial"/>
                  <w:sz w:val="16"/>
                  <w:szCs w:val="16"/>
                  <w:color w:val="0000FF"/>
                  <w:w w:val="98"/>
                </w:rPr>
                <w:t>Form of Stock Award Agreement Under the</w:t>
              </w:r>
            </w:hyperlink>
          </w:p>
        </w:tc>
        <w:tc>
          <w:tcPr>
            <w:tcW w:w="320" w:type="dxa"/>
            <w:vAlign w:val="bottom"/>
            <w:gridSpan w:val="8"/>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3/31/2018</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10.26</w:t>
            </w:r>
          </w:p>
        </w:tc>
        <w:tc>
          <w:tcPr>
            <w:tcW w:w="1120" w:type="dxa"/>
            <w:vAlign w:val="bottom"/>
          </w:tcPr>
          <w:p>
            <w:pPr>
              <w:jc w:val="right"/>
              <w:spacing w:after="0"/>
              <w:rPr>
                <w:sz w:val="20"/>
                <w:szCs w:val="20"/>
                <w:color w:val="auto"/>
              </w:rPr>
            </w:pPr>
            <w:r>
              <w:rPr>
                <w:rFonts w:ascii="Arial" w:cs="Arial" w:eastAsia="Arial" w:hAnsi="Arial"/>
                <w:sz w:val="16"/>
                <w:szCs w:val="16"/>
                <w:color w:val="auto"/>
              </w:rPr>
              <w:t>4/26/2018</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tcBorders>
              <w:bottom w:val="single" w:sz="8" w:color="0000FF"/>
            </w:tcBorders>
            <w:gridSpan w:val="6"/>
          </w:tcPr>
          <w:p>
            <w:pPr>
              <w:spacing w:after="0" w:line="160" w:lineRule="exact"/>
              <w:rPr>
                <w:rFonts w:ascii="Arial" w:cs="Arial" w:eastAsia="Arial" w:hAnsi="Arial"/>
                <w:sz w:val="16"/>
                <w:szCs w:val="16"/>
                <w:color w:val="0000FF"/>
                <w:w w:val="97"/>
              </w:rPr>
            </w:pPr>
            <w:hyperlink r:id="rId357">
              <w:r>
                <w:rPr>
                  <w:rFonts w:ascii="Arial" w:cs="Arial" w:eastAsia="Arial" w:hAnsi="Arial"/>
                  <w:sz w:val="16"/>
                  <w:szCs w:val="16"/>
                  <w:color w:val="0000FF"/>
                  <w:w w:val="97"/>
                </w:rPr>
                <w:t>Microsoft Corporation 2017 Stock Plan</w:t>
              </w:r>
            </w:hyperlink>
          </w:p>
        </w:tc>
        <w:tc>
          <w:tcPr>
            <w:tcW w:w="680" w:type="dxa"/>
            <w:vAlign w:val="bottom"/>
            <w:gridSpan w:val="16"/>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10.8*</w:t>
            </w:r>
          </w:p>
        </w:tc>
        <w:tc>
          <w:tcPr>
            <w:tcW w:w="300" w:type="dxa"/>
            <w:vAlign w:val="bottom"/>
          </w:tcPr>
          <w:p>
            <w:pPr>
              <w:spacing w:after="0"/>
              <w:rPr>
                <w:sz w:val="22"/>
                <w:szCs w:val="22"/>
                <w:color w:val="auto"/>
              </w:rPr>
            </w:pPr>
          </w:p>
        </w:tc>
        <w:tc>
          <w:tcPr>
            <w:tcW w:w="3240" w:type="dxa"/>
            <w:vAlign w:val="bottom"/>
            <w:tcBorders>
              <w:bottom w:val="single" w:sz="8" w:color="0000FF"/>
            </w:tcBorders>
            <w:gridSpan w:val="19"/>
          </w:tcPr>
          <w:p>
            <w:pPr>
              <w:spacing w:after="0"/>
              <w:rPr>
                <w:rFonts w:ascii="Arial" w:cs="Arial" w:eastAsia="Arial" w:hAnsi="Arial"/>
                <w:sz w:val="16"/>
                <w:szCs w:val="16"/>
                <w:color w:val="0000FF"/>
                <w:w w:val="98"/>
              </w:rPr>
            </w:pPr>
            <w:hyperlink r:id="rId358">
              <w:r>
                <w:rPr>
                  <w:rFonts w:ascii="Arial" w:cs="Arial" w:eastAsia="Arial" w:hAnsi="Arial"/>
                  <w:sz w:val="16"/>
                  <w:szCs w:val="16"/>
                  <w:color w:val="0000FF"/>
                  <w:w w:val="98"/>
                </w:rPr>
                <w:t>Form of Performance Stock Award Agreement</w:t>
              </w:r>
            </w:hyperlink>
          </w:p>
        </w:tc>
        <w:tc>
          <w:tcPr>
            <w:tcW w:w="120" w:type="dxa"/>
            <w:vAlign w:val="bottom"/>
            <w:gridSpan w:val="3"/>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3/31/2018</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10.27</w:t>
            </w:r>
          </w:p>
        </w:tc>
        <w:tc>
          <w:tcPr>
            <w:tcW w:w="1120" w:type="dxa"/>
            <w:vAlign w:val="bottom"/>
          </w:tcPr>
          <w:p>
            <w:pPr>
              <w:jc w:val="right"/>
              <w:spacing w:after="0"/>
              <w:rPr>
                <w:sz w:val="20"/>
                <w:szCs w:val="20"/>
                <w:color w:val="auto"/>
              </w:rPr>
            </w:pPr>
            <w:r>
              <w:rPr>
                <w:rFonts w:ascii="Arial" w:cs="Arial" w:eastAsia="Arial" w:hAnsi="Arial"/>
                <w:sz w:val="16"/>
                <w:szCs w:val="16"/>
                <w:color w:val="auto"/>
              </w:rPr>
              <w:t>4/26/2018</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5"/>
          </w:tcPr>
          <w:p>
            <w:pPr>
              <w:spacing w:after="0" w:line="160" w:lineRule="exact"/>
              <w:rPr>
                <w:rFonts w:ascii="Arial" w:cs="Arial" w:eastAsia="Arial" w:hAnsi="Arial"/>
                <w:sz w:val="16"/>
                <w:szCs w:val="16"/>
                <w:color w:val="0000FF"/>
                <w:w w:val="98"/>
              </w:rPr>
            </w:pPr>
            <w:hyperlink r:id="rId358">
              <w:r>
                <w:rPr>
                  <w:rFonts w:ascii="Arial" w:cs="Arial" w:eastAsia="Arial" w:hAnsi="Arial"/>
                  <w:sz w:val="16"/>
                  <w:szCs w:val="16"/>
                  <w:color w:val="0000FF"/>
                  <w:w w:val="98"/>
                </w:rPr>
                <w:t>Under the Microsoft Corporation 2017 Stock</w:t>
              </w:r>
            </w:hyperlink>
          </w:p>
        </w:tc>
        <w:tc>
          <w:tcPr>
            <w:tcW w:w="260" w:type="dxa"/>
            <w:vAlign w:val="bottom"/>
            <w:gridSpan w:val="7"/>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Borders>
              <w:bottom w:val="single" w:sz="8" w:color="0000FF"/>
            </w:tcBorders>
          </w:tcPr>
          <w:p>
            <w:pPr>
              <w:spacing w:after="0" w:line="160" w:lineRule="exact"/>
              <w:rPr>
                <w:rFonts w:ascii="Arial" w:cs="Arial" w:eastAsia="Arial" w:hAnsi="Arial"/>
                <w:sz w:val="16"/>
                <w:szCs w:val="16"/>
                <w:color w:val="0000FF"/>
                <w:w w:val="93"/>
              </w:rPr>
            </w:pPr>
            <w:hyperlink r:id="rId358">
              <w:r>
                <w:rPr>
                  <w:rFonts w:ascii="Arial" w:cs="Arial" w:eastAsia="Arial" w:hAnsi="Arial"/>
                  <w:sz w:val="16"/>
                  <w:szCs w:val="16"/>
                  <w:color w:val="0000FF"/>
                  <w:w w:val="93"/>
                </w:rPr>
                <w:t>Plan</w:t>
              </w:r>
            </w:hyperlink>
          </w:p>
        </w:tc>
        <w:tc>
          <w:tcPr>
            <w:tcW w:w="3040" w:type="dxa"/>
            <w:vAlign w:val="bottom"/>
            <w:gridSpan w:val="21"/>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22"/>
                <w:szCs w:val="22"/>
                <w:color w:val="auto"/>
              </w:rPr>
            </w:pPr>
          </w:p>
        </w:tc>
        <w:tc>
          <w:tcPr>
            <w:tcW w:w="3360" w:type="dxa"/>
            <w:vAlign w:val="bottom"/>
            <w:tcBorders>
              <w:bottom w:val="single" w:sz="8" w:color="0000FF"/>
            </w:tcBorders>
            <w:gridSpan w:val="22"/>
          </w:tcPr>
          <w:p>
            <w:pPr>
              <w:spacing w:after="0"/>
              <w:rPr>
                <w:rFonts w:ascii="Arial" w:cs="Arial" w:eastAsia="Arial" w:hAnsi="Arial"/>
                <w:sz w:val="16"/>
                <w:szCs w:val="16"/>
                <w:color w:val="0000FF"/>
                <w:w w:val="97"/>
              </w:rPr>
            </w:pPr>
            <w:hyperlink r:id="rId359">
              <w:r>
                <w:rPr>
                  <w:rFonts w:ascii="Arial" w:cs="Arial" w:eastAsia="Arial" w:hAnsi="Arial"/>
                  <w:sz w:val="16"/>
                  <w:szCs w:val="16"/>
                  <w:color w:val="0000FF"/>
                  <w:w w:val="97"/>
                </w:rPr>
                <w:t>Amended and Restated Officers’ Indemnification</w:t>
              </w:r>
            </w:hyperlink>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9/30/2016</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10.12</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tcBorders>
              <w:bottom w:val="single" w:sz="8" w:color="0000FF"/>
            </w:tcBorders>
            <w:gridSpan w:val="22"/>
          </w:tcPr>
          <w:p>
            <w:pPr>
              <w:spacing w:after="0" w:line="160" w:lineRule="exact"/>
              <w:rPr>
                <w:rFonts w:ascii="Arial" w:cs="Arial" w:eastAsia="Arial" w:hAnsi="Arial"/>
                <w:sz w:val="16"/>
                <w:szCs w:val="16"/>
                <w:color w:val="0000FF"/>
                <w:w w:val="97"/>
              </w:rPr>
            </w:pPr>
            <w:hyperlink r:id="rId359">
              <w:r>
                <w:rPr>
                  <w:rFonts w:ascii="Arial" w:cs="Arial" w:eastAsia="Arial" w:hAnsi="Arial"/>
                  <w:sz w:val="16"/>
                  <w:szCs w:val="16"/>
                  <w:color w:val="0000FF"/>
                  <w:w w:val="97"/>
                </w:rPr>
                <w:t>Trust Agreement between Microsoft Corporation</w:t>
              </w:r>
            </w:hyperlink>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tcBorders>
              <w:bottom w:val="single" w:sz="8" w:color="0000FF"/>
            </w:tcBorders>
            <w:gridSpan w:val="8"/>
          </w:tcPr>
          <w:p>
            <w:pPr>
              <w:spacing w:after="0" w:line="160" w:lineRule="exact"/>
              <w:rPr>
                <w:rFonts w:ascii="Arial" w:cs="Arial" w:eastAsia="Arial" w:hAnsi="Arial"/>
                <w:sz w:val="16"/>
                <w:szCs w:val="16"/>
                <w:color w:val="0000FF"/>
                <w:w w:val="98"/>
              </w:rPr>
            </w:pPr>
            <w:hyperlink r:id="rId359">
              <w:r>
                <w:rPr>
                  <w:rFonts w:ascii="Arial" w:cs="Arial" w:eastAsia="Arial" w:hAnsi="Arial"/>
                  <w:sz w:val="16"/>
                  <w:szCs w:val="16"/>
                  <w:color w:val="0000FF"/>
                  <w:w w:val="98"/>
                </w:rPr>
                <w:t>and The Bank of New York Mellon Trust</w:t>
              </w:r>
            </w:hyperlink>
          </w:p>
        </w:tc>
        <w:tc>
          <w:tcPr>
            <w:tcW w:w="540" w:type="dxa"/>
            <w:vAlign w:val="bottom"/>
            <w:gridSpan w:val="14"/>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tcBorders>
              <w:bottom w:val="single" w:sz="8" w:color="0000FF"/>
            </w:tcBorders>
            <w:gridSpan w:val="2"/>
          </w:tcPr>
          <w:p>
            <w:pPr>
              <w:spacing w:after="0" w:line="160" w:lineRule="exact"/>
              <w:rPr>
                <w:rFonts w:ascii="Arial" w:cs="Arial" w:eastAsia="Arial" w:hAnsi="Arial"/>
                <w:sz w:val="16"/>
                <w:szCs w:val="16"/>
                <w:color w:val="0000FF"/>
                <w:w w:val="96"/>
              </w:rPr>
            </w:pPr>
            <w:hyperlink r:id="rId359">
              <w:r>
                <w:rPr>
                  <w:rFonts w:ascii="Arial" w:cs="Arial" w:eastAsia="Arial" w:hAnsi="Arial"/>
                  <w:sz w:val="16"/>
                  <w:szCs w:val="16"/>
                  <w:color w:val="0000FF"/>
                  <w:w w:val="96"/>
                </w:rPr>
                <w:t>Company, N.A., as trustee</w:t>
              </w:r>
            </w:hyperlink>
          </w:p>
        </w:tc>
        <w:tc>
          <w:tcPr>
            <w:tcW w:w="1520" w:type="dxa"/>
            <w:vAlign w:val="bottom"/>
            <w:gridSpan w:val="20"/>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04"/>
        </w:trPr>
        <w:tc>
          <w:tcPr>
            <w:tcW w:w="780" w:type="dxa"/>
            <w:vAlign w:val="bottom"/>
          </w:tcPr>
          <w:p>
            <w:pPr>
              <w:ind w:left="20"/>
              <w:spacing w:after="0"/>
              <w:rPr>
                <w:sz w:val="20"/>
                <w:szCs w:val="20"/>
                <w:color w:val="auto"/>
              </w:rPr>
            </w:pPr>
            <w:r>
              <w:rPr>
                <w:rFonts w:ascii="Arial" w:cs="Arial" w:eastAsia="Arial" w:hAnsi="Arial"/>
                <w:sz w:val="16"/>
                <w:szCs w:val="16"/>
                <w:color w:val="auto"/>
              </w:rPr>
              <w:t>10.10</w:t>
            </w:r>
          </w:p>
        </w:tc>
        <w:tc>
          <w:tcPr>
            <w:tcW w:w="300" w:type="dxa"/>
            <w:vAlign w:val="bottom"/>
          </w:tcPr>
          <w:p>
            <w:pPr>
              <w:spacing w:after="0"/>
              <w:rPr>
                <w:sz w:val="24"/>
                <w:szCs w:val="24"/>
                <w:color w:val="auto"/>
              </w:rPr>
            </w:pPr>
          </w:p>
        </w:tc>
        <w:tc>
          <w:tcPr>
            <w:tcW w:w="3120" w:type="dxa"/>
            <w:vAlign w:val="bottom"/>
            <w:tcBorders>
              <w:bottom w:val="single" w:sz="8" w:color="0000FF"/>
            </w:tcBorders>
            <w:gridSpan w:val="16"/>
          </w:tcPr>
          <w:p>
            <w:pPr>
              <w:spacing w:after="0"/>
              <w:rPr>
                <w:rFonts w:ascii="Arial" w:cs="Arial" w:eastAsia="Arial" w:hAnsi="Arial"/>
                <w:sz w:val="16"/>
                <w:szCs w:val="16"/>
                <w:color w:val="0000FF"/>
                <w:w w:val="99"/>
              </w:rPr>
            </w:pPr>
            <w:hyperlink r:id="rId360">
              <w:r>
                <w:rPr>
                  <w:rFonts w:ascii="Arial" w:cs="Arial" w:eastAsia="Arial" w:hAnsi="Arial"/>
                  <w:sz w:val="16"/>
                  <w:szCs w:val="16"/>
                  <w:color w:val="0000FF"/>
                  <w:w w:val="99"/>
                </w:rPr>
                <w:t>Assumption of Beneficiaries’ Representative</w:t>
              </w:r>
            </w:hyperlink>
          </w:p>
        </w:tc>
        <w:tc>
          <w:tcPr>
            <w:tcW w:w="24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6/30/2020</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10.25</w:t>
            </w:r>
          </w:p>
        </w:tc>
        <w:tc>
          <w:tcPr>
            <w:tcW w:w="1120" w:type="dxa"/>
            <w:vAlign w:val="bottom"/>
          </w:tcPr>
          <w:p>
            <w:pPr>
              <w:jc w:val="right"/>
              <w:spacing w:after="0"/>
              <w:rPr>
                <w:sz w:val="20"/>
                <w:szCs w:val="20"/>
                <w:color w:val="auto"/>
              </w:rPr>
            </w:pPr>
            <w:r>
              <w:rPr>
                <w:rFonts w:ascii="Arial" w:cs="Arial" w:eastAsia="Arial" w:hAnsi="Arial"/>
                <w:sz w:val="16"/>
                <w:szCs w:val="16"/>
                <w:color w:val="auto"/>
              </w:rPr>
              <w:t>7/30/2020</w:t>
            </w:r>
          </w:p>
        </w:tc>
        <w:tc>
          <w:tcPr>
            <w:tcW w:w="80" w:type="dxa"/>
            <w:vAlign w:val="bottom"/>
          </w:tcPr>
          <w:p>
            <w:pPr>
              <w:spacing w:after="0"/>
              <w:rPr>
                <w:sz w:val="24"/>
                <w:szCs w:val="24"/>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60">
              <w:r>
                <w:rPr>
                  <w:rFonts w:ascii="Arial" w:cs="Arial" w:eastAsia="Arial" w:hAnsi="Arial"/>
                  <w:sz w:val="16"/>
                  <w:szCs w:val="16"/>
                  <w:color w:val="0000FF"/>
                  <w:w w:val="98"/>
                </w:rPr>
                <w:t>Obligations Under Amended and Restated</w:t>
              </w:r>
            </w:hyperlink>
          </w:p>
        </w:tc>
        <w:tc>
          <w:tcPr>
            <w:tcW w:w="380" w:type="dxa"/>
            <w:vAlign w:val="bottom"/>
            <w:gridSpan w:val="9"/>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80" w:type="dxa"/>
            <w:vAlign w:val="bottom"/>
            <w:tcBorders>
              <w:bottom w:val="single" w:sz="8" w:color="0000FF"/>
            </w:tcBorders>
            <w:gridSpan w:val="10"/>
          </w:tcPr>
          <w:p>
            <w:pPr>
              <w:spacing w:after="0" w:line="160" w:lineRule="exact"/>
              <w:rPr>
                <w:rFonts w:ascii="Arial" w:cs="Arial" w:eastAsia="Arial" w:hAnsi="Arial"/>
                <w:sz w:val="16"/>
                <w:szCs w:val="16"/>
                <w:color w:val="0000FF"/>
                <w:w w:val="97"/>
              </w:rPr>
            </w:pPr>
            <w:hyperlink r:id="rId360">
              <w:r>
                <w:rPr>
                  <w:rFonts w:ascii="Arial" w:cs="Arial" w:eastAsia="Arial" w:hAnsi="Arial"/>
                  <w:sz w:val="16"/>
                  <w:szCs w:val="16"/>
                  <w:color w:val="0000FF"/>
                  <w:w w:val="97"/>
                </w:rPr>
                <w:t>Officers’ Indemnification Trust Agreement</w:t>
              </w:r>
            </w:hyperlink>
          </w:p>
        </w:tc>
        <w:tc>
          <w:tcPr>
            <w:tcW w:w="48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10.11</w:t>
            </w:r>
          </w:p>
        </w:tc>
        <w:tc>
          <w:tcPr>
            <w:tcW w:w="300" w:type="dxa"/>
            <w:vAlign w:val="bottom"/>
          </w:tcPr>
          <w:p>
            <w:pPr>
              <w:spacing w:after="0"/>
              <w:rPr>
                <w:sz w:val="22"/>
                <w:szCs w:val="22"/>
                <w:color w:val="auto"/>
              </w:rPr>
            </w:pPr>
          </w:p>
        </w:tc>
        <w:tc>
          <w:tcPr>
            <w:tcW w:w="2800" w:type="dxa"/>
            <w:vAlign w:val="bottom"/>
            <w:tcBorders>
              <w:bottom w:val="single" w:sz="8" w:color="0000FF"/>
            </w:tcBorders>
            <w:gridSpan w:val="7"/>
          </w:tcPr>
          <w:p>
            <w:pPr>
              <w:spacing w:after="0"/>
              <w:rPr>
                <w:rFonts w:ascii="Arial" w:cs="Arial" w:eastAsia="Arial" w:hAnsi="Arial"/>
                <w:sz w:val="16"/>
                <w:szCs w:val="16"/>
                <w:color w:val="0000FF"/>
                <w:w w:val="98"/>
              </w:rPr>
            </w:pPr>
            <w:hyperlink r:id="rId361">
              <w:r>
                <w:rPr>
                  <w:rFonts w:ascii="Arial" w:cs="Arial" w:eastAsia="Arial" w:hAnsi="Arial"/>
                  <w:sz w:val="16"/>
                  <w:szCs w:val="16"/>
                  <w:color w:val="0000FF"/>
                  <w:w w:val="98"/>
                </w:rPr>
                <w:t>Form of Indemnification Agreement and</w:t>
              </w:r>
            </w:hyperlink>
          </w:p>
        </w:tc>
        <w:tc>
          <w:tcPr>
            <w:tcW w:w="560" w:type="dxa"/>
            <w:vAlign w:val="bottom"/>
            <w:gridSpan w:val="15"/>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6/30/2019</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10.13</w:t>
            </w:r>
          </w:p>
        </w:tc>
        <w:tc>
          <w:tcPr>
            <w:tcW w:w="1120" w:type="dxa"/>
            <w:vAlign w:val="bottom"/>
          </w:tcPr>
          <w:p>
            <w:pPr>
              <w:jc w:val="right"/>
              <w:spacing w:after="0"/>
              <w:rPr>
                <w:sz w:val="20"/>
                <w:szCs w:val="20"/>
                <w:color w:val="auto"/>
              </w:rPr>
            </w:pPr>
            <w:r>
              <w:rPr>
                <w:rFonts w:ascii="Arial" w:cs="Arial" w:eastAsia="Arial" w:hAnsi="Arial"/>
                <w:sz w:val="16"/>
                <w:szCs w:val="16"/>
                <w:color w:val="auto"/>
              </w:rPr>
              <w:t>8/1/2019</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tcBorders>
              <w:bottom w:val="single" w:sz="8" w:color="0000FF"/>
            </w:tcBorders>
            <w:gridSpan w:val="5"/>
          </w:tcPr>
          <w:p>
            <w:pPr>
              <w:spacing w:after="0" w:line="160" w:lineRule="exact"/>
              <w:rPr>
                <w:rFonts w:ascii="Arial" w:cs="Arial" w:eastAsia="Arial" w:hAnsi="Arial"/>
                <w:sz w:val="16"/>
                <w:szCs w:val="16"/>
                <w:color w:val="0000FF"/>
                <w:w w:val="99"/>
              </w:rPr>
            </w:pPr>
            <w:hyperlink r:id="rId361">
              <w:r>
                <w:rPr>
                  <w:rFonts w:ascii="Arial" w:cs="Arial" w:eastAsia="Arial" w:hAnsi="Arial"/>
                  <w:sz w:val="16"/>
                  <w:szCs w:val="16"/>
                  <w:color w:val="0000FF"/>
                  <w:w w:val="99"/>
                </w:rPr>
                <w:t>Amended and Restated Directors’</w:t>
              </w:r>
            </w:hyperlink>
          </w:p>
        </w:tc>
        <w:tc>
          <w:tcPr>
            <w:tcW w:w="960" w:type="dxa"/>
            <w:vAlign w:val="bottom"/>
            <w:gridSpan w:val="17"/>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40" w:type="dxa"/>
            <w:vAlign w:val="bottom"/>
            <w:tcBorders>
              <w:bottom w:val="single" w:sz="8" w:color="0000FF"/>
            </w:tcBorders>
            <w:gridSpan w:val="11"/>
          </w:tcPr>
          <w:p>
            <w:pPr>
              <w:spacing w:after="0" w:line="160" w:lineRule="exact"/>
              <w:rPr>
                <w:rFonts w:ascii="Arial" w:cs="Arial" w:eastAsia="Arial" w:hAnsi="Arial"/>
                <w:sz w:val="16"/>
                <w:szCs w:val="16"/>
                <w:color w:val="0000FF"/>
                <w:w w:val="98"/>
              </w:rPr>
            </w:pPr>
            <w:hyperlink r:id="rId361">
              <w:r>
                <w:rPr>
                  <w:rFonts w:ascii="Arial" w:cs="Arial" w:eastAsia="Arial" w:hAnsi="Arial"/>
                  <w:sz w:val="16"/>
                  <w:szCs w:val="16"/>
                  <w:color w:val="0000FF"/>
                  <w:w w:val="98"/>
                </w:rPr>
                <w:t>Indemnification Trust Agreement between</w:t>
              </w:r>
            </w:hyperlink>
          </w:p>
        </w:tc>
        <w:tc>
          <w:tcPr>
            <w:tcW w:w="420" w:type="dxa"/>
            <w:vAlign w:val="bottom"/>
            <w:gridSpan w:val="11"/>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00" w:type="dxa"/>
            <w:vAlign w:val="bottom"/>
            <w:tcBorders>
              <w:bottom w:val="single" w:sz="8" w:color="0000FF"/>
            </w:tcBorders>
            <w:gridSpan w:val="15"/>
          </w:tcPr>
          <w:p>
            <w:pPr>
              <w:spacing w:after="0" w:line="160" w:lineRule="exact"/>
              <w:rPr>
                <w:rFonts w:ascii="Arial" w:cs="Arial" w:eastAsia="Arial" w:hAnsi="Arial"/>
                <w:sz w:val="16"/>
                <w:szCs w:val="16"/>
                <w:color w:val="0000FF"/>
                <w:w w:val="98"/>
              </w:rPr>
            </w:pPr>
            <w:hyperlink r:id="rId361">
              <w:r>
                <w:rPr>
                  <w:rFonts w:ascii="Arial" w:cs="Arial" w:eastAsia="Arial" w:hAnsi="Arial"/>
                  <w:sz w:val="16"/>
                  <w:szCs w:val="16"/>
                  <w:color w:val="0000FF"/>
                  <w:w w:val="98"/>
                </w:rPr>
                <w:t>Microsoft Corporation and The Bank of New</w:t>
              </w:r>
            </w:hyperlink>
          </w:p>
        </w:tc>
        <w:tc>
          <w:tcPr>
            <w:tcW w:w="260" w:type="dxa"/>
            <w:vAlign w:val="bottom"/>
            <w:gridSpan w:val="7"/>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tcBorders>
              <w:bottom w:val="single" w:sz="8" w:color="0000FF"/>
            </w:tcBorders>
            <w:gridSpan w:val="16"/>
          </w:tcPr>
          <w:p>
            <w:pPr>
              <w:spacing w:after="0" w:line="160" w:lineRule="exact"/>
              <w:rPr>
                <w:rFonts w:ascii="Arial" w:cs="Arial" w:eastAsia="Arial" w:hAnsi="Arial"/>
                <w:sz w:val="16"/>
                <w:szCs w:val="16"/>
                <w:color w:val="0000FF"/>
                <w:w w:val="97"/>
              </w:rPr>
            </w:pPr>
            <w:hyperlink r:id="rId361">
              <w:r>
                <w:rPr>
                  <w:rFonts w:ascii="Arial" w:cs="Arial" w:eastAsia="Arial" w:hAnsi="Arial"/>
                  <w:sz w:val="16"/>
                  <w:szCs w:val="16"/>
                  <w:color w:val="0000FF"/>
                  <w:w w:val="97"/>
                </w:rPr>
                <w:t>York Mellon Trust Company, N.A., as trustee</w:t>
              </w:r>
            </w:hyperlink>
          </w:p>
        </w:tc>
        <w:tc>
          <w:tcPr>
            <w:tcW w:w="24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10.12</w:t>
            </w:r>
          </w:p>
        </w:tc>
        <w:tc>
          <w:tcPr>
            <w:tcW w:w="300" w:type="dxa"/>
            <w:vAlign w:val="bottom"/>
          </w:tcPr>
          <w:p>
            <w:pPr>
              <w:spacing w:after="0"/>
              <w:rPr>
                <w:sz w:val="22"/>
                <w:szCs w:val="22"/>
                <w:color w:val="auto"/>
              </w:rPr>
            </w:pPr>
          </w:p>
        </w:tc>
        <w:tc>
          <w:tcPr>
            <w:tcW w:w="3120" w:type="dxa"/>
            <w:vAlign w:val="bottom"/>
            <w:tcBorders>
              <w:bottom w:val="single" w:sz="8" w:color="0000FF"/>
            </w:tcBorders>
            <w:gridSpan w:val="16"/>
          </w:tcPr>
          <w:p>
            <w:pPr>
              <w:spacing w:after="0"/>
              <w:rPr>
                <w:rFonts w:ascii="Arial" w:cs="Arial" w:eastAsia="Arial" w:hAnsi="Arial"/>
                <w:sz w:val="16"/>
                <w:szCs w:val="16"/>
                <w:color w:val="0000FF"/>
                <w:w w:val="99"/>
              </w:rPr>
            </w:pPr>
            <w:hyperlink r:id="rId362">
              <w:r>
                <w:rPr>
                  <w:rFonts w:ascii="Arial" w:cs="Arial" w:eastAsia="Arial" w:hAnsi="Arial"/>
                  <w:sz w:val="16"/>
                  <w:szCs w:val="16"/>
                  <w:color w:val="0000FF"/>
                  <w:w w:val="99"/>
                </w:rPr>
                <w:t>Assumption of Beneficiaries’ Representative</w:t>
              </w:r>
            </w:hyperlink>
          </w:p>
        </w:tc>
        <w:tc>
          <w:tcPr>
            <w:tcW w:w="240" w:type="dxa"/>
            <w:vAlign w:val="bottom"/>
            <w:gridSpan w:val="6"/>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43"/>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6/30/2020</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10.26</w:t>
            </w:r>
          </w:p>
        </w:tc>
        <w:tc>
          <w:tcPr>
            <w:tcW w:w="1120" w:type="dxa"/>
            <w:vAlign w:val="bottom"/>
          </w:tcPr>
          <w:p>
            <w:pPr>
              <w:jc w:val="right"/>
              <w:spacing w:after="0"/>
              <w:rPr>
                <w:sz w:val="20"/>
                <w:szCs w:val="20"/>
                <w:color w:val="auto"/>
              </w:rPr>
            </w:pPr>
            <w:r>
              <w:rPr>
                <w:rFonts w:ascii="Arial" w:cs="Arial" w:eastAsia="Arial" w:hAnsi="Arial"/>
                <w:sz w:val="16"/>
                <w:szCs w:val="16"/>
                <w:color w:val="auto"/>
              </w:rPr>
              <w:t>7/30/2020</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80" w:type="dxa"/>
            <w:vAlign w:val="bottom"/>
            <w:tcBorders>
              <w:bottom w:val="single" w:sz="8" w:color="0000FF"/>
            </w:tcBorders>
            <w:gridSpan w:val="13"/>
          </w:tcPr>
          <w:p>
            <w:pPr>
              <w:spacing w:after="0" w:line="160" w:lineRule="exact"/>
              <w:rPr>
                <w:rFonts w:ascii="Arial" w:cs="Arial" w:eastAsia="Arial" w:hAnsi="Arial"/>
                <w:sz w:val="16"/>
                <w:szCs w:val="16"/>
                <w:color w:val="0000FF"/>
                <w:w w:val="98"/>
              </w:rPr>
            </w:pPr>
            <w:hyperlink r:id="rId362">
              <w:r>
                <w:rPr>
                  <w:rFonts w:ascii="Arial" w:cs="Arial" w:eastAsia="Arial" w:hAnsi="Arial"/>
                  <w:sz w:val="16"/>
                  <w:szCs w:val="16"/>
                  <w:color w:val="0000FF"/>
                  <w:w w:val="98"/>
                </w:rPr>
                <w:t>Obligations Under Amended and Restated</w:t>
              </w:r>
            </w:hyperlink>
          </w:p>
        </w:tc>
        <w:tc>
          <w:tcPr>
            <w:tcW w:w="380" w:type="dxa"/>
            <w:vAlign w:val="bottom"/>
            <w:gridSpan w:val="9"/>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Borders>
              <w:bottom w:val="single" w:sz="8" w:color="0000FF"/>
            </w:tcBorders>
            <w:gridSpan w:val="12"/>
          </w:tcPr>
          <w:p>
            <w:pPr>
              <w:spacing w:after="0" w:line="160" w:lineRule="exact"/>
              <w:rPr>
                <w:rFonts w:ascii="Arial" w:cs="Arial" w:eastAsia="Arial" w:hAnsi="Arial"/>
                <w:sz w:val="16"/>
                <w:szCs w:val="16"/>
                <w:color w:val="0000FF"/>
                <w:w w:val="96"/>
              </w:rPr>
            </w:pPr>
            <w:hyperlink r:id="rId362">
              <w:r>
                <w:rPr>
                  <w:rFonts w:ascii="Arial" w:cs="Arial" w:eastAsia="Arial" w:hAnsi="Arial"/>
                  <w:sz w:val="16"/>
                  <w:szCs w:val="16"/>
                  <w:color w:val="0000FF"/>
                  <w:w w:val="96"/>
                </w:rPr>
                <w:t>Directors’ Indemnification Trust Agreement</w:t>
              </w:r>
            </w:hyperlink>
          </w:p>
        </w:tc>
        <w:tc>
          <w:tcPr>
            <w:tcW w:w="400" w:type="dxa"/>
            <w:vAlign w:val="bottom"/>
            <w:gridSpan w:val="10"/>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10.14*</w:t>
            </w:r>
          </w:p>
        </w:tc>
        <w:tc>
          <w:tcPr>
            <w:tcW w:w="300" w:type="dxa"/>
            <w:vAlign w:val="bottom"/>
          </w:tcPr>
          <w:p>
            <w:pPr>
              <w:spacing w:after="0"/>
              <w:rPr>
                <w:sz w:val="22"/>
                <w:szCs w:val="22"/>
                <w:color w:val="auto"/>
              </w:rPr>
            </w:pPr>
          </w:p>
        </w:tc>
        <w:tc>
          <w:tcPr>
            <w:tcW w:w="3240" w:type="dxa"/>
            <w:vAlign w:val="bottom"/>
            <w:tcBorders>
              <w:bottom w:val="single" w:sz="8" w:color="0000FF"/>
            </w:tcBorders>
            <w:gridSpan w:val="19"/>
          </w:tcPr>
          <w:p>
            <w:pPr>
              <w:spacing w:after="0"/>
              <w:rPr>
                <w:rFonts w:ascii="Arial" w:cs="Arial" w:eastAsia="Arial" w:hAnsi="Arial"/>
                <w:sz w:val="16"/>
                <w:szCs w:val="16"/>
                <w:color w:val="0000FF"/>
                <w:w w:val="98"/>
              </w:rPr>
            </w:pPr>
            <w:hyperlink r:id="rId363">
              <w:r>
                <w:rPr>
                  <w:rFonts w:ascii="Arial" w:cs="Arial" w:eastAsia="Arial" w:hAnsi="Arial"/>
                  <w:sz w:val="16"/>
                  <w:szCs w:val="16"/>
                  <w:color w:val="0000FF"/>
                  <w:w w:val="98"/>
                </w:rPr>
                <w:t>Microsoft Corporation Deferred Compensation</w:t>
              </w:r>
            </w:hyperlink>
          </w:p>
        </w:tc>
        <w:tc>
          <w:tcPr>
            <w:tcW w:w="120" w:type="dxa"/>
            <w:vAlign w:val="bottom"/>
            <w:gridSpan w:val="3"/>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12/31/2017</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10.14</w:t>
            </w:r>
          </w:p>
        </w:tc>
        <w:tc>
          <w:tcPr>
            <w:tcW w:w="1120" w:type="dxa"/>
            <w:vAlign w:val="bottom"/>
          </w:tcPr>
          <w:p>
            <w:pPr>
              <w:jc w:val="right"/>
              <w:spacing w:after="0"/>
              <w:rPr>
                <w:sz w:val="20"/>
                <w:szCs w:val="20"/>
                <w:color w:val="auto"/>
              </w:rPr>
            </w:pPr>
            <w:r>
              <w:rPr>
                <w:rFonts w:ascii="Arial" w:cs="Arial" w:eastAsia="Arial" w:hAnsi="Arial"/>
                <w:sz w:val="16"/>
                <w:szCs w:val="16"/>
                <w:color w:val="auto"/>
              </w:rPr>
              <w:t>1/31/2018</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gridSpan w:val="22"/>
          </w:tcPr>
          <w:p>
            <w:pPr>
              <w:spacing w:after="0" w:line="160" w:lineRule="exact"/>
              <w:rPr>
                <w:rFonts w:ascii="Arial" w:cs="Arial" w:eastAsia="Arial" w:hAnsi="Arial"/>
                <w:sz w:val="16"/>
                <w:szCs w:val="16"/>
                <w:color w:val="0000FF"/>
              </w:rPr>
            </w:pPr>
            <w:hyperlink r:id="rId363">
              <w:r>
                <w:rPr>
                  <w:rFonts w:ascii="Arial" w:cs="Arial" w:eastAsia="Arial" w:hAnsi="Arial"/>
                  <w:sz w:val="16"/>
                  <w:szCs w:val="16"/>
                  <w:color w:val="0000FF"/>
                </w:rPr>
                <w:t>Plan for Non-Employee Directors</w:t>
              </w:r>
            </w:hyperlink>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10.15*</w:t>
            </w:r>
          </w:p>
        </w:tc>
        <w:tc>
          <w:tcPr>
            <w:tcW w:w="300" w:type="dxa"/>
            <w:vAlign w:val="bottom"/>
          </w:tcPr>
          <w:p>
            <w:pPr>
              <w:spacing w:after="0"/>
              <w:rPr>
                <w:sz w:val="22"/>
                <w:szCs w:val="22"/>
                <w:color w:val="auto"/>
              </w:rPr>
            </w:pPr>
          </w:p>
        </w:tc>
        <w:tc>
          <w:tcPr>
            <w:tcW w:w="3240" w:type="dxa"/>
            <w:vAlign w:val="bottom"/>
            <w:tcBorders>
              <w:bottom w:val="single" w:sz="8" w:color="0000FF"/>
            </w:tcBorders>
            <w:gridSpan w:val="19"/>
          </w:tcPr>
          <w:p>
            <w:pPr>
              <w:spacing w:after="0"/>
              <w:rPr>
                <w:rFonts w:ascii="Arial" w:cs="Arial" w:eastAsia="Arial" w:hAnsi="Arial"/>
                <w:sz w:val="16"/>
                <w:szCs w:val="16"/>
                <w:color w:val="0000FF"/>
                <w:w w:val="97"/>
              </w:rPr>
            </w:pPr>
            <w:hyperlink r:id="rId364">
              <w:r>
                <w:rPr>
                  <w:rFonts w:ascii="Arial" w:cs="Arial" w:eastAsia="Arial" w:hAnsi="Arial"/>
                  <w:sz w:val="16"/>
                  <w:szCs w:val="16"/>
                  <w:color w:val="0000FF"/>
                  <w:w w:val="97"/>
                </w:rPr>
                <w:t>Microsoft Corporation Executive Incentive Plan</w:t>
              </w:r>
            </w:hyperlink>
          </w:p>
        </w:tc>
        <w:tc>
          <w:tcPr>
            <w:tcW w:w="120" w:type="dxa"/>
            <w:vAlign w:val="bottom"/>
            <w:gridSpan w:val="3"/>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8-K</w:t>
            </w:r>
          </w:p>
        </w:tc>
        <w:tc>
          <w:tcPr>
            <w:tcW w:w="1420" w:type="dxa"/>
            <w:vAlign w:val="bottom"/>
          </w:tcPr>
          <w:p>
            <w:pPr>
              <w:spacing w:after="0"/>
              <w:rPr>
                <w:sz w:val="22"/>
                <w:szCs w:val="22"/>
                <w:color w:val="auto"/>
              </w:rPr>
            </w:pP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w:t>
            </w:r>
          </w:p>
        </w:tc>
        <w:tc>
          <w:tcPr>
            <w:tcW w:w="1120" w:type="dxa"/>
            <w:vAlign w:val="bottom"/>
          </w:tcPr>
          <w:p>
            <w:pPr>
              <w:jc w:val="right"/>
              <w:spacing w:after="0"/>
              <w:rPr>
                <w:sz w:val="20"/>
                <w:szCs w:val="20"/>
                <w:color w:val="auto"/>
              </w:rPr>
            </w:pPr>
            <w:r>
              <w:rPr>
                <w:rFonts w:ascii="Arial" w:cs="Arial" w:eastAsia="Arial" w:hAnsi="Arial"/>
                <w:sz w:val="16"/>
                <w:szCs w:val="16"/>
                <w:color w:val="auto"/>
              </w:rPr>
              <w:t>9/19/2018</w:t>
            </w:r>
          </w:p>
        </w:tc>
        <w:tc>
          <w:tcPr>
            <w:tcW w:w="80" w:type="dxa"/>
            <w:vAlign w:val="bottom"/>
          </w:tcPr>
          <w:p>
            <w:pPr>
              <w:spacing w:after="0"/>
              <w:rPr>
                <w:sz w:val="22"/>
                <w:szCs w:val="22"/>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10.19*</w:t>
            </w:r>
          </w:p>
        </w:tc>
        <w:tc>
          <w:tcPr>
            <w:tcW w:w="300" w:type="dxa"/>
            <w:vAlign w:val="bottom"/>
          </w:tcPr>
          <w:p>
            <w:pPr>
              <w:spacing w:after="0"/>
              <w:rPr>
                <w:sz w:val="22"/>
                <w:szCs w:val="22"/>
                <w:color w:val="auto"/>
              </w:rPr>
            </w:pPr>
          </w:p>
        </w:tc>
        <w:tc>
          <w:tcPr>
            <w:tcW w:w="3240" w:type="dxa"/>
            <w:vAlign w:val="bottom"/>
            <w:tcBorders>
              <w:bottom w:val="single" w:sz="8" w:color="0000FF"/>
            </w:tcBorders>
            <w:gridSpan w:val="18"/>
          </w:tcPr>
          <w:p>
            <w:pPr>
              <w:spacing w:after="0"/>
              <w:rPr>
                <w:rFonts w:ascii="Arial" w:cs="Arial" w:eastAsia="Arial" w:hAnsi="Arial"/>
                <w:sz w:val="16"/>
                <w:szCs w:val="16"/>
                <w:color w:val="0000FF"/>
                <w:w w:val="97"/>
              </w:rPr>
            </w:pPr>
            <w:hyperlink r:id="rId365">
              <w:r>
                <w:rPr>
                  <w:rFonts w:ascii="Arial" w:cs="Arial" w:eastAsia="Arial" w:hAnsi="Arial"/>
                  <w:sz w:val="16"/>
                  <w:szCs w:val="16"/>
                  <w:color w:val="0000FF"/>
                  <w:w w:val="97"/>
                </w:rPr>
                <w:t>Microsoft Corporation Executive Incentive Plan</w:t>
              </w:r>
            </w:hyperlink>
          </w:p>
        </w:tc>
        <w:tc>
          <w:tcPr>
            <w:tcW w:w="120" w:type="dxa"/>
            <w:vAlign w:val="bottom"/>
            <w:gridSpan w:val="4"/>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9/30/2016</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10.17</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10.20*</w:t>
            </w:r>
          </w:p>
        </w:tc>
        <w:tc>
          <w:tcPr>
            <w:tcW w:w="300" w:type="dxa"/>
            <w:vAlign w:val="bottom"/>
          </w:tcPr>
          <w:p>
            <w:pPr>
              <w:spacing w:after="0"/>
              <w:rPr>
                <w:sz w:val="22"/>
                <w:szCs w:val="22"/>
                <w:color w:val="auto"/>
              </w:rPr>
            </w:pPr>
          </w:p>
        </w:tc>
        <w:tc>
          <w:tcPr>
            <w:tcW w:w="3120" w:type="dxa"/>
            <w:vAlign w:val="bottom"/>
            <w:tcBorders>
              <w:bottom w:val="single" w:sz="8" w:color="0000FF"/>
            </w:tcBorders>
            <w:gridSpan w:val="16"/>
          </w:tcPr>
          <w:p>
            <w:pPr>
              <w:spacing w:after="0"/>
              <w:rPr>
                <w:rFonts w:ascii="Arial" w:cs="Arial" w:eastAsia="Arial" w:hAnsi="Arial"/>
                <w:sz w:val="16"/>
                <w:szCs w:val="16"/>
                <w:color w:val="0000FF"/>
                <w:w w:val="99"/>
              </w:rPr>
            </w:pPr>
            <w:hyperlink r:id="rId366">
              <w:r>
                <w:rPr>
                  <w:rFonts w:ascii="Arial" w:cs="Arial" w:eastAsia="Arial" w:hAnsi="Arial"/>
                  <w:sz w:val="16"/>
                  <w:szCs w:val="16"/>
                  <w:color w:val="0000FF"/>
                  <w:w w:val="99"/>
                </w:rPr>
                <w:t>Form of Executive Incentive Plan (Executive</w:t>
              </w:r>
            </w:hyperlink>
          </w:p>
        </w:tc>
        <w:tc>
          <w:tcPr>
            <w:tcW w:w="240" w:type="dxa"/>
            <w:vAlign w:val="bottom"/>
            <w:gridSpan w:val="6"/>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9/30/2016</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10.18</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20" w:type="dxa"/>
            <w:vAlign w:val="bottom"/>
            <w:tcBorders>
              <w:bottom w:val="single" w:sz="8" w:color="0000FF"/>
            </w:tcBorders>
            <w:gridSpan w:val="21"/>
          </w:tcPr>
          <w:p>
            <w:pPr>
              <w:spacing w:after="0" w:line="160" w:lineRule="exact"/>
              <w:rPr>
                <w:rFonts w:ascii="Arial" w:cs="Arial" w:eastAsia="Arial" w:hAnsi="Arial"/>
                <w:sz w:val="16"/>
                <w:szCs w:val="16"/>
                <w:color w:val="0000FF"/>
                <w:w w:val="98"/>
              </w:rPr>
            </w:pPr>
            <w:hyperlink r:id="rId366">
              <w:r>
                <w:rPr>
                  <w:rFonts w:ascii="Arial" w:cs="Arial" w:eastAsia="Arial" w:hAnsi="Arial"/>
                  <w:sz w:val="16"/>
                  <w:szCs w:val="16"/>
                  <w:color w:val="0000FF"/>
                  <w:w w:val="98"/>
                </w:rPr>
                <w:t>Officer SAs) Stock Award Agreement under the</w:t>
              </w:r>
            </w:hyperlink>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80" w:type="dxa"/>
            <w:vAlign w:val="bottom"/>
            <w:tcBorders>
              <w:bottom w:val="single" w:sz="8" w:color="0000FF"/>
            </w:tcBorders>
            <w:gridSpan w:val="6"/>
          </w:tcPr>
          <w:p>
            <w:pPr>
              <w:spacing w:after="0" w:line="160" w:lineRule="exact"/>
              <w:rPr>
                <w:rFonts w:ascii="Arial" w:cs="Arial" w:eastAsia="Arial" w:hAnsi="Arial"/>
                <w:sz w:val="16"/>
                <w:szCs w:val="16"/>
                <w:color w:val="0000FF"/>
                <w:w w:val="97"/>
              </w:rPr>
            </w:pPr>
            <w:hyperlink r:id="rId366">
              <w:r>
                <w:rPr>
                  <w:rFonts w:ascii="Arial" w:cs="Arial" w:eastAsia="Arial" w:hAnsi="Arial"/>
                  <w:sz w:val="16"/>
                  <w:szCs w:val="16"/>
                  <w:color w:val="0000FF"/>
                  <w:w w:val="97"/>
                </w:rPr>
                <w:t>Microsoft Corporation 2001 Stock Plan</w:t>
              </w:r>
            </w:hyperlink>
          </w:p>
        </w:tc>
        <w:tc>
          <w:tcPr>
            <w:tcW w:w="680" w:type="dxa"/>
            <w:vAlign w:val="bottom"/>
            <w:gridSpan w:val="16"/>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10.21*</w:t>
            </w:r>
          </w:p>
        </w:tc>
        <w:tc>
          <w:tcPr>
            <w:tcW w:w="300" w:type="dxa"/>
            <w:vAlign w:val="bottom"/>
          </w:tcPr>
          <w:p>
            <w:pPr>
              <w:spacing w:after="0"/>
              <w:rPr>
                <w:sz w:val="22"/>
                <w:szCs w:val="22"/>
                <w:color w:val="auto"/>
              </w:rPr>
            </w:pPr>
          </w:p>
        </w:tc>
        <w:tc>
          <w:tcPr>
            <w:tcW w:w="3280" w:type="dxa"/>
            <w:vAlign w:val="bottom"/>
            <w:tcBorders>
              <w:bottom w:val="single" w:sz="8" w:color="0000FF"/>
            </w:tcBorders>
            <w:gridSpan w:val="20"/>
          </w:tcPr>
          <w:p>
            <w:pPr>
              <w:spacing w:after="0"/>
              <w:rPr>
                <w:rFonts w:ascii="Arial" w:cs="Arial" w:eastAsia="Arial" w:hAnsi="Arial"/>
                <w:sz w:val="16"/>
                <w:szCs w:val="16"/>
                <w:color w:val="0000FF"/>
                <w:w w:val="98"/>
              </w:rPr>
            </w:pPr>
            <w:hyperlink r:id="rId367">
              <w:r>
                <w:rPr>
                  <w:rFonts w:ascii="Arial" w:cs="Arial" w:eastAsia="Arial" w:hAnsi="Arial"/>
                  <w:sz w:val="16"/>
                  <w:szCs w:val="16"/>
                  <w:color w:val="0000FF"/>
                  <w:w w:val="98"/>
                </w:rPr>
                <w:t>Form of Executive Incentive Plan Performance</w:t>
              </w:r>
            </w:hyperlink>
          </w:p>
        </w:tc>
        <w:tc>
          <w:tcPr>
            <w:tcW w:w="80" w:type="dxa"/>
            <w:vAlign w:val="bottom"/>
            <w:gridSpan w:val="2"/>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9/30/2016</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10.25</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120" w:type="dxa"/>
            <w:vAlign w:val="bottom"/>
            <w:tcBorders>
              <w:bottom w:val="single" w:sz="8" w:color="0000FF"/>
            </w:tcBorders>
            <w:gridSpan w:val="16"/>
          </w:tcPr>
          <w:p>
            <w:pPr>
              <w:spacing w:after="0" w:line="160" w:lineRule="exact"/>
              <w:rPr>
                <w:rFonts w:ascii="Arial" w:cs="Arial" w:eastAsia="Arial" w:hAnsi="Arial"/>
                <w:sz w:val="16"/>
                <w:szCs w:val="16"/>
                <w:color w:val="0000FF"/>
                <w:w w:val="98"/>
              </w:rPr>
            </w:pPr>
            <w:hyperlink r:id="rId367">
              <w:r>
                <w:rPr>
                  <w:rFonts w:ascii="Arial" w:cs="Arial" w:eastAsia="Arial" w:hAnsi="Arial"/>
                  <w:sz w:val="16"/>
                  <w:szCs w:val="16"/>
                  <w:color w:val="0000FF"/>
                  <w:w w:val="98"/>
                </w:rPr>
                <w:t>Stock Award Agreement under the Microsoft</w:t>
              </w:r>
            </w:hyperlink>
          </w:p>
        </w:tc>
        <w:tc>
          <w:tcPr>
            <w:tcW w:w="240" w:type="dxa"/>
            <w:vAlign w:val="bottom"/>
            <w:gridSpan w:val="6"/>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tcBorders>
              <w:bottom w:val="single" w:sz="8" w:color="0000FF"/>
            </w:tcBorders>
            <w:gridSpan w:val="3"/>
          </w:tcPr>
          <w:p>
            <w:pPr>
              <w:spacing w:after="0" w:line="160" w:lineRule="exact"/>
              <w:rPr>
                <w:rFonts w:ascii="Arial" w:cs="Arial" w:eastAsia="Arial" w:hAnsi="Arial"/>
                <w:sz w:val="16"/>
                <w:szCs w:val="16"/>
                <w:color w:val="0000FF"/>
                <w:w w:val="96"/>
              </w:rPr>
            </w:pPr>
            <w:hyperlink r:id="rId367">
              <w:r>
                <w:rPr>
                  <w:rFonts w:ascii="Arial" w:cs="Arial" w:eastAsia="Arial" w:hAnsi="Arial"/>
                  <w:sz w:val="16"/>
                  <w:szCs w:val="16"/>
                  <w:color w:val="0000FF"/>
                  <w:w w:val="96"/>
                </w:rPr>
                <w:t>Corporation 2001 Stock Plan</w:t>
              </w:r>
            </w:hyperlink>
          </w:p>
        </w:tc>
        <w:tc>
          <w:tcPr>
            <w:tcW w:w="1360" w:type="dxa"/>
            <w:vAlign w:val="bottom"/>
            <w:gridSpan w:val="19"/>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10.22*</w:t>
            </w:r>
          </w:p>
        </w:tc>
        <w:tc>
          <w:tcPr>
            <w:tcW w:w="300" w:type="dxa"/>
            <w:vAlign w:val="bottom"/>
          </w:tcPr>
          <w:p>
            <w:pPr>
              <w:spacing w:after="0"/>
              <w:rPr>
                <w:sz w:val="22"/>
                <w:szCs w:val="22"/>
                <w:color w:val="auto"/>
              </w:rPr>
            </w:pPr>
          </w:p>
        </w:tc>
        <w:tc>
          <w:tcPr>
            <w:tcW w:w="2860" w:type="dxa"/>
            <w:vAlign w:val="bottom"/>
            <w:tcBorders>
              <w:bottom w:val="single" w:sz="8" w:color="0000FF"/>
            </w:tcBorders>
            <w:gridSpan w:val="9"/>
          </w:tcPr>
          <w:p>
            <w:pPr>
              <w:spacing w:after="0"/>
              <w:rPr>
                <w:rFonts w:ascii="Arial" w:cs="Arial" w:eastAsia="Arial" w:hAnsi="Arial"/>
                <w:sz w:val="16"/>
                <w:szCs w:val="16"/>
                <w:color w:val="0000FF"/>
                <w:w w:val="97"/>
              </w:rPr>
            </w:pPr>
            <w:hyperlink r:id="rId368">
              <w:r>
                <w:rPr>
                  <w:rFonts w:ascii="Arial" w:cs="Arial" w:eastAsia="Arial" w:hAnsi="Arial"/>
                  <w:sz w:val="16"/>
                  <w:szCs w:val="16"/>
                  <w:color w:val="0000FF"/>
                  <w:w w:val="97"/>
                </w:rPr>
                <w:t>Senior Executive Severance Benefit Plan</w:t>
              </w:r>
            </w:hyperlink>
          </w:p>
        </w:tc>
        <w:tc>
          <w:tcPr>
            <w:tcW w:w="500" w:type="dxa"/>
            <w:vAlign w:val="bottom"/>
            <w:gridSpan w:val="13"/>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246"/>
              <w:spacing w:after="0"/>
              <w:rPr>
                <w:sz w:val="20"/>
                <w:szCs w:val="20"/>
                <w:color w:val="auto"/>
              </w:rPr>
            </w:pPr>
            <w:r>
              <w:rPr>
                <w:rFonts w:ascii="Arial" w:cs="Arial" w:eastAsia="Arial" w:hAnsi="Arial"/>
                <w:sz w:val="16"/>
                <w:szCs w:val="16"/>
                <w:color w:val="auto"/>
              </w:rPr>
              <w:t>9/30/2016</w:t>
            </w: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10.22</w:t>
            </w:r>
          </w:p>
        </w:tc>
        <w:tc>
          <w:tcPr>
            <w:tcW w:w="1120" w:type="dxa"/>
            <w:vAlign w:val="bottom"/>
          </w:tcPr>
          <w:p>
            <w:pPr>
              <w:jc w:val="right"/>
              <w:spacing w:after="0"/>
              <w:rPr>
                <w:sz w:val="20"/>
                <w:szCs w:val="20"/>
                <w:color w:val="auto"/>
              </w:rPr>
            </w:pPr>
            <w:r>
              <w:rPr>
                <w:rFonts w:ascii="Arial" w:cs="Arial" w:eastAsia="Arial" w:hAnsi="Arial"/>
                <w:sz w:val="16"/>
                <w:szCs w:val="16"/>
                <w:color w:val="auto"/>
              </w:rPr>
              <w:t>10/20/2016</w:t>
            </w:r>
          </w:p>
        </w:tc>
        <w:tc>
          <w:tcPr>
            <w:tcW w:w="80" w:type="dxa"/>
            <w:vAlign w:val="bottom"/>
          </w:tcPr>
          <w:p>
            <w:pPr>
              <w:spacing w:after="0"/>
              <w:rPr>
                <w:sz w:val="22"/>
                <w:szCs w:val="22"/>
                <w:color w:val="auto"/>
              </w:rPr>
            </w:pPr>
          </w:p>
        </w:tc>
      </w:tr>
      <w:tr>
        <w:trPr>
          <w:trHeight w:val="256"/>
        </w:trPr>
        <w:tc>
          <w:tcPr>
            <w:tcW w:w="780" w:type="dxa"/>
            <w:vAlign w:val="bottom"/>
          </w:tcPr>
          <w:p>
            <w:pPr>
              <w:ind w:left="20"/>
              <w:spacing w:after="0"/>
              <w:rPr>
                <w:sz w:val="20"/>
                <w:szCs w:val="20"/>
                <w:color w:val="auto"/>
              </w:rPr>
            </w:pPr>
            <w:r>
              <w:rPr>
                <w:rFonts w:ascii="Arial" w:cs="Arial" w:eastAsia="Arial" w:hAnsi="Arial"/>
                <w:sz w:val="16"/>
                <w:szCs w:val="16"/>
                <w:color w:val="auto"/>
              </w:rPr>
              <w:t>10.23*</w:t>
            </w:r>
          </w:p>
        </w:tc>
        <w:tc>
          <w:tcPr>
            <w:tcW w:w="300" w:type="dxa"/>
            <w:vAlign w:val="bottom"/>
          </w:tcPr>
          <w:p>
            <w:pPr>
              <w:spacing w:after="0"/>
              <w:rPr>
                <w:sz w:val="22"/>
                <w:szCs w:val="22"/>
                <w:color w:val="auto"/>
              </w:rPr>
            </w:pPr>
          </w:p>
        </w:tc>
        <w:tc>
          <w:tcPr>
            <w:tcW w:w="3220" w:type="dxa"/>
            <w:vAlign w:val="bottom"/>
            <w:tcBorders>
              <w:bottom w:val="single" w:sz="8" w:color="0000FF"/>
            </w:tcBorders>
            <w:gridSpan w:val="17"/>
          </w:tcPr>
          <w:p>
            <w:pPr>
              <w:spacing w:after="0"/>
              <w:rPr>
                <w:rFonts w:ascii="Arial" w:cs="Arial" w:eastAsia="Arial" w:hAnsi="Arial"/>
                <w:sz w:val="16"/>
                <w:szCs w:val="16"/>
                <w:color w:val="0000FF"/>
                <w:w w:val="98"/>
              </w:rPr>
            </w:pPr>
            <w:hyperlink r:id="rId369">
              <w:r>
                <w:rPr>
                  <w:rFonts w:ascii="Arial" w:cs="Arial" w:eastAsia="Arial" w:hAnsi="Arial"/>
                  <w:sz w:val="16"/>
                  <w:szCs w:val="16"/>
                  <w:color w:val="0000FF"/>
                  <w:w w:val="98"/>
                </w:rPr>
                <w:t>Offer Letter, dated February 3, 2014, between</w:t>
              </w:r>
            </w:hyperlink>
          </w:p>
        </w:tc>
        <w:tc>
          <w:tcPr>
            <w:tcW w:w="140" w:type="dxa"/>
            <w:vAlign w:val="bottom"/>
            <w:gridSpan w:val="5"/>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263"/>
              <w:spacing w:after="0"/>
              <w:rPr>
                <w:sz w:val="20"/>
                <w:szCs w:val="20"/>
                <w:color w:val="auto"/>
              </w:rPr>
            </w:pPr>
            <w:r>
              <w:rPr>
                <w:rFonts w:ascii="Arial" w:cs="Arial" w:eastAsia="Arial" w:hAnsi="Arial"/>
                <w:sz w:val="16"/>
                <w:szCs w:val="16"/>
                <w:color w:val="auto"/>
              </w:rPr>
              <w:t>8-K</w:t>
            </w:r>
          </w:p>
        </w:tc>
        <w:tc>
          <w:tcPr>
            <w:tcW w:w="1420" w:type="dxa"/>
            <w:vAlign w:val="bottom"/>
          </w:tcPr>
          <w:p>
            <w:pPr>
              <w:spacing w:after="0"/>
              <w:rPr>
                <w:sz w:val="22"/>
                <w:szCs w:val="22"/>
                <w:color w:val="auto"/>
              </w:rPr>
            </w:pPr>
          </w:p>
        </w:tc>
        <w:tc>
          <w:tcPr>
            <w:tcW w:w="1240" w:type="dxa"/>
            <w:vAlign w:val="bottom"/>
          </w:tcPr>
          <w:p>
            <w:pPr>
              <w:jc w:val="right"/>
              <w:ind w:right="263"/>
              <w:spacing w:after="0"/>
              <w:rPr>
                <w:sz w:val="20"/>
                <w:szCs w:val="20"/>
                <w:color w:val="auto"/>
              </w:rPr>
            </w:pPr>
            <w:r>
              <w:rPr>
                <w:rFonts w:ascii="Arial" w:cs="Arial" w:eastAsia="Arial" w:hAnsi="Arial"/>
                <w:sz w:val="16"/>
                <w:szCs w:val="16"/>
                <w:color w:val="auto"/>
              </w:rPr>
              <w:t>10.1</w:t>
            </w:r>
          </w:p>
        </w:tc>
        <w:tc>
          <w:tcPr>
            <w:tcW w:w="1120" w:type="dxa"/>
            <w:vAlign w:val="bottom"/>
          </w:tcPr>
          <w:p>
            <w:pPr>
              <w:jc w:val="right"/>
              <w:spacing w:after="0"/>
              <w:rPr>
                <w:sz w:val="20"/>
                <w:szCs w:val="20"/>
                <w:color w:val="auto"/>
              </w:rPr>
            </w:pPr>
            <w:r>
              <w:rPr>
                <w:rFonts w:ascii="Arial" w:cs="Arial" w:eastAsia="Arial" w:hAnsi="Arial"/>
                <w:sz w:val="16"/>
                <w:szCs w:val="16"/>
                <w:color w:val="auto"/>
              </w:rPr>
              <w:t>2/4/2014</w:t>
            </w:r>
          </w:p>
        </w:tc>
        <w:tc>
          <w:tcPr>
            <w:tcW w:w="80" w:type="dxa"/>
            <w:vAlign w:val="bottom"/>
          </w:tcPr>
          <w:p>
            <w:pPr>
              <w:spacing w:after="0"/>
              <w:rPr>
                <w:sz w:val="22"/>
                <w:szCs w:val="22"/>
                <w:color w:val="auto"/>
              </w:rPr>
            </w:pPr>
          </w:p>
        </w:tc>
      </w:tr>
      <w:tr>
        <w:trPr>
          <w:trHeight w:val="160"/>
        </w:trPr>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60" w:type="dxa"/>
            <w:vAlign w:val="bottom"/>
            <w:gridSpan w:val="22"/>
          </w:tcPr>
          <w:p>
            <w:pPr>
              <w:spacing w:after="0" w:line="160" w:lineRule="exact"/>
              <w:rPr>
                <w:rFonts w:ascii="Arial" w:cs="Arial" w:eastAsia="Arial" w:hAnsi="Arial"/>
                <w:sz w:val="16"/>
                <w:szCs w:val="16"/>
                <w:color w:val="0000FF"/>
              </w:rPr>
            </w:pPr>
            <w:hyperlink r:id="rId369">
              <w:r>
                <w:rPr>
                  <w:rFonts w:ascii="Arial" w:cs="Arial" w:eastAsia="Arial" w:hAnsi="Arial"/>
                  <w:sz w:val="16"/>
                  <w:szCs w:val="16"/>
                  <w:color w:val="0000FF"/>
                </w:rPr>
                <w:t>Microsoft Corporation and Satya Nadella</w:t>
              </w:r>
            </w:hyperlink>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66"/>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3"/>
                <w:szCs w:val="13"/>
                <w:color w:val="auto"/>
              </w:rPr>
              <w:t>106</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6"/>
        </w:trPr>
        <w:tc>
          <w:tcPr>
            <w:tcW w:w="780" w:type="dxa"/>
            <w:vAlign w:val="bottom"/>
            <w:tcBorders>
              <w:bottom w:val="single" w:sz="8" w:color="EEEEEE"/>
            </w:tcBorders>
          </w:tcPr>
          <w:p>
            <w:pPr>
              <w:spacing w:after="0"/>
              <w:rPr>
                <w:sz w:val="9"/>
                <w:szCs w:val="9"/>
                <w:color w:val="auto"/>
              </w:rPr>
            </w:pPr>
          </w:p>
        </w:tc>
        <w:tc>
          <w:tcPr>
            <w:tcW w:w="300" w:type="dxa"/>
            <w:vAlign w:val="bottom"/>
            <w:tcBorders>
              <w:bottom w:val="single" w:sz="8" w:color="EEEEEE"/>
            </w:tcBorders>
          </w:tcPr>
          <w:p>
            <w:pPr>
              <w:spacing w:after="0"/>
              <w:rPr>
                <w:sz w:val="9"/>
                <w:szCs w:val="9"/>
                <w:color w:val="auto"/>
              </w:rPr>
            </w:pPr>
          </w:p>
        </w:tc>
        <w:tc>
          <w:tcPr>
            <w:tcW w:w="320" w:type="dxa"/>
            <w:vAlign w:val="bottom"/>
            <w:tcBorders>
              <w:bottom w:val="single" w:sz="8" w:color="EEEEEE"/>
            </w:tcBorders>
          </w:tcPr>
          <w:p>
            <w:pPr>
              <w:spacing w:after="0"/>
              <w:rPr>
                <w:sz w:val="9"/>
                <w:szCs w:val="9"/>
                <w:color w:val="auto"/>
              </w:rPr>
            </w:pPr>
          </w:p>
        </w:tc>
        <w:tc>
          <w:tcPr>
            <w:tcW w:w="1520" w:type="dxa"/>
            <w:vAlign w:val="bottom"/>
            <w:tcBorders>
              <w:bottom w:val="single" w:sz="8" w:color="EEEEEE"/>
            </w:tcBorders>
          </w:tcPr>
          <w:p>
            <w:pPr>
              <w:spacing w:after="0"/>
              <w:rPr>
                <w:sz w:val="9"/>
                <w:szCs w:val="9"/>
                <w:color w:val="auto"/>
              </w:rPr>
            </w:pPr>
          </w:p>
        </w:tc>
        <w:tc>
          <w:tcPr>
            <w:tcW w:w="16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280" w:type="dxa"/>
            <w:vAlign w:val="bottom"/>
            <w:tcBorders>
              <w:bottom w:val="single" w:sz="8" w:color="EEEEEE"/>
            </w:tcBorders>
          </w:tcPr>
          <w:p>
            <w:pPr>
              <w:spacing w:after="0"/>
              <w:rPr>
                <w:sz w:val="9"/>
                <w:szCs w:val="9"/>
                <w:color w:val="auto"/>
              </w:rPr>
            </w:pPr>
          </w:p>
        </w:tc>
        <w:tc>
          <w:tcPr>
            <w:tcW w:w="1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6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100" w:type="dxa"/>
            <w:vAlign w:val="bottom"/>
            <w:tcBorders>
              <w:bottom w:val="single" w:sz="8" w:color="EEEEEE"/>
            </w:tcBorders>
          </w:tcPr>
          <w:p>
            <w:pPr>
              <w:spacing w:after="0"/>
              <w:rPr>
                <w:sz w:val="9"/>
                <w:szCs w:val="9"/>
                <w:color w:val="auto"/>
              </w:rPr>
            </w:pPr>
          </w:p>
        </w:tc>
        <w:tc>
          <w:tcPr>
            <w:tcW w:w="20" w:type="dxa"/>
            <w:vAlign w:val="bottom"/>
            <w:tcBorders>
              <w:bottom w:val="single" w:sz="8" w:color="EEEEEE"/>
            </w:tcBorders>
          </w:tcPr>
          <w:p>
            <w:pPr>
              <w:spacing w:after="0"/>
              <w:rPr>
                <w:sz w:val="9"/>
                <w:szCs w:val="9"/>
                <w:color w:val="auto"/>
              </w:rPr>
            </w:pPr>
          </w:p>
        </w:tc>
        <w:tc>
          <w:tcPr>
            <w:tcW w:w="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40" w:type="dxa"/>
            <w:vAlign w:val="bottom"/>
            <w:tcBorders>
              <w:bottom w:val="single" w:sz="8" w:color="EEEEEE"/>
            </w:tcBorders>
          </w:tcPr>
          <w:p>
            <w:pPr>
              <w:spacing w:after="0"/>
              <w:rPr>
                <w:sz w:val="9"/>
                <w:szCs w:val="9"/>
                <w:color w:val="auto"/>
              </w:rPr>
            </w:pPr>
          </w:p>
        </w:tc>
        <w:tc>
          <w:tcPr>
            <w:tcW w:w="880" w:type="dxa"/>
            <w:vAlign w:val="bottom"/>
            <w:tcBorders>
              <w:bottom w:val="single" w:sz="8" w:color="EEEEEE"/>
            </w:tcBorders>
          </w:tcPr>
          <w:p>
            <w:pPr>
              <w:spacing w:after="0"/>
              <w:rPr>
                <w:sz w:val="9"/>
                <w:szCs w:val="9"/>
                <w:color w:val="auto"/>
              </w:rPr>
            </w:pPr>
          </w:p>
        </w:tc>
        <w:tc>
          <w:tcPr>
            <w:tcW w:w="260" w:type="dxa"/>
            <w:vAlign w:val="bottom"/>
            <w:tcBorders>
              <w:bottom w:val="single" w:sz="8" w:color="EEEEEE"/>
            </w:tcBorders>
          </w:tcPr>
          <w:p>
            <w:pPr>
              <w:spacing w:after="0"/>
              <w:rPr>
                <w:sz w:val="9"/>
                <w:szCs w:val="9"/>
                <w:color w:val="auto"/>
              </w:rPr>
            </w:pPr>
          </w:p>
        </w:tc>
        <w:tc>
          <w:tcPr>
            <w:tcW w:w="1120" w:type="dxa"/>
            <w:vAlign w:val="bottom"/>
            <w:tcBorders>
              <w:bottom w:val="single" w:sz="8" w:color="EEEEEE"/>
            </w:tcBorders>
          </w:tcPr>
          <w:p>
            <w:pPr>
              <w:spacing w:after="0"/>
              <w:rPr>
                <w:sz w:val="9"/>
                <w:szCs w:val="9"/>
                <w:color w:val="auto"/>
              </w:rPr>
            </w:pPr>
          </w:p>
        </w:tc>
        <w:tc>
          <w:tcPr>
            <w:tcW w:w="1420" w:type="dxa"/>
            <w:vAlign w:val="bottom"/>
            <w:tcBorders>
              <w:bottom w:val="single" w:sz="8" w:color="EEEEEE"/>
            </w:tcBorders>
          </w:tcPr>
          <w:p>
            <w:pPr>
              <w:spacing w:after="0"/>
              <w:rPr>
                <w:sz w:val="9"/>
                <w:szCs w:val="9"/>
                <w:color w:val="auto"/>
              </w:rPr>
            </w:pPr>
          </w:p>
        </w:tc>
        <w:tc>
          <w:tcPr>
            <w:tcW w:w="1240" w:type="dxa"/>
            <w:vAlign w:val="bottom"/>
            <w:tcBorders>
              <w:bottom w:val="single" w:sz="8" w:color="EEEEEE"/>
            </w:tcBorders>
          </w:tcPr>
          <w:p>
            <w:pPr>
              <w:spacing w:after="0"/>
              <w:rPr>
                <w:sz w:val="9"/>
                <w:szCs w:val="9"/>
                <w:color w:val="auto"/>
              </w:rPr>
            </w:pPr>
          </w:p>
        </w:tc>
        <w:tc>
          <w:tcPr>
            <w:tcW w:w="1120" w:type="dxa"/>
            <w:vAlign w:val="bottom"/>
            <w:tcBorders>
              <w:bottom w:val="single" w:sz="8" w:color="EEEEEE"/>
            </w:tcBorders>
          </w:tcPr>
          <w:p>
            <w:pPr>
              <w:spacing w:after="0"/>
              <w:rPr>
                <w:sz w:val="9"/>
                <w:szCs w:val="9"/>
                <w:color w:val="auto"/>
              </w:rPr>
            </w:pPr>
          </w:p>
        </w:tc>
        <w:tc>
          <w:tcPr>
            <w:tcW w:w="8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-4046855</wp:posOffset>
            </wp:positionV>
            <wp:extent cx="76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1">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-608965</wp:posOffset>
            </wp:positionV>
            <wp:extent cx="3048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ectPr>
          <w:pgSz w:w="11900" w:h="16840" w:orient="portrait"/>
          <w:cols w:equalWidth="0" w:num="1">
            <w:col w:w="10560"/>
          </w:cols>
          <w:pgMar w:left="660" w:top="573" w:right="680" w:bottom="1440" w:gutter="0" w:footer="0" w:header="0"/>
        </w:sectPr>
      </w:pPr>
    </w:p>
    <w:bookmarkStart w:id="106" w:name="page107"/>
    <w:bookmarkEnd w:id="106"/>
    <w:p>
      <w:pPr>
        <w:ind w:left="5078"/>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98"/>
        <w:spacing w:after="0"/>
        <w:rPr>
          <w:sz w:val="20"/>
          <w:szCs w:val="20"/>
          <w:color w:val="auto"/>
        </w:rPr>
      </w:pPr>
      <w:r>
        <w:rPr>
          <w:rFonts w:ascii="Arial" w:cs="Arial" w:eastAsia="Arial" w:hAnsi="Arial"/>
          <w:sz w:val="12"/>
          <w:szCs w:val="12"/>
          <w:color w:val="auto"/>
        </w:rPr>
        <w:t>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6649085</wp:posOffset>
            </wp:positionH>
            <wp:positionV relativeFrom="paragraph">
              <wp:posOffset>118745</wp:posOffset>
            </wp:positionV>
            <wp:extent cx="86360" cy="3683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3">
                      <a:extLst>
                        <a:ext uri="{28A0092B-C50C-407E-A947-70E740481C1C}"/>
                      </a:extLst>
                    </a:blip>
                    <a:srcRect/>
                    <a:stretch>
                      <a:fillRect/>
                    </a:stretch>
                  </pic:blipFill>
                  <pic:spPr bwMode="auto">
                    <a:xfrm>
                      <a:off x="0" y="0"/>
                      <a:ext cx="86360" cy="368300"/>
                    </a:xfrm>
                    <a:prstGeom prst="rect">
                      <a:avLst/>
                    </a:prstGeom>
                    <a:noFill/>
                  </pic:spPr>
                </pic:pic>
              </a:graphicData>
            </a:graphic>
          </wp:anchor>
        </w:drawing>
      </w:r>
    </w:p>
    <w:p>
      <w:pPr>
        <w:spacing w:after="0" w:line="196" w:lineRule="exact"/>
        <w:rPr>
          <w:sz w:val="20"/>
          <w:szCs w:val="20"/>
          <w:color w:val="auto"/>
        </w:rPr>
      </w:pPr>
    </w:p>
    <w:tbl>
      <w:tblPr>
        <w:tblLayout w:type="fixed"/>
        <w:tblInd w:w="18" w:type="dxa"/>
        <w:tblCellMar>
          <w:top w:w="0" w:type="dxa"/>
          <w:left w:w="0" w:type="dxa"/>
          <w:bottom w:w="0" w:type="dxa"/>
          <w:right w:w="0" w:type="dxa"/>
        </w:tblCellMar>
      </w:tblPr>
      <w:tr>
        <w:trPr>
          <w:trHeight w:val="167"/>
        </w:trPr>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2"/>
          </w:tcPr>
          <w:p>
            <w:pPr>
              <w:ind w:left="440"/>
              <w:spacing w:after="0"/>
              <w:rPr>
                <w:sz w:val="20"/>
                <w:szCs w:val="20"/>
                <w:color w:val="auto"/>
              </w:rPr>
            </w:pPr>
            <w:r>
              <w:rPr>
                <w:rFonts w:ascii="Arial" w:cs="Arial" w:eastAsia="Arial" w:hAnsi="Arial"/>
                <w:sz w:val="12"/>
                <w:szCs w:val="12"/>
                <w:b w:val="1"/>
                <w:bCs w:val="1"/>
                <w:color w:val="auto"/>
              </w:rPr>
              <w:t>Incorporated by Reference</w:t>
            </w:r>
          </w:p>
        </w:tc>
        <w:tc>
          <w:tcPr>
            <w:tcW w:w="1120" w:type="dxa"/>
            <w:vAlign w:val="bottom"/>
            <w:tcBorders>
              <w:bottom w:val="single" w:sz="8" w:color="auto"/>
            </w:tcBorders>
          </w:tcPr>
          <w:p>
            <w:pPr>
              <w:spacing w:after="0"/>
              <w:rPr>
                <w:sz w:val="14"/>
                <w:szCs w:val="14"/>
                <w:color w:val="auto"/>
              </w:rPr>
            </w:pPr>
          </w:p>
        </w:tc>
      </w:tr>
      <w:tr>
        <w:trPr>
          <w:trHeight w:val="161"/>
        </w:trPr>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Exhibit</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jc w:val="center"/>
              <w:ind w:left="64"/>
              <w:spacing w:after="0"/>
              <w:rPr>
                <w:sz w:val="20"/>
                <w:szCs w:val="20"/>
                <w:color w:val="auto"/>
              </w:rPr>
            </w:pPr>
            <w:r>
              <w:rPr>
                <w:rFonts w:ascii="Arial" w:cs="Arial" w:eastAsia="Arial" w:hAnsi="Arial"/>
                <w:sz w:val="12"/>
                <w:szCs w:val="12"/>
                <w:b w:val="1"/>
                <w:bCs w:val="1"/>
                <w:color w:val="auto"/>
                <w:w w:val="99"/>
              </w:rPr>
              <w:t>Filed</w:t>
            </w:r>
          </w:p>
        </w:tc>
        <w:tc>
          <w:tcPr>
            <w:tcW w:w="1380" w:type="dxa"/>
            <w:vAlign w:val="bottom"/>
          </w:tcPr>
          <w:p>
            <w:pPr>
              <w:spacing w:after="0"/>
              <w:rPr>
                <w:sz w:val="14"/>
                <w:szCs w:val="14"/>
                <w:color w:val="auto"/>
              </w:rPr>
            </w:pPr>
          </w:p>
        </w:tc>
        <w:tc>
          <w:tcPr>
            <w:tcW w:w="1520" w:type="dxa"/>
            <w:vAlign w:val="bottom"/>
          </w:tcPr>
          <w:p>
            <w:pPr>
              <w:jc w:val="right"/>
              <w:ind w:right="333"/>
              <w:spacing w:after="0"/>
              <w:rPr>
                <w:sz w:val="20"/>
                <w:szCs w:val="20"/>
                <w:color w:val="auto"/>
              </w:rPr>
            </w:pPr>
            <w:r>
              <w:rPr>
                <w:rFonts w:ascii="Arial" w:cs="Arial" w:eastAsia="Arial" w:hAnsi="Arial"/>
                <w:sz w:val="12"/>
                <w:szCs w:val="12"/>
                <w:b w:val="1"/>
                <w:bCs w:val="1"/>
                <w:color w:val="auto"/>
              </w:rPr>
              <w:t>Period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Number</w:t>
            </w:r>
          </w:p>
        </w:tc>
        <w:tc>
          <w:tcPr>
            <w:tcW w:w="3560" w:type="dxa"/>
            <w:vAlign w:val="bottom"/>
            <w:tcBorders>
              <w:bottom w:val="single" w:sz="8" w:color="auto"/>
            </w:tcBorders>
            <w:gridSpan w:val="13"/>
          </w:tcPr>
          <w:p>
            <w:pPr>
              <w:ind w:left="220"/>
              <w:spacing w:after="0"/>
              <w:rPr>
                <w:sz w:val="20"/>
                <w:szCs w:val="20"/>
                <w:color w:val="auto"/>
              </w:rPr>
            </w:pPr>
            <w:r>
              <w:rPr>
                <w:rFonts w:ascii="Arial" w:cs="Arial" w:eastAsia="Arial" w:hAnsi="Arial"/>
                <w:sz w:val="12"/>
                <w:szCs w:val="12"/>
                <w:b w:val="1"/>
                <w:bCs w:val="1"/>
                <w:color w:val="auto"/>
              </w:rPr>
              <w:t>Exhibit Description</w:t>
            </w:r>
          </w:p>
        </w:tc>
        <w:tc>
          <w:tcPr>
            <w:tcW w:w="900" w:type="dxa"/>
            <w:vAlign w:val="bottom"/>
            <w:tcBorders>
              <w:bottom w:val="single" w:sz="8" w:color="auto"/>
            </w:tcBorders>
          </w:tcPr>
          <w:p>
            <w:pPr>
              <w:jc w:val="center"/>
              <w:ind w:left="64"/>
              <w:spacing w:after="0"/>
              <w:rPr>
                <w:sz w:val="20"/>
                <w:szCs w:val="20"/>
                <w:color w:val="auto"/>
              </w:rPr>
            </w:pPr>
            <w:r>
              <w:rPr>
                <w:rFonts w:ascii="Arial" w:cs="Arial" w:eastAsia="Arial" w:hAnsi="Arial"/>
                <w:sz w:val="12"/>
                <w:szCs w:val="12"/>
                <w:b w:val="1"/>
                <w:bCs w:val="1"/>
                <w:color w:val="auto"/>
              </w:rPr>
              <w:t>Herewith</w:t>
            </w:r>
          </w:p>
        </w:tc>
        <w:tc>
          <w:tcPr>
            <w:tcW w:w="1380" w:type="dxa"/>
            <w:vAlign w:val="bottom"/>
            <w:tcBorders>
              <w:bottom w:val="single" w:sz="8" w:color="auto"/>
            </w:tcBorders>
          </w:tcPr>
          <w:p>
            <w:pPr>
              <w:ind w:left="760"/>
              <w:spacing w:after="0"/>
              <w:rPr>
                <w:sz w:val="20"/>
                <w:szCs w:val="20"/>
                <w:color w:val="auto"/>
              </w:rPr>
            </w:pPr>
            <w:r>
              <w:rPr>
                <w:rFonts w:ascii="Arial" w:cs="Arial" w:eastAsia="Arial" w:hAnsi="Arial"/>
                <w:sz w:val="12"/>
                <w:szCs w:val="12"/>
                <w:b w:val="1"/>
                <w:bCs w:val="1"/>
                <w:color w:val="auto"/>
              </w:rPr>
              <w:t>Form</w:t>
            </w:r>
          </w:p>
        </w:tc>
        <w:tc>
          <w:tcPr>
            <w:tcW w:w="1520" w:type="dxa"/>
            <w:vAlign w:val="bottom"/>
            <w:tcBorders>
              <w:bottom w:val="single" w:sz="8" w:color="auto"/>
            </w:tcBorders>
          </w:tcPr>
          <w:p>
            <w:pPr>
              <w:jc w:val="right"/>
              <w:ind w:right="333"/>
              <w:spacing w:after="0"/>
              <w:rPr>
                <w:sz w:val="20"/>
                <w:szCs w:val="20"/>
                <w:color w:val="auto"/>
              </w:rPr>
            </w:pPr>
            <w:r>
              <w:rPr>
                <w:rFonts w:ascii="Arial" w:cs="Arial" w:eastAsia="Arial" w:hAnsi="Arial"/>
                <w:sz w:val="12"/>
                <w:szCs w:val="12"/>
                <w:b w:val="1"/>
                <w:bCs w:val="1"/>
                <w:color w:val="auto"/>
              </w:rPr>
              <w:t>Ending</w:t>
            </w: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Exhibit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Filing Date</w:t>
            </w:r>
          </w:p>
        </w:tc>
      </w:tr>
      <w:tr>
        <w:trPr>
          <w:trHeight w:val="234"/>
        </w:trPr>
        <w:tc>
          <w:tcPr>
            <w:tcW w:w="860" w:type="dxa"/>
            <w:vAlign w:val="bottom"/>
          </w:tcPr>
          <w:p>
            <w:pPr>
              <w:ind w:left="20"/>
              <w:spacing w:after="0"/>
              <w:rPr>
                <w:sz w:val="20"/>
                <w:szCs w:val="20"/>
                <w:color w:val="auto"/>
              </w:rPr>
            </w:pPr>
            <w:r>
              <w:rPr>
                <w:rFonts w:ascii="Arial" w:cs="Arial" w:eastAsia="Arial" w:hAnsi="Arial"/>
                <w:sz w:val="16"/>
                <w:szCs w:val="16"/>
                <w:color w:val="auto"/>
              </w:rPr>
              <w:t>10.24*</w:t>
            </w:r>
          </w:p>
        </w:tc>
        <w:tc>
          <w:tcPr>
            <w:tcW w:w="220" w:type="dxa"/>
            <w:vAlign w:val="bottom"/>
          </w:tcPr>
          <w:p>
            <w:pPr>
              <w:spacing w:after="0"/>
              <w:rPr>
                <w:sz w:val="20"/>
                <w:szCs w:val="20"/>
                <w:color w:val="auto"/>
              </w:rPr>
            </w:pPr>
          </w:p>
        </w:tc>
        <w:tc>
          <w:tcPr>
            <w:tcW w:w="2680" w:type="dxa"/>
            <w:vAlign w:val="bottom"/>
            <w:tcBorders>
              <w:bottom w:val="single" w:sz="8" w:color="0000FF"/>
            </w:tcBorders>
            <w:gridSpan w:val="5"/>
          </w:tcPr>
          <w:p>
            <w:pPr>
              <w:spacing w:after="0"/>
              <w:rPr>
                <w:rFonts w:ascii="Arial" w:cs="Arial" w:eastAsia="Arial" w:hAnsi="Arial"/>
                <w:sz w:val="16"/>
                <w:szCs w:val="16"/>
                <w:color w:val="0000FF"/>
                <w:w w:val="99"/>
              </w:rPr>
            </w:pPr>
            <w:hyperlink r:id="rId374">
              <w:r>
                <w:rPr>
                  <w:rFonts w:ascii="Arial" w:cs="Arial" w:eastAsia="Arial" w:hAnsi="Arial"/>
                  <w:sz w:val="16"/>
                  <w:szCs w:val="16"/>
                  <w:color w:val="0000FF"/>
                  <w:w w:val="99"/>
                </w:rPr>
                <w:t>Long-Term Performance Stock Award</w:t>
              </w:r>
            </w:hyperlink>
          </w:p>
        </w:tc>
        <w:tc>
          <w:tcPr>
            <w:tcW w:w="660" w:type="dxa"/>
            <w:vAlign w:val="bottom"/>
            <w:gridSpan w:val="7"/>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tcPr>
          <w:p>
            <w:pPr>
              <w:ind w:left="700"/>
              <w:spacing w:after="0"/>
              <w:rPr>
                <w:sz w:val="20"/>
                <w:szCs w:val="20"/>
                <w:color w:val="auto"/>
              </w:rPr>
            </w:pPr>
            <w:r>
              <w:rPr>
                <w:rFonts w:ascii="Arial" w:cs="Arial" w:eastAsia="Arial" w:hAnsi="Arial"/>
                <w:sz w:val="16"/>
                <w:szCs w:val="16"/>
                <w:color w:val="auto"/>
              </w:rPr>
              <w:t>10-Q</w:t>
            </w:r>
          </w:p>
        </w:tc>
        <w:tc>
          <w:tcPr>
            <w:tcW w:w="1520" w:type="dxa"/>
            <w:vAlign w:val="bottom"/>
          </w:tcPr>
          <w:p>
            <w:pPr>
              <w:jc w:val="right"/>
              <w:ind w:right="353"/>
              <w:spacing w:after="0"/>
              <w:rPr>
                <w:sz w:val="20"/>
                <w:szCs w:val="20"/>
                <w:color w:val="auto"/>
              </w:rPr>
            </w:pPr>
            <w:r>
              <w:rPr>
                <w:rFonts w:ascii="Arial" w:cs="Arial" w:eastAsia="Arial" w:hAnsi="Arial"/>
                <w:sz w:val="16"/>
                <w:szCs w:val="16"/>
                <w:color w:val="auto"/>
              </w:rPr>
              <w:t>12/31/2014</w:t>
            </w:r>
          </w:p>
        </w:tc>
        <w:tc>
          <w:tcPr>
            <w:tcW w:w="1140" w:type="dxa"/>
            <w:vAlign w:val="bottom"/>
          </w:tcPr>
          <w:p>
            <w:pPr>
              <w:ind w:left="420"/>
              <w:spacing w:after="0"/>
              <w:rPr>
                <w:sz w:val="20"/>
                <w:szCs w:val="20"/>
                <w:color w:val="auto"/>
              </w:rPr>
            </w:pPr>
            <w:r>
              <w:rPr>
                <w:rFonts w:ascii="Arial" w:cs="Arial" w:eastAsia="Arial" w:hAnsi="Arial"/>
                <w:sz w:val="16"/>
                <w:szCs w:val="16"/>
                <w:color w:val="auto"/>
              </w:rPr>
              <w:t>10.24</w:t>
            </w:r>
          </w:p>
        </w:tc>
        <w:tc>
          <w:tcPr>
            <w:tcW w:w="1120" w:type="dxa"/>
            <w:vAlign w:val="bottom"/>
          </w:tcPr>
          <w:p>
            <w:pPr>
              <w:jc w:val="right"/>
              <w:spacing w:after="0"/>
              <w:rPr>
                <w:sz w:val="20"/>
                <w:szCs w:val="20"/>
                <w:color w:val="auto"/>
              </w:rPr>
            </w:pPr>
            <w:r>
              <w:rPr>
                <w:rFonts w:ascii="Arial" w:cs="Arial" w:eastAsia="Arial" w:hAnsi="Arial"/>
                <w:sz w:val="16"/>
                <w:szCs w:val="16"/>
                <w:color w:val="auto"/>
              </w:rPr>
              <w:t>1/26/2015</w:t>
            </w: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80" w:type="dxa"/>
            <w:vAlign w:val="bottom"/>
            <w:tcBorders>
              <w:bottom w:val="single" w:sz="8" w:color="0000FF"/>
            </w:tcBorders>
            <w:gridSpan w:val="10"/>
          </w:tcPr>
          <w:p>
            <w:pPr>
              <w:spacing w:after="0" w:line="160" w:lineRule="exact"/>
              <w:rPr>
                <w:rFonts w:ascii="Arial" w:cs="Arial" w:eastAsia="Arial" w:hAnsi="Arial"/>
                <w:sz w:val="16"/>
                <w:szCs w:val="16"/>
                <w:color w:val="0000FF"/>
                <w:w w:val="98"/>
              </w:rPr>
            </w:pPr>
            <w:hyperlink r:id="rId374">
              <w:r>
                <w:rPr>
                  <w:rFonts w:ascii="Arial" w:cs="Arial" w:eastAsia="Arial" w:hAnsi="Arial"/>
                  <w:sz w:val="16"/>
                  <w:szCs w:val="16"/>
                  <w:color w:val="0000FF"/>
                  <w:w w:val="98"/>
                </w:rPr>
                <w:t>Agreement between Microsoft Corporation and</w:t>
              </w:r>
            </w:hyperlink>
          </w:p>
        </w:tc>
        <w:tc>
          <w:tcPr>
            <w:tcW w:w="6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Borders>
              <w:bottom w:val="single" w:sz="8" w:color="0000FF"/>
            </w:tcBorders>
            <w:gridSpan w:val="2"/>
          </w:tcPr>
          <w:p>
            <w:pPr>
              <w:spacing w:after="0" w:line="160" w:lineRule="exact"/>
              <w:rPr>
                <w:rFonts w:ascii="Arial" w:cs="Arial" w:eastAsia="Arial" w:hAnsi="Arial"/>
                <w:sz w:val="16"/>
                <w:szCs w:val="16"/>
                <w:color w:val="0000FF"/>
                <w:w w:val="96"/>
              </w:rPr>
            </w:pPr>
            <w:hyperlink r:id="rId374">
              <w:r>
                <w:rPr>
                  <w:rFonts w:ascii="Arial" w:cs="Arial" w:eastAsia="Arial" w:hAnsi="Arial"/>
                  <w:sz w:val="16"/>
                  <w:szCs w:val="16"/>
                  <w:color w:val="0000FF"/>
                  <w:w w:val="96"/>
                </w:rPr>
                <w:t>Satya Nadella</w:t>
              </w:r>
            </w:hyperlink>
          </w:p>
        </w:tc>
        <w:tc>
          <w:tcPr>
            <w:tcW w:w="2360" w:type="dxa"/>
            <w:vAlign w:val="bottom"/>
            <w:gridSpan w:val="10"/>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10.25*</w:t>
            </w:r>
          </w:p>
        </w:tc>
        <w:tc>
          <w:tcPr>
            <w:tcW w:w="220" w:type="dxa"/>
            <w:vAlign w:val="bottom"/>
          </w:tcPr>
          <w:p>
            <w:pPr>
              <w:spacing w:after="0"/>
              <w:rPr>
                <w:sz w:val="22"/>
                <w:szCs w:val="22"/>
                <w:color w:val="auto"/>
              </w:rPr>
            </w:pPr>
          </w:p>
        </w:tc>
        <w:tc>
          <w:tcPr>
            <w:tcW w:w="3240" w:type="dxa"/>
            <w:vAlign w:val="bottom"/>
            <w:tcBorders>
              <w:bottom w:val="single" w:sz="8" w:color="0000FF"/>
            </w:tcBorders>
            <w:gridSpan w:val="9"/>
          </w:tcPr>
          <w:p>
            <w:pPr>
              <w:spacing w:after="0"/>
              <w:rPr>
                <w:rFonts w:ascii="Arial" w:cs="Arial" w:eastAsia="Arial" w:hAnsi="Arial"/>
                <w:sz w:val="16"/>
                <w:szCs w:val="16"/>
                <w:color w:val="0000FF"/>
                <w:w w:val="98"/>
              </w:rPr>
            </w:pPr>
            <w:hyperlink r:id="rId375">
              <w:r>
                <w:rPr>
                  <w:rFonts w:ascii="Arial" w:cs="Arial" w:eastAsia="Arial" w:hAnsi="Arial"/>
                  <w:sz w:val="16"/>
                  <w:szCs w:val="16"/>
                  <w:color w:val="0000FF"/>
                  <w:w w:val="98"/>
                </w:rPr>
                <w:t>Offer Letter, dated October 25, 2020, between</w:t>
              </w:r>
            </w:hyperlink>
          </w:p>
        </w:tc>
        <w:tc>
          <w:tcPr>
            <w:tcW w:w="100" w:type="dxa"/>
            <w:vAlign w:val="bottom"/>
            <w:gridSpan w:val="3"/>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700"/>
              <w:spacing w:after="0"/>
              <w:rPr>
                <w:sz w:val="20"/>
                <w:szCs w:val="20"/>
                <w:color w:val="auto"/>
              </w:rPr>
            </w:pPr>
            <w:r>
              <w:rPr>
                <w:rFonts w:ascii="Arial" w:cs="Arial" w:eastAsia="Arial" w:hAnsi="Arial"/>
                <w:sz w:val="16"/>
                <w:szCs w:val="16"/>
                <w:color w:val="auto"/>
              </w:rPr>
              <w:t>10-Q</w:t>
            </w:r>
          </w:p>
        </w:tc>
        <w:tc>
          <w:tcPr>
            <w:tcW w:w="1520" w:type="dxa"/>
            <w:vAlign w:val="bottom"/>
          </w:tcPr>
          <w:p>
            <w:pPr>
              <w:jc w:val="right"/>
              <w:ind w:right="353"/>
              <w:spacing w:after="0"/>
              <w:rPr>
                <w:sz w:val="20"/>
                <w:szCs w:val="20"/>
                <w:color w:val="auto"/>
              </w:rPr>
            </w:pPr>
            <w:r>
              <w:rPr>
                <w:rFonts w:ascii="Arial" w:cs="Arial" w:eastAsia="Arial" w:hAnsi="Arial"/>
                <w:sz w:val="16"/>
                <w:szCs w:val="16"/>
                <w:color w:val="auto"/>
              </w:rPr>
              <w:t>9/30/2021</w:t>
            </w:r>
          </w:p>
        </w:tc>
        <w:tc>
          <w:tcPr>
            <w:tcW w:w="1140" w:type="dxa"/>
            <w:vAlign w:val="bottom"/>
          </w:tcPr>
          <w:p>
            <w:pPr>
              <w:ind w:left="420"/>
              <w:spacing w:after="0"/>
              <w:rPr>
                <w:sz w:val="20"/>
                <w:szCs w:val="20"/>
                <w:color w:val="auto"/>
              </w:rPr>
            </w:pPr>
            <w:r>
              <w:rPr>
                <w:rFonts w:ascii="Arial" w:cs="Arial" w:eastAsia="Arial" w:hAnsi="Arial"/>
                <w:sz w:val="16"/>
                <w:szCs w:val="16"/>
                <w:color w:val="auto"/>
              </w:rPr>
              <w:t>10.27</w:t>
            </w:r>
          </w:p>
        </w:tc>
        <w:tc>
          <w:tcPr>
            <w:tcW w:w="1120" w:type="dxa"/>
            <w:vAlign w:val="bottom"/>
          </w:tcPr>
          <w:p>
            <w:pPr>
              <w:jc w:val="right"/>
              <w:spacing w:after="0"/>
              <w:rPr>
                <w:sz w:val="20"/>
                <w:szCs w:val="20"/>
                <w:color w:val="auto"/>
              </w:rPr>
            </w:pPr>
            <w:r>
              <w:rPr>
                <w:rFonts w:ascii="Arial" w:cs="Arial" w:eastAsia="Arial" w:hAnsi="Arial"/>
                <w:sz w:val="16"/>
                <w:szCs w:val="16"/>
                <w:color w:val="auto"/>
              </w:rPr>
              <w:t>10/26/2021</w:t>
            </w: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40" w:type="dxa"/>
            <w:vAlign w:val="bottom"/>
            <w:gridSpan w:val="12"/>
          </w:tcPr>
          <w:p>
            <w:pPr>
              <w:spacing w:after="0" w:line="160" w:lineRule="exact"/>
              <w:rPr>
                <w:rFonts w:ascii="Arial" w:cs="Arial" w:eastAsia="Arial" w:hAnsi="Arial"/>
                <w:sz w:val="16"/>
                <w:szCs w:val="16"/>
                <w:color w:val="0000FF"/>
              </w:rPr>
            </w:pPr>
            <w:hyperlink r:id="rId375">
              <w:r>
                <w:rPr>
                  <w:rFonts w:ascii="Arial" w:cs="Arial" w:eastAsia="Arial" w:hAnsi="Arial"/>
                  <w:sz w:val="16"/>
                  <w:szCs w:val="16"/>
                  <w:color w:val="0000FF"/>
                </w:rPr>
                <w:t>Microsoft Corporation and Christopher Young</w:t>
              </w:r>
            </w:hyperlink>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22"/>
                <w:szCs w:val="22"/>
                <w:color w:val="auto"/>
              </w:rPr>
            </w:pPr>
          </w:p>
        </w:tc>
        <w:tc>
          <w:tcPr>
            <w:tcW w:w="3140" w:type="dxa"/>
            <w:vAlign w:val="bottom"/>
            <w:tcBorders>
              <w:top w:val="single" w:sz="8" w:color="0000FF"/>
            </w:tcBorders>
            <w:gridSpan w:val="8"/>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Subsidiaries of Registrant</w:t>
              </w:r>
            </w:hyperlink>
          </w:p>
        </w:tc>
        <w:tc>
          <w:tcPr>
            <w:tcW w:w="200" w:type="dxa"/>
            <w:vAlign w:val="bottom"/>
            <w:gridSpan w:val="4"/>
          </w:tcPr>
          <w:p>
            <w:pPr>
              <w:spacing w:after="0"/>
              <w:rPr>
                <w:sz w:val="22"/>
                <w:szCs w:val="22"/>
                <w:color w:val="auto"/>
              </w:rPr>
            </w:pP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2"/>
                <w:szCs w:val="22"/>
                <w:color w:val="auto"/>
              </w:rPr>
            </w:pPr>
          </w:p>
        </w:tc>
        <w:tc>
          <w:tcPr>
            <w:tcW w:w="2980" w:type="dxa"/>
            <w:vAlign w:val="bottom"/>
            <w:tcBorders>
              <w:bottom w:val="single" w:sz="8" w:color="0000FF"/>
            </w:tcBorders>
            <w:gridSpan w:val="6"/>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Consent of Independent Registered Public</w:t>
              </w:r>
            </w:hyperlink>
          </w:p>
        </w:tc>
        <w:tc>
          <w:tcPr>
            <w:tcW w:w="360" w:type="dxa"/>
            <w:vAlign w:val="bottom"/>
            <w:gridSpan w:val="6"/>
          </w:tcPr>
          <w:p>
            <w:pPr>
              <w:spacing w:after="0"/>
              <w:rPr>
                <w:sz w:val="22"/>
                <w:szCs w:val="22"/>
                <w:color w:val="auto"/>
              </w:rPr>
            </w:pP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Borders>
              <w:bottom w:val="single" w:sz="8" w:color="0000FF"/>
            </w:tcBorders>
            <w:gridSpan w:val="3"/>
          </w:tcPr>
          <w:p>
            <w:pPr>
              <w:spacing w:after="0" w:line="160" w:lineRule="exact"/>
              <w:rPr>
                <w:rFonts w:ascii="Arial" w:cs="Arial" w:eastAsia="Arial" w:hAnsi="Arial"/>
                <w:sz w:val="16"/>
                <w:szCs w:val="16"/>
                <w:color w:val="0000FF"/>
                <w:w w:val="96"/>
              </w:rPr>
            </w:pPr>
            <w:hyperlink w:anchor="page1">
              <w:r>
                <w:rPr>
                  <w:rFonts w:ascii="Arial" w:cs="Arial" w:eastAsia="Arial" w:hAnsi="Arial"/>
                  <w:sz w:val="16"/>
                  <w:szCs w:val="16"/>
                  <w:color w:val="0000FF"/>
                  <w:w w:val="96"/>
                </w:rPr>
                <w:t>Accounting Firm</w:t>
              </w:r>
            </w:hyperlink>
          </w:p>
        </w:tc>
        <w:tc>
          <w:tcPr>
            <w:tcW w:w="2200" w:type="dxa"/>
            <w:vAlign w:val="bottom"/>
            <w:gridSpan w:val="9"/>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2"/>
                <w:szCs w:val="22"/>
                <w:color w:val="auto"/>
              </w:rPr>
            </w:pPr>
          </w:p>
        </w:tc>
        <w:tc>
          <w:tcPr>
            <w:tcW w:w="3340" w:type="dxa"/>
            <w:vAlign w:val="bottom"/>
            <w:tcBorders>
              <w:bottom w:val="single" w:sz="8" w:color="0000FF"/>
            </w:tcBorders>
            <w:gridSpan w:val="12"/>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Chief Executive Officer Pursuant</w:t>
              </w:r>
            </w:hyperlink>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to Section 302 of the Sarbanes-Oxley Act of</w:t>
              </w:r>
            </w:hyperlink>
          </w:p>
        </w:tc>
        <w:tc>
          <w:tcPr>
            <w:tcW w:w="24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w:t>
              </w:r>
            </w:hyperlink>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2"/>
                <w:szCs w:val="22"/>
                <w:color w:val="auto"/>
              </w:rPr>
            </w:pPr>
          </w:p>
        </w:tc>
        <w:tc>
          <w:tcPr>
            <w:tcW w:w="3300" w:type="dxa"/>
            <w:vAlign w:val="bottom"/>
            <w:tcBorders>
              <w:bottom w:val="single" w:sz="8" w:color="0000FF"/>
            </w:tcBorders>
            <w:gridSpan w:val="11"/>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Chief Financial Officer Pursuant</w:t>
              </w:r>
            </w:hyperlink>
          </w:p>
        </w:tc>
        <w:tc>
          <w:tcPr>
            <w:tcW w:w="40" w:type="dxa"/>
            <w:vAlign w:val="bottom"/>
          </w:tcPr>
          <w:p>
            <w:pPr>
              <w:spacing w:after="0"/>
              <w:rPr>
                <w:sz w:val="22"/>
                <w:szCs w:val="22"/>
                <w:color w:val="auto"/>
              </w:rPr>
            </w:pP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to Section 302 of the Sarbanes-Oxley Act of</w:t>
              </w:r>
            </w:hyperlink>
          </w:p>
        </w:tc>
        <w:tc>
          <w:tcPr>
            <w:tcW w:w="24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w:t>
              </w:r>
            </w:hyperlink>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22"/>
                <w:szCs w:val="22"/>
                <w:color w:val="auto"/>
              </w:rPr>
            </w:pPr>
          </w:p>
        </w:tc>
        <w:tc>
          <w:tcPr>
            <w:tcW w:w="3340" w:type="dxa"/>
            <w:vAlign w:val="bottom"/>
            <w:tcBorders>
              <w:bottom w:val="single" w:sz="8" w:color="0000FF"/>
            </w:tcBorders>
            <w:gridSpan w:val="12"/>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Chief Executive Officer Pursuant</w:t>
              </w:r>
            </w:hyperlink>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to Section 906 of the Sarbanes-Oxley Act of</w:t>
              </w:r>
            </w:hyperlink>
          </w:p>
        </w:tc>
        <w:tc>
          <w:tcPr>
            <w:tcW w:w="24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w:t>
              </w:r>
            </w:hyperlink>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56"/>
        </w:trPr>
        <w:tc>
          <w:tcPr>
            <w:tcW w:w="860" w:type="dxa"/>
            <w:vAlign w:val="bottom"/>
          </w:tcPr>
          <w:p>
            <w:pPr>
              <w:ind w:left="20"/>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2"/>
                <w:szCs w:val="22"/>
                <w:color w:val="auto"/>
              </w:rPr>
            </w:pPr>
          </w:p>
        </w:tc>
        <w:tc>
          <w:tcPr>
            <w:tcW w:w="3300" w:type="dxa"/>
            <w:vAlign w:val="bottom"/>
            <w:tcBorders>
              <w:bottom w:val="single" w:sz="8" w:color="0000FF"/>
            </w:tcBorders>
            <w:gridSpan w:val="11"/>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Chief Financial Officer Pursuant</w:t>
              </w:r>
            </w:hyperlink>
          </w:p>
        </w:tc>
        <w:tc>
          <w:tcPr>
            <w:tcW w:w="40" w:type="dxa"/>
            <w:vAlign w:val="bottom"/>
          </w:tcPr>
          <w:p>
            <w:pPr>
              <w:spacing w:after="0"/>
              <w:rPr>
                <w:sz w:val="22"/>
                <w:szCs w:val="22"/>
                <w:color w:val="auto"/>
              </w:rPr>
            </w:pP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00" w:type="dxa"/>
            <w:vAlign w:val="bottom"/>
            <w:tcBorders>
              <w:bottom w:val="single" w:sz="8" w:color="0000FF"/>
            </w:tcBorders>
            <w:gridSpan w:val="7"/>
          </w:tcPr>
          <w:p>
            <w:pPr>
              <w:spacing w:after="0" w:line="160" w:lineRule="exact"/>
              <w:rPr>
                <w:rFonts w:ascii="Arial" w:cs="Arial" w:eastAsia="Arial" w:hAnsi="Arial"/>
                <w:sz w:val="16"/>
                <w:szCs w:val="16"/>
                <w:color w:val="0000FF"/>
                <w:w w:val="98"/>
              </w:rPr>
            </w:pPr>
            <w:hyperlink w:anchor="page1">
              <w:r>
                <w:rPr>
                  <w:rFonts w:ascii="Arial" w:cs="Arial" w:eastAsia="Arial" w:hAnsi="Arial"/>
                  <w:sz w:val="16"/>
                  <w:szCs w:val="16"/>
                  <w:color w:val="0000FF"/>
                  <w:w w:val="98"/>
                </w:rPr>
                <w:t>to Section 906 of the Sarbanes-Oxley Act of</w:t>
              </w:r>
            </w:hyperlink>
          </w:p>
        </w:tc>
        <w:tc>
          <w:tcPr>
            <w:tcW w:w="240" w:type="dxa"/>
            <w:vAlign w:val="bottom"/>
            <w:gridSpan w:val="5"/>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0"/>
        </w:trPr>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bottom w:val="single" w:sz="8" w:color="0000FF"/>
            </w:tcBorders>
          </w:tcPr>
          <w:p>
            <w:pPr>
              <w:spacing w:after="0" w:line="160" w:lineRule="exact"/>
              <w:rPr>
                <w:rFonts w:ascii="Arial" w:cs="Arial" w:eastAsia="Arial" w:hAnsi="Arial"/>
                <w:sz w:val="16"/>
                <w:szCs w:val="16"/>
                <w:color w:val="0000FF"/>
                <w:w w:val="95"/>
              </w:rPr>
            </w:pPr>
            <w:hyperlink w:anchor="page1">
              <w:r>
                <w:rPr>
                  <w:rFonts w:ascii="Arial" w:cs="Arial" w:eastAsia="Arial" w:hAnsi="Arial"/>
                  <w:sz w:val="16"/>
                  <w:szCs w:val="16"/>
                  <w:color w:val="0000FF"/>
                  <w:w w:val="95"/>
                </w:rPr>
                <w:t>2002</w:t>
              </w:r>
            </w:hyperlink>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73"/>
        </w:trPr>
        <w:tc>
          <w:tcPr>
            <w:tcW w:w="860" w:type="dxa"/>
            <w:vAlign w:val="bottom"/>
          </w:tcPr>
          <w:p>
            <w:pPr>
              <w:ind w:left="20"/>
              <w:spacing w:after="0"/>
              <w:rPr>
                <w:sz w:val="20"/>
                <w:szCs w:val="20"/>
                <w:color w:val="auto"/>
              </w:rPr>
            </w:pPr>
            <w:r>
              <w:rPr>
                <w:rFonts w:ascii="Arial" w:cs="Arial" w:eastAsia="Arial" w:hAnsi="Arial"/>
                <w:sz w:val="16"/>
                <w:szCs w:val="16"/>
                <w:color w:val="auto"/>
              </w:rPr>
              <w:t>101.INS</w:t>
            </w:r>
          </w:p>
        </w:tc>
        <w:tc>
          <w:tcPr>
            <w:tcW w:w="220" w:type="dxa"/>
            <w:vAlign w:val="bottom"/>
          </w:tcPr>
          <w:p>
            <w:pPr>
              <w:spacing w:after="0"/>
              <w:rPr>
                <w:sz w:val="23"/>
                <w:szCs w:val="23"/>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Inline XBRL Instance Document</w:t>
            </w:r>
            <w:r>
              <w:rPr>
                <w:rFonts w:ascii="Arial" w:cs="Arial" w:eastAsia="Arial" w:hAnsi="Arial"/>
                <w:sz w:val="16"/>
                <w:szCs w:val="16"/>
                <w:color w:val="212529"/>
              </w:rPr>
              <w:t>—the instance</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180"/>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12"/>
          </w:tcPr>
          <w:p>
            <w:pPr>
              <w:spacing w:after="0" w:line="180" w:lineRule="exact"/>
              <w:rPr>
                <w:sz w:val="20"/>
                <w:szCs w:val="20"/>
                <w:color w:val="auto"/>
              </w:rPr>
            </w:pPr>
            <w:r>
              <w:rPr>
                <w:rFonts w:ascii="Arial" w:cs="Arial" w:eastAsia="Arial" w:hAnsi="Arial"/>
                <w:sz w:val="16"/>
                <w:szCs w:val="16"/>
                <w:color w:val="212529"/>
              </w:rPr>
              <w:t>document does not appear in the Interactive</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40" w:type="dxa"/>
            <w:vAlign w:val="bottom"/>
            <w:gridSpan w:val="12"/>
          </w:tcPr>
          <w:p>
            <w:pPr>
              <w:spacing w:after="0" w:line="180" w:lineRule="exact"/>
              <w:rPr>
                <w:sz w:val="20"/>
                <w:szCs w:val="20"/>
                <w:color w:val="auto"/>
              </w:rPr>
            </w:pPr>
            <w:r>
              <w:rPr>
                <w:rFonts w:ascii="Arial" w:cs="Arial" w:eastAsia="Arial" w:hAnsi="Arial"/>
                <w:sz w:val="16"/>
                <w:szCs w:val="16"/>
                <w:color w:val="212529"/>
                <w:w w:val="97"/>
              </w:rPr>
              <w:t>Data File as its XBRL tags are embedded within</w:t>
            </w:r>
          </w:p>
        </w:tc>
        <w:tc>
          <w:tcPr>
            <w:tcW w:w="9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212529"/>
              </w:rPr>
              <w:t>the Inline XBRL document</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76"/>
        </w:trPr>
        <w:tc>
          <w:tcPr>
            <w:tcW w:w="860" w:type="dxa"/>
            <w:vAlign w:val="bottom"/>
          </w:tcPr>
          <w:p>
            <w:pPr>
              <w:ind w:left="20"/>
              <w:spacing w:after="0"/>
              <w:rPr>
                <w:sz w:val="20"/>
                <w:szCs w:val="20"/>
                <w:color w:val="auto"/>
              </w:rPr>
            </w:pPr>
            <w:r>
              <w:rPr>
                <w:rFonts w:ascii="Arial" w:cs="Arial" w:eastAsia="Arial" w:hAnsi="Arial"/>
                <w:sz w:val="16"/>
                <w:szCs w:val="16"/>
                <w:color w:val="auto"/>
              </w:rPr>
              <w:t>101.SCH</w:t>
            </w:r>
          </w:p>
        </w:tc>
        <w:tc>
          <w:tcPr>
            <w:tcW w:w="220" w:type="dxa"/>
            <w:vAlign w:val="bottom"/>
          </w:tcPr>
          <w:p>
            <w:pPr>
              <w:spacing w:after="0"/>
              <w:rPr>
                <w:sz w:val="24"/>
                <w:szCs w:val="24"/>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9"/>
        </w:trPr>
        <w:tc>
          <w:tcPr>
            <w:tcW w:w="860" w:type="dxa"/>
            <w:vAlign w:val="bottom"/>
          </w:tcPr>
          <w:p>
            <w:pPr>
              <w:ind w:left="20"/>
              <w:spacing w:after="0"/>
              <w:rPr>
                <w:sz w:val="20"/>
                <w:szCs w:val="20"/>
                <w:color w:val="auto"/>
              </w:rPr>
            </w:pPr>
            <w:r>
              <w:rPr>
                <w:rFonts w:ascii="Arial" w:cs="Arial" w:eastAsia="Arial" w:hAnsi="Arial"/>
                <w:sz w:val="16"/>
                <w:szCs w:val="16"/>
                <w:color w:val="auto"/>
              </w:rPr>
              <w:t>101.CAL</w:t>
            </w:r>
          </w:p>
        </w:tc>
        <w:tc>
          <w:tcPr>
            <w:tcW w:w="220" w:type="dxa"/>
            <w:vAlign w:val="bottom"/>
          </w:tcPr>
          <w:p>
            <w:pPr>
              <w:spacing w:after="0"/>
              <w:rPr>
                <w:sz w:val="22"/>
                <w:szCs w:val="22"/>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Linkbase</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860" w:type="dxa"/>
            <w:vAlign w:val="bottom"/>
          </w:tcPr>
          <w:p>
            <w:pPr>
              <w:ind w:left="20"/>
              <w:spacing w:after="0"/>
              <w:rPr>
                <w:sz w:val="20"/>
                <w:szCs w:val="20"/>
                <w:color w:val="auto"/>
              </w:rPr>
            </w:pPr>
            <w:r>
              <w:rPr>
                <w:rFonts w:ascii="Arial" w:cs="Arial" w:eastAsia="Arial" w:hAnsi="Arial"/>
                <w:sz w:val="16"/>
                <w:szCs w:val="16"/>
                <w:color w:val="auto"/>
              </w:rPr>
              <w:t>101.DEF</w:t>
            </w:r>
          </w:p>
        </w:tc>
        <w:tc>
          <w:tcPr>
            <w:tcW w:w="220" w:type="dxa"/>
            <w:vAlign w:val="bottom"/>
          </w:tcPr>
          <w:p>
            <w:pPr>
              <w:spacing w:after="0"/>
              <w:rPr>
                <w:sz w:val="22"/>
                <w:szCs w:val="22"/>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Linkbase</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860" w:type="dxa"/>
            <w:vAlign w:val="bottom"/>
          </w:tcPr>
          <w:p>
            <w:pPr>
              <w:ind w:left="20"/>
              <w:spacing w:after="0"/>
              <w:rPr>
                <w:sz w:val="20"/>
                <w:szCs w:val="20"/>
                <w:color w:val="auto"/>
              </w:rPr>
            </w:pPr>
            <w:r>
              <w:rPr>
                <w:rFonts w:ascii="Arial" w:cs="Arial" w:eastAsia="Arial" w:hAnsi="Arial"/>
                <w:sz w:val="16"/>
                <w:szCs w:val="16"/>
                <w:color w:val="auto"/>
              </w:rPr>
              <w:t>101.LAB</w:t>
            </w:r>
          </w:p>
        </w:tc>
        <w:tc>
          <w:tcPr>
            <w:tcW w:w="220" w:type="dxa"/>
            <w:vAlign w:val="bottom"/>
          </w:tcPr>
          <w:p>
            <w:pPr>
              <w:spacing w:after="0"/>
              <w:rPr>
                <w:sz w:val="22"/>
                <w:szCs w:val="22"/>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Linkbase</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860" w:type="dxa"/>
            <w:vAlign w:val="bottom"/>
          </w:tcPr>
          <w:p>
            <w:pPr>
              <w:ind w:left="20"/>
              <w:spacing w:after="0"/>
              <w:rPr>
                <w:sz w:val="20"/>
                <w:szCs w:val="20"/>
                <w:color w:val="auto"/>
              </w:rPr>
            </w:pPr>
            <w:r>
              <w:rPr>
                <w:rFonts w:ascii="Arial" w:cs="Arial" w:eastAsia="Arial" w:hAnsi="Arial"/>
                <w:sz w:val="16"/>
                <w:szCs w:val="16"/>
                <w:color w:val="auto"/>
              </w:rPr>
              <w:t>101.PRE</w:t>
            </w:r>
          </w:p>
        </w:tc>
        <w:tc>
          <w:tcPr>
            <w:tcW w:w="220" w:type="dxa"/>
            <w:vAlign w:val="bottom"/>
          </w:tcPr>
          <w:p>
            <w:pPr>
              <w:spacing w:after="0"/>
              <w:rPr>
                <w:sz w:val="22"/>
                <w:szCs w:val="22"/>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w w:val="99"/>
              </w:rPr>
              <w:t>Inline XBRL Taxonomy Extension Presentation</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Linkbase</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9"/>
        </w:trPr>
        <w:tc>
          <w:tcPr>
            <w:tcW w:w="860" w:type="dxa"/>
            <w:vAlign w:val="bottom"/>
          </w:tcPr>
          <w:p>
            <w:pPr>
              <w:ind w:left="20"/>
              <w:spacing w:after="0"/>
              <w:rPr>
                <w:sz w:val="20"/>
                <w:szCs w:val="20"/>
                <w:color w:val="auto"/>
              </w:rPr>
            </w:pPr>
            <w:r>
              <w:rPr>
                <w:rFonts w:ascii="Arial" w:cs="Arial" w:eastAsia="Arial" w:hAnsi="Arial"/>
                <w:sz w:val="16"/>
                <w:szCs w:val="16"/>
                <w:color w:val="auto"/>
              </w:rPr>
              <w:t>104</w:t>
            </w:r>
          </w:p>
        </w:tc>
        <w:tc>
          <w:tcPr>
            <w:tcW w:w="220" w:type="dxa"/>
            <w:vAlign w:val="bottom"/>
          </w:tcPr>
          <w:p>
            <w:pPr>
              <w:spacing w:after="0"/>
              <w:rPr>
                <w:sz w:val="22"/>
                <w:szCs w:val="22"/>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Cover page formatted as Inline XBRL and</w:t>
            </w:r>
          </w:p>
        </w:tc>
        <w:tc>
          <w:tcPr>
            <w:tcW w:w="900" w:type="dxa"/>
            <w:vAlign w:val="bottom"/>
          </w:tcPr>
          <w:p>
            <w:pPr>
              <w:jc w:val="center"/>
              <w:ind w:left="44"/>
              <w:spacing w:after="0"/>
              <w:rPr>
                <w:sz w:val="20"/>
                <w:szCs w:val="20"/>
                <w:color w:val="auto"/>
              </w:rPr>
            </w:pPr>
            <w:r>
              <w:rPr>
                <w:rFonts w:ascii="Arial" w:cs="Arial" w:eastAsia="Arial" w:hAnsi="Arial"/>
                <w:sz w:val="16"/>
                <w:szCs w:val="16"/>
                <w:color w:val="auto"/>
                <w:w w:val="93"/>
              </w:rPr>
              <w:t>X</w:t>
            </w:r>
          </w:p>
        </w:tc>
        <w:tc>
          <w:tcPr>
            <w:tcW w:w="13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gridSpan w:val="12"/>
          </w:tcPr>
          <w:p>
            <w:pPr>
              <w:spacing w:after="0"/>
              <w:rPr>
                <w:sz w:val="20"/>
                <w:szCs w:val="20"/>
                <w:color w:val="auto"/>
              </w:rPr>
            </w:pPr>
            <w:r>
              <w:rPr>
                <w:rFonts w:ascii="Arial" w:cs="Arial" w:eastAsia="Arial" w:hAnsi="Arial"/>
                <w:sz w:val="16"/>
                <w:szCs w:val="16"/>
                <w:color w:val="auto"/>
              </w:rPr>
              <w:t>contained in Exhibit 101</w:t>
            </w:r>
          </w:p>
        </w:tc>
        <w:tc>
          <w:tcPr>
            <w:tcW w:w="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157" w:lineRule="exact"/>
        <w:rPr>
          <w:sz w:val="20"/>
          <w:szCs w:val="20"/>
          <w:color w:val="auto"/>
        </w:rPr>
      </w:pPr>
    </w:p>
    <w:p>
      <w:pPr>
        <w:ind w:left="-2" w:right="5400" w:firstLine="2"/>
        <w:spacing w:after="0" w:line="259" w:lineRule="auto"/>
        <w:tabs>
          <w:tab w:leader="none" w:pos="106"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Indicates a management contract or compensatory plan or arrangement. </w:t>
      </w:r>
      <w:r>
        <w:rPr>
          <w:rFonts w:ascii="Arial" w:cs="Arial" w:eastAsia="Arial" w:hAnsi="Arial"/>
          <w:sz w:val="16"/>
          <w:szCs w:val="16"/>
          <w:color w:val="auto"/>
        </w:rPr>
        <w:t xml:space="preserve">** </w:t>
      </w:r>
      <w:r>
        <w:rPr>
          <w:rFonts w:ascii="Arial" w:cs="Arial" w:eastAsia="Arial" w:hAnsi="Arial"/>
          <w:sz w:val="16"/>
          <w:szCs w:val="16"/>
          <w:i w:val="1"/>
          <w:iCs w:val="1"/>
          <w:color w:val="auto"/>
        </w:rPr>
        <w:t>Furnished, not filed.</w:t>
      </w:r>
    </w:p>
    <w:p>
      <w:pPr>
        <w:spacing w:after="0" w:line="161" w:lineRule="exact"/>
        <w:rPr>
          <w:sz w:val="20"/>
          <w:szCs w:val="20"/>
          <w:color w:val="auto"/>
        </w:rPr>
      </w:pPr>
    </w:p>
    <w:p>
      <w:pPr>
        <w:jc w:val="center"/>
        <w:ind w:right="-117"/>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57150</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98"/>
          </w:cols>
          <w:pgMar w:left="642" w:top="573" w:right="760" w:bottom="1440" w:gutter="0" w:footer="0" w:header="0"/>
        </w:sectPr>
      </w:pPr>
    </w:p>
    <w:bookmarkStart w:id="107" w:name="page108"/>
    <w:bookmarkEnd w:id="107"/>
    <w:p>
      <w:pPr>
        <w:ind w:left="5060"/>
        <w:spacing w:after="0"/>
        <w:rPr>
          <w:sz w:val="20"/>
          <w:szCs w:val="20"/>
          <w:color w:val="auto"/>
        </w:rPr>
      </w:pPr>
      <w:r>
        <w:rPr>
          <w:rFonts w:ascii="Arial" w:cs="Arial" w:eastAsia="Arial" w:hAnsi="Arial"/>
          <w:sz w:val="12"/>
          <w:szCs w:val="12"/>
          <w:u w:val="single" w:color="auto"/>
          <w:color w:val="auto"/>
        </w:rPr>
        <w:t>PART IV</w:t>
      </w:r>
    </w:p>
    <w:p>
      <w:pPr>
        <w:spacing w:after="0" w:line="18"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Item 16</w:t>
      </w:r>
    </w:p>
    <w:p>
      <w:pPr>
        <w:spacing w:after="0" w:line="165" w:lineRule="exact"/>
        <w:rPr>
          <w:sz w:val="20"/>
          <w:szCs w:val="20"/>
          <w:color w:val="auto"/>
        </w:rPr>
      </w:pPr>
    </w:p>
    <w:p>
      <w:pPr>
        <w:jc w:val="right"/>
        <w:ind w:right="3060"/>
        <w:spacing w:after="0"/>
        <w:rPr>
          <w:sz w:val="20"/>
          <w:szCs w:val="20"/>
          <w:color w:val="auto"/>
        </w:rPr>
      </w:pPr>
      <w:r>
        <w:rPr>
          <w:rFonts w:ascii="Arial" w:cs="Arial" w:eastAsia="Arial" w:hAnsi="Arial"/>
          <w:sz w:val="19"/>
          <w:szCs w:val="19"/>
          <w:b w:val="1"/>
          <w:bCs w:val="1"/>
          <w:color w:val="auto"/>
        </w:rPr>
        <w:t>ITEM 16. 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ind w:left="5180"/>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573" w:right="1440"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in the City of Redmond, State of Washington, on July 27, 2023.</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M</w:t>
      </w:r>
      <w:r>
        <w:rPr>
          <w:rFonts w:ascii="Arial" w:cs="Arial" w:eastAsia="Arial" w:hAnsi="Arial"/>
          <w:sz w:val="12"/>
          <w:szCs w:val="12"/>
          <w:color w:val="auto"/>
        </w:rPr>
        <w:t>ICROSOFT</w:t>
      </w:r>
      <w:r>
        <w:rPr>
          <w:rFonts w:ascii="Arial" w:cs="Arial" w:eastAsia="Arial" w:hAnsi="Arial"/>
          <w:sz w:val="16"/>
          <w:szCs w:val="16"/>
          <w:color w:val="auto"/>
        </w:rPr>
        <w:t xml:space="preserve"> C</w:t>
      </w:r>
      <w:r>
        <w:rPr>
          <w:rFonts w:ascii="Arial" w:cs="Arial" w:eastAsia="Arial" w:hAnsi="Arial"/>
          <w:sz w:val="12"/>
          <w:szCs w:val="12"/>
          <w:color w:val="auto"/>
        </w:rPr>
        <w:t>ORPORATION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w:t>
      </w:r>
      <w:r>
        <w:rPr>
          <w:rFonts w:ascii="Arial" w:cs="Arial" w:eastAsia="Arial" w:hAnsi="Arial"/>
          <w:sz w:val="12"/>
          <w:szCs w:val="12"/>
          <w:color w:val="auto"/>
        </w:rPr>
        <w:t>LICE</w:t>
      </w:r>
      <w:r>
        <w:rPr>
          <w:rFonts w:ascii="Arial" w:cs="Arial" w:eastAsia="Arial" w:hAnsi="Arial"/>
          <w:sz w:val="16"/>
          <w:szCs w:val="16"/>
          <w:color w:val="auto"/>
        </w:rPr>
        <w:t xml:space="preserve"> L. J</w:t>
      </w:r>
      <w:r>
        <w:rPr>
          <w:rFonts w:ascii="Arial" w:cs="Arial" w:eastAsia="Arial" w:hAnsi="Arial"/>
          <w:sz w:val="12"/>
          <w:szCs w:val="12"/>
          <w:color w:val="auto"/>
        </w:rPr>
        <w:t>OLLA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Alice L. Jolla</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Vice President and Chief Accounting Officer (Principal</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Accounting Officer)</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Registrant and in the capacities indicated on July 27,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2"/>
                <w:szCs w:val="12"/>
                <w:b w:val="1"/>
                <w:bCs w:val="1"/>
                <w:color w:val="auto"/>
              </w:rPr>
              <w:t>Signature</w:t>
            </w:r>
          </w:p>
        </w:tc>
        <w:tc>
          <w:tcPr>
            <w:tcW w:w="1740" w:type="dxa"/>
            <w:vAlign w:val="bottom"/>
          </w:tcPr>
          <w:p>
            <w:pPr>
              <w:spacing w:after="0"/>
              <w:rPr>
                <w:sz w:val="14"/>
                <w:szCs w:val="14"/>
                <w:color w:val="auto"/>
              </w:rPr>
            </w:pPr>
          </w:p>
        </w:tc>
        <w:tc>
          <w:tcPr>
            <w:tcW w:w="5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 S</w:t>
            </w:r>
            <w:r>
              <w:rPr>
                <w:rFonts w:ascii="Arial" w:cs="Arial" w:eastAsia="Arial" w:hAnsi="Arial"/>
                <w:sz w:val="12"/>
                <w:szCs w:val="12"/>
                <w:color w:val="auto"/>
              </w:rPr>
              <w:t>ATYA</w:t>
            </w:r>
            <w:r>
              <w:rPr>
                <w:rFonts w:ascii="Arial" w:cs="Arial" w:eastAsia="Arial" w:hAnsi="Arial"/>
                <w:sz w:val="16"/>
                <w:szCs w:val="16"/>
                <w:color w:val="auto"/>
              </w:rPr>
              <w:t xml:space="preserve"> N</w:t>
            </w:r>
            <w:r>
              <w:rPr>
                <w:rFonts w:ascii="Arial" w:cs="Arial" w:eastAsia="Arial" w:hAnsi="Arial"/>
                <w:sz w:val="12"/>
                <w:szCs w:val="12"/>
                <w:color w:val="auto"/>
              </w:rPr>
              <w:t>ADELLA</w:t>
            </w:r>
          </w:p>
        </w:tc>
        <w:tc>
          <w:tcPr>
            <w:tcW w:w="174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Chairman and Chief Executive Officer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380" w:type="dxa"/>
            <w:vAlign w:val="bottom"/>
            <w:vMerge w:val="restart"/>
          </w:tcPr>
          <w:p>
            <w:pPr>
              <w:ind w:left="120"/>
              <w:spacing w:after="0"/>
              <w:rPr>
                <w:sz w:val="20"/>
                <w:szCs w:val="20"/>
                <w:color w:val="auto"/>
              </w:rPr>
            </w:pPr>
            <w:r>
              <w:rPr>
                <w:rFonts w:ascii="Arial" w:cs="Arial" w:eastAsia="Arial" w:hAnsi="Arial"/>
                <w:sz w:val="16"/>
                <w:szCs w:val="16"/>
                <w:color w:val="auto"/>
              </w:rPr>
              <w:t>(Principal Executive Officer)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Satya Nadella</w:t>
            </w:r>
          </w:p>
        </w:tc>
        <w:tc>
          <w:tcPr>
            <w:tcW w:w="174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R</w:t>
            </w:r>
            <w:r>
              <w:rPr>
                <w:rFonts w:ascii="Arial" w:cs="Arial" w:eastAsia="Arial" w:hAnsi="Arial"/>
                <w:sz w:val="12"/>
                <w:szCs w:val="12"/>
                <w:color w:val="auto"/>
              </w:rPr>
              <w:t>EID</w:t>
            </w:r>
            <w:r>
              <w:rPr>
                <w:rFonts w:ascii="Arial" w:cs="Arial" w:eastAsia="Arial" w:hAnsi="Arial"/>
                <w:sz w:val="16"/>
                <w:szCs w:val="16"/>
                <w:color w:val="auto"/>
              </w:rPr>
              <w:t xml:space="preserve"> H</w:t>
            </w:r>
            <w:r>
              <w:rPr>
                <w:rFonts w:ascii="Arial" w:cs="Arial" w:eastAsia="Arial" w:hAnsi="Arial"/>
                <w:sz w:val="12"/>
                <w:szCs w:val="12"/>
                <w:color w:val="auto"/>
              </w:rPr>
              <w:t>OFFMAN</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Reid Hoffman</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w:t>
            </w:r>
            <w:r>
              <w:rPr>
                <w:rFonts w:ascii="Arial" w:cs="Arial" w:eastAsia="Arial" w:hAnsi="Arial"/>
                <w:sz w:val="12"/>
                <w:szCs w:val="12"/>
                <w:color w:val="auto"/>
              </w:rPr>
              <w:t>UGH</w:t>
            </w:r>
            <w:r>
              <w:rPr>
                <w:rFonts w:ascii="Arial" w:cs="Arial" w:eastAsia="Arial" w:hAnsi="Arial"/>
                <w:sz w:val="16"/>
                <w:szCs w:val="16"/>
                <w:color w:val="auto"/>
              </w:rPr>
              <w:t xml:space="preserve"> F. J</w:t>
            </w:r>
            <w:r>
              <w:rPr>
                <w:rFonts w:ascii="Arial" w:cs="Arial" w:eastAsia="Arial" w:hAnsi="Arial"/>
                <w:sz w:val="12"/>
                <w:szCs w:val="12"/>
                <w:color w:val="auto"/>
              </w:rPr>
              <w:t>OHNSTON</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Hugh F. Johnston</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w:t>
            </w:r>
            <w:r>
              <w:rPr>
                <w:rFonts w:ascii="Arial" w:cs="Arial" w:eastAsia="Arial" w:hAnsi="Arial"/>
                <w:sz w:val="12"/>
                <w:szCs w:val="12"/>
                <w:color w:val="auto"/>
              </w:rPr>
              <w:t>ERI</w:t>
            </w:r>
            <w:r>
              <w:rPr>
                <w:rFonts w:ascii="Arial" w:cs="Arial" w:eastAsia="Arial" w:hAnsi="Arial"/>
                <w:sz w:val="16"/>
                <w:szCs w:val="16"/>
                <w:color w:val="auto"/>
              </w:rPr>
              <w:t xml:space="preserve"> L. L</w:t>
            </w:r>
            <w:r>
              <w:rPr>
                <w:rFonts w:ascii="Arial" w:cs="Arial" w:eastAsia="Arial" w:hAnsi="Arial"/>
                <w:sz w:val="12"/>
                <w:szCs w:val="12"/>
                <w:color w:val="auto"/>
              </w:rPr>
              <w:t>IST</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Teri L. List</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w:t>
            </w:r>
            <w:r>
              <w:rPr>
                <w:rFonts w:ascii="Arial" w:cs="Arial" w:eastAsia="Arial" w:hAnsi="Arial"/>
                <w:sz w:val="12"/>
                <w:szCs w:val="12"/>
                <w:color w:val="auto"/>
              </w:rPr>
              <w:t>ANDRA</w:t>
            </w:r>
            <w:r>
              <w:rPr>
                <w:rFonts w:ascii="Arial" w:cs="Arial" w:eastAsia="Arial" w:hAnsi="Arial"/>
                <w:sz w:val="16"/>
                <w:szCs w:val="16"/>
                <w:color w:val="auto"/>
              </w:rPr>
              <w:t xml:space="preserve"> E. P</w:t>
            </w:r>
            <w:r>
              <w:rPr>
                <w:rFonts w:ascii="Arial" w:cs="Arial" w:eastAsia="Arial" w:hAnsi="Arial"/>
                <w:sz w:val="12"/>
                <w:szCs w:val="12"/>
                <w:color w:val="auto"/>
              </w:rPr>
              <w:t>ETERSON</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Lead Independent 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Sandra E. Peterson</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w:t>
            </w:r>
            <w:r>
              <w:rPr>
                <w:rFonts w:ascii="Arial" w:cs="Arial" w:eastAsia="Arial" w:hAnsi="Arial"/>
                <w:sz w:val="12"/>
                <w:szCs w:val="12"/>
                <w:color w:val="auto"/>
              </w:rPr>
              <w:t>ENNY</w:t>
            </w:r>
            <w:r>
              <w:rPr>
                <w:rFonts w:ascii="Arial" w:cs="Arial" w:eastAsia="Arial" w:hAnsi="Arial"/>
                <w:sz w:val="16"/>
                <w:szCs w:val="16"/>
                <w:color w:val="auto"/>
              </w:rPr>
              <w:t xml:space="preserve"> S. P</w:t>
            </w:r>
            <w:r>
              <w:rPr>
                <w:rFonts w:ascii="Arial" w:cs="Arial" w:eastAsia="Arial" w:hAnsi="Arial"/>
                <w:sz w:val="12"/>
                <w:szCs w:val="12"/>
                <w:color w:val="auto"/>
              </w:rPr>
              <w:t>RITZKER</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Penny S. Pritzker</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 C</w:t>
            </w:r>
            <w:r>
              <w:rPr>
                <w:rFonts w:ascii="Arial" w:cs="Arial" w:eastAsia="Arial" w:hAnsi="Arial"/>
                <w:sz w:val="12"/>
                <w:szCs w:val="12"/>
                <w:color w:val="auto"/>
              </w:rPr>
              <w:t>ARLOS</w:t>
            </w:r>
            <w:r>
              <w:rPr>
                <w:rFonts w:ascii="Arial" w:cs="Arial" w:eastAsia="Arial" w:hAnsi="Arial"/>
                <w:sz w:val="16"/>
                <w:szCs w:val="16"/>
                <w:color w:val="auto"/>
              </w:rPr>
              <w:t xml:space="preserve"> A. R</w:t>
            </w:r>
            <w:r>
              <w:rPr>
                <w:rFonts w:ascii="Arial" w:cs="Arial" w:eastAsia="Arial" w:hAnsi="Arial"/>
                <w:sz w:val="12"/>
                <w:szCs w:val="12"/>
                <w:color w:val="auto"/>
              </w:rPr>
              <w:t>ODRIGUEZ</w:t>
            </w:r>
          </w:p>
        </w:tc>
        <w:tc>
          <w:tcPr>
            <w:tcW w:w="174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Carlos A. Rodriguez</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C</w:t>
            </w:r>
            <w:r>
              <w:rPr>
                <w:rFonts w:ascii="Arial" w:cs="Arial" w:eastAsia="Arial" w:hAnsi="Arial"/>
                <w:sz w:val="12"/>
                <w:szCs w:val="12"/>
                <w:color w:val="auto"/>
              </w:rPr>
              <w:t>HARLES</w:t>
            </w:r>
            <w:r>
              <w:rPr>
                <w:rFonts w:ascii="Arial" w:cs="Arial" w:eastAsia="Arial" w:hAnsi="Arial"/>
                <w:sz w:val="16"/>
                <w:szCs w:val="16"/>
                <w:color w:val="auto"/>
              </w:rPr>
              <w:t xml:space="preserve"> W. S</w:t>
            </w:r>
            <w:r>
              <w:rPr>
                <w:rFonts w:ascii="Arial" w:cs="Arial" w:eastAsia="Arial" w:hAnsi="Arial"/>
                <w:sz w:val="12"/>
                <w:szCs w:val="12"/>
                <w:color w:val="auto"/>
              </w:rPr>
              <w:t>CHARF</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Charles W. Scharf</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w:t>
            </w:r>
            <w:r>
              <w:rPr>
                <w:rFonts w:ascii="Arial" w:cs="Arial" w:eastAsia="Arial" w:hAnsi="Arial"/>
                <w:sz w:val="12"/>
                <w:szCs w:val="12"/>
                <w:color w:val="auto"/>
              </w:rPr>
              <w:t>OHN</w:t>
            </w:r>
            <w:r>
              <w:rPr>
                <w:rFonts w:ascii="Arial" w:cs="Arial" w:eastAsia="Arial" w:hAnsi="Arial"/>
                <w:sz w:val="16"/>
                <w:szCs w:val="16"/>
                <w:color w:val="auto"/>
              </w:rPr>
              <w:t xml:space="preserve"> W. S</w:t>
            </w:r>
            <w:r>
              <w:rPr>
                <w:rFonts w:ascii="Arial" w:cs="Arial" w:eastAsia="Arial" w:hAnsi="Arial"/>
                <w:sz w:val="12"/>
                <w:szCs w:val="12"/>
                <w:color w:val="auto"/>
              </w:rPr>
              <w:t>TANTON</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John W. Stanton</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 J</w:t>
            </w:r>
            <w:r>
              <w:rPr>
                <w:rFonts w:ascii="Arial" w:cs="Arial" w:eastAsia="Arial" w:hAnsi="Arial"/>
                <w:sz w:val="12"/>
                <w:szCs w:val="12"/>
                <w:color w:val="auto"/>
              </w:rPr>
              <w:t>OHN</w:t>
            </w:r>
            <w:r>
              <w:rPr>
                <w:rFonts w:ascii="Arial" w:cs="Arial" w:eastAsia="Arial" w:hAnsi="Arial"/>
                <w:sz w:val="16"/>
                <w:szCs w:val="16"/>
                <w:color w:val="auto"/>
              </w:rPr>
              <w:t xml:space="preserve"> W. T</w:t>
            </w:r>
            <w:r>
              <w:rPr>
                <w:rFonts w:ascii="Arial" w:cs="Arial" w:eastAsia="Arial" w:hAnsi="Arial"/>
                <w:sz w:val="12"/>
                <w:szCs w:val="12"/>
                <w:color w:val="auto"/>
              </w:rPr>
              <w:t>HOMPSON</w:t>
            </w:r>
          </w:p>
        </w:tc>
        <w:tc>
          <w:tcPr>
            <w:tcW w:w="174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John W. Thompson</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E</w:t>
            </w:r>
            <w:r>
              <w:rPr>
                <w:rFonts w:ascii="Arial" w:cs="Arial" w:eastAsia="Arial" w:hAnsi="Arial"/>
                <w:sz w:val="12"/>
                <w:szCs w:val="12"/>
                <w:color w:val="auto"/>
              </w:rPr>
              <w:t>MMA</w:t>
            </w:r>
            <w:r>
              <w:rPr>
                <w:rFonts w:ascii="Arial" w:cs="Arial" w:eastAsia="Arial" w:hAnsi="Arial"/>
                <w:sz w:val="16"/>
                <w:szCs w:val="16"/>
                <w:color w:val="auto"/>
              </w:rPr>
              <w:t xml:space="preserve"> N. W</w:t>
            </w:r>
            <w:r>
              <w:rPr>
                <w:rFonts w:ascii="Arial" w:cs="Arial" w:eastAsia="Arial" w:hAnsi="Arial"/>
                <w:sz w:val="12"/>
                <w:szCs w:val="12"/>
                <w:color w:val="auto"/>
              </w:rPr>
              <w:t>ALMSLEY</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Emma N. Walmsley</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w:t>
            </w:r>
            <w:r>
              <w:rPr>
                <w:rFonts w:ascii="Arial" w:cs="Arial" w:eastAsia="Arial" w:hAnsi="Arial"/>
                <w:sz w:val="12"/>
                <w:szCs w:val="12"/>
                <w:color w:val="auto"/>
              </w:rPr>
              <w:t>ADMASREE</w:t>
            </w:r>
            <w:r>
              <w:rPr>
                <w:rFonts w:ascii="Arial" w:cs="Arial" w:eastAsia="Arial" w:hAnsi="Arial"/>
                <w:sz w:val="16"/>
                <w:szCs w:val="16"/>
                <w:color w:val="auto"/>
              </w:rPr>
              <w:t xml:space="preserve"> W</w:t>
            </w:r>
            <w:r>
              <w:rPr>
                <w:rFonts w:ascii="Arial" w:cs="Arial" w:eastAsia="Arial" w:hAnsi="Arial"/>
                <w:sz w:val="12"/>
                <w:szCs w:val="12"/>
                <w:color w:val="auto"/>
              </w:rPr>
              <w:t>ARRIOR</w:t>
            </w:r>
          </w:p>
        </w:tc>
        <w:tc>
          <w:tcPr>
            <w:tcW w:w="1740" w:type="dxa"/>
            <w:vAlign w:val="bottom"/>
            <w:tcBorders>
              <w:bottom w:val="single" w:sz="8" w:color="auto"/>
            </w:tcBorders>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Padmasree Warrior</w:t>
            </w:r>
          </w:p>
        </w:tc>
        <w:tc>
          <w:tcPr>
            <w:tcW w:w="1740" w:type="dxa"/>
            <w:vAlign w:val="bottom"/>
          </w:tcPr>
          <w:p>
            <w:pPr>
              <w:spacing w:after="0"/>
              <w:rPr>
                <w:sz w:val="17"/>
                <w:szCs w:val="17"/>
                <w:color w:val="auto"/>
              </w:rPr>
            </w:pPr>
          </w:p>
        </w:tc>
        <w:tc>
          <w:tcPr>
            <w:tcW w:w="5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 A</w:t>
            </w:r>
            <w:r>
              <w:rPr>
                <w:rFonts w:ascii="Arial" w:cs="Arial" w:eastAsia="Arial" w:hAnsi="Arial"/>
                <w:sz w:val="12"/>
                <w:szCs w:val="12"/>
                <w:color w:val="auto"/>
              </w:rPr>
              <w:t>MY</w:t>
            </w:r>
            <w:r>
              <w:rPr>
                <w:rFonts w:ascii="Arial" w:cs="Arial" w:eastAsia="Arial" w:hAnsi="Arial"/>
                <w:sz w:val="16"/>
                <w:szCs w:val="16"/>
                <w:color w:val="auto"/>
              </w:rPr>
              <w:t xml:space="preserve"> E. H</w:t>
            </w:r>
            <w:r>
              <w:rPr>
                <w:rFonts w:ascii="Arial" w:cs="Arial" w:eastAsia="Arial" w:hAnsi="Arial"/>
                <w:sz w:val="12"/>
                <w:szCs w:val="12"/>
                <w:color w:val="auto"/>
              </w:rPr>
              <w:t>OOD</w:t>
            </w:r>
          </w:p>
        </w:tc>
        <w:tc>
          <w:tcPr>
            <w:tcW w:w="174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380" w:type="dxa"/>
            <w:vAlign w:val="bottom"/>
            <w:vMerge w:val="restart"/>
          </w:tcPr>
          <w:p>
            <w:pPr>
              <w:ind w:left="120"/>
              <w:spacing w:after="0"/>
              <w:rPr>
                <w:sz w:val="20"/>
                <w:szCs w:val="20"/>
                <w:color w:val="auto"/>
              </w:rPr>
            </w:pPr>
            <w:r>
              <w:rPr>
                <w:rFonts w:ascii="Arial" w:cs="Arial" w:eastAsia="Arial" w:hAnsi="Arial"/>
                <w:sz w:val="16"/>
                <w:szCs w:val="16"/>
                <w:color w:val="auto"/>
              </w:rPr>
              <w:t>(Principal Financial Officer)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Amy E. Hood</w:t>
            </w:r>
          </w:p>
        </w:tc>
        <w:tc>
          <w:tcPr>
            <w:tcW w:w="174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/s/ A</w:t>
            </w:r>
            <w:r>
              <w:rPr>
                <w:rFonts w:ascii="Arial" w:cs="Arial" w:eastAsia="Arial" w:hAnsi="Arial"/>
                <w:sz w:val="12"/>
                <w:szCs w:val="12"/>
                <w:color w:val="auto"/>
              </w:rPr>
              <w:t>LICE</w:t>
            </w:r>
            <w:r>
              <w:rPr>
                <w:rFonts w:ascii="Arial" w:cs="Arial" w:eastAsia="Arial" w:hAnsi="Arial"/>
                <w:sz w:val="16"/>
                <w:szCs w:val="16"/>
                <w:color w:val="auto"/>
              </w:rPr>
              <w:t xml:space="preserve"> L. J</w:t>
            </w:r>
            <w:r>
              <w:rPr>
                <w:rFonts w:ascii="Arial" w:cs="Arial" w:eastAsia="Arial" w:hAnsi="Arial"/>
                <w:sz w:val="12"/>
                <w:szCs w:val="12"/>
                <w:color w:val="auto"/>
              </w:rPr>
              <w:t>OLLA</w:t>
            </w:r>
          </w:p>
        </w:tc>
        <w:tc>
          <w:tcPr>
            <w:tcW w:w="1740" w:type="dxa"/>
            <w:vAlign w:val="bottom"/>
          </w:tcPr>
          <w:p>
            <w:pPr>
              <w:spacing w:after="0"/>
              <w:rPr>
                <w:sz w:val="24"/>
                <w:szCs w:val="24"/>
                <w:color w:val="auto"/>
              </w:rPr>
            </w:pPr>
          </w:p>
        </w:tc>
        <w:tc>
          <w:tcPr>
            <w:tcW w:w="5380" w:type="dxa"/>
            <w:vAlign w:val="bottom"/>
          </w:tcPr>
          <w:p>
            <w:pPr>
              <w:ind w:left="120"/>
              <w:spacing w:after="0"/>
              <w:rPr>
                <w:sz w:val="20"/>
                <w:szCs w:val="20"/>
                <w:color w:val="auto"/>
              </w:rPr>
            </w:pPr>
            <w:r>
              <w:rPr>
                <w:rFonts w:ascii="Arial" w:cs="Arial" w:eastAsia="Arial" w:hAnsi="Arial"/>
                <w:sz w:val="16"/>
                <w:szCs w:val="16"/>
                <w:color w:val="auto"/>
              </w:rPr>
              <w:t>Corporate Vice President and Chief Accounting Officer</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380" w:type="dxa"/>
            <w:vAlign w:val="bottom"/>
            <w:vMerge w:val="restart"/>
          </w:tcPr>
          <w:p>
            <w:pPr>
              <w:ind w:left="120"/>
              <w:spacing w:after="0"/>
              <w:rPr>
                <w:sz w:val="20"/>
                <w:szCs w:val="20"/>
                <w:color w:val="auto"/>
              </w:rPr>
            </w:pPr>
            <w:r>
              <w:rPr>
                <w:rFonts w:ascii="Arial" w:cs="Arial" w:eastAsia="Arial" w:hAnsi="Arial"/>
                <w:sz w:val="16"/>
                <w:szCs w:val="16"/>
                <w:color w:val="auto"/>
              </w:rPr>
              <w:t>(Principal Accounting Officer)</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Alice L. Jolla</w:t>
            </w:r>
          </w:p>
        </w:tc>
        <w:tc>
          <w:tcPr>
            <w:tcW w:w="1740" w:type="dxa"/>
            <w:vAlign w:val="bottom"/>
          </w:tcPr>
          <w:p>
            <w:pPr>
              <w:spacing w:after="0"/>
              <w:rPr>
                <w:sz w:val="16"/>
                <w:szCs w:val="16"/>
                <w:color w:val="auto"/>
              </w:rPr>
            </w:pPr>
          </w:p>
        </w:tc>
        <w:tc>
          <w:tcPr>
            <w:tcW w:w="5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120" w:type="dxa"/>
            <w:vAlign w:val="bottom"/>
            <w:gridSpan w:val="2"/>
          </w:tcPr>
          <w:p>
            <w:pPr>
              <w:jc w:val="right"/>
              <w:ind w:right="5083"/>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06"/>
        </w:trPr>
        <w:tc>
          <w:tcPr>
            <w:tcW w:w="20" w:type="dxa"/>
            <w:vAlign w:val="bottom"/>
            <w:tcBorders>
              <w:bottom w:val="single" w:sz="8" w:color="EEEEEE"/>
            </w:tcBorders>
          </w:tcPr>
          <w:p>
            <w:pPr>
              <w:spacing w:after="0"/>
              <w:rPr>
                <w:sz w:val="9"/>
                <w:szCs w:val="9"/>
                <w:color w:val="auto"/>
              </w:rPr>
            </w:pPr>
          </w:p>
        </w:tc>
        <w:tc>
          <w:tcPr>
            <w:tcW w:w="3420" w:type="dxa"/>
            <w:vAlign w:val="bottom"/>
            <w:tcBorders>
              <w:bottom w:val="single" w:sz="8" w:color="EEEEEE"/>
            </w:tcBorders>
          </w:tcPr>
          <w:p>
            <w:pPr>
              <w:spacing w:after="0"/>
              <w:rPr>
                <w:sz w:val="9"/>
                <w:szCs w:val="9"/>
                <w:color w:val="auto"/>
              </w:rPr>
            </w:pPr>
          </w:p>
        </w:tc>
        <w:tc>
          <w:tcPr>
            <w:tcW w:w="1740" w:type="dxa"/>
            <w:vAlign w:val="bottom"/>
            <w:tcBorders>
              <w:bottom w:val="single" w:sz="8" w:color="EEEEEE"/>
            </w:tcBorders>
          </w:tcPr>
          <w:p>
            <w:pPr>
              <w:spacing w:after="0"/>
              <w:rPr>
                <w:sz w:val="9"/>
                <w:szCs w:val="9"/>
                <w:color w:val="auto"/>
              </w:rPr>
            </w:pPr>
          </w:p>
        </w:tc>
        <w:tc>
          <w:tcPr>
            <w:tcW w:w="5380" w:type="dxa"/>
            <w:vAlign w:val="bottom"/>
            <w:tcBorders>
              <w:bottom w:val="single" w:sz="8" w:color="EEEEE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109" w:name="page110"/>
    <w:bookmarkEnd w:id="109"/>
    <w:p>
      <w:pPr>
        <w:ind w:left="9880"/>
        <w:spacing w:after="0"/>
        <w:rPr>
          <w:sz w:val="20"/>
          <w:szCs w:val="20"/>
          <w:color w:val="auto"/>
        </w:rPr>
      </w:pPr>
      <w:r>
        <w:rPr>
          <w:rFonts w:ascii="Arial" w:cs="Arial" w:eastAsia="Arial" w:hAnsi="Arial"/>
          <w:sz w:val="14"/>
          <w:szCs w:val="14"/>
          <w:color w:val="auto"/>
        </w:rPr>
        <w:t>Exhibit 21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REGISTRANT</w:t>
      </w:r>
    </w:p>
    <w:p>
      <w:pPr>
        <w:spacing w:after="0" w:line="148"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 following is a list of subsidiaries of Microsoft Corporation as of June 30, 2023, omitting subsidiaries which, considered in the aggregate, would not constitute a significant subsidiary.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6640" w:type="dxa"/>
            <w:vAlign w:val="bottom"/>
          </w:tcPr>
          <w:p>
            <w:pPr>
              <w:ind w:left="1400"/>
              <w:spacing w:after="0"/>
              <w:rPr>
                <w:sz w:val="20"/>
                <w:szCs w:val="20"/>
                <w:color w:val="auto"/>
              </w:rPr>
            </w:pPr>
            <w:r>
              <w:rPr>
                <w:rFonts w:ascii="Arial" w:cs="Arial" w:eastAsia="Arial" w:hAnsi="Arial"/>
                <w:sz w:val="12"/>
                <w:szCs w:val="12"/>
                <w:b w:val="1"/>
                <w:bCs w:val="1"/>
                <w:color w:val="auto"/>
              </w:rPr>
              <w:t>Where Incorporated</w:t>
            </w:r>
          </w:p>
        </w:tc>
      </w:tr>
      <w:tr>
        <w:trPr>
          <w:trHeight w:val="88"/>
        </w:trPr>
        <w:tc>
          <w:tcPr>
            <w:tcW w:w="20" w:type="dxa"/>
            <w:vAlign w:val="bottom"/>
          </w:tcPr>
          <w:p>
            <w:pPr>
              <w:spacing w:after="0"/>
              <w:rPr>
                <w:sz w:val="7"/>
                <w:szCs w:val="7"/>
                <w:color w:val="auto"/>
              </w:rPr>
            </w:pPr>
          </w:p>
        </w:tc>
        <w:tc>
          <w:tcPr>
            <w:tcW w:w="3900" w:type="dxa"/>
            <w:vAlign w:val="bottom"/>
            <w:tcBorders>
              <w:bottom w:val="single" w:sz="8" w:color="auto"/>
            </w:tcBorders>
          </w:tcPr>
          <w:p>
            <w:pPr>
              <w:spacing w:after="0"/>
              <w:rPr>
                <w:sz w:val="7"/>
                <w:szCs w:val="7"/>
                <w:color w:val="auto"/>
              </w:rPr>
            </w:pPr>
          </w:p>
        </w:tc>
        <w:tc>
          <w:tcPr>
            <w:tcW w:w="6640" w:type="dxa"/>
            <w:vAlign w:val="bottom"/>
            <w:tcBorders>
              <w:bottom w:val="single" w:sz="8" w:color="auto"/>
            </w:tcBorders>
          </w:tcPr>
          <w:p>
            <w:pPr>
              <w:spacing w:after="0"/>
              <w:rPr>
                <w:sz w:val="7"/>
                <w:szCs w:val="7"/>
                <w:color w:val="auto"/>
              </w:rPr>
            </w:pPr>
          </w:p>
        </w:tc>
      </w:tr>
      <w:tr>
        <w:trPr>
          <w:trHeight w:val="374"/>
        </w:trPr>
        <w:tc>
          <w:tcPr>
            <w:tcW w:w="20" w:type="dxa"/>
            <w:vAlign w:val="bottom"/>
          </w:tcPr>
          <w:p>
            <w:pPr>
              <w:spacing w:after="0"/>
              <w:rPr>
                <w:sz w:val="24"/>
                <w:szCs w:val="24"/>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Microsoft Ireland Research</w:t>
            </w:r>
          </w:p>
        </w:tc>
        <w:tc>
          <w:tcPr>
            <w:tcW w:w="6640" w:type="dxa"/>
            <w:vAlign w:val="bottom"/>
          </w:tcPr>
          <w:p>
            <w:pPr>
              <w:ind w:left="1420"/>
              <w:spacing w:after="0"/>
              <w:rPr>
                <w:sz w:val="20"/>
                <w:szCs w:val="20"/>
                <w:color w:val="auto"/>
              </w:rPr>
            </w:pPr>
            <w:r>
              <w:rPr>
                <w:rFonts w:ascii="Arial" w:cs="Arial" w:eastAsia="Arial" w:hAnsi="Arial"/>
                <w:sz w:val="16"/>
                <w:szCs w:val="16"/>
                <w:color w:val="auto"/>
              </w:rPr>
              <w:t>Ireland</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Microsoft Global Finance</w:t>
            </w:r>
          </w:p>
        </w:tc>
        <w:tc>
          <w:tcPr>
            <w:tcW w:w="6640" w:type="dxa"/>
            <w:vAlign w:val="bottom"/>
          </w:tcPr>
          <w:p>
            <w:pPr>
              <w:ind w:left="1420"/>
              <w:spacing w:after="0"/>
              <w:rPr>
                <w:sz w:val="20"/>
                <w:szCs w:val="20"/>
                <w:color w:val="auto"/>
              </w:rPr>
            </w:pPr>
            <w:r>
              <w:rPr>
                <w:rFonts w:ascii="Arial" w:cs="Arial" w:eastAsia="Arial" w:hAnsi="Arial"/>
                <w:sz w:val="16"/>
                <w:szCs w:val="16"/>
                <w:color w:val="auto"/>
              </w:rPr>
              <w:t>Ireland</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Microsoft Ireland Operations Limited</w:t>
            </w:r>
          </w:p>
        </w:tc>
        <w:tc>
          <w:tcPr>
            <w:tcW w:w="6640" w:type="dxa"/>
            <w:vAlign w:val="bottom"/>
          </w:tcPr>
          <w:p>
            <w:pPr>
              <w:ind w:left="1420"/>
              <w:spacing w:after="0"/>
              <w:rPr>
                <w:sz w:val="20"/>
                <w:szCs w:val="20"/>
                <w:color w:val="auto"/>
              </w:rPr>
            </w:pPr>
            <w:r>
              <w:rPr>
                <w:rFonts w:ascii="Arial" w:cs="Arial" w:eastAsia="Arial" w:hAnsi="Arial"/>
                <w:sz w:val="16"/>
                <w:szCs w:val="16"/>
                <w:color w:val="auto"/>
              </w:rPr>
              <w:t>Ireland</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Microsoft Online, Inc.</w:t>
            </w:r>
          </w:p>
        </w:tc>
        <w:tc>
          <w:tcPr>
            <w:tcW w:w="6640" w:type="dxa"/>
            <w:vAlign w:val="bottom"/>
          </w:tcPr>
          <w:p>
            <w:pPr>
              <w:ind w:left="1420"/>
              <w:spacing w:after="0"/>
              <w:rPr>
                <w:sz w:val="20"/>
                <w:szCs w:val="20"/>
                <w:color w:val="auto"/>
              </w:rPr>
            </w:pPr>
            <w:r>
              <w:rPr>
                <w:rFonts w:ascii="Arial" w:cs="Arial" w:eastAsia="Arial" w:hAnsi="Arial"/>
                <w:sz w:val="16"/>
                <w:szCs w:val="16"/>
                <w:color w:val="auto"/>
              </w:rPr>
              <w:t>United States</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LinkedIn Corporation</w:t>
            </w:r>
          </w:p>
        </w:tc>
        <w:tc>
          <w:tcPr>
            <w:tcW w:w="6640" w:type="dxa"/>
            <w:vAlign w:val="bottom"/>
          </w:tcPr>
          <w:p>
            <w:pPr>
              <w:ind w:left="1420"/>
              <w:spacing w:after="0"/>
              <w:rPr>
                <w:sz w:val="20"/>
                <w:szCs w:val="20"/>
                <w:color w:val="auto"/>
              </w:rPr>
            </w:pPr>
            <w:r>
              <w:rPr>
                <w:rFonts w:ascii="Arial" w:cs="Arial" w:eastAsia="Arial" w:hAnsi="Arial"/>
                <w:sz w:val="16"/>
                <w:szCs w:val="16"/>
                <w:color w:val="auto"/>
              </w:rPr>
              <w:t>United States</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LinkedIn Ireland Unlimited Company</w:t>
            </w:r>
          </w:p>
        </w:tc>
        <w:tc>
          <w:tcPr>
            <w:tcW w:w="6640" w:type="dxa"/>
            <w:vAlign w:val="bottom"/>
          </w:tcPr>
          <w:p>
            <w:pPr>
              <w:ind w:left="1420"/>
              <w:spacing w:after="0"/>
              <w:rPr>
                <w:sz w:val="20"/>
                <w:szCs w:val="20"/>
                <w:color w:val="auto"/>
              </w:rPr>
            </w:pPr>
            <w:r>
              <w:rPr>
                <w:rFonts w:ascii="Arial" w:cs="Arial" w:eastAsia="Arial" w:hAnsi="Arial"/>
                <w:sz w:val="16"/>
                <w:szCs w:val="16"/>
                <w:color w:val="auto"/>
              </w:rPr>
              <w:t>Ireland</w:t>
            </w: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Nuance Communications, Inc.</w:t>
            </w:r>
          </w:p>
        </w:tc>
        <w:tc>
          <w:tcPr>
            <w:tcW w:w="6640" w:type="dxa"/>
            <w:vAlign w:val="bottom"/>
          </w:tcPr>
          <w:p>
            <w:pPr>
              <w:ind w:left="1420"/>
              <w:spacing w:after="0"/>
              <w:rPr>
                <w:sz w:val="20"/>
                <w:szCs w:val="20"/>
                <w:color w:val="auto"/>
              </w:rPr>
            </w:pPr>
            <w:r>
              <w:rPr>
                <w:rFonts w:ascii="Arial" w:cs="Arial" w:eastAsia="Arial" w:hAnsi="Arial"/>
                <w:sz w:val="16"/>
                <w:szCs w:val="16"/>
                <w:color w:val="auto"/>
              </w:rPr>
              <w:t>United States</w:t>
            </w:r>
          </w:p>
        </w:tc>
      </w:tr>
      <w:tr>
        <w:trPr>
          <w:trHeight w:val="578"/>
        </w:trPr>
        <w:tc>
          <w:tcPr>
            <w:tcW w:w="20" w:type="dxa"/>
            <w:vAlign w:val="bottom"/>
            <w:tcBorders>
              <w:bottom w:val="single" w:sz="8" w:color="EEEEEE"/>
            </w:tcBorders>
          </w:tcPr>
          <w:p>
            <w:pPr>
              <w:spacing w:after="0"/>
              <w:rPr>
                <w:sz w:val="24"/>
                <w:szCs w:val="24"/>
                <w:color w:val="auto"/>
              </w:rPr>
            </w:pPr>
          </w:p>
        </w:tc>
        <w:tc>
          <w:tcPr>
            <w:tcW w:w="3900" w:type="dxa"/>
            <w:vAlign w:val="bottom"/>
            <w:tcBorders>
              <w:bottom w:val="single" w:sz="8" w:color="EEEEEE"/>
            </w:tcBorders>
          </w:tcPr>
          <w:p>
            <w:pPr>
              <w:spacing w:after="0"/>
              <w:rPr>
                <w:sz w:val="24"/>
                <w:szCs w:val="24"/>
                <w:color w:val="auto"/>
              </w:rPr>
            </w:pPr>
          </w:p>
        </w:tc>
        <w:tc>
          <w:tcPr>
            <w:tcW w:w="66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color w:val="auto"/>
        </w:rPr>
        <w:t>Exhibit 23.1</w:t>
      </w:r>
    </w:p>
    <w:p>
      <w:pPr>
        <w:spacing w:after="0" w:line="132" w:lineRule="exact"/>
        <w:rPr>
          <w:sz w:val="20"/>
          <w:szCs w:val="20"/>
          <w:color w:val="auto"/>
        </w:rPr>
      </w:pPr>
    </w:p>
    <w:p>
      <w:pPr>
        <w:jc w:val="center"/>
        <w:ind w:right="18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92" w:lineRule="exact"/>
        <w:rPr>
          <w:sz w:val="20"/>
          <w:szCs w:val="20"/>
          <w:color w:val="auto"/>
        </w:rPr>
      </w:pPr>
    </w:p>
    <w:p>
      <w:pPr>
        <w:ind w:right="360"/>
        <w:spacing w:after="0" w:line="286" w:lineRule="auto"/>
        <w:rPr>
          <w:sz w:val="20"/>
          <w:szCs w:val="20"/>
          <w:color w:val="auto"/>
        </w:rPr>
      </w:pPr>
      <w:r>
        <w:rPr>
          <w:rFonts w:ascii="Arial" w:cs="Arial" w:eastAsia="Arial" w:hAnsi="Arial"/>
          <w:sz w:val="14"/>
          <w:szCs w:val="14"/>
          <w:color w:val="auto"/>
        </w:rPr>
        <w:t>We consent to the incorporation by reference in Registration Statement Nos. 333-109185, 333-118764, 333-52852, 333-132100, 333-161516, 333-75243, 333-185757, and 333-221833 on Form S-8 and Registration Statement Nos. 333-240227 and 333-261590 on Form S-3 of our reports dated July 27, 2023, relating to the financial statements of Microsoft Corporation and the effectiveness of Microsoft Corporation’s internal control over financial reporting appearing in this Annual Report on Form 10-K of Microsoft Corporation for the year ended June 30, 2023.</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/s/ D</w:t>
      </w:r>
      <w:r>
        <w:rPr>
          <w:rFonts w:ascii="Arial" w:cs="Arial" w:eastAsia="Arial" w:hAnsi="Arial"/>
          <w:sz w:val="12"/>
          <w:szCs w:val="12"/>
          <w:color w:val="auto"/>
        </w:rPr>
        <w:t>ELOITTE</w:t>
      </w:r>
      <w:r>
        <w:rPr>
          <w:rFonts w:ascii="Arial" w:cs="Arial" w:eastAsia="Arial" w:hAnsi="Arial"/>
          <w:sz w:val="16"/>
          <w:szCs w:val="16"/>
          <w:color w:val="auto"/>
        </w:rPr>
        <w:t xml:space="preserve"> &amp; T</w:t>
      </w:r>
      <w:r>
        <w:rPr>
          <w:rFonts w:ascii="Arial" w:cs="Arial" w:eastAsia="Arial" w:hAnsi="Arial"/>
          <w:sz w:val="12"/>
          <w:szCs w:val="12"/>
          <w:color w:val="auto"/>
        </w:rPr>
        <w:t>OUCHE</w:t>
      </w:r>
      <w:r>
        <w:rPr>
          <w:rFonts w:ascii="Arial" w:cs="Arial" w:eastAsia="Arial" w:hAnsi="Arial"/>
          <w:sz w:val="16"/>
          <w:szCs w:val="16"/>
          <w:color w:val="auto"/>
        </w:rPr>
        <w:t xml:space="preserve"> LLP</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394335</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380"/>
          </w:cols>
          <w:pgMar w:left="840" w:top="922" w:right="680"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color w:val="auto"/>
        </w:rPr>
        <w:t>Exhibit 31.1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 Satya Nadella, certify that:</w:t>
      </w:r>
    </w:p>
    <w:p>
      <w:pPr>
        <w:spacing w:after="0" w:line="140" w:lineRule="exact"/>
        <w:rPr>
          <w:sz w:val="20"/>
          <w:szCs w:val="20"/>
          <w:color w:val="auto"/>
        </w:rPr>
      </w:pPr>
    </w:p>
    <w:p>
      <w:pPr>
        <w:ind w:left="180" w:hanging="174"/>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Microsoft Corporation;</w:t>
      </w:r>
    </w:p>
    <w:p>
      <w:pPr>
        <w:spacing w:after="0" w:line="140" w:lineRule="exact"/>
        <w:rPr>
          <w:rFonts w:ascii="Arial" w:cs="Arial" w:eastAsia="Arial" w:hAnsi="Arial"/>
          <w:sz w:val="16"/>
          <w:szCs w:val="16"/>
          <w:color w:val="auto"/>
        </w:rPr>
      </w:pPr>
    </w:p>
    <w:p>
      <w:pPr>
        <w:ind w:right="300" w:firstLine="6"/>
        <w:spacing w:after="0" w:line="243"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right="420" w:firstLine="6"/>
        <w:spacing w:after="0" w:line="252"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6"/>
          <w:szCs w:val="16"/>
          <w:color w:val="auto"/>
        </w:rPr>
      </w:pPr>
    </w:p>
    <w:p>
      <w:pPr>
        <w:ind w:right="20" w:firstLine="6"/>
        <w:spacing w:after="0" w:line="243" w:lineRule="auto"/>
        <w:tabs>
          <w:tab w:leader="none" w:pos="173"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ind w:right="360" w:firstLine="6"/>
        <w:spacing w:after="0" w:line="243" w:lineRule="auto"/>
        <w:tabs>
          <w:tab w:leader="none" w:pos="182"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6"/>
          <w:szCs w:val="16"/>
          <w:color w:val="auto"/>
        </w:rPr>
      </w:pPr>
    </w:p>
    <w:p>
      <w:pPr>
        <w:ind w:firstLine="6"/>
        <w:spacing w:after="0" w:line="243" w:lineRule="auto"/>
        <w:tabs>
          <w:tab w:leader="none" w:pos="182" w:val="left"/>
        </w:tabs>
        <w:numPr>
          <w:ilvl w:val="0"/>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6"/>
          <w:szCs w:val="16"/>
          <w:color w:val="auto"/>
        </w:rPr>
      </w:pPr>
    </w:p>
    <w:p>
      <w:pPr>
        <w:ind w:right="60" w:firstLine="6"/>
        <w:spacing w:after="0" w:line="252" w:lineRule="auto"/>
        <w:tabs>
          <w:tab w:leader="none" w:pos="173" w:val="left"/>
        </w:tabs>
        <w:numPr>
          <w:ilvl w:val="0"/>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jc w:val="both"/>
        <w:ind w:right="280" w:firstLine="6"/>
        <w:spacing w:after="0" w:line="243" w:lineRule="auto"/>
        <w:tabs>
          <w:tab w:leader="none" w:pos="182"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sz w:val="20"/>
          <w:szCs w:val="20"/>
          <w:color w:val="auto"/>
        </w:rPr>
      </w:pPr>
    </w:p>
    <w:p>
      <w:pPr>
        <w:ind w:right="360" w:firstLine="6"/>
        <w:spacing w:after="0" w:line="252" w:lineRule="auto"/>
        <w:tabs>
          <w:tab w:leader="none" w:pos="1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60" w:firstLine="6"/>
        <w:spacing w:after="0" w:line="252" w:lineRule="auto"/>
        <w:tabs>
          <w:tab w:leader="none" w:pos="1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right="220" w:firstLine="6"/>
        <w:spacing w:after="0" w:line="252" w:lineRule="auto"/>
        <w:tabs>
          <w:tab w:leader="none" w:pos="18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w:t>
      </w:r>
      <w:r>
        <w:rPr>
          <w:rFonts w:ascii="Arial" w:cs="Arial" w:eastAsia="Arial" w:hAnsi="Arial"/>
          <w:sz w:val="12"/>
          <w:szCs w:val="12"/>
          <w:color w:val="auto"/>
        </w:rPr>
        <w:t>ATYA</w:t>
      </w:r>
      <w:r>
        <w:rPr>
          <w:rFonts w:ascii="Arial" w:cs="Arial" w:eastAsia="Arial" w:hAnsi="Arial"/>
          <w:sz w:val="16"/>
          <w:szCs w:val="16"/>
          <w:color w:val="auto"/>
        </w:rPr>
        <w:t xml:space="preserve"> N</w:t>
      </w:r>
      <w:r>
        <w:rPr>
          <w:rFonts w:ascii="Arial" w:cs="Arial" w:eastAsia="Arial" w:hAnsi="Arial"/>
          <w:sz w:val="12"/>
          <w:szCs w:val="12"/>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2682875"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1">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Satya Nadella</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149225</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color w:val="auto"/>
        </w:rPr>
        <w:t>Exhibit 31.2</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 Amy E. Hood, certify that:</w:t>
      </w:r>
    </w:p>
    <w:p>
      <w:pPr>
        <w:spacing w:after="0" w:line="140" w:lineRule="exact"/>
        <w:rPr>
          <w:sz w:val="20"/>
          <w:szCs w:val="20"/>
          <w:color w:val="auto"/>
        </w:rPr>
      </w:pPr>
    </w:p>
    <w:p>
      <w:pPr>
        <w:ind w:left="180" w:hanging="174"/>
        <w:spacing w:after="0"/>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Microsoft Corporation;</w:t>
      </w:r>
    </w:p>
    <w:p>
      <w:pPr>
        <w:spacing w:after="0" w:line="140" w:lineRule="exact"/>
        <w:rPr>
          <w:rFonts w:ascii="Arial" w:cs="Arial" w:eastAsia="Arial" w:hAnsi="Arial"/>
          <w:sz w:val="16"/>
          <w:szCs w:val="16"/>
          <w:color w:val="auto"/>
        </w:rPr>
      </w:pPr>
    </w:p>
    <w:p>
      <w:pPr>
        <w:ind w:right="300" w:firstLine="6"/>
        <w:spacing w:after="0" w:line="243" w:lineRule="auto"/>
        <w:tabs>
          <w:tab w:leader="none" w:pos="1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Arial" w:cs="Arial" w:eastAsia="Arial" w:hAnsi="Arial"/>
          <w:sz w:val="16"/>
          <w:szCs w:val="16"/>
          <w:color w:val="auto"/>
        </w:rPr>
      </w:pPr>
    </w:p>
    <w:p>
      <w:pPr>
        <w:ind w:right="420" w:firstLine="6"/>
        <w:spacing w:after="0" w:line="252" w:lineRule="auto"/>
        <w:tabs>
          <w:tab w:leader="none" w:pos="1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6"/>
          <w:szCs w:val="16"/>
          <w:color w:val="auto"/>
        </w:rPr>
      </w:pPr>
    </w:p>
    <w:p>
      <w:pPr>
        <w:ind w:right="20" w:firstLine="6"/>
        <w:spacing w:after="0" w:line="243" w:lineRule="auto"/>
        <w:tabs>
          <w:tab w:leader="none" w:pos="17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sz w:val="20"/>
          <w:szCs w:val="20"/>
          <w:color w:val="auto"/>
        </w:rPr>
      </w:pPr>
    </w:p>
    <w:p>
      <w:pPr>
        <w:ind w:right="360" w:firstLine="6"/>
        <w:spacing w:after="0" w:line="243" w:lineRule="auto"/>
        <w:tabs>
          <w:tab w:leader="none" w:pos="1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6"/>
          <w:szCs w:val="16"/>
          <w:color w:val="auto"/>
        </w:rPr>
      </w:pPr>
    </w:p>
    <w:p>
      <w:pPr>
        <w:ind w:firstLine="6"/>
        <w:spacing w:after="0" w:line="243" w:lineRule="auto"/>
        <w:tabs>
          <w:tab w:leader="none" w:pos="1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6"/>
          <w:szCs w:val="16"/>
          <w:color w:val="auto"/>
        </w:rPr>
      </w:pPr>
    </w:p>
    <w:p>
      <w:pPr>
        <w:ind w:right="60" w:firstLine="6"/>
        <w:spacing w:after="0" w:line="252" w:lineRule="auto"/>
        <w:tabs>
          <w:tab w:leader="none" w:pos="1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6"/>
          <w:szCs w:val="16"/>
          <w:color w:val="auto"/>
        </w:rPr>
      </w:pPr>
    </w:p>
    <w:p>
      <w:pPr>
        <w:jc w:val="both"/>
        <w:ind w:right="280" w:firstLine="6"/>
        <w:spacing w:after="0" w:line="243" w:lineRule="auto"/>
        <w:tabs>
          <w:tab w:leader="none" w:pos="182"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sz w:val="20"/>
          <w:szCs w:val="20"/>
          <w:color w:val="auto"/>
        </w:rPr>
      </w:pPr>
    </w:p>
    <w:p>
      <w:pPr>
        <w:ind w:right="360" w:firstLine="6"/>
        <w:spacing w:after="0" w:line="252" w:lineRule="auto"/>
        <w:tabs>
          <w:tab w:leader="none" w:pos="173"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8" w:lineRule="exact"/>
        <w:rPr>
          <w:sz w:val="20"/>
          <w:szCs w:val="20"/>
          <w:color w:val="auto"/>
        </w:rPr>
      </w:pPr>
    </w:p>
    <w:p>
      <w:pPr>
        <w:ind w:right="60" w:firstLine="6"/>
        <w:spacing w:after="0" w:line="252" w:lineRule="auto"/>
        <w:tabs>
          <w:tab w:leader="none" w:pos="1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6"/>
          <w:szCs w:val="16"/>
          <w:color w:val="auto"/>
        </w:rPr>
      </w:pPr>
    </w:p>
    <w:p>
      <w:pPr>
        <w:ind w:right="220" w:firstLine="6"/>
        <w:spacing w:after="0" w:line="252" w:lineRule="auto"/>
        <w:tabs>
          <w:tab w:leader="none" w:pos="1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w:t>
      </w:r>
      <w:r>
        <w:rPr>
          <w:rFonts w:ascii="Arial" w:cs="Arial" w:eastAsia="Arial" w:hAnsi="Arial"/>
          <w:sz w:val="12"/>
          <w:szCs w:val="12"/>
          <w:color w:val="auto"/>
        </w:rPr>
        <w:t>MY</w:t>
      </w:r>
      <w:r>
        <w:rPr>
          <w:rFonts w:ascii="Arial" w:cs="Arial" w:eastAsia="Arial" w:hAnsi="Arial"/>
          <w:sz w:val="16"/>
          <w:szCs w:val="16"/>
          <w:color w:val="auto"/>
        </w:rPr>
        <w:t xml:space="preserve"> E. H</w:t>
      </w:r>
      <w:r>
        <w:rPr>
          <w:rFonts w:ascii="Arial" w:cs="Arial" w:eastAsia="Arial" w:hAnsi="Arial"/>
          <w:sz w:val="12"/>
          <w:szCs w:val="12"/>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2682875"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3">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Amy E. Hood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149225</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color w:val="auto"/>
        </w:rPr>
        <w:t>Exhibit 32.1</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3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In connection with the Annual Report of Microsoft Corporation, a Washington corporation (the “Company”), on Form 10-K for the year ended June 30, 2023, as filed with the Securities and Exchange Commission (the “Report”), Satya Nadella, Chief Executive Officer of the Company, does hereby certify, pursuant to § 906 of the Sarbanes-Oxley Act of 2002 (18 U.S.C. § 1350), that to his knowledge:</w:t>
      </w:r>
    </w:p>
    <w:p>
      <w:pPr>
        <w:spacing w:after="0" w:line="125" w:lineRule="exact"/>
        <w:rPr>
          <w:sz w:val="20"/>
          <w:szCs w:val="20"/>
          <w:color w:val="auto"/>
        </w:rPr>
      </w:pPr>
    </w:p>
    <w:p>
      <w:pPr>
        <w:ind w:left="240" w:hanging="234"/>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240" w:hanging="234"/>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S</w:t>
      </w:r>
      <w:r>
        <w:rPr>
          <w:rFonts w:ascii="Arial" w:cs="Arial" w:eastAsia="Arial" w:hAnsi="Arial"/>
          <w:sz w:val="12"/>
          <w:szCs w:val="12"/>
          <w:color w:val="auto"/>
        </w:rPr>
        <w:t>ATYA</w:t>
      </w:r>
      <w:r>
        <w:rPr>
          <w:rFonts w:ascii="Arial" w:cs="Arial" w:eastAsia="Arial" w:hAnsi="Arial"/>
          <w:sz w:val="16"/>
          <w:szCs w:val="16"/>
          <w:color w:val="auto"/>
        </w:rPr>
        <w:t xml:space="preserve"> N</w:t>
      </w:r>
      <w:r>
        <w:rPr>
          <w:rFonts w:ascii="Arial" w:cs="Arial" w:eastAsia="Arial" w:hAnsi="Arial"/>
          <w:sz w:val="12"/>
          <w:szCs w:val="12"/>
          <w:color w:val="auto"/>
        </w:rPr>
        <w:t>ADELLA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2682875"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5">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Satya Nadella</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Executive Officer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140" w:lineRule="exact"/>
        <w:rPr>
          <w:sz w:val="20"/>
          <w:szCs w:val="20"/>
          <w:color w:val="auto"/>
        </w:rPr>
      </w:pPr>
    </w:p>
    <w:p>
      <w:pPr>
        <w:ind w:right="680"/>
        <w:spacing w:after="0" w:line="252" w:lineRule="auto"/>
        <w:rPr>
          <w:sz w:val="20"/>
          <w:szCs w:val="20"/>
          <w:color w:val="auto"/>
        </w:rPr>
      </w:pPr>
      <w:r>
        <w:rPr>
          <w:rFonts w:ascii="Arial" w:cs="Arial" w:eastAsia="Arial" w:hAnsi="Arial"/>
          <w:sz w:val="16"/>
          <w:szCs w:val="16"/>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14" w:name="page115"/>
    <w:bookmarkEnd w:id="114"/>
    <w:p>
      <w:pPr>
        <w:jc w:val="right"/>
        <w:spacing w:after="0"/>
        <w:rPr>
          <w:sz w:val="20"/>
          <w:szCs w:val="20"/>
          <w:color w:val="auto"/>
        </w:rPr>
      </w:pPr>
      <w:r>
        <w:rPr>
          <w:rFonts w:ascii="Arial" w:cs="Arial" w:eastAsia="Arial" w:hAnsi="Arial"/>
          <w:sz w:val="16"/>
          <w:szCs w:val="16"/>
          <w:color w:val="auto"/>
        </w:rPr>
        <w:t>Exhibit 32.2</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30"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In connection with the Annual Report of Microsoft Corporation, a Washington corporation (the “Company”), on Form 10- K for the year ended June 30, 2023, as filed with the Securities and Exchange Commission (the “Report”), Amy E. Hood, Chief Financial Officer of the Company, does hereby certify, pursuant to § 906 of the Sarbanes-Oxley Act of 2002 (18 U.S.C. § 1350), that to her knowledge:</w:t>
      </w:r>
    </w:p>
    <w:p>
      <w:pPr>
        <w:spacing w:after="0" w:line="125" w:lineRule="exact"/>
        <w:rPr>
          <w:sz w:val="20"/>
          <w:szCs w:val="20"/>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40" w:lineRule="exact"/>
        <w:rPr>
          <w:rFonts w:ascii="Arial" w:cs="Arial" w:eastAsia="Arial" w:hAnsi="Arial"/>
          <w:sz w:val="16"/>
          <w:szCs w:val="16"/>
          <w:color w:val="auto"/>
        </w:rPr>
      </w:pPr>
    </w:p>
    <w:p>
      <w:pPr>
        <w:ind w:left="240" w:hanging="234"/>
        <w:spacing w:after="0"/>
        <w:tabs>
          <w:tab w:leader="none" w:pos="2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A</w:t>
      </w:r>
      <w:r>
        <w:rPr>
          <w:rFonts w:ascii="Arial" w:cs="Arial" w:eastAsia="Arial" w:hAnsi="Arial"/>
          <w:sz w:val="12"/>
          <w:szCs w:val="12"/>
          <w:color w:val="auto"/>
        </w:rPr>
        <w:t>MY</w:t>
      </w:r>
      <w:r>
        <w:rPr>
          <w:rFonts w:ascii="Arial" w:cs="Arial" w:eastAsia="Arial" w:hAnsi="Arial"/>
          <w:sz w:val="16"/>
          <w:szCs w:val="16"/>
          <w:color w:val="auto"/>
        </w:rPr>
        <w:t xml:space="preserve"> E. H</w:t>
      </w:r>
      <w:r>
        <w:rPr>
          <w:rFonts w:ascii="Arial" w:cs="Arial" w:eastAsia="Arial" w:hAnsi="Arial"/>
          <w:sz w:val="12"/>
          <w:szCs w:val="12"/>
          <w:color w:val="auto"/>
        </w:rPr>
        <w:t>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2682875"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7">
                      <a:extLst>
                        <a:ext uri="{28A0092B-C50C-407E-A947-70E740481C1C}"/>
                      </a:extLst>
                    </a:blip>
                    <a:srcRect/>
                    <a:stretch>
                      <a:fillRect/>
                    </a:stretch>
                  </pic:blipFill>
                  <pic:spPr bwMode="auto">
                    <a:xfrm>
                      <a:off x="0" y="0"/>
                      <a:ext cx="2682875" cy="76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Amy E. Hood</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Chief Financial Officer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July 27, 2023</w:t>
      </w:r>
    </w:p>
    <w:p>
      <w:pPr>
        <w:spacing w:after="0" w:line="140" w:lineRule="exact"/>
        <w:rPr>
          <w:sz w:val="20"/>
          <w:szCs w:val="20"/>
          <w:color w:val="auto"/>
        </w:rPr>
      </w:pPr>
    </w:p>
    <w:p>
      <w:pPr>
        <w:ind w:right="680"/>
        <w:spacing w:after="0" w:line="252" w:lineRule="auto"/>
        <w:rPr>
          <w:sz w:val="20"/>
          <w:szCs w:val="20"/>
          <w:color w:val="auto"/>
        </w:rPr>
      </w:pPr>
      <w:r>
        <w:rPr>
          <w:rFonts w:ascii="Arial" w:cs="Arial" w:eastAsia="Arial" w:hAnsi="Arial"/>
          <w:sz w:val="16"/>
          <w:szCs w:val="16"/>
          <w:color w:val="auto"/>
        </w:rPr>
        <w:t>[A signed original of this written statement required by Section 906 has been provided to Microsoft Corporation and will be retained by Microsoft Corporation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135255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15" w:name="page116"/>
    <w:bookmarkEnd w:id="11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425"/>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4" Type="http://schemas.openxmlformats.org/officeDocument/2006/relationships/image" Target="media/image318.png"/><Relationship Id="rId335" Type="http://schemas.openxmlformats.org/officeDocument/2006/relationships/image" Target="media/image319.png"/><Relationship Id="rId336"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53" Type="http://schemas.openxmlformats.org/officeDocument/2006/relationships/image" Target="media/image326.png"/><Relationship Id="rId354" Type="http://schemas.openxmlformats.org/officeDocument/2006/relationships/image" Target="media/image327.png"/><Relationship Id="rId370" Type="http://schemas.openxmlformats.org/officeDocument/2006/relationships/image" Target="media/image328.png"/><Relationship Id="rId371" Type="http://schemas.openxmlformats.org/officeDocument/2006/relationships/image" Target="media/image329.png"/><Relationship Id="rId372" Type="http://schemas.openxmlformats.org/officeDocument/2006/relationships/image" Target="media/image330.png"/><Relationship Id="rId373" Type="http://schemas.openxmlformats.org/officeDocument/2006/relationships/image" Target="media/image331.png"/><Relationship Id="rId376" Type="http://schemas.openxmlformats.org/officeDocument/2006/relationships/image" Target="media/image332.png"/><Relationship Id="rId377" Type="http://schemas.openxmlformats.org/officeDocument/2006/relationships/image" Target="media/image333.png"/><Relationship Id="rId378" Type="http://schemas.openxmlformats.org/officeDocument/2006/relationships/image" Target="media/image334.png"/><Relationship Id="rId379" Type="http://schemas.openxmlformats.org/officeDocument/2006/relationships/image" Target="media/image335.png"/><Relationship Id="rId380" Type="http://schemas.openxmlformats.org/officeDocument/2006/relationships/image" Target="media/image336.png"/><Relationship Id="rId381" Type="http://schemas.openxmlformats.org/officeDocument/2006/relationships/image" Target="media/image337.png"/><Relationship Id="rId382" Type="http://schemas.openxmlformats.org/officeDocument/2006/relationships/image" Target="media/image338.png"/><Relationship Id="rId383" Type="http://schemas.openxmlformats.org/officeDocument/2006/relationships/image" Target="media/image339.png"/><Relationship Id="rId384" Type="http://schemas.openxmlformats.org/officeDocument/2006/relationships/image" Target="media/image340.png"/><Relationship Id="rId385" Type="http://schemas.openxmlformats.org/officeDocument/2006/relationships/image" Target="media/image341.png"/><Relationship Id="rId386" Type="http://schemas.openxmlformats.org/officeDocument/2006/relationships/image" Target="media/image342.png"/><Relationship Id="rId387" Type="http://schemas.openxmlformats.org/officeDocument/2006/relationships/image" Target="media/image343.png"/><Relationship Id="rId388" Type="http://schemas.openxmlformats.org/officeDocument/2006/relationships/image" Target="media/image344.png"/><Relationship Id="rId322" Type="http://schemas.openxmlformats.org/officeDocument/2006/relationships/hyperlink" Target="https://www.sec.gov/Archives/edgar/data/789019/000119312516782569/d305147dex31.htm" TargetMode="External"/><Relationship Id="rId323" Type="http://schemas.openxmlformats.org/officeDocument/2006/relationships/hyperlink" Target="https://www.sec.gov/Archives/edgar/data/789019/000119312517203579/d347274dex32.htm" TargetMode="External"/><Relationship Id="rId324" Type="http://schemas.openxmlformats.org/officeDocument/2006/relationships/hyperlink" Target="https://www.sec.gov/Archives/edgar/data/789019/000119312515357088/d97665dex41.htm" TargetMode="External"/><Relationship Id="rId325" Type="http://schemas.openxmlformats.org/officeDocument/2006/relationships/hyperlink" Target="https://www.sec.gov/Archives/edgar/data/789019/000119312509113054/dex42.htm" TargetMode="External"/><Relationship Id="rId326" Type="http://schemas.openxmlformats.org/officeDocument/2006/relationships/hyperlink" Target="https://www.sec.gov/Archives/edgar/data/789019/000119312510216531/dex42.htm" TargetMode="External"/><Relationship Id="rId330" Type="http://schemas.openxmlformats.org/officeDocument/2006/relationships/hyperlink" Target="https://www.sec.gov/Archives/edgar/data/789019/000119312511026916/dex42.htm" TargetMode="External"/><Relationship Id="rId331" Type="http://schemas.openxmlformats.org/officeDocument/2006/relationships/hyperlink" Target="https://www.sec.gov/Archives/edgar/data/789019/000119312512456267/d433368dex41.htm" TargetMode="External"/><Relationship Id="rId332" Type="http://schemas.openxmlformats.org/officeDocument/2006/relationships/hyperlink" Target="https://www.sec.gov/Archives/edgar/data/789019/000119312513192843/d531397dex41.htm" TargetMode="External"/><Relationship Id="rId333" Type="http://schemas.openxmlformats.org/officeDocument/2006/relationships/hyperlink" Target="https://www.sec.gov/Archives/edgar/data/789019/000119312513192843/d531397dex42.htm" TargetMode="External"/><Relationship Id="rId337" Type="http://schemas.openxmlformats.org/officeDocument/2006/relationships/hyperlink" Target="https://www.sec.gov/Archives/edgar/data/789019/000119312513464138/d638276dex41.htm" TargetMode="External"/><Relationship Id="rId338" Type="http://schemas.openxmlformats.org/officeDocument/2006/relationships/hyperlink" Target="https://www.sec.gov/Archives/edgar/data/789019/000119312513464138/d638276dex42.htm" TargetMode="External"/><Relationship Id="rId339" Type="http://schemas.openxmlformats.org/officeDocument/2006/relationships/hyperlink" Target="https://www.sec.gov/Archives/edgar/data/789019/000119312515045564/d871136dex41.htm" TargetMode="External"/><Relationship Id="rId340" Type="http://schemas.openxmlformats.org/officeDocument/2006/relationships/hyperlink" Target="https://www.sec.gov/Archives/edgar/data/789019/000119312515363226/d88549dex41.htm" TargetMode="External"/><Relationship Id="rId346" Type="http://schemas.openxmlformats.org/officeDocument/2006/relationships/hyperlink" Target="https://www.sec.gov/Archives/edgar/data/789019/000119312516673577/d236874dex41.htm" TargetMode="External"/><Relationship Id="rId347" Type="http://schemas.openxmlformats.org/officeDocument/2006/relationships/hyperlink" Target="https://www.sec.gov/Archives/edgar/data/789019/000119312517030734/d270302dex41.htm" TargetMode="External"/><Relationship Id="rId348" Type="http://schemas.openxmlformats.org/officeDocument/2006/relationships/hyperlink" Target="https://www.sec.gov/Archives/edgar/data/789019/000119312520157234/d829164dex41.htm" TargetMode="External"/><Relationship Id="rId349" Type="http://schemas.openxmlformats.org/officeDocument/2006/relationships/hyperlink" Target="https://www.sec.gov/Archives/edgar/data/0000789019/000119312521084239/d130687dex41.htm" TargetMode="External"/><Relationship Id="rId350" Type="http://schemas.openxmlformats.org/officeDocument/2006/relationships/hyperlink" Target="https://www.sec.gov/Archives/edgar/data/789019/000156459019027952/msft-ex416_464.htm" TargetMode="External"/><Relationship Id="rId351" Type="http://schemas.openxmlformats.org/officeDocument/2006/relationships/hyperlink" Target="https://www.sec.gov/Archives/edgar/data/789019/000119312516742796/d245252dex101.htm" TargetMode="External"/><Relationship Id="rId352" Type="http://schemas.openxmlformats.org/officeDocument/2006/relationships/hyperlink" Target="https://www.sec.gov/Archives/edgar/data/789019/000119312512316848/d347676dex104.htm" TargetMode="External"/><Relationship Id="rId355" Type="http://schemas.openxmlformats.org/officeDocument/2006/relationships/hyperlink" Target="https://www.sec.gov/Archives/edgar/data/789019/000156459018019062/msft-ex105_244.htm" TargetMode="External"/><Relationship Id="rId356" Type="http://schemas.openxmlformats.org/officeDocument/2006/relationships/hyperlink" Target="https://www.sec.gov/Archives/edgar/data/789019/000119312517310951/d461626ddef14a.htm" TargetMode="External"/><Relationship Id="rId357" Type="http://schemas.openxmlformats.org/officeDocument/2006/relationships/hyperlink" Target="https://www.sec.gov/Archives/edgar/data/789019/000156459018009307/msft-ex1026_280.htm" TargetMode="External"/><Relationship Id="rId358" Type="http://schemas.openxmlformats.org/officeDocument/2006/relationships/hyperlink" Target="https://www.sec.gov/Archives/edgar/data/789019/000156459018009307/msft-ex1027_281.htm" TargetMode="External"/><Relationship Id="rId359" Type="http://schemas.openxmlformats.org/officeDocument/2006/relationships/hyperlink" Target="https://www.sec.gov/Archives/edgar/data/789019/000119312516742796/d245252dex1012.htm" TargetMode="External"/><Relationship Id="rId360" Type="http://schemas.openxmlformats.org/officeDocument/2006/relationships/hyperlink" Target="https://www.sec.gov/Archives/edgar/data/789019/000156459020034944/msft-ex1025_365.htm" TargetMode="External"/><Relationship Id="rId361" Type="http://schemas.openxmlformats.org/officeDocument/2006/relationships/hyperlink" Target="https://www.sec.gov/Archives/edgar/data/789019/000156459019027952/msft-ex1013_465.htm" TargetMode="External"/><Relationship Id="rId362" Type="http://schemas.openxmlformats.org/officeDocument/2006/relationships/hyperlink" Target="https://www.sec.gov/Archives/edgar/data/789019/000156459020034944/msft-ex1026_364.htm" TargetMode="External"/><Relationship Id="rId363" Type="http://schemas.openxmlformats.org/officeDocument/2006/relationships/hyperlink" Target="https://www.sec.gov/Archives/edgar/data/789019/000119312515272806/d918813dex1014.htm" TargetMode="External"/><Relationship Id="rId364" Type="http://schemas.openxmlformats.org/officeDocument/2006/relationships/hyperlink" Target="https://www.sec.gov/Archives/edgar/data/789019/000119312518277602/d602842dex101.htm" TargetMode="External"/><Relationship Id="rId365" Type="http://schemas.openxmlformats.org/officeDocument/2006/relationships/hyperlink" Target="https://www.sec.gov/Archives/edgar/data/789019/000119312516742796/d245252dex1017.htm" TargetMode="External"/><Relationship Id="rId366" Type="http://schemas.openxmlformats.org/officeDocument/2006/relationships/hyperlink" Target="https://www.sec.gov/Archives/edgar/data/789019/000119312516742796/d245252dex1018.htm" TargetMode="External"/><Relationship Id="rId367" Type="http://schemas.openxmlformats.org/officeDocument/2006/relationships/hyperlink" Target="https://www.sec.gov/Archives/edgar/data/789019/000119312516742796/d245252dex1025.htm" TargetMode="External"/><Relationship Id="rId368" Type="http://schemas.openxmlformats.org/officeDocument/2006/relationships/hyperlink" Target="https://www.sec.gov/Archives/edgar/data/789019/000119312516742796/d245252dex1022.htm" TargetMode="External"/><Relationship Id="rId369" Type="http://schemas.openxmlformats.org/officeDocument/2006/relationships/hyperlink" Target="https://www.sec.gov/Archives/edgar/data/789019/000119312514035080/d669538dex101.htm" TargetMode="External"/><Relationship Id="rId374" Type="http://schemas.openxmlformats.org/officeDocument/2006/relationships/hyperlink" Target="https://www.sec.gov/Archives/edgar/data/789019/000119312515020351/d827041dex1024.htm" TargetMode="External"/><Relationship Id="rId375" Type="http://schemas.openxmlformats.org/officeDocument/2006/relationships/hyperlink" Target="https://www.sec.gov/Archives/edgar/data/789019/000156459021051992/msft-ex1027_3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2023-07-27T16:11:59Z</dcterms:created>
  <dcterms:modified xsi:type="dcterms:W3CDTF">2023-07-27T16:11:59Z</dcterms:modified>
</cp:coreProperties>
</file>