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0"/>
          <w:szCs w:val="30"/>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329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52705</wp:posOffset>
            </wp:positionV>
            <wp:extent cx="16148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14805" cy="8255"/>
                    </a:xfrm>
                    <a:prstGeom prst="rect">
                      <a:avLst/>
                    </a:prstGeom>
                    <a:noFill/>
                  </pic:spPr>
                </pic:pic>
              </a:graphicData>
            </a:graphic>
          </wp:anchor>
        </w:drawing>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91440</wp:posOffset>
            </wp:positionV>
            <wp:extent cx="16148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14805" cy="8255"/>
                    </a:xfrm>
                    <a:prstGeom prst="rect">
                      <a:avLst/>
                    </a:prstGeom>
                    <a:noFill/>
                  </pic:spPr>
                </pic:pic>
              </a:graphicData>
            </a:graphic>
          </wp:anchor>
        </w:drawing>
      </w:r>
    </w:p>
    <w:p>
      <w:pPr>
        <w:spacing w:after="0" w:line="182" w:lineRule="exact"/>
        <w:rPr>
          <w:sz w:val="24"/>
          <w:szCs w:val="24"/>
          <w:color w:val="auto"/>
        </w:rPr>
      </w:pPr>
    </w:p>
    <w:p>
      <w:pPr>
        <w:ind w:left="540" w:hanging="532"/>
        <w:spacing w:after="0"/>
        <w:tabs>
          <w:tab w:leader="none" w:pos="540" w:val="left"/>
        </w:tabs>
        <w:numPr>
          <w:ilvl w:val="0"/>
          <w:numId w:val="1"/>
        </w:numPr>
        <w:rPr>
          <w:rFonts w:ascii="MS PGothic" w:cs="MS PGothic" w:eastAsia="MS PGothic" w:hAnsi="MS PGothic"/>
          <w:sz w:val="19"/>
          <w:szCs w:val="19"/>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99" w:lineRule="exact"/>
        <w:rPr>
          <w:sz w:val="24"/>
          <w:szCs w:val="24"/>
          <w:color w:val="auto"/>
        </w:rPr>
      </w:pPr>
    </w:p>
    <w:p>
      <w:pPr>
        <w:ind w:left="540"/>
        <w:spacing w:after="0"/>
        <w:rPr>
          <w:sz w:val="20"/>
          <w:szCs w:val="20"/>
          <w:color w:val="auto"/>
        </w:rPr>
      </w:pPr>
      <w:r>
        <w:rPr>
          <w:rFonts w:ascii="Arial" w:cs="Arial" w:eastAsia="Arial" w:hAnsi="Arial"/>
          <w:sz w:val="14"/>
          <w:szCs w:val="14"/>
          <w:b w:val="1"/>
          <w:bCs w:val="1"/>
          <w:color w:val="auto"/>
        </w:rPr>
        <w:t>For the Fiscal Year Ended June 30, 2021</w:t>
      </w:r>
    </w:p>
    <w:p>
      <w:pPr>
        <w:spacing w:after="0" w:line="72" w:lineRule="exact"/>
        <w:rPr>
          <w:sz w:val="24"/>
          <w:szCs w:val="24"/>
          <w:color w:val="auto"/>
        </w:rPr>
      </w:pPr>
    </w:p>
    <w:p>
      <w:pPr>
        <w:jc w:val="center"/>
        <w:ind w:left="520"/>
        <w:spacing w:after="0"/>
        <w:rPr>
          <w:sz w:val="20"/>
          <w:szCs w:val="20"/>
          <w:color w:val="auto"/>
        </w:rPr>
      </w:pPr>
      <w:r>
        <w:rPr>
          <w:rFonts w:ascii="Arial" w:cs="Arial" w:eastAsia="Arial" w:hAnsi="Arial"/>
          <w:sz w:val="18"/>
          <w:szCs w:val="18"/>
          <w:b w:val="1"/>
          <w:bCs w:val="1"/>
          <w:color w:val="auto"/>
        </w:rPr>
        <w:t>OR</w:t>
      </w:r>
    </w:p>
    <w:p>
      <w:pPr>
        <w:spacing w:after="0" w:line="102" w:lineRule="exact"/>
        <w:rPr>
          <w:sz w:val="24"/>
          <w:szCs w:val="24"/>
          <w:color w:val="auto"/>
        </w:rPr>
      </w:pPr>
    </w:p>
    <w:p>
      <w:pPr>
        <w:ind w:left="540" w:hanging="532"/>
        <w:spacing w:after="0"/>
        <w:tabs>
          <w:tab w:leader="none" w:pos="540" w:val="left"/>
        </w:tabs>
        <w:numPr>
          <w:ilvl w:val="0"/>
          <w:numId w:val="2"/>
        </w:numPr>
        <w:rPr>
          <w:rFonts w:ascii="MS PGothic" w:cs="MS PGothic" w:eastAsia="MS PGothic" w:hAnsi="MS PGothic"/>
          <w:sz w:val="19"/>
          <w:szCs w:val="19"/>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85" w:lineRule="exact"/>
        <w:rPr>
          <w:sz w:val="24"/>
          <w:szCs w:val="24"/>
          <w:color w:val="auto"/>
        </w:rPr>
      </w:pPr>
    </w:p>
    <w:p>
      <w:pPr>
        <w:ind w:left="540"/>
        <w:spacing w:after="0"/>
        <w:tabs>
          <w:tab w:leader="none" w:pos="332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001-37845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65405</wp:posOffset>
            </wp:positionV>
            <wp:extent cx="16148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14805" cy="8255"/>
                    </a:xfrm>
                    <a:prstGeom prst="rect">
                      <a:avLst/>
                    </a:prstGeom>
                    <a:noFill/>
                  </pic:spPr>
                </pic:pic>
              </a:graphicData>
            </a:graphic>
          </wp:anchor>
        </w:drawing>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MICROSOFT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90170</wp:posOffset>
            </wp:positionV>
            <wp:extent cx="16148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14805" cy="8255"/>
                    </a:xfrm>
                    <a:prstGeom prst="rect">
                      <a:avLst/>
                    </a:prstGeom>
                    <a:noFill/>
                  </pic:spPr>
                </pic:pic>
              </a:graphicData>
            </a:graphic>
          </wp:anchor>
        </w:drawing>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4340" w:type="dxa"/>
            <w:vAlign w:val="bottom"/>
          </w:tcPr>
          <w:p>
            <w:pPr>
              <w:ind w:left="2240"/>
              <w:spacing w:after="0"/>
              <w:rPr>
                <w:sz w:val="20"/>
                <w:szCs w:val="20"/>
                <w:color w:val="auto"/>
              </w:rPr>
            </w:pPr>
            <w:r>
              <w:rPr>
                <w:rFonts w:ascii="Arial" w:cs="Arial" w:eastAsia="Arial" w:hAnsi="Arial"/>
                <w:sz w:val="15"/>
                <w:szCs w:val="15"/>
                <w:b w:val="1"/>
                <w:bCs w:val="1"/>
                <w:color w:val="auto"/>
              </w:rPr>
              <w:t>WASHINGTON</w:t>
            </w:r>
          </w:p>
        </w:tc>
        <w:tc>
          <w:tcPr>
            <w:tcW w:w="3520" w:type="dxa"/>
            <w:vAlign w:val="bottom"/>
          </w:tcPr>
          <w:p>
            <w:pPr>
              <w:spacing w:after="0"/>
              <w:rPr>
                <w:sz w:val="14"/>
                <w:szCs w:val="14"/>
                <w:color w:val="auto"/>
              </w:rPr>
            </w:pPr>
          </w:p>
        </w:tc>
        <w:tc>
          <w:tcPr>
            <w:tcW w:w="2820" w:type="dxa"/>
            <w:vAlign w:val="bottom"/>
          </w:tcPr>
          <w:p>
            <w:pPr>
              <w:jc w:val="right"/>
              <w:ind w:right="1702"/>
              <w:spacing w:after="0"/>
              <w:rPr>
                <w:sz w:val="20"/>
                <w:szCs w:val="20"/>
                <w:color w:val="auto"/>
              </w:rPr>
            </w:pPr>
            <w:r>
              <w:rPr>
                <w:rFonts w:ascii="Arial" w:cs="Arial" w:eastAsia="Arial" w:hAnsi="Arial"/>
                <w:sz w:val="15"/>
                <w:szCs w:val="15"/>
                <w:b w:val="1"/>
                <w:bCs w:val="1"/>
                <w:color w:val="auto"/>
              </w:rPr>
              <w:t>91-1144442</w:t>
            </w:r>
          </w:p>
        </w:tc>
      </w:tr>
      <w:tr>
        <w:trPr>
          <w:trHeight w:val="178"/>
        </w:trPr>
        <w:tc>
          <w:tcPr>
            <w:tcW w:w="4340" w:type="dxa"/>
            <w:vAlign w:val="bottom"/>
          </w:tcPr>
          <w:p>
            <w:pPr>
              <w:ind w:left="1820"/>
              <w:spacing w:after="0"/>
              <w:rPr>
                <w:sz w:val="20"/>
                <w:szCs w:val="20"/>
                <w:color w:val="auto"/>
              </w:rPr>
            </w:pPr>
            <w:r>
              <w:rPr>
                <w:rFonts w:ascii="Arial" w:cs="Arial" w:eastAsia="Arial" w:hAnsi="Arial"/>
                <w:sz w:val="13"/>
                <w:szCs w:val="13"/>
                <w:b w:val="1"/>
                <w:bCs w:val="1"/>
                <w:color w:val="auto"/>
              </w:rPr>
              <w:t>(STATE OF INCORPORATION)</w:t>
            </w:r>
          </w:p>
        </w:tc>
        <w:tc>
          <w:tcPr>
            <w:tcW w:w="3520" w:type="dxa"/>
            <w:vAlign w:val="bottom"/>
          </w:tcPr>
          <w:p>
            <w:pPr>
              <w:spacing w:after="0"/>
              <w:rPr>
                <w:sz w:val="15"/>
                <w:szCs w:val="15"/>
                <w:color w:val="auto"/>
              </w:rPr>
            </w:pPr>
          </w:p>
        </w:tc>
        <w:tc>
          <w:tcPr>
            <w:tcW w:w="2820" w:type="dxa"/>
            <w:vAlign w:val="bottom"/>
          </w:tcPr>
          <w:p>
            <w:pPr>
              <w:jc w:val="center"/>
              <w:ind w:right="1482"/>
              <w:spacing w:after="0"/>
              <w:rPr>
                <w:sz w:val="20"/>
                <w:szCs w:val="20"/>
                <w:color w:val="auto"/>
              </w:rPr>
            </w:pPr>
            <w:r>
              <w:rPr>
                <w:rFonts w:ascii="Arial" w:cs="Arial" w:eastAsia="Arial" w:hAnsi="Arial"/>
                <w:sz w:val="13"/>
                <w:szCs w:val="13"/>
                <w:b w:val="1"/>
                <w:bCs w:val="1"/>
                <w:color w:val="auto"/>
              </w:rPr>
              <w:t>(I.R.S. ID)</w:t>
            </w:r>
          </w:p>
        </w:tc>
      </w:tr>
      <w:tr>
        <w:trPr>
          <w:trHeight w:val="235"/>
        </w:trPr>
        <w:tc>
          <w:tcPr>
            <w:tcW w:w="7860" w:type="dxa"/>
            <w:vAlign w:val="bottom"/>
            <w:gridSpan w:val="2"/>
          </w:tcPr>
          <w:p>
            <w:pPr>
              <w:jc w:val="center"/>
              <w:ind w:left="3302"/>
              <w:spacing w:after="0"/>
              <w:rPr>
                <w:sz w:val="20"/>
                <w:szCs w:val="20"/>
                <w:color w:val="auto"/>
              </w:rPr>
            </w:pPr>
            <w:r>
              <w:rPr>
                <w:rFonts w:ascii="Arial" w:cs="Arial" w:eastAsia="Arial" w:hAnsi="Arial"/>
                <w:sz w:val="15"/>
                <w:szCs w:val="15"/>
                <w:b w:val="1"/>
                <w:bCs w:val="1"/>
                <w:color w:val="auto"/>
              </w:rPr>
              <w:t>ONE MICROSOFT WAY</w:t>
            </w:r>
            <w:r>
              <w:rPr>
                <w:rFonts w:ascii="Arial" w:cs="Arial" w:eastAsia="Arial" w:hAnsi="Arial"/>
                <w:sz w:val="14"/>
                <w:szCs w:val="14"/>
                <w:b w:val="1"/>
                <w:bCs w:val="1"/>
                <w:color w:val="auto"/>
              </w:rPr>
              <w:t>,</w:t>
            </w:r>
            <w:r>
              <w:rPr>
                <w:rFonts w:ascii="Arial" w:cs="Arial" w:eastAsia="Arial" w:hAnsi="Arial"/>
                <w:sz w:val="15"/>
                <w:szCs w:val="15"/>
                <w:b w:val="1"/>
                <w:bCs w:val="1"/>
                <w:color w:val="auto"/>
              </w:rPr>
              <w:t xml:space="preserve"> REDMOND</w:t>
            </w:r>
            <w:r>
              <w:rPr>
                <w:rFonts w:ascii="Arial" w:cs="Arial" w:eastAsia="Arial" w:hAnsi="Arial"/>
                <w:sz w:val="14"/>
                <w:szCs w:val="14"/>
                <w:b w:val="1"/>
                <w:bCs w:val="1"/>
                <w:color w:val="auto"/>
              </w:rPr>
              <w:t>, WASHINGTON</w:t>
            </w:r>
            <w:r>
              <w:rPr>
                <w:rFonts w:ascii="Arial" w:cs="Arial" w:eastAsia="Arial" w:hAnsi="Arial"/>
                <w:sz w:val="15"/>
                <w:szCs w:val="15"/>
                <w:b w:val="1"/>
                <w:bCs w:val="1"/>
                <w:color w:val="auto"/>
              </w:rPr>
              <w:t xml:space="preserve"> 98052-6399</w:t>
            </w:r>
          </w:p>
        </w:tc>
        <w:tc>
          <w:tcPr>
            <w:tcW w:w="2820" w:type="dxa"/>
            <w:vAlign w:val="bottom"/>
          </w:tcPr>
          <w:p>
            <w:pPr>
              <w:spacing w:after="0"/>
              <w:rPr>
                <w:sz w:val="20"/>
                <w:szCs w:val="20"/>
                <w:color w:val="auto"/>
              </w:rPr>
            </w:pPr>
          </w:p>
        </w:tc>
      </w:tr>
      <w:tr>
        <w:trPr>
          <w:trHeight w:val="215"/>
        </w:trPr>
        <w:tc>
          <w:tcPr>
            <w:tcW w:w="4340" w:type="dxa"/>
            <w:vAlign w:val="bottom"/>
          </w:tcPr>
          <w:p>
            <w:pPr>
              <w:spacing w:after="0"/>
              <w:rPr>
                <w:sz w:val="18"/>
                <w:szCs w:val="18"/>
                <w:color w:val="auto"/>
              </w:rPr>
            </w:pPr>
          </w:p>
        </w:tc>
        <w:tc>
          <w:tcPr>
            <w:tcW w:w="3520" w:type="dxa"/>
            <w:vAlign w:val="bottom"/>
          </w:tcPr>
          <w:p>
            <w:pPr>
              <w:jc w:val="center"/>
              <w:ind w:right="881"/>
              <w:spacing w:after="0"/>
              <w:rPr>
                <w:sz w:val="20"/>
                <w:szCs w:val="20"/>
                <w:color w:val="auto"/>
              </w:rPr>
            </w:pPr>
            <w:r>
              <w:rPr>
                <w:rFonts w:ascii="Arial" w:cs="Arial" w:eastAsia="Arial" w:hAnsi="Arial"/>
                <w:sz w:val="15"/>
                <w:szCs w:val="15"/>
                <w:b w:val="1"/>
                <w:bCs w:val="1"/>
                <w:color w:val="auto"/>
              </w:rPr>
              <w:t>(425) 882-8080</w:t>
            </w:r>
          </w:p>
        </w:tc>
        <w:tc>
          <w:tcPr>
            <w:tcW w:w="2820" w:type="dxa"/>
            <w:vAlign w:val="bottom"/>
          </w:tcPr>
          <w:p>
            <w:pPr>
              <w:spacing w:after="0"/>
              <w:rPr>
                <w:sz w:val="18"/>
                <w:szCs w:val="18"/>
                <w:color w:val="auto"/>
              </w:rPr>
            </w:pPr>
          </w:p>
        </w:tc>
      </w:tr>
      <w:tr>
        <w:trPr>
          <w:trHeight w:val="215"/>
        </w:trPr>
        <w:tc>
          <w:tcPr>
            <w:tcW w:w="4340" w:type="dxa"/>
            <w:vAlign w:val="bottom"/>
          </w:tcPr>
          <w:p>
            <w:pPr>
              <w:spacing w:after="0"/>
              <w:rPr>
                <w:sz w:val="18"/>
                <w:szCs w:val="18"/>
                <w:color w:val="auto"/>
              </w:rPr>
            </w:pPr>
          </w:p>
        </w:tc>
        <w:tc>
          <w:tcPr>
            <w:tcW w:w="3520" w:type="dxa"/>
            <w:vAlign w:val="bottom"/>
          </w:tcPr>
          <w:p>
            <w:pPr>
              <w:jc w:val="center"/>
              <w:ind w:right="881"/>
              <w:spacing w:after="0"/>
              <w:rPr>
                <w:sz w:val="20"/>
                <w:szCs w:val="20"/>
                <w:color w:val="auto"/>
              </w:rPr>
            </w:pPr>
            <w:r>
              <w:rPr>
                <w:rFonts w:ascii="Arial" w:cs="Arial" w:eastAsia="Arial" w:hAnsi="Arial"/>
                <w:sz w:val="15"/>
                <w:szCs w:val="15"/>
                <w:b w:val="1"/>
                <w:bCs w:val="1"/>
                <w:color w:val="auto"/>
              </w:rPr>
              <w:t>www.microsoft.com/investor</w:t>
            </w:r>
          </w:p>
        </w:tc>
        <w:tc>
          <w:tcPr>
            <w:tcW w:w="2820" w:type="dxa"/>
            <w:vAlign w:val="bottom"/>
          </w:tcPr>
          <w:p>
            <w:pPr>
              <w:spacing w:after="0"/>
              <w:rPr>
                <w:sz w:val="18"/>
                <w:szCs w:val="18"/>
                <w:color w:val="auto"/>
              </w:rPr>
            </w:pPr>
          </w:p>
        </w:tc>
      </w:tr>
      <w:tr>
        <w:trPr>
          <w:trHeight w:val="258"/>
        </w:trPr>
        <w:tc>
          <w:tcPr>
            <w:tcW w:w="434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3520" w:type="dxa"/>
            <w:vAlign w:val="bottom"/>
          </w:tcPr>
          <w:p>
            <w:pPr>
              <w:spacing w:after="0"/>
              <w:rPr>
                <w:sz w:val="22"/>
                <w:szCs w:val="22"/>
                <w:color w:val="auto"/>
              </w:rPr>
            </w:pPr>
          </w:p>
        </w:tc>
        <w:tc>
          <w:tcPr>
            <w:tcW w:w="2820" w:type="dxa"/>
            <w:vAlign w:val="bottom"/>
          </w:tcPr>
          <w:p>
            <w:pPr>
              <w:spacing w:after="0"/>
              <w:rPr>
                <w:sz w:val="22"/>
                <w:szCs w:val="22"/>
                <w:color w:val="auto"/>
              </w:rPr>
            </w:pPr>
          </w:p>
        </w:tc>
      </w:tr>
      <w:tr>
        <w:trPr>
          <w:trHeight w:val="269"/>
        </w:trPr>
        <w:tc>
          <w:tcPr>
            <w:tcW w:w="4340" w:type="dxa"/>
            <w:vAlign w:val="bottom"/>
          </w:tcPr>
          <w:p>
            <w:pPr>
              <w:spacing w:after="0"/>
              <w:rPr>
                <w:sz w:val="20"/>
                <w:szCs w:val="20"/>
                <w:color w:val="auto"/>
              </w:rPr>
            </w:pPr>
            <w:r>
              <w:rPr>
                <w:rFonts w:ascii="Arial" w:cs="Arial" w:eastAsia="Arial" w:hAnsi="Arial"/>
                <w:sz w:val="16"/>
                <w:szCs w:val="16"/>
                <w:color w:val="auto"/>
              </w:rPr>
              <w:t>Title of each class</w:t>
            </w:r>
          </w:p>
        </w:tc>
        <w:tc>
          <w:tcPr>
            <w:tcW w:w="3520" w:type="dxa"/>
            <w:vAlign w:val="bottom"/>
          </w:tcPr>
          <w:p>
            <w:pPr>
              <w:jc w:val="center"/>
              <w:ind w:left="681"/>
              <w:spacing w:after="0"/>
              <w:rPr>
                <w:sz w:val="20"/>
                <w:szCs w:val="20"/>
                <w:color w:val="auto"/>
              </w:rPr>
            </w:pPr>
            <w:r>
              <w:rPr>
                <w:rFonts w:ascii="Arial" w:cs="Arial" w:eastAsia="Arial" w:hAnsi="Arial"/>
                <w:sz w:val="16"/>
                <w:szCs w:val="16"/>
                <w:color w:val="auto"/>
                <w:w w:val="99"/>
              </w:rPr>
              <w:t>Trading Symbol</w:t>
            </w:r>
          </w:p>
        </w:tc>
        <w:tc>
          <w:tcPr>
            <w:tcW w:w="2820" w:type="dxa"/>
            <w:vAlign w:val="bottom"/>
          </w:tcPr>
          <w:p>
            <w:pPr>
              <w:jc w:val="center"/>
              <w:spacing w:after="0"/>
              <w:rPr>
                <w:sz w:val="20"/>
                <w:szCs w:val="20"/>
                <w:color w:val="auto"/>
              </w:rPr>
            </w:pPr>
            <w:r>
              <w:rPr>
                <w:rFonts w:ascii="Arial" w:cs="Arial" w:eastAsia="Arial" w:hAnsi="Arial"/>
                <w:sz w:val="16"/>
                <w:szCs w:val="16"/>
                <w:color w:val="auto"/>
              </w:rPr>
              <w:t>Name of exchange on which registered</w:t>
            </w:r>
          </w:p>
        </w:tc>
      </w:tr>
      <w:tr>
        <w:trPr>
          <w:trHeight w:val="257"/>
        </w:trPr>
        <w:tc>
          <w:tcPr>
            <w:tcW w:w="4340" w:type="dxa"/>
            <w:vAlign w:val="bottom"/>
          </w:tcPr>
          <w:p>
            <w:pPr>
              <w:spacing w:after="0"/>
              <w:rPr>
                <w:sz w:val="20"/>
                <w:szCs w:val="20"/>
                <w:color w:val="auto"/>
              </w:rPr>
            </w:pPr>
            <w:r>
              <w:rPr>
                <w:rFonts w:ascii="Arial" w:cs="Arial" w:eastAsia="Arial" w:hAnsi="Arial"/>
                <w:sz w:val="16"/>
                <w:szCs w:val="16"/>
                <w:b w:val="1"/>
                <w:bCs w:val="1"/>
                <w:color w:val="auto"/>
              </w:rPr>
              <w:t>Common stock, $0.00000625 par value per share</w:t>
            </w:r>
          </w:p>
        </w:tc>
        <w:tc>
          <w:tcPr>
            <w:tcW w:w="3520" w:type="dxa"/>
            <w:vAlign w:val="bottom"/>
          </w:tcPr>
          <w:p>
            <w:pPr>
              <w:jc w:val="center"/>
              <w:ind w:left="681"/>
              <w:spacing w:after="0"/>
              <w:rPr>
                <w:sz w:val="20"/>
                <w:szCs w:val="20"/>
                <w:color w:val="auto"/>
              </w:rPr>
            </w:pPr>
            <w:r>
              <w:rPr>
                <w:rFonts w:ascii="Arial" w:cs="Arial" w:eastAsia="Arial" w:hAnsi="Arial"/>
                <w:sz w:val="16"/>
                <w:szCs w:val="16"/>
                <w:b w:val="1"/>
                <w:bCs w:val="1"/>
                <w:color w:val="auto"/>
              </w:rPr>
              <w:t>MSFT</w:t>
            </w:r>
          </w:p>
        </w:tc>
        <w:tc>
          <w:tcPr>
            <w:tcW w:w="2820" w:type="dxa"/>
            <w:vAlign w:val="bottom"/>
          </w:tcPr>
          <w:p>
            <w:pPr>
              <w:jc w:val="center"/>
              <w:spacing w:after="0"/>
              <w:rPr>
                <w:sz w:val="20"/>
                <w:szCs w:val="20"/>
                <w:color w:val="auto"/>
              </w:rPr>
            </w:pPr>
            <w:r>
              <w:rPr>
                <w:rFonts w:ascii="Arial" w:cs="Arial" w:eastAsia="Arial" w:hAnsi="Arial"/>
                <w:sz w:val="16"/>
                <w:szCs w:val="16"/>
                <w:b w:val="1"/>
                <w:bCs w:val="1"/>
                <w:color w:val="auto"/>
              </w:rPr>
              <w:t>NASDAQ</w:t>
            </w:r>
          </w:p>
        </w:tc>
      </w:tr>
      <w:tr>
        <w:trPr>
          <w:trHeight w:val="202"/>
        </w:trPr>
        <w:tc>
          <w:tcPr>
            <w:tcW w:w="4340" w:type="dxa"/>
            <w:vAlign w:val="bottom"/>
          </w:tcPr>
          <w:p>
            <w:pPr>
              <w:spacing w:after="0"/>
              <w:rPr>
                <w:sz w:val="20"/>
                <w:szCs w:val="20"/>
                <w:color w:val="auto"/>
              </w:rPr>
            </w:pPr>
            <w:r>
              <w:rPr>
                <w:rFonts w:ascii="Arial" w:cs="Arial" w:eastAsia="Arial" w:hAnsi="Arial"/>
                <w:sz w:val="16"/>
                <w:szCs w:val="16"/>
                <w:b w:val="1"/>
                <w:bCs w:val="1"/>
                <w:color w:val="auto"/>
              </w:rPr>
              <w:t>2.125% Notes due 2021</w:t>
            </w:r>
          </w:p>
        </w:tc>
        <w:tc>
          <w:tcPr>
            <w:tcW w:w="3520" w:type="dxa"/>
            <w:vAlign w:val="bottom"/>
          </w:tcPr>
          <w:p>
            <w:pPr>
              <w:jc w:val="center"/>
              <w:ind w:left="681"/>
              <w:spacing w:after="0"/>
              <w:rPr>
                <w:sz w:val="20"/>
                <w:szCs w:val="20"/>
                <w:color w:val="auto"/>
              </w:rPr>
            </w:pPr>
            <w:r>
              <w:rPr>
                <w:rFonts w:ascii="Arial" w:cs="Arial" w:eastAsia="Arial" w:hAnsi="Arial"/>
                <w:sz w:val="16"/>
                <w:szCs w:val="16"/>
                <w:b w:val="1"/>
                <w:bCs w:val="1"/>
                <w:color w:val="auto"/>
              </w:rPr>
              <w:t>MSFT</w:t>
            </w:r>
          </w:p>
        </w:tc>
        <w:tc>
          <w:tcPr>
            <w:tcW w:w="2820" w:type="dxa"/>
            <w:vAlign w:val="bottom"/>
          </w:tcPr>
          <w:p>
            <w:pPr>
              <w:jc w:val="center"/>
              <w:spacing w:after="0"/>
              <w:rPr>
                <w:sz w:val="20"/>
                <w:szCs w:val="20"/>
                <w:color w:val="auto"/>
              </w:rPr>
            </w:pPr>
            <w:r>
              <w:rPr>
                <w:rFonts w:ascii="Arial" w:cs="Arial" w:eastAsia="Arial" w:hAnsi="Arial"/>
                <w:sz w:val="16"/>
                <w:szCs w:val="16"/>
                <w:b w:val="1"/>
                <w:bCs w:val="1"/>
                <w:color w:val="auto"/>
              </w:rPr>
              <w:t>NASDAQ</w:t>
            </w:r>
          </w:p>
        </w:tc>
      </w:tr>
      <w:tr>
        <w:trPr>
          <w:trHeight w:val="202"/>
        </w:trPr>
        <w:tc>
          <w:tcPr>
            <w:tcW w:w="4340" w:type="dxa"/>
            <w:vAlign w:val="bottom"/>
          </w:tcPr>
          <w:p>
            <w:pPr>
              <w:spacing w:after="0"/>
              <w:rPr>
                <w:sz w:val="20"/>
                <w:szCs w:val="20"/>
                <w:color w:val="auto"/>
              </w:rPr>
            </w:pPr>
            <w:r>
              <w:rPr>
                <w:rFonts w:ascii="Arial" w:cs="Arial" w:eastAsia="Arial" w:hAnsi="Arial"/>
                <w:sz w:val="16"/>
                <w:szCs w:val="16"/>
                <w:b w:val="1"/>
                <w:bCs w:val="1"/>
                <w:color w:val="auto"/>
              </w:rPr>
              <w:t>3.125% Notes due 2028</w:t>
            </w:r>
          </w:p>
        </w:tc>
        <w:tc>
          <w:tcPr>
            <w:tcW w:w="3520" w:type="dxa"/>
            <w:vAlign w:val="bottom"/>
          </w:tcPr>
          <w:p>
            <w:pPr>
              <w:jc w:val="center"/>
              <w:ind w:left="681"/>
              <w:spacing w:after="0"/>
              <w:rPr>
                <w:sz w:val="20"/>
                <w:szCs w:val="20"/>
                <w:color w:val="auto"/>
              </w:rPr>
            </w:pPr>
            <w:r>
              <w:rPr>
                <w:rFonts w:ascii="Arial" w:cs="Arial" w:eastAsia="Arial" w:hAnsi="Arial"/>
                <w:sz w:val="16"/>
                <w:szCs w:val="16"/>
                <w:b w:val="1"/>
                <w:bCs w:val="1"/>
                <w:color w:val="auto"/>
              </w:rPr>
              <w:t>MSFT</w:t>
            </w:r>
          </w:p>
        </w:tc>
        <w:tc>
          <w:tcPr>
            <w:tcW w:w="2820" w:type="dxa"/>
            <w:vAlign w:val="bottom"/>
          </w:tcPr>
          <w:p>
            <w:pPr>
              <w:jc w:val="center"/>
              <w:spacing w:after="0"/>
              <w:rPr>
                <w:sz w:val="20"/>
                <w:szCs w:val="20"/>
                <w:color w:val="auto"/>
              </w:rPr>
            </w:pPr>
            <w:r>
              <w:rPr>
                <w:rFonts w:ascii="Arial" w:cs="Arial" w:eastAsia="Arial" w:hAnsi="Arial"/>
                <w:sz w:val="16"/>
                <w:szCs w:val="16"/>
                <w:b w:val="1"/>
                <w:bCs w:val="1"/>
                <w:color w:val="auto"/>
              </w:rPr>
              <w:t>NASDAQ</w:t>
            </w:r>
          </w:p>
        </w:tc>
      </w:tr>
      <w:tr>
        <w:trPr>
          <w:trHeight w:val="214"/>
        </w:trPr>
        <w:tc>
          <w:tcPr>
            <w:tcW w:w="4340" w:type="dxa"/>
            <w:vAlign w:val="bottom"/>
          </w:tcPr>
          <w:p>
            <w:pPr>
              <w:spacing w:after="0"/>
              <w:rPr>
                <w:sz w:val="20"/>
                <w:szCs w:val="20"/>
                <w:color w:val="auto"/>
              </w:rPr>
            </w:pPr>
            <w:r>
              <w:rPr>
                <w:rFonts w:ascii="Arial" w:cs="Arial" w:eastAsia="Arial" w:hAnsi="Arial"/>
                <w:sz w:val="16"/>
                <w:szCs w:val="16"/>
                <w:b w:val="1"/>
                <w:bCs w:val="1"/>
                <w:color w:val="auto"/>
              </w:rPr>
              <w:t>2.625% Notes due 2033</w:t>
            </w:r>
          </w:p>
        </w:tc>
        <w:tc>
          <w:tcPr>
            <w:tcW w:w="3520" w:type="dxa"/>
            <w:vAlign w:val="bottom"/>
          </w:tcPr>
          <w:p>
            <w:pPr>
              <w:jc w:val="center"/>
              <w:ind w:left="681"/>
              <w:spacing w:after="0"/>
              <w:rPr>
                <w:sz w:val="20"/>
                <w:szCs w:val="20"/>
                <w:color w:val="auto"/>
              </w:rPr>
            </w:pPr>
            <w:r>
              <w:rPr>
                <w:rFonts w:ascii="Arial" w:cs="Arial" w:eastAsia="Arial" w:hAnsi="Arial"/>
                <w:sz w:val="16"/>
                <w:szCs w:val="16"/>
                <w:b w:val="1"/>
                <w:bCs w:val="1"/>
                <w:color w:val="auto"/>
              </w:rPr>
              <w:t>MSFT</w:t>
            </w:r>
          </w:p>
        </w:tc>
        <w:tc>
          <w:tcPr>
            <w:tcW w:w="2820" w:type="dxa"/>
            <w:vAlign w:val="bottom"/>
          </w:tcPr>
          <w:p>
            <w:pPr>
              <w:jc w:val="center"/>
              <w:spacing w:after="0"/>
              <w:rPr>
                <w:sz w:val="20"/>
                <w:szCs w:val="20"/>
                <w:color w:val="auto"/>
              </w:rPr>
            </w:pPr>
            <w:r>
              <w:rPr>
                <w:rFonts w:ascii="Arial" w:cs="Arial" w:eastAsia="Arial" w:hAnsi="Arial"/>
                <w:sz w:val="16"/>
                <w:szCs w:val="16"/>
                <w:b w:val="1"/>
                <w:bCs w:val="1"/>
                <w:color w:val="auto"/>
              </w:rPr>
              <w:t>NASDAQ</w:t>
            </w:r>
          </w:p>
        </w:tc>
      </w:tr>
    </w:tbl>
    <w:p>
      <w:pPr>
        <w:spacing w:after="0" w:line="75"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12(g) of the Act:</w:t>
      </w:r>
    </w:p>
    <w:p>
      <w:pPr>
        <w:spacing w:after="0" w:line="8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NONE</w:t>
      </w:r>
    </w:p>
    <w:p>
      <w:pPr>
        <w:sectPr>
          <w:pgSz w:w="11900" w:h="16838" w:orient="portrait"/>
          <w:cols w:equalWidth="0" w:num="1">
            <w:col w:w="11240"/>
          </w:cols>
          <w:pgMar w:left="320" w:top="471" w:right="339" w:bottom="1440" w:gutter="0" w:footer="0" w:header="0"/>
        </w:sectPr>
      </w:pPr>
    </w:p>
    <w:p>
      <w:pPr>
        <w:spacing w:after="0" w:line="74"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1" w:lineRule="exact"/>
        <w:rPr>
          <w:sz w:val="24"/>
          <w:szCs w:val="24"/>
          <w:color w:val="auto"/>
        </w:rPr>
      </w:pPr>
    </w:p>
    <w:p>
      <w:pPr>
        <w:sectPr>
          <w:pgSz w:w="11900" w:h="16838" w:orient="portrait"/>
          <w:cols w:equalWidth="0" w:num="5">
            <w:col w:w="7880" w:space="160"/>
            <w:col w:w="260" w:space="80"/>
            <w:col w:w="140" w:space="160"/>
            <w:col w:w="200" w:space="80"/>
            <w:col w:w="2280"/>
          </w:cols>
          <w:pgMar w:left="320" w:top="471" w:right="339" w:bottom="1440" w:gutter="0" w:footer="0" w:header="0"/>
          <w:type w:val="continuous"/>
        </w:sectPr>
      </w:pPr>
    </w:p>
    <w:p>
      <w:pPr>
        <w:spacing w:after="0" w:line="40"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47" w:lineRule="exact"/>
        <w:rPr>
          <w:sz w:val="24"/>
          <w:szCs w:val="24"/>
          <w:color w:val="auto"/>
        </w:rPr>
      </w:pPr>
    </w:p>
    <w:p>
      <w:pPr>
        <w:sectPr>
          <w:pgSz w:w="11900" w:h="16838" w:orient="portrait"/>
          <w:cols w:equalWidth="0" w:num="5">
            <w:col w:w="7980" w:space="160"/>
            <w:col w:w="240" w:space="80"/>
            <w:col w:w="140" w:space="180"/>
            <w:col w:w="180" w:space="100"/>
            <w:col w:w="2180"/>
          </w:cols>
          <w:pgMar w:left="320" w:top="471" w:right="339" w:bottom="1440" w:gutter="0" w:footer="0" w:header="0"/>
          <w:type w:val="continuous"/>
        </w:sectPr>
      </w:pPr>
    </w:p>
    <w:p>
      <w:pPr>
        <w:jc w:val="both"/>
        <w:spacing w:after="0" w:line="231"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73" w:lineRule="exact"/>
        <w:tabs>
          <w:tab w:leader="none" w:pos="740" w:val="left"/>
          <w:tab w:leader="none" w:pos="1360" w:val="left"/>
        </w:tabs>
        <w:rPr>
          <w:sz w:val="20"/>
          <w:szCs w:val="20"/>
          <w:color w:val="auto"/>
        </w:rPr>
      </w:pPr>
      <w:r>
        <w:rPr>
          <w:rFonts w:ascii="Arial" w:cs="Arial" w:eastAsia="Arial" w:hAnsi="Arial"/>
          <w:sz w:val="15"/>
          <w:szCs w:val="15"/>
          <w:color w:val="auto"/>
        </w:rPr>
        <w:t>90 days.</w:t>
        <w:tab/>
        <w:t xml:space="preserve">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60" w:lineRule="exact"/>
        <w:rPr>
          <w:sz w:val="24"/>
          <w:szCs w:val="24"/>
          <w:color w:val="auto"/>
        </w:rPr>
      </w:pPr>
    </w:p>
    <w:p>
      <w:pPr>
        <w:jc w:val="both"/>
        <w:spacing w:after="0" w:line="18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0" w:lineRule="exact"/>
        <w:rPr>
          <w:sz w:val="24"/>
          <w:szCs w:val="24"/>
          <w:color w:val="auto"/>
        </w:rPr>
      </w:pPr>
    </w:p>
    <w:p>
      <w:pPr>
        <w:jc w:val="both"/>
        <w:spacing w:after="0" w:line="235"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71" w:right="339" w:bottom="1440" w:gutter="0" w:footer="0" w:header="0"/>
          <w:type w:val="continuous"/>
        </w:sectPr>
      </w:pPr>
    </w:p>
    <w:p>
      <w:pPr>
        <w:spacing w:after="0" w:line="19"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67" w:lineRule="exact"/>
        <w:rPr>
          <w:sz w:val="24"/>
          <w:szCs w:val="24"/>
          <w:color w:val="auto"/>
        </w:rPr>
      </w:pPr>
    </w:p>
    <w:p>
      <w:pPr>
        <w:sectPr>
          <w:pgSz w:w="11900" w:h="16838" w:orient="portrait"/>
          <w:cols w:equalWidth="0" w:num="2">
            <w:col w:w="6600" w:space="720"/>
            <w:col w:w="3920"/>
          </w:cols>
          <w:pgMar w:left="320" w:top="471" w:right="339" w:bottom="1440" w:gutter="0" w:footer="0" w:header="0"/>
          <w:type w:val="continuous"/>
        </w:sectPr>
      </w:pPr>
    </w:p>
    <w:p>
      <w:pPr>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rPr>
        <w:t>☐</w:t>
      </w:r>
    </w:p>
    <w:p>
      <w:pPr>
        <w:spacing w:after="0" w:line="4"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70" w:lineRule="exact"/>
        <w:rPr>
          <w:sz w:val="24"/>
          <w:szCs w:val="24"/>
          <w:color w:val="auto"/>
        </w:rPr>
      </w:pPr>
    </w:p>
    <w:p>
      <w:pPr>
        <w:sectPr>
          <w:pgSz w:w="11900" w:h="16838" w:orient="portrait"/>
          <w:cols w:equalWidth="0" w:num="2">
            <w:col w:w="6600" w:space="720"/>
            <w:col w:w="3920"/>
          </w:cols>
          <w:pgMar w:left="320" w:top="471" w:right="339" w:bottom="1440" w:gutter="0" w:footer="0" w:header="0"/>
          <w:type w:val="continuous"/>
        </w:sectPr>
      </w:pPr>
    </w:p>
    <w:p>
      <w:pPr>
        <w:spacing w:after="0" w:line="187"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30" w:lineRule="exact"/>
        <w:rPr>
          <w:sz w:val="24"/>
          <w:szCs w:val="24"/>
          <w:color w:val="auto"/>
        </w:rPr>
      </w:pPr>
    </w:p>
    <w:p>
      <w:pPr>
        <w:spacing w:after="0" w:line="187" w:lineRule="exact"/>
        <w:rPr>
          <w:sz w:val="20"/>
          <w:szCs w:val="20"/>
          <w:color w:val="auto"/>
        </w:rPr>
      </w:pPr>
      <w:r>
        <w:rPr>
          <w:rFonts w:ascii="Arial" w:cs="Arial" w:eastAsia="Arial" w:hAnsi="Arial"/>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4" w:lineRule="exact"/>
        <w:rPr>
          <w:sz w:val="24"/>
          <w:szCs w:val="24"/>
          <w:color w:val="auto"/>
        </w:rPr>
      </w:pPr>
    </w:p>
    <w:p>
      <w:pPr>
        <w:spacing w:after="0" w:line="173" w:lineRule="exact"/>
        <w:tabs>
          <w:tab w:leader="none" w:pos="6860" w:val="left"/>
          <w:tab w:leader="none" w:pos="7480" w:val="left"/>
        </w:tabs>
        <w:rPr>
          <w:sz w:val="20"/>
          <w:szCs w:val="20"/>
          <w:color w:val="auto"/>
        </w:rPr>
      </w:pPr>
      <w:r>
        <w:rPr>
          <w:rFonts w:ascii="Arial" w:cs="Arial" w:eastAsia="Arial" w:hAnsi="Arial"/>
          <w:sz w:val="15"/>
          <w:szCs w:val="15"/>
          <w:color w:val="auto"/>
        </w:rPr>
        <w:t>Indicate by check mark whether the registrant is a shell company (as defined in Rule 12b-2 of the Act).</w:t>
        <w:tab/>
        <w:t xml:space="preserve">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96" w:lineRule="exact"/>
        <w:rPr>
          <w:sz w:val="24"/>
          <w:szCs w:val="24"/>
          <w:color w:val="auto"/>
        </w:rPr>
      </w:pPr>
    </w:p>
    <w:p>
      <w:pPr>
        <w:spacing w:after="0"/>
        <w:rPr>
          <w:sz w:val="20"/>
          <w:szCs w:val="20"/>
          <w:color w:val="auto"/>
        </w:rPr>
      </w:pPr>
      <w:r>
        <w:rPr>
          <w:rFonts w:ascii="Arial" w:cs="Arial" w:eastAsia="Arial" w:hAnsi="Arial"/>
          <w:sz w:val="15"/>
          <w:szCs w:val="15"/>
          <w:color w:val="auto"/>
        </w:rPr>
        <w:t>As of December 31, 2020, the aggregate market value of the registrant’s common stock held by non-affiliates of the registrant was $1.7 trillion based on the closing sale price as reported on the NASDAQ National Market System. As of July 26, 2021, there were 7,514,891,248 shares of common stock outstanding.</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DOCUMENTS INCORPORATED BY REFERENCE</w:t>
      </w:r>
    </w:p>
    <w:p>
      <w:pPr>
        <w:spacing w:after="0" w:line="61"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Portions of the definitive Proxy Statement to be delivered to shareholders in connection with the Annual Meeting of Shareholders to be held on </w:t>
      </w:r>
      <w:r>
        <w:rPr>
          <w:rFonts w:ascii="Arial" w:cs="Arial" w:eastAsia="Arial" w:hAnsi="Arial"/>
          <w:sz w:val="14"/>
          <w:szCs w:val="14"/>
          <w:color w:val="auto"/>
        </w:rPr>
        <w:t>November 30, 2021</w:t>
      </w:r>
      <w:r>
        <w:rPr>
          <w:rFonts w:ascii="Arial" w:cs="Arial" w:eastAsia="Arial" w:hAnsi="Arial"/>
          <w:sz w:val="15"/>
          <w:szCs w:val="15"/>
          <w:color w:val="auto"/>
        </w:rPr>
        <w:t xml:space="preserve">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9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308610</wp:posOffset>
            </wp:positionV>
            <wp:extent cx="71583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71"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MICROSOFT CORPORATION</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Fiscal Year Ended June 30, 2021</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ectPr>
          <w:pgSz w:w="11900" w:h="16838" w:orient="portrait"/>
          <w:cols w:equalWidth="0" w:num="1">
            <w:col w:w="11240"/>
          </w:cols>
          <w:pgMar w:left="320" w:top="345" w:right="33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47" w:lineRule="exact"/>
        <w:rPr>
          <w:sz w:val="20"/>
          <w:szCs w:val="20"/>
          <w:color w:val="auto"/>
        </w:rPr>
      </w:pPr>
    </w:p>
    <w:tbl>
      <w:tblPr>
        <w:tblLayout w:type="fixed"/>
        <w:tblInd w:w="90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Arial" w:cs="Arial" w:eastAsia="Arial" w:hAnsi="Arial"/>
                <w:sz w:val="18"/>
                <w:szCs w:val="18"/>
                <w:color w:val="auto"/>
              </w:rPr>
              <w:t>Item 1.</w:t>
            </w:r>
          </w:p>
        </w:tc>
        <w:tc>
          <w:tcPr>
            <w:tcW w:w="3180" w:type="dxa"/>
            <w:vAlign w:val="bottom"/>
            <w:gridSpan w:val="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r>
      <w:tr>
        <w:trPr>
          <w:trHeight w:val="20"/>
        </w:trPr>
        <w:tc>
          <w:tcPr>
            <w:tcW w:w="12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43"/>
        </w:trPr>
        <w:tc>
          <w:tcPr>
            <w:tcW w:w="1240" w:type="dxa"/>
            <w:vAlign w:val="bottom"/>
          </w:tcPr>
          <w:p>
            <w:pPr>
              <w:spacing w:after="0"/>
              <w:rPr>
                <w:sz w:val="24"/>
                <w:szCs w:val="24"/>
                <w:color w:val="auto"/>
              </w:rPr>
            </w:pPr>
          </w:p>
        </w:tc>
        <w:tc>
          <w:tcPr>
            <w:tcW w:w="3180" w:type="dxa"/>
            <w:vAlign w:val="bottom"/>
            <w:tcBorders>
              <w:bottom w:val="single" w:sz="8" w:color="0000EE"/>
            </w:tcBorders>
            <w:gridSpan w:val="7"/>
          </w:tcPr>
          <w:p>
            <w:pPr>
              <w:spacing w:after="0"/>
              <w:rPr>
                <w:rFonts w:ascii="Arial" w:cs="Arial" w:eastAsia="Arial" w:hAnsi="Arial"/>
                <w:sz w:val="18"/>
                <w:szCs w:val="18"/>
                <w:color w:val="0000EE"/>
                <w:w w:val="98"/>
              </w:rPr>
            </w:pPr>
            <w:hyperlink w:anchor="page20">
              <w:r>
                <w:rPr>
                  <w:rFonts w:ascii="Arial" w:cs="Arial" w:eastAsia="Arial" w:hAnsi="Arial"/>
                  <w:sz w:val="18"/>
                  <w:szCs w:val="18"/>
                  <w:color w:val="0000EE"/>
                  <w:w w:val="98"/>
                </w:rPr>
                <w:t>Information about our Executive Officers</w:t>
              </w:r>
            </w:hyperlink>
          </w:p>
        </w:tc>
      </w:tr>
      <w:tr>
        <w:trPr>
          <w:trHeight w:val="343"/>
        </w:trPr>
        <w:tc>
          <w:tcPr>
            <w:tcW w:w="1240" w:type="dxa"/>
            <w:vAlign w:val="bottom"/>
          </w:tcPr>
          <w:p>
            <w:pPr>
              <w:spacing w:after="0"/>
              <w:rPr>
                <w:sz w:val="20"/>
                <w:szCs w:val="20"/>
                <w:color w:val="auto"/>
              </w:rPr>
            </w:pPr>
            <w:r>
              <w:rPr>
                <w:rFonts w:ascii="Arial" w:cs="Arial" w:eastAsia="Arial" w:hAnsi="Arial"/>
                <w:sz w:val="18"/>
                <w:szCs w:val="18"/>
                <w:color w:val="auto"/>
              </w:rPr>
              <w:t>Item 1A.</w:t>
            </w:r>
          </w:p>
        </w:tc>
        <w:tc>
          <w:tcPr>
            <w:tcW w:w="3180" w:type="dxa"/>
            <w:vAlign w:val="bottom"/>
            <w:gridSpan w:val="7"/>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Risk Factors</w:t>
              </w:r>
            </w:hyperlink>
          </w:p>
        </w:tc>
      </w:tr>
      <w:tr>
        <w:trPr>
          <w:trHeight w:val="20"/>
        </w:trPr>
        <w:tc>
          <w:tcPr>
            <w:tcW w:w="12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43"/>
        </w:trPr>
        <w:tc>
          <w:tcPr>
            <w:tcW w:w="1240" w:type="dxa"/>
            <w:vAlign w:val="bottom"/>
          </w:tcPr>
          <w:p>
            <w:pPr>
              <w:spacing w:after="0"/>
              <w:rPr>
                <w:sz w:val="20"/>
                <w:szCs w:val="20"/>
                <w:color w:val="auto"/>
              </w:rPr>
            </w:pPr>
            <w:r>
              <w:rPr>
                <w:rFonts w:ascii="Arial" w:cs="Arial" w:eastAsia="Arial" w:hAnsi="Arial"/>
                <w:sz w:val="18"/>
                <w:szCs w:val="18"/>
                <w:color w:val="auto"/>
              </w:rPr>
              <w:t>Item 1B.</w:t>
            </w:r>
          </w:p>
        </w:tc>
        <w:tc>
          <w:tcPr>
            <w:tcW w:w="2240" w:type="dxa"/>
            <w:vAlign w:val="bottom"/>
            <w:tcBorders>
              <w:bottom w:val="single" w:sz="8" w:color="0000EE"/>
            </w:tcBorders>
            <w:gridSpan w:val="6"/>
          </w:tcPr>
          <w:p>
            <w:pPr>
              <w:spacing w:after="0"/>
              <w:rPr>
                <w:rFonts w:ascii="Arial" w:cs="Arial" w:eastAsia="Arial" w:hAnsi="Arial"/>
                <w:sz w:val="18"/>
                <w:szCs w:val="18"/>
                <w:color w:val="0000EE"/>
                <w:w w:val="98"/>
              </w:rPr>
            </w:pPr>
            <w:hyperlink w:anchor="page36">
              <w:r>
                <w:rPr>
                  <w:rFonts w:ascii="Arial" w:cs="Arial" w:eastAsia="Arial" w:hAnsi="Arial"/>
                  <w:sz w:val="18"/>
                  <w:szCs w:val="18"/>
                  <w:color w:val="0000EE"/>
                  <w:w w:val="98"/>
                </w:rPr>
                <w:t>Unresolved Staff Comments</w:t>
              </w:r>
            </w:hyperlink>
          </w:p>
        </w:tc>
        <w:tc>
          <w:tcPr>
            <w:tcW w:w="940" w:type="dxa"/>
            <w:vAlign w:val="bottom"/>
          </w:tcPr>
          <w:p>
            <w:pPr>
              <w:spacing w:after="0"/>
              <w:rPr>
                <w:sz w:val="24"/>
                <w:szCs w:val="24"/>
                <w:color w:val="auto"/>
              </w:rPr>
            </w:pPr>
          </w:p>
        </w:tc>
      </w:tr>
      <w:tr>
        <w:trPr>
          <w:trHeight w:val="343"/>
        </w:trPr>
        <w:tc>
          <w:tcPr>
            <w:tcW w:w="1240" w:type="dxa"/>
            <w:vAlign w:val="bottom"/>
          </w:tcPr>
          <w:p>
            <w:pPr>
              <w:spacing w:after="0"/>
              <w:rPr>
                <w:sz w:val="20"/>
                <w:szCs w:val="20"/>
                <w:color w:val="auto"/>
              </w:rPr>
            </w:pPr>
            <w:r>
              <w:rPr>
                <w:rFonts w:ascii="Arial" w:cs="Arial" w:eastAsia="Arial" w:hAnsi="Arial"/>
                <w:sz w:val="18"/>
                <w:szCs w:val="18"/>
                <w:color w:val="auto"/>
              </w:rPr>
              <w:t>Item 2.</w:t>
            </w:r>
          </w:p>
        </w:tc>
        <w:tc>
          <w:tcPr>
            <w:tcW w:w="820" w:type="dxa"/>
            <w:vAlign w:val="bottom"/>
            <w:tcBorders>
              <w:bottom w:val="single" w:sz="8" w:color="0000EE"/>
            </w:tcBorders>
            <w:gridSpan w:val="2"/>
          </w:tcPr>
          <w:p>
            <w:pPr>
              <w:spacing w:after="0"/>
              <w:rPr>
                <w:rFonts w:ascii="Arial" w:cs="Arial" w:eastAsia="Arial" w:hAnsi="Arial"/>
                <w:sz w:val="18"/>
                <w:szCs w:val="18"/>
                <w:color w:val="0000EE"/>
                <w:w w:val="97"/>
              </w:rPr>
            </w:pPr>
            <w:hyperlink w:anchor="page36">
              <w:r>
                <w:rPr>
                  <w:rFonts w:ascii="Arial" w:cs="Arial" w:eastAsia="Arial" w:hAnsi="Arial"/>
                  <w:sz w:val="18"/>
                  <w:szCs w:val="18"/>
                  <w:color w:val="0000EE"/>
                  <w:w w:val="97"/>
                </w:rPr>
                <w:t>Properties</w:t>
              </w:r>
            </w:hyperlink>
          </w:p>
        </w:tc>
        <w:tc>
          <w:tcPr>
            <w:tcW w:w="2360" w:type="dxa"/>
            <w:vAlign w:val="bottom"/>
            <w:gridSpan w:val="5"/>
          </w:tcPr>
          <w:p>
            <w:pPr>
              <w:spacing w:after="0"/>
              <w:rPr>
                <w:sz w:val="24"/>
                <w:szCs w:val="24"/>
                <w:color w:val="auto"/>
              </w:rPr>
            </w:pPr>
          </w:p>
        </w:tc>
      </w:tr>
      <w:tr>
        <w:trPr>
          <w:trHeight w:val="343"/>
        </w:trPr>
        <w:tc>
          <w:tcPr>
            <w:tcW w:w="1240" w:type="dxa"/>
            <w:vAlign w:val="bottom"/>
          </w:tcPr>
          <w:p>
            <w:pPr>
              <w:spacing w:after="0"/>
              <w:rPr>
                <w:sz w:val="20"/>
                <w:szCs w:val="20"/>
                <w:color w:val="auto"/>
              </w:rPr>
            </w:pPr>
            <w:r>
              <w:rPr>
                <w:rFonts w:ascii="Arial" w:cs="Arial" w:eastAsia="Arial" w:hAnsi="Arial"/>
                <w:sz w:val="18"/>
                <w:szCs w:val="18"/>
                <w:color w:val="auto"/>
              </w:rPr>
              <w:t>Item 3.</w:t>
            </w:r>
          </w:p>
        </w:tc>
        <w:tc>
          <w:tcPr>
            <w:tcW w:w="1480" w:type="dxa"/>
            <w:vAlign w:val="bottom"/>
            <w:tcBorders>
              <w:bottom w:val="single" w:sz="8" w:color="0000EE"/>
            </w:tcBorders>
            <w:gridSpan w:val="4"/>
          </w:tcPr>
          <w:p>
            <w:pPr>
              <w:spacing w:after="0"/>
              <w:rPr>
                <w:rFonts w:ascii="Arial" w:cs="Arial" w:eastAsia="Arial" w:hAnsi="Arial"/>
                <w:sz w:val="18"/>
                <w:szCs w:val="18"/>
                <w:color w:val="0000EE"/>
                <w:w w:val="97"/>
              </w:rPr>
            </w:pPr>
            <w:hyperlink w:anchor="page36">
              <w:r>
                <w:rPr>
                  <w:rFonts w:ascii="Arial" w:cs="Arial" w:eastAsia="Arial" w:hAnsi="Arial"/>
                  <w:sz w:val="18"/>
                  <w:szCs w:val="18"/>
                  <w:color w:val="0000EE"/>
                  <w:w w:val="97"/>
                </w:rPr>
                <w:t>Legal Proceedings</w:t>
              </w:r>
            </w:hyperlink>
          </w:p>
        </w:tc>
        <w:tc>
          <w:tcPr>
            <w:tcW w:w="1700" w:type="dxa"/>
            <w:vAlign w:val="bottom"/>
            <w:gridSpan w:val="3"/>
          </w:tcPr>
          <w:p>
            <w:pPr>
              <w:spacing w:after="0"/>
              <w:rPr>
                <w:sz w:val="24"/>
                <w:szCs w:val="24"/>
                <w:color w:val="auto"/>
              </w:rPr>
            </w:pPr>
          </w:p>
        </w:tc>
      </w:tr>
      <w:tr>
        <w:trPr>
          <w:trHeight w:val="343"/>
        </w:trPr>
        <w:tc>
          <w:tcPr>
            <w:tcW w:w="1240" w:type="dxa"/>
            <w:vAlign w:val="bottom"/>
          </w:tcPr>
          <w:p>
            <w:pPr>
              <w:spacing w:after="0"/>
              <w:rPr>
                <w:sz w:val="20"/>
                <w:szCs w:val="20"/>
                <w:color w:val="auto"/>
              </w:rPr>
            </w:pPr>
            <w:r>
              <w:rPr>
                <w:rFonts w:ascii="Arial" w:cs="Arial" w:eastAsia="Arial" w:hAnsi="Arial"/>
                <w:sz w:val="18"/>
                <w:szCs w:val="18"/>
                <w:color w:val="auto"/>
              </w:rPr>
              <w:t>Item 4.</w:t>
            </w:r>
          </w:p>
        </w:tc>
        <w:tc>
          <w:tcPr>
            <w:tcW w:w="1920" w:type="dxa"/>
            <w:vAlign w:val="bottom"/>
            <w:tcBorders>
              <w:bottom w:val="single" w:sz="8" w:color="0000EE"/>
            </w:tcBorders>
            <w:gridSpan w:val="5"/>
          </w:tcPr>
          <w:p>
            <w:pPr>
              <w:spacing w:after="0"/>
              <w:rPr>
                <w:rFonts w:ascii="Arial" w:cs="Arial" w:eastAsia="Arial" w:hAnsi="Arial"/>
                <w:sz w:val="18"/>
                <w:szCs w:val="18"/>
                <w:color w:val="0000EE"/>
                <w:w w:val="98"/>
              </w:rPr>
            </w:pPr>
            <w:hyperlink w:anchor="page36">
              <w:r>
                <w:rPr>
                  <w:rFonts w:ascii="Arial" w:cs="Arial" w:eastAsia="Arial" w:hAnsi="Arial"/>
                  <w:sz w:val="18"/>
                  <w:szCs w:val="18"/>
                  <w:color w:val="0000EE"/>
                  <w:w w:val="98"/>
                </w:rPr>
                <w:t>Mine Safety Disclosures</w:t>
              </w:r>
            </w:hyperlink>
          </w:p>
        </w:tc>
        <w:tc>
          <w:tcPr>
            <w:tcW w:w="1260" w:type="dxa"/>
            <w:vAlign w:val="bottom"/>
            <w:gridSpan w:val="2"/>
          </w:tcPr>
          <w:p>
            <w:pPr>
              <w:spacing w:after="0"/>
              <w:rPr>
                <w:sz w:val="24"/>
                <w:szCs w:val="24"/>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Page</w:t>
      </w:r>
    </w:p>
    <w:p>
      <w:pPr>
        <w:spacing w:after="0" w:line="200" w:lineRule="exact"/>
        <w:rPr>
          <w:sz w:val="20"/>
          <w:szCs w:val="20"/>
          <w:color w:val="auto"/>
        </w:rPr>
      </w:pPr>
    </w:p>
    <w:p>
      <w:pPr>
        <w:spacing w:after="0" w:line="33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w:t>
      </w:r>
    </w:p>
    <w:p>
      <w:pPr>
        <w:spacing w:after="0" w:line="156"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20</w:t>
      </w:r>
    </w:p>
    <w:p>
      <w:pPr>
        <w:spacing w:after="0" w:line="156"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22</w:t>
      </w:r>
    </w:p>
    <w:p>
      <w:pPr>
        <w:spacing w:after="0" w:line="156"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36</w:t>
      </w:r>
    </w:p>
    <w:p>
      <w:pPr>
        <w:spacing w:after="0" w:line="156"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36</w:t>
      </w:r>
    </w:p>
    <w:p>
      <w:pPr>
        <w:spacing w:after="0" w:line="156"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36</w:t>
      </w:r>
    </w:p>
    <w:p>
      <w:pPr>
        <w:spacing w:after="0" w:line="156"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36</w:t>
      </w:r>
    </w:p>
    <w:p>
      <w:pPr>
        <w:spacing w:after="0" w:line="447" w:lineRule="exact"/>
        <w:rPr>
          <w:sz w:val="20"/>
          <w:szCs w:val="20"/>
          <w:color w:val="auto"/>
        </w:rPr>
      </w:pPr>
    </w:p>
    <w:p>
      <w:pPr>
        <w:sectPr>
          <w:pgSz w:w="11900" w:h="16838" w:orient="portrait"/>
          <w:cols w:equalWidth="0" w:num="2">
            <w:col w:w="10060" w:space="720"/>
            <w:col w:w="460"/>
          </w:cols>
          <w:pgMar w:left="320" w:top="345" w:right="339" w:bottom="1440" w:gutter="0" w:footer="0" w:header="0"/>
          <w:type w:val="continuous"/>
        </w:sectPr>
      </w:pPr>
    </w:p>
    <w:tbl>
      <w:tblPr>
        <w:tblLayout w:type="fixed"/>
        <w:tblInd w:w="90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Arial" w:cs="Arial" w:eastAsia="Arial" w:hAnsi="Arial"/>
                <w:sz w:val="18"/>
                <w:szCs w:val="18"/>
                <w:color w:val="auto"/>
              </w:rPr>
              <w:t>Item 5.</w:t>
            </w:r>
          </w:p>
        </w:tc>
        <w:tc>
          <w:tcPr>
            <w:tcW w:w="8540" w:type="dxa"/>
            <w:vAlign w:val="bottom"/>
            <w:tcBorders>
              <w:bottom w:val="single" w:sz="8" w:color="0000EE"/>
            </w:tcBorders>
            <w:gridSpan w:val="11"/>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Market for Registrant’s Common Equity, Related Stockholder Matters, and Issuer Purchases of Equity</w:t>
              </w:r>
            </w:hyperlink>
          </w:p>
        </w:tc>
      </w:tr>
      <w:tr>
        <w:trPr>
          <w:trHeight w:val="182"/>
        </w:trPr>
        <w:tc>
          <w:tcPr>
            <w:tcW w:w="1240" w:type="dxa"/>
            <w:vAlign w:val="bottom"/>
          </w:tcPr>
          <w:p>
            <w:pPr>
              <w:spacing w:after="0"/>
              <w:rPr>
                <w:sz w:val="15"/>
                <w:szCs w:val="15"/>
                <w:color w:val="auto"/>
              </w:rPr>
            </w:pPr>
          </w:p>
        </w:tc>
        <w:tc>
          <w:tcPr>
            <w:tcW w:w="8540" w:type="dxa"/>
            <w:vAlign w:val="bottom"/>
            <w:gridSpan w:val="11"/>
          </w:tcPr>
          <w:p>
            <w:pPr>
              <w:spacing w:after="0" w:line="182" w:lineRule="exact"/>
              <w:rPr>
                <w:rFonts w:ascii="Arial" w:cs="Arial" w:eastAsia="Arial" w:hAnsi="Arial"/>
                <w:sz w:val="18"/>
                <w:szCs w:val="18"/>
                <w:color w:val="0000EE"/>
              </w:rPr>
            </w:pPr>
            <w:hyperlink w:anchor="page37">
              <w:r>
                <w:rPr>
                  <w:rFonts w:ascii="Arial" w:cs="Arial" w:eastAsia="Arial" w:hAnsi="Arial"/>
                  <w:sz w:val="18"/>
                  <w:szCs w:val="18"/>
                  <w:color w:val="0000EE"/>
                </w:rPr>
                <w:t>Securities</w:t>
              </w:r>
            </w:hyperlink>
          </w:p>
        </w:tc>
      </w:tr>
      <w:tr>
        <w:trPr>
          <w:trHeight w:val="20"/>
        </w:trPr>
        <w:tc>
          <w:tcPr>
            <w:tcW w:w="12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303"/>
        </w:trPr>
        <w:tc>
          <w:tcPr>
            <w:tcW w:w="1240" w:type="dxa"/>
            <w:vAlign w:val="bottom"/>
          </w:tcPr>
          <w:p>
            <w:pPr>
              <w:spacing w:after="0"/>
              <w:rPr>
                <w:sz w:val="20"/>
                <w:szCs w:val="20"/>
                <w:color w:val="auto"/>
              </w:rPr>
            </w:pPr>
            <w:r>
              <w:rPr>
                <w:rFonts w:ascii="Arial" w:cs="Arial" w:eastAsia="Arial" w:hAnsi="Arial"/>
                <w:sz w:val="18"/>
                <w:szCs w:val="18"/>
                <w:color w:val="auto"/>
              </w:rPr>
              <w:t>Item 6.</w:t>
            </w:r>
          </w:p>
        </w:tc>
        <w:tc>
          <w:tcPr>
            <w:tcW w:w="8540" w:type="dxa"/>
            <w:vAlign w:val="bottom"/>
            <w:gridSpan w:val="11"/>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[Reserved]</w:t>
              </w:r>
            </w:hyperlink>
          </w:p>
        </w:tc>
      </w:tr>
      <w:tr>
        <w:trPr>
          <w:trHeight w:val="20"/>
        </w:trPr>
        <w:tc>
          <w:tcPr>
            <w:tcW w:w="12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343"/>
        </w:trPr>
        <w:tc>
          <w:tcPr>
            <w:tcW w:w="1240" w:type="dxa"/>
            <w:vAlign w:val="bottom"/>
          </w:tcPr>
          <w:p>
            <w:pPr>
              <w:spacing w:after="0"/>
              <w:rPr>
                <w:sz w:val="20"/>
                <w:szCs w:val="20"/>
                <w:color w:val="auto"/>
              </w:rPr>
            </w:pPr>
            <w:r>
              <w:rPr>
                <w:rFonts w:ascii="Arial" w:cs="Arial" w:eastAsia="Arial" w:hAnsi="Arial"/>
                <w:sz w:val="18"/>
                <w:szCs w:val="18"/>
                <w:color w:val="auto"/>
              </w:rPr>
              <w:t>Item 7.</w:t>
            </w:r>
          </w:p>
        </w:tc>
        <w:tc>
          <w:tcPr>
            <w:tcW w:w="8540" w:type="dxa"/>
            <w:vAlign w:val="bottom"/>
            <w:gridSpan w:val="11"/>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Management’s Discussion and Analysis of Financial Condition and Results of Operations</w:t>
              </w:r>
            </w:hyperlink>
          </w:p>
        </w:tc>
      </w:tr>
      <w:tr>
        <w:trPr>
          <w:trHeight w:val="343"/>
        </w:trPr>
        <w:tc>
          <w:tcPr>
            <w:tcW w:w="1240" w:type="dxa"/>
            <w:vAlign w:val="bottom"/>
          </w:tcPr>
          <w:p>
            <w:pPr>
              <w:spacing w:after="0"/>
              <w:rPr>
                <w:sz w:val="20"/>
                <w:szCs w:val="20"/>
                <w:color w:val="auto"/>
              </w:rPr>
            </w:pPr>
            <w:r>
              <w:rPr>
                <w:rFonts w:ascii="Arial" w:cs="Arial" w:eastAsia="Arial" w:hAnsi="Arial"/>
                <w:sz w:val="18"/>
                <w:szCs w:val="18"/>
                <w:color w:val="auto"/>
              </w:rPr>
              <w:t>Item 7A.</w:t>
            </w:r>
          </w:p>
        </w:tc>
        <w:tc>
          <w:tcPr>
            <w:tcW w:w="7040" w:type="dxa"/>
            <w:vAlign w:val="bottom"/>
            <w:tcBorders>
              <w:top w:val="single" w:sz="8" w:color="0000EE"/>
            </w:tcBorders>
            <w:gridSpan w:val="9"/>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Quantitative and Qualitative Disclosures about Market Risk</w:t>
              </w:r>
            </w:hyperlink>
          </w:p>
        </w:tc>
        <w:tc>
          <w:tcPr>
            <w:tcW w:w="1500" w:type="dxa"/>
            <w:vAlign w:val="bottom"/>
            <w:gridSpan w:val="2"/>
          </w:tcPr>
          <w:p>
            <w:pPr>
              <w:spacing w:after="0"/>
              <w:rPr>
                <w:sz w:val="24"/>
                <w:szCs w:val="24"/>
                <w:color w:val="auto"/>
              </w:rPr>
            </w:pPr>
          </w:p>
        </w:tc>
      </w:tr>
      <w:tr>
        <w:trPr>
          <w:trHeight w:val="343"/>
        </w:trPr>
        <w:tc>
          <w:tcPr>
            <w:tcW w:w="1240" w:type="dxa"/>
            <w:vAlign w:val="bottom"/>
          </w:tcPr>
          <w:p>
            <w:pPr>
              <w:spacing w:after="0"/>
              <w:rPr>
                <w:sz w:val="20"/>
                <w:szCs w:val="20"/>
                <w:color w:val="auto"/>
              </w:rPr>
            </w:pPr>
            <w:r>
              <w:rPr>
                <w:rFonts w:ascii="Arial" w:cs="Arial" w:eastAsia="Arial" w:hAnsi="Arial"/>
                <w:sz w:val="18"/>
                <w:szCs w:val="18"/>
                <w:color w:val="auto"/>
              </w:rPr>
              <w:t>Item 8.</w:t>
            </w:r>
          </w:p>
        </w:tc>
        <w:tc>
          <w:tcPr>
            <w:tcW w:w="4660" w:type="dxa"/>
            <w:vAlign w:val="bottom"/>
            <w:tcBorders>
              <w:top w:val="single" w:sz="8" w:color="0000EE"/>
            </w:tcBorders>
            <w:gridSpan w:val="7"/>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Financial Statements and Supplementary Data</w:t>
              </w:r>
            </w:hyperlink>
          </w:p>
        </w:tc>
        <w:tc>
          <w:tcPr>
            <w:tcW w:w="3880" w:type="dxa"/>
            <w:vAlign w:val="bottom"/>
            <w:gridSpan w:val="4"/>
          </w:tcPr>
          <w:p>
            <w:pPr>
              <w:spacing w:after="0"/>
              <w:rPr>
                <w:sz w:val="24"/>
                <w:szCs w:val="24"/>
                <w:color w:val="auto"/>
              </w:rPr>
            </w:pPr>
          </w:p>
        </w:tc>
      </w:tr>
      <w:tr>
        <w:trPr>
          <w:trHeight w:val="20"/>
        </w:trPr>
        <w:tc>
          <w:tcPr>
            <w:tcW w:w="124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343"/>
        </w:trPr>
        <w:tc>
          <w:tcPr>
            <w:tcW w:w="1240" w:type="dxa"/>
            <w:vAlign w:val="bottom"/>
          </w:tcPr>
          <w:p>
            <w:pPr>
              <w:spacing w:after="0"/>
              <w:rPr>
                <w:sz w:val="20"/>
                <w:szCs w:val="20"/>
                <w:color w:val="auto"/>
              </w:rPr>
            </w:pPr>
            <w:r>
              <w:rPr>
                <w:rFonts w:ascii="Arial" w:cs="Arial" w:eastAsia="Arial" w:hAnsi="Arial"/>
                <w:sz w:val="18"/>
                <w:szCs w:val="18"/>
                <w:color w:val="auto"/>
              </w:rPr>
              <w:t>Item 9.</w:t>
            </w:r>
          </w:p>
        </w:tc>
        <w:tc>
          <w:tcPr>
            <w:tcW w:w="7100" w:type="dxa"/>
            <w:vAlign w:val="bottom"/>
            <w:tcBorders>
              <w:bottom w:val="single" w:sz="8" w:color="0000EE"/>
            </w:tcBorders>
            <w:gridSpan w:val="10"/>
          </w:tcPr>
          <w:p>
            <w:pPr>
              <w:spacing w:after="0"/>
              <w:rPr>
                <w:rFonts w:ascii="Arial" w:cs="Arial" w:eastAsia="Arial" w:hAnsi="Arial"/>
                <w:sz w:val="18"/>
                <w:szCs w:val="18"/>
                <w:color w:val="0000EE"/>
                <w:w w:val="99"/>
              </w:rPr>
            </w:pPr>
            <w:hyperlink w:anchor="page99">
              <w:r>
                <w:rPr>
                  <w:rFonts w:ascii="Arial" w:cs="Arial" w:eastAsia="Arial" w:hAnsi="Arial"/>
                  <w:sz w:val="18"/>
                  <w:szCs w:val="18"/>
                  <w:color w:val="0000EE"/>
                  <w:w w:val="99"/>
                </w:rPr>
                <w:t>Changes in and Disagreements with Accountants on Accounting and Financial Disclosure</w:t>
              </w:r>
            </w:hyperlink>
          </w:p>
        </w:tc>
        <w:tc>
          <w:tcPr>
            <w:tcW w:w="1440" w:type="dxa"/>
            <w:vAlign w:val="bottom"/>
          </w:tcPr>
          <w:p>
            <w:pPr>
              <w:spacing w:after="0"/>
              <w:rPr>
                <w:sz w:val="24"/>
                <w:szCs w:val="24"/>
                <w:color w:val="auto"/>
              </w:rPr>
            </w:pPr>
          </w:p>
        </w:tc>
      </w:tr>
      <w:tr>
        <w:trPr>
          <w:trHeight w:val="343"/>
        </w:trPr>
        <w:tc>
          <w:tcPr>
            <w:tcW w:w="1240" w:type="dxa"/>
            <w:vAlign w:val="bottom"/>
          </w:tcPr>
          <w:p>
            <w:pPr>
              <w:spacing w:after="0"/>
              <w:rPr>
                <w:sz w:val="20"/>
                <w:szCs w:val="20"/>
                <w:color w:val="auto"/>
              </w:rPr>
            </w:pPr>
            <w:r>
              <w:rPr>
                <w:rFonts w:ascii="Arial" w:cs="Arial" w:eastAsia="Arial" w:hAnsi="Arial"/>
                <w:sz w:val="18"/>
                <w:szCs w:val="18"/>
                <w:color w:val="auto"/>
              </w:rPr>
              <w:t>Item 9A.</w:t>
            </w:r>
          </w:p>
        </w:tc>
        <w:tc>
          <w:tcPr>
            <w:tcW w:w="1980" w:type="dxa"/>
            <w:vAlign w:val="bottom"/>
            <w:tcBorders>
              <w:bottom w:val="single" w:sz="8" w:color="0000EE"/>
            </w:tcBorders>
            <w:gridSpan w:val="4"/>
          </w:tcPr>
          <w:p>
            <w:pPr>
              <w:spacing w:after="0"/>
              <w:rPr>
                <w:rFonts w:ascii="Arial" w:cs="Arial" w:eastAsia="Arial" w:hAnsi="Arial"/>
                <w:sz w:val="18"/>
                <w:szCs w:val="18"/>
                <w:color w:val="0000EE"/>
                <w:w w:val="98"/>
              </w:rPr>
            </w:pPr>
            <w:hyperlink w:anchor="page99">
              <w:r>
                <w:rPr>
                  <w:rFonts w:ascii="Arial" w:cs="Arial" w:eastAsia="Arial" w:hAnsi="Arial"/>
                  <w:sz w:val="18"/>
                  <w:szCs w:val="18"/>
                  <w:color w:val="0000EE"/>
                  <w:w w:val="98"/>
                </w:rPr>
                <w:t>Controls and Procedures</w:t>
              </w:r>
            </w:hyperlink>
          </w:p>
        </w:tc>
        <w:tc>
          <w:tcPr>
            <w:tcW w:w="6560" w:type="dxa"/>
            <w:vAlign w:val="bottom"/>
            <w:gridSpan w:val="7"/>
          </w:tcPr>
          <w:p>
            <w:pPr>
              <w:spacing w:after="0"/>
              <w:rPr>
                <w:sz w:val="24"/>
                <w:szCs w:val="24"/>
                <w:color w:val="auto"/>
              </w:rPr>
            </w:pPr>
          </w:p>
        </w:tc>
      </w:tr>
      <w:tr>
        <w:trPr>
          <w:trHeight w:val="343"/>
        </w:trPr>
        <w:tc>
          <w:tcPr>
            <w:tcW w:w="1240" w:type="dxa"/>
            <w:vAlign w:val="bottom"/>
          </w:tcPr>
          <w:p>
            <w:pPr>
              <w:spacing w:after="0"/>
              <w:rPr>
                <w:sz w:val="24"/>
                <w:szCs w:val="24"/>
                <w:color w:val="auto"/>
              </w:rPr>
            </w:pPr>
          </w:p>
        </w:tc>
        <w:tc>
          <w:tcPr>
            <w:tcW w:w="8540" w:type="dxa"/>
            <w:vAlign w:val="bottom"/>
            <w:gridSpan w:val="11"/>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Report of Management on Internal Control over Financial Reporting</w:t>
              </w:r>
            </w:hyperlink>
          </w:p>
        </w:tc>
      </w:tr>
      <w:tr>
        <w:trPr>
          <w:trHeight w:val="343"/>
        </w:trPr>
        <w:tc>
          <w:tcPr>
            <w:tcW w:w="1240" w:type="dxa"/>
            <w:vAlign w:val="bottom"/>
          </w:tcPr>
          <w:p>
            <w:pPr>
              <w:spacing w:after="0"/>
              <w:rPr>
                <w:sz w:val="24"/>
                <w:szCs w:val="24"/>
                <w:color w:val="auto"/>
              </w:rPr>
            </w:pPr>
          </w:p>
        </w:tc>
        <w:tc>
          <w:tcPr>
            <w:tcW w:w="45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9"/>
              </w:rPr>
            </w:pPr>
            <w:hyperlink w:anchor="page100">
              <w:r>
                <w:rPr>
                  <w:rFonts w:ascii="Arial" w:cs="Arial" w:eastAsia="Arial" w:hAnsi="Arial"/>
                  <w:sz w:val="18"/>
                  <w:szCs w:val="18"/>
                  <w:color w:val="0000EE"/>
                  <w:w w:val="99"/>
                </w:rPr>
                <w:t>Report of Independent Registered Public Accounting Firm</w:t>
              </w:r>
            </w:hyperlink>
          </w:p>
        </w:tc>
        <w:tc>
          <w:tcPr>
            <w:tcW w:w="760" w:type="dxa"/>
            <w:vAlign w:val="bottom"/>
            <w:tcBorders>
              <w:top w:val="single" w:sz="8" w:color="0000EE"/>
            </w:tcBorders>
            <w:gridSpan w:val="2"/>
          </w:tcPr>
          <w:p>
            <w:pPr>
              <w:spacing w:after="0"/>
              <w:rPr>
                <w:sz w:val="24"/>
                <w:szCs w:val="24"/>
                <w:color w:val="auto"/>
              </w:rPr>
            </w:pPr>
          </w:p>
        </w:tc>
        <w:tc>
          <w:tcPr>
            <w:tcW w:w="3200" w:type="dxa"/>
            <w:vAlign w:val="bottom"/>
            <w:gridSpan w:val="3"/>
          </w:tcPr>
          <w:p>
            <w:pPr>
              <w:spacing w:after="0"/>
              <w:rPr>
                <w:sz w:val="24"/>
                <w:szCs w:val="24"/>
                <w:color w:val="auto"/>
              </w:rPr>
            </w:pPr>
          </w:p>
        </w:tc>
      </w:tr>
      <w:tr>
        <w:trPr>
          <w:trHeight w:val="343"/>
        </w:trPr>
        <w:tc>
          <w:tcPr>
            <w:tcW w:w="1240" w:type="dxa"/>
            <w:vAlign w:val="bottom"/>
          </w:tcPr>
          <w:p>
            <w:pPr>
              <w:spacing w:after="0"/>
              <w:rPr>
                <w:sz w:val="20"/>
                <w:szCs w:val="20"/>
                <w:color w:val="auto"/>
              </w:rPr>
            </w:pPr>
            <w:r>
              <w:rPr>
                <w:rFonts w:ascii="Arial" w:cs="Arial" w:eastAsia="Arial" w:hAnsi="Arial"/>
                <w:sz w:val="18"/>
                <w:szCs w:val="18"/>
                <w:color w:val="auto"/>
              </w:rPr>
              <w:t>Item 9B.</w:t>
            </w:r>
          </w:p>
        </w:tc>
        <w:tc>
          <w:tcPr>
            <w:tcW w:w="8540" w:type="dxa"/>
            <w:vAlign w:val="bottom"/>
            <w:gridSpan w:val="11"/>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Other Information</w:t>
              </w:r>
            </w:hyperlink>
          </w:p>
        </w:tc>
      </w:tr>
      <w:tr>
        <w:trPr>
          <w:trHeight w:val="20"/>
        </w:trPr>
        <w:tc>
          <w:tcPr>
            <w:tcW w:w="12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37</w:t>
      </w:r>
    </w:p>
    <w:p>
      <w:pPr>
        <w:spacing w:after="0" w:line="156"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38</w:t>
      </w:r>
    </w:p>
    <w:p>
      <w:pPr>
        <w:spacing w:after="0" w:line="156"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39</w:t>
      </w:r>
    </w:p>
    <w:p>
      <w:pPr>
        <w:spacing w:after="0" w:line="156"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56</w:t>
      </w:r>
    </w:p>
    <w:p>
      <w:pPr>
        <w:spacing w:after="0" w:line="156"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57</w:t>
      </w:r>
    </w:p>
    <w:p>
      <w:pPr>
        <w:spacing w:after="0" w:line="156"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99</w:t>
      </w:r>
    </w:p>
    <w:p>
      <w:pPr>
        <w:spacing w:after="0" w:line="156"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99</w:t>
      </w:r>
    </w:p>
    <w:p>
      <w:pPr>
        <w:spacing w:after="0" w:line="156"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99</w:t>
      </w:r>
    </w:p>
    <w:p>
      <w:pPr>
        <w:spacing w:after="0" w:line="156"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100</w:t>
      </w:r>
    </w:p>
    <w:p>
      <w:pPr>
        <w:spacing w:after="0" w:line="168"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101</w:t>
      </w:r>
    </w:p>
    <w:p>
      <w:pPr>
        <w:spacing w:after="0" w:line="439" w:lineRule="exact"/>
        <w:rPr>
          <w:sz w:val="20"/>
          <w:szCs w:val="20"/>
          <w:color w:val="auto"/>
        </w:rPr>
      </w:pPr>
    </w:p>
    <w:p>
      <w:pPr>
        <w:sectPr>
          <w:pgSz w:w="11900" w:h="16838" w:orient="portrait"/>
          <w:cols w:equalWidth="0" w:num="2">
            <w:col w:w="10680" w:space="200"/>
            <w:col w:w="360"/>
          </w:cols>
          <w:pgMar w:left="320" w:top="345" w:right="339" w:bottom="1440" w:gutter="0" w:footer="0" w:header="0"/>
          <w:type w:val="continuous"/>
        </w:sectPr>
      </w:pPr>
    </w:p>
    <w:tbl>
      <w:tblPr>
        <w:tblLayout w:type="fixed"/>
        <w:tblInd w:w="0" w:type="dxa"/>
        <w:tblCellMar>
          <w:top w:w="0" w:type="dxa"/>
          <w:left w:w="0" w:type="dxa"/>
          <w:bottom w:w="0" w:type="dxa"/>
          <w:right w:w="0" w:type="dxa"/>
        </w:tblCellMar>
      </w:tblPr>
      <w:tr>
        <w:trPr>
          <w:trHeight w:val="227"/>
        </w:trPr>
        <w:tc>
          <w:tcPr>
            <w:tcW w:w="2140" w:type="dxa"/>
            <w:vAlign w:val="bottom"/>
            <w:vMerge w:val="restart"/>
          </w:tcPr>
          <w:p>
            <w:pPr>
              <w:ind w:left="900"/>
              <w:spacing w:after="0"/>
              <w:rPr>
                <w:sz w:val="20"/>
                <w:szCs w:val="20"/>
                <w:color w:val="auto"/>
              </w:rPr>
            </w:pPr>
            <w:r>
              <w:rPr>
                <w:rFonts w:ascii="Arial" w:cs="Arial" w:eastAsia="Arial" w:hAnsi="Arial"/>
                <w:sz w:val="18"/>
                <w:szCs w:val="18"/>
                <w:color w:val="auto"/>
              </w:rPr>
              <w:t>Item 10.</w:t>
            </w:r>
          </w:p>
        </w:tc>
        <w:tc>
          <w:tcPr>
            <w:tcW w:w="4480" w:type="dxa"/>
            <w:vAlign w:val="bottom"/>
            <w:tcBorders>
              <w:bottom w:val="single" w:sz="8" w:color="0000EE"/>
            </w:tcBorders>
            <w:gridSpan w:val="7"/>
          </w:tcPr>
          <w:p>
            <w:pPr>
              <w:spacing w:after="0"/>
              <w:rPr>
                <w:rFonts w:ascii="Arial" w:cs="Arial" w:eastAsia="Arial" w:hAnsi="Arial"/>
                <w:sz w:val="18"/>
                <w:szCs w:val="18"/>
                <w:color w:val="0000EE"/>
                <w:w w:val="99"/>
              </w:rPr>
            </w:pPr>
            <w:hyperlink w:anchor="page101">
              <w:r>
                <w:rPr>
                  <w:rFonts w:ascii="Arial" w:cs="Arial" w:eastAsia="Arial" w:hAnsi="Arial"/>
                  <w:sz w:val="18"/>
                  <w:szCs w:val="18"/>
                  <w:color w:val="0000EE"/>
                  <w:w w:val="99"/>
                </w:rPr>
                <w:t>Directors, Executive Officers and Corporate Governance</w:t>
              </w:r>
            </w:hyperlink>
          </w:p>
        </w:tc>
        <w:tc>
          <w:tcPr>
            <w:tcW w:w="1560" w:type="dxa"/>
            <w:vAlign w:val="bottom"/>
            <w:vMerge w:val="restart"/>
          </w:tcPr>
          <w:p>
            <w:pPr>
              <w:spacing w:after="0"/>
              <w:rPr>
                <w:sz w:val="19"/>
                <w:szCs w:val="19"/>
                <w:color w:val="auto"/>
              </w:rPr>
            </w:pPr>
          </w:p>
        </w:tc>
        <w:tc>
          <w:tcPr>
            <w:tcW w:w="1940" w:type="dxa"/>
            <w:vAlign w:val="bottom"/>
            <w:vMerge w:val="restart"/>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61"/>
        </w:trPr>
        <w:tc>
          <w:tcPr>
            <w:tcW w:w="21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194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2140" w:type="dxa"/>
            <w:vAlign w:val="bottom"/>
            <w:vMerge w:val="restart"/>
          </w:tcPr>
          <w:p>
            <w:pPr>
              <w:ind w:left="900"/>
              <w:spacing w:after="0"/>
              <w:rPr>
                <w:sz w:val="20"/>
                <w:szCs w:val="20"/>
                <w:color w:val="auto"/>
              </w:rPr>
            </w:pPr>
            <w:r>
              <w:rPr>
                <w:rFonts w:ascii="Arial" w:cs="Arial" w:eastAsia="Arial" w:hAnsi="Arial"/>
                <w:sz w:val="18"/>
                <w:szCs w:val="18"/>
                <w:color w:val="auto"/>
              </w:rPr>
              <w:t>Item 11.</w:t>
            </w:r>
          </w:p>
        </w:tc>
        <w:tc>
          <w:tcPr>
            <w:tcW w:w="1980" w:type="dxa"/>
            <w:vAlign w:val="bottom"/>
            <w:tcBorders>
              <w:bottom w:val="single" w:sz="8" w:color="0000EE"/>
            </w:tcBorders>
            <w:gridSpan w:val="4"/>
          </w:tcPr>
          <w:p>
            <w:pPr>
              <w:spacing w:after="0"/>
              <w:rPr>
                <w:rFonts w:ascii="Arial" w:cs="Arial" w:eastAsia="Arial" w:hAnsi="Arial"/>
                <w:sz w:val="18"/>
                <w:szCs w:val="18"/>
                <w:color w:val="0000EE"/>
                <w:w w:val="98"/>
              </w:rPr>
            </w:pPr>
            <w:hyperlink w:anchor="page101">
              <w:r>
                <w:rPr>
                  <w:rFonts w:ascii="Arial" w:cs="Arial" w:eastAsia="Arial" w:hAnsi="Arial"/>
                  <w:sz w:val="18"/>
                  <w:szCs w:val="18"/>
                  <w:color w:val="0000EE"/>
                  <w:w w:val="98"/>
                </w:rPr>
                <w:t>Executive Compensation</w:t>
              </w:r>
            </w:hyperlink>
          </w:p>
        </w:tc>
        <w:tc>
          <w:tcPr>
            <w:tcW w:w="1180" w:type="dxa"/>
            <w:vAlign w:val="bottom"/>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2840" w:type="dxa"/>
            <w:vAlign w:val="bottom"/>
            <w:gridSpan w:val="2"/>
            <w:vMerge w:val="restart"/>
          </w:tcPr>
          <w:p>
            <w:pPr>
              <w:spacing w:after="0"/>
              <w:rPr>
                <w:sz w:val="24"/>
                <w:szCs w:val="24"/>
                <w:color w:val="auto"/>
              </w:rPr>
            </w:pPr>
          </w:p>
        </w:tc>
        <w:tc>
          <w:tcPr>
            <w:tcW w:w="1940" w:type="dxa"/>
            <w:vAlign w:val="bottom"/>
            <w:vMerge w:val="restart"/>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61"/>
        </w:trPr>
        <w:tc>
          <w:tcPr>
            <w:tcW w:w="21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2840" w:type="dxa"/>
            <w:vAlign w:val="bottom"/>
            <w:gridSpan w:val="2"/>
            <w:vMerge w:val="continue"/>
          </w:tcPr>
          <w:p>
            <w:pPr>
              <w:spacing w:after="0"/>
              <w:rPr>
                <w:sz w:val="5"/>
                <w:szCs w:val="5"/>
                <w:color w:val="auto"/>
              </w:rPr>
            </w:pPr>
          </w:p>
        </w:tc>
        <w:tc>
          <w:tcPr>
            <w:tcW w:w="194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2140" w:type="dxa"/>
            <w:vAlign w:val="bottom"/>
            <w:vMerge w:val="restart"/>
          </w:tcPr>
          <w:p>
            <w:pPr>
              <w:ind w:left="900"/>
              <w:spacing w:after="0"/>
              <w:rPr>
                <w:sz w:val="20"/>
                <w:szCs w:val="20"/>
                <w:color w:val="auto"/>
              </w:rPr>
            </w:pPr>
            <w:r>
              <w:rPr>
                <w:rFonts w:ascii="Arial" w:cs="Arial" w:eastAsia="Arial" w:hAnsi="Arial"/>
                <w:sz w:val="18"/>
                <w:szCs w:val="18"/>
                <w:color w:val="auto"/>
              </w:rPr>
              <w:t>Item 12.</w:t>
            </w:r>
          </w:p>
        </w:tc>
        <w:tc>
          <w:tcPr>
            <w:tcW w:w="7980" w:type="dxa"/>
            <w:vAlign w:val="bottom"/>
            <w:tcBorders>
              <w:bottom w:val="single" w:sz="8" w:color="0000EE"/>
            </w:tcBorders>
            <w:gridSpan w:val="9"/>
          </w:tcPr>
          <w:p>
            <w:pPr>
              <w:spacing w:after="0"/>
              <w:rPr>
                <w:rFonts w:ascii="Arial" w:cs="Arial" w:eastAsia="Arial" w:hAnsi="Arial"/>
                <w:sz w:val="18"/>
                <w:szCs w:val="18"/>
                <w:color w:val="0000EE"/>
                <w:w w:val="99"/>
              </w:rPr>
            </w:pPr>
            <w:hyperlink w:anchor="page101">
              <w:r>
                <w:rPr>
                  <w:rFonts w:ascii="Arial" w:cs="Arial" w:eastAsia="Arial" w:hAnsi="Arial"/>
                  <w:sz w:val="18"/>
                  <w:szCs w:val="18"/>
                  <w:color w:val="0000EE"/>
                  <w:w w:val="99"/>
                </w:rPr>
                <w:t>Security Ownership of Certain Beneficial Owners and Management and Related Stockholder Matters</w:t>
              </w:r>
            </w:hyperlink>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61"/>
        </w:trPr>
        <w:tc>
          <w:tcPr>
            <w:tcW w:w="21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500" w:type="dxa"/>
            <w:vAlign w:val="bottom"/>
            <w:gridSpan w:val="2"/>
          </w:tcPr>
          <w:p>
            <w:pPr>
              <w:spacing w:after="0"/>
              <w:rPr>
                <w:sz w:val="5"/>
                <w:szCs w:val="5"/>
                <w:color w:val="auto"/>
              </w:rPr>
            </w:pPr>
          </w:p>
        </w:tc>
        <w:tc>
          <w:tcPr>
            <w:tcW w:w="40" w:type="dxa"/>
            <w:vAlign w:val="bottom"/>
          </w:tcPr>
          <w:p>
            <w:pPr>
              <w:spacing w:after="0"/>
              <w:rPr>
                <w:sz w:val="5"/>
                <w:szCs w:val="5"/>
                <w:color w:val="auto"/>
              </w:rPr>
            </w:pPr>
          </w:p>
        </w:tc>
        <w:tc>
          <w:tcPr>
            <w:tcW w:w="2840" w:type="dxa"/>
            <w:vAlign w:val="bottom"/>
            <w:gridSpan w:val="2"/>
          </w:tcPr>
          <w:p>
            <w:pPr>
              <w:spacing w:after="0"/>
              <w:rPr>
                <w:sz w:val="5"/>
                <w:szCs w:val="5"/>
                <w:color w:val="auto"/>
              </w:rPr>
            </w:pPr>
          </w:p>
        </w:tc>
        <w:tc>
          <w:tcPr>
            <w:tcW w:w="19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2140" w:type="dxa"/>
            <w:vAlign w:val="bottom"/>
            <w:vMerge w:val="restart"/>
          </w:tcPr>
          <w:p>
            <w:pPr>
              <w:ind w:left="900"/>
              <w:spacing w:after="0"/>
              <w:rPr>
                <w:sz w:val="20"/>
                <w:szCs w:val="20"/>
                <w:color w:val="auto"/>
              </w:rPr>
            </w:pPr>
            <w:r>
              <w:rPr>
                <w:rFonts w:ascii="Arial" w:cs="Arial" w:eastAsia="Arial" w:hAnsi="Arial"/>
                <w:sz w:val="18"/>
                <w:szCs w:val="18"/>
                <w:color w:val="auto"/>
              </w:rPr>
              <w:t>Item 13.</w:t>
            </w:r>
          </w:p>
        </w:tc>
        <w:tc>
          <w:tcPr>
            <w:tcW w:w="6040" w:type="dxa"/>
            <w:vAlign w:val="bottom"/>
            <w:tcBorders>
              <w:bottom w:val="single" w:sz="8" w:color="0000EE"/>
            </w:tcBorders>
            <w:gridSpan w:val="8"/>
          </w:tcPr>
          <w:p>
            <w:pPr>
              <w:spacing w:after="0"/>
              <w:rPr>
                <w:rFonts w:ascii="Arial" w:cs="Arial" w:eastAsia="Arial" w:hAnsi="Arial"/>
                <w:sz w:val="18"/>
                <w:szCs w:val="18"/>
                <w:color w:val="0000EE"/>
                <w:w w:val="98"/>
              </w:rPr>
            </w:pPr>
            <w:hyperlink w:anchor="page101">
              <w:r>
                <w:rPr>
                  <w:rFonts w:ascii="Arial" w:cs="Arial" w:eastAsia="Arial" w:hAnsi="Arial"/>
                  <w:sz w:val="18"/>
                  <w:szCs w:val="18"/>
                  <w:color w:val="0000EE"/>
                  <w:w w:val="98"/>
                </w:rPr>
                <w:t>Certain Relationships and Related Transactions, and Director Independence</w:t>
              </w:r>
            </w:hyperlink>
          </w:p>
        </w:tc>
        <w:tc>
          <w:tcPr>
            <w:tcW w:w="1940" w:type="dxa"/>
            <w:vAlign w:val="bottom"/>
            <w:vMerge w:val="restart"/>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61"/>
        </w:trPr>
        <w:tc>
          <w:tcPr>
            <w:tcW w:w="21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500" w:type="dxa"/>
            <w:vAlign w:val="bottom"/>
            <w:gridSpan w:val="2"/>
          </w:tcPr>
          <w:p>
            <w:pPr>
              <w:spacing w:after="0"/>
              <w:rPr>
                <w:sz w:val="5"/>
                <w:szCs w:val="5"/>
                <w:color w:val="auto"/>
              </w:rPr>
            </w:pPr>
          </w:p>
        </w:tc>
        <w:tc>
          <w:tcPr>
            <w:tcW w:w="40" w:type="dxa"/>
            <w:vAlign w:val="bottom"/>
          </w:tcPr>
          <w:p>
            <w:pPr>
              <w:spacing w:after="0"/>
              <w:rPr>
                <w:sz w:val="5"/>
                <w:szCs w:val="5"/>
                <w:color w:val="auto"/>
              </w:rPr>
            </w:pPr>
          </w:p>
        </w:tc>
        <w:tc>
          <w:tcPr>
            <w:tcW w:w="2840" w:type="dxa"/>
            <w:vAlign w:val="bottom"/>
            <w:gridSpan w:val="2"/>
          </w:tcPr>
          <w:p>
            <w:pPr>
              <w:spacing w:after="0"/>
              <w:rPr>
                <w:sz w:val="5"/>
                <w:szCs w:val="5"/>
                <w:color w:val="auto"/>
              </w:rPr>
            </w:pPr>
          </w:p>
        </w:tc>
        <w:tc>
          <w:tcPr>
            <w:tcW w:w="194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2140" w:type="dxa"/>
            <w:vAlign w:val="bottom"/>
            <w:vMerge w:val="restart"/>
          </w:tcPr>
          <w:p>
            <w:pPr>
              <w:ind w:left="900"/>
              <w:spacing w:after="0"/>
              <w:rPr>
                <w:sz w:val="20"/>
                <w:szCs w:val="20"/>
                <w:color w:val="auto"/>
              </w:rPr>
            </w:pPr>
            <w:r>
              <w:rPr>
                <w:rFonts w:ascii="Arial" w:cs="Arial" w:eastAsia="Arial" w:hAnsi="Arial"/>
                <w:sz w:val="18"/>
                <w:szCs w:val="18"/>
                <w:color w:val="auto"/>
              </w:rPr>
              <w:t>Item 14.</w:t>
            </w:r>
          </w:p>
        </w:tc>
        <w:tc>
          <w:tcPr>
            <w:tcW w:w="20" w:type="dxa"/>
            <w:vAlign w:val="bottom"/>
            <w:vMerge w:val="restart"/>
          </w:tcPr>
          <w:p>
            <w:pPr>
              <w:spacing w:after="0"/>
              <w:rPr>
                <w:sz w:val="24"/>
                <w:szCs w:val="24"/>
                <w:color w:val="auto"/>
              </w:rPr>
            </w:pPr>
          </w:p>
        </w:tc>
        <w:tc>
          <w:tcPr>
            <w:tcW w:w="3140" w:type="dxa"/>
            <w:vAlign w:val="bottom"/>
            <w:tcBorders>
              <w:bottom w:val="single" w:sz="8" w:color="0000EE"/>
            </w:tcBorders>
            <w:gridSpan w:val="4"/>
          </w:tcPr>
          <w:p>
            <w:pPr>
              <w:spacing w:after="0"/>
              <w:rPr>
                <w:rFonts w:ascii="Arial" w:cs="Arial" w:eastAsia="Arial" w:hAnsi="Arial"/>
                <w:sz w:val="18"/>
                <w:szCs w:val="18"/>
                <w:color w:val="0000EE"/>
                <w:w w:val="98"/>
              </w:rPr>
            </w:pPr>
            <w:hyperlink w:anchor="page101">
              <w:r>
                <w:rPr>
                  <w:rFonts w:ascii="Arial" w:cs="Arial" w:eastAsia="Arial" w:hAnsi="Arial"/>
                  <w:sz w:val="18"/>
                  <w:szCs w:val="18"/>
                  <w:color w:val="0000EE"/>
                  <w:w w:val="98"/>
                </w:rPr>
                <w:t>Principal Accounting Fees and Services</w:t>
              </w:r>
            </w:hyperlink>
          </w:p>
        </w:tc>
        <w:tc>
          <w:tcPr>
            <w:tcW w:w="40" w:type="dxa"/>
            <w:vAlign w:val="bottom"/>
            <w:vMerge w:val="restart"/>
          </w:tcPr>
          <w:p>
            <w:pPr>
              <w:spacing w:after="0"/>
              <w:rPr>
                <w:sz w:val="24"/>
                <w:szCs w:val="24"/>
                <w:color w:val="auto"/>
              </w:rPr>
            </w:pPr>
          </w:p>
        </w:tc>
        <w:tc>
          <w:tcPr>
            <w:tcW w:w="4780" w:type="dxa"/>
            <w:vAlign w:val="bottom"/>
            <w:gridSpan w:val="3"/>
            <w:vMerge w:val="restart"/>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61"/>
        </w:trPr>
        <w:tc>
          <w:tcPr>
            <w:tcW w:w="214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500" w:type="dxa"/>
            <w:vAlign w:val="bottom"/>
            <w:gridSpan w:val="2"/>
          </w:tcPr>
          <w:p>
            <w:pPr>
              <w:spacing w:after="0"/>
              <w:rPr>
                <w:sz w:val="5"/>
                <w:szCs w:val="5"/>
                <w:color w:val="auto"/>
              </w:rPr>
            </w:pPr>
          </w:p>
        </w:tc>
        <w:tc>
          <w:tcPr>
            <w:tcW w:w="40" w:type="dxa"/>
            <w:vAlign w:val="bottom"/>
            <w:vMerge w:val="continue"/>
          </w:tcPr>
          <w:p>
            <w:pPr>
              <w:spacing w:after="0"/>
              <w:rPr>
                <w:sz w:val="5"/>
                <w:szCs w:val="5"/>
                <w:color w:val="auto"/>
              </w:rPr>
            </w:pPr>
          </w:p>
        </w:tc>
        <w:tc>
          <w:tcPr>
            <w:tcW w:w="4780" w:type="dxa"/>
            <w:vAlign w:val="bottom"/>
            <w:gridSpan w:val="3"/>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3"/>
        </w:trPr>
        <w:tc>
          <w:tcPr>
            <w:tcW w:w="214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140" w:type="dxa"/>
            <w:vAlign w:val="bottom"/>
            <w:vMerge w:val="restart"/>
          </w:tcPr>
          <w:p>
            <w:pPr>
              <w:ind w:left="900"/>
              <w:spacing w:after="0"/>
              <w:rPr>
                <w:sz w:val="20"/>
                <w:szCs w:val="20"/>
                <w:color w:val="auto"/>
              </w:rPr>
            </w:pPr>
            <w:r>
              <w:rPr>
                <w:rFonts w:ascii="Arial" w:cs="Arial" w:eastAsia="Arial" w:hAnsi="Arial"/>
                <w:sz w:val="18"/>
                <w:szCs w:val="18"/>
                <w:color w:val="auto"/>
              </w:rPr>
              <w:t>Item 15.</w:t>
            </w:r>
          </w:p>
        </w:tc>
        <w:tc>
          <w:tcPr>
            <w:tcW w:w="3200" w:type="dxa"/>
            <w:vAlign w:val="bottom"/>
            <w:tcBorders>
              <w:bottom w:val="single" w:sz="8" w:color="0000EE"/>
            </w:tcBorders>
            <w:gridSpan w:val="6"/>
          </w:tcPr>
          <w:p>
            <w:pPr>
              <w:spacing w:after="0"/>
              <w:rPr>
                <w:rFonts w:ascii="Arial" w:cs="Arial" w:eastAsia="Arial" w:hAnsi="Arial"/>
                <w:sz w:val="18"/>
                <w:szCs w:val="18"/>
                <w:color w:val="0000EE"/>
                <w:w w:val="99"/>
              </w:rPr>
            </w:pPr>
            <w:hyperlink w:anchor="page102">
              <w:r>
                <w:rPr>
                  <w:rFonts w:ascii="Arial" w:cs="Arial" w:eastAsia="Arial" w:hAnsi="Arial"/>
                  <w:sz w:val="18"/>
                  <w:szCs w:val="18"/>
                  <w:color w:val="0000EE"/>
                  <w:w w:val="99"/>
                </w:rPr>
                <w:t>Exhibits, Financial Statement Schedules</w:t>
              </w:r>
            </w:hyperlink>
          </w:p>
        </w:tc>
        <w:tc>
          <w:tcPr>
            <w:tcW w:w="4780" w:type="dxa"/>
            <w:vAlign w:val="bottom"/>
            <w:gridSpan w:val="3"/>
            <w:vMerge w:val="restart"/>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61"/>
        </w:trPr>
        <w:tc>
          <w:tcPr>
            <w:tcW w:w="2140" w:type="dxa"/>
            <w:vAlign w:val="bottom"/>
            <w:vMerge w:val="continue"/>
          </w:tcPr>
          <w:p>
            <w:pPr>
              <w:spacing w:after="0"/>
              <w:rPr>
                <w:sz w:val="5"/>
                <w:szCs w:val="5"/>
                <w:color w:val="auto"/>
              </w:rPr>
            </w:pPr>
          </w:p>
        </w:tc>
        <w:tc>
          <w:tcPr>
            <w:tcW w:w="860" w:type="dxa"/>
            <w:vAlign w:val="bottom"/>
            <w:gridSpan w:val="2"/>
          </w:tcPr>
          <w:p>
            <w:pPr>
              <w:spacing w:after="0"/>
              <w:rPr>
                <w:sz w:val="5"/>
                <w:szCs w:val="5"/>
                <w:color w:val="auto"/>
              </w:rPr>
            </w:pPr>
          </w:p>
        </w:tc>
        <w:tc>
          <w:tcPr>
            <w:tcW w:w="800" w:type="dxa"/>
            <w:vAlign w:val="bottom"/>
          </w:tcPr>
          <w:p>
            <w:pPr>
              <w:spacing w:after="0"/>
              <w:rPr>
                <w:sz w:val="5"/>
                <w:szCs w:val="5"/>
                <w:color w:val="auto"/>
              </w:rPr>
            </w:pPr>
          </w:p>
        </w:tc>
        <w:tc>
          <w:tcPr>
            <w:tcW w:w="1540" w:type="dxa"/>
            <w:vAlign w:val="bottom"/>
            <w:gridSpan w:val="3"/>
          </w:tcPr>
          <w:p>
            <w:pPr>
              <w:spacing w:after="0"/>
              <w:rPr>
                <w:sz w:val="5"/>
                <w:szCs w:val="5"/>
                <w:color w:val="auto"/>
              </w:rPr>
            </w:pPr>
          </w:p>
        </w:tc>
        <w:tc>
          <w:tcPr>
            <w:tcW w:w="4780" w:type="dxa"/>
            <w:vAlign w:val="bottom"/>
            <w:gridSpan w:val="3"/>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2140" w:type="dxa"/>
            <w:vAlign w:val="bottom"/>
            <w:vMerge w:val="restart"/>
          </w:tcPr>
          <w:p>
            <w:pPr>
              <w:ind w:left="900"/>
              <w:spacing w:after="0"/>
              <w:rPr>
                <w:sz w:val="20"/>
                <w:szCs w:val="20"/>
                <w:color w:val="auto"/>
              </w:rPr>
            </w:pPr>
            <w:r>
              <w:rPr>
                <w:rFonts w:ascii="Arial" w:cs="Arial" w:eastAsia="Arial" w:hAnsi="Arial"/>
                <w:sz w:val="18"/>
                <w:szCs w:val="18"/>
                <w:color w:val="auto"/>
              </w:rPr>
              <w:t>Item 16.</w:t>
            </w:r>
          </w:p>
        </w:tc>
        <w:tc>
          <w:tcPr>
            <w:tcW w:w="1660" w:type="dxa"/>
            <w:vAlign w:val="bottom"/>
            <w:tcBorders>
              <w:bottom w:val="single" w:sz="8" w:color="0000EE"/>
            </w:tcBorders>
            <w:gridSpan w:val="3"/>
          </w:tcPr>
          <w:p>
            <w:pPr>
              <w:spacing w:after="0"/>
              <w:rPr>
                <w:rFonts w:ascii="Arial" w:cs="Arial" w:eastAsia="Arial" w:hAnsi="Arial"/>
                <w:sz w:val="18"/>
                <w:szCs w:val="18"/>
                <w:color w:val="0000EE"/>
                <w:w w:val="98"/>
              </w:rPr>
            </w:pPr>
            <w:hyperlink w:anchor="page108">
              <w:r>
                <w:rPr>
                  <w:rFonts w:ascii="Arial" w:cs="Arial" w:eastAsia="Arial" w:hAnsi="Arial"/>
                  <w:sz w:val="18"/>
                  <w:szCs w:val="18"/>
                  <w:color w:val="0000EE"/>
                  <w:w w:val="98"/>
                </w:rPr>
                <w:t>Form 10-K Summary</w:t>
              </w:r>
            </w:hyperlink>
          </w:p>
        </w:tc>
        <w:tc>
          <w:tcPr>
            <w:tcW w:w="6320" w:type="dxa"/>
            <w:vAlign w:val="bottom"/>
            <w:gridSpan w:val="6"/>
            <w:vMerge w:val="restart"/>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61"/>
        </w:trPr>
        <w:tc>
          <w:tcPr>
            <w:tcW w:w="2140" w:type="dxa"/>
            <w:vAlign w:val="bottom"/>
            <w:vMerge w:val="continue"/>
          </w:tcPr>
          <w:p>
            <w:pPr>
              <w:spacing w:after="0"/>
              <w:rPr>
                <w:sz w:val="5"/>
                <w:szCs w:val="5"/>
                <w:color w:val="auto"/>
              </w:rPr>
            </w:pPr>
          </w:p>
        </w:tc>
        <w:tc>
          <w:tcPr>
            <w:tcW w:w="860" w:type="dxa"/>
            <w:vAlign w:val="bottom"/>
            <w:gridSpan w:val="2"/>
          </w:tcPr>
          <w:p>
            <w:pPr>
              <w:spacing w:after="0"/>
              <w:rPr>
                <w:sz w:val="5"/>
                <w:szCs w:val="5"/>
                <w:color w:val="auto"/>
              </w:rPr>
            </w:pPr>
          </w:p>
        </w:tc>
        <w:tc>
          <w:tcPr>
            <w:tcW w:w="800" w:type="dxa"/>
            <w:vAlign w:val="bottom"/>
          </w:tcPr>
          <w:p>
            <w:pPr>
              <w:spacing w:after="0"/>
              <w:rPr>
                <w:sz w:val="5"/>
                <w:szCs w:val="5"/>
                <w:color w:val="auto"/>
              </w:rPr>
            </w:pPr>
          </w:p>
        </w:tc>
        <w:tc>
          <w:tcPr>
            <w:tcW w:w="6320" w:type="dxa"/>
            <w:vAlign w:val="bottom"/>
            <w:gridSpan w:val="6"/>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214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840" w:type="dxa"/>
            <w:vAlign w:val="bottom"/>
            <w:tcBorders>
              <w:bottom w:val="single" w:sz="8" w:color="0000EE"/>
            </w:tcBorders>
          </w:tcPr>
          <w:p>
            <w:pPr>
              <w:spacing w:after="0"/>
              <w:rPr>
                <w:rFonts w:ascii="Arial" w:cs="Arial" w:eastAsia="Arial" w:hAnsi="Arial"/>
                <w:sz w:val="18"/>
                <w:szCs w:val="18"/>
                <w:color w:val="0000EE"/>
                <w:w w:val="95"/>
              </w:rPr>
            </w:pPr>
            <w:hyperlink w:anchor="page109">
              <w:r>
                <w:rPr>
                  <w:rFonts w:ascii="Arial" w:cs="Arial" w:eastAsia="Arial" w:hAnsi="Arial"/>
                  <w:sz w:val="18"/>
                  <w:szCs w:val="18"/>
                  <w:color w:val="0000EE"/>
                  <w:w w:val="95"/>
                </w:rPr>
                <w:t>Signatures</w:t>
              </w:r>
            </w:hyperlink>
          </w:p>
        </w:tc>
        <w:tc>
          <w:tcPr>
            <w:tcW w:w="7120" w:type="dxa"/>
            <w:vAlign w:val="bottom"/>
            <w:gridSpan w:val="7"/>
            <w:vMerge w:val="restart"/>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61"/>
        </w:trPr>
        <w:tc>
          <w:tcPr>
            <w:tcW w:w="214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7120" w:type="dxa"/>
            <w:vAlign w:val="bottom"/>
            <w:gridSpan w:val="7"/>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6"/>
        </w:trPr>
        <w:tc>
          <w:tcPr>
            <w:tcW w:w="2140" w:type="dxa"/>
            <w:vAlign w:val="bottom"/>
          </w:tcPr>
          <w:p>
            <w:pPr>
              <w:spacing w:after="0"/>
              <w:rPr>
                <w:sz w:val="24"/>
                <w:szCs w:val="24"/>
                <w:color w:val="auto"/>
              </w:rPr>
            </w:pPr>
          </w:p>
        </w:tc>
        <w:tc>
          <w:tcPr>
            <w:tcW w:w="4480" w:type="dxa"/>
            <w:vAlign w:val="bottom"/>
            <w:gridSpan w:val="7"/>
          </w:tcPr>
          <w:p>
            <w:pPr>
              <w:ind w:left="3440"/>
              <w:spacing w:after="0"/>
              <w:rPr>
                <w:sz w:val="20"/>
                <w:szCs w:val="20"/>
                <w:color w:val="auto"/>
              </w:rPr>
            </w:pPr>
            <w:r>
              <w:rPr>
                <w:rFonts w:ascii="Arial" w:cs="Arial" w:eastAsia="Arial" w:hAnsi="Arial"/>
                <w:sz w:val="14"/>
                <w:szCs w:val="14"/>
                <w:color w:val="auto"/>
              </w:rPr>
              <w:t>2</w:t>
            </w:r>
          </w:p>
        </w:tc>
        <w:tc>
          <w:tcPr>
            <w:tcW w:w="15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2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19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type w:val="continuous"/>
        </w:sectPr>
      </w:pPr>
    </w:p>
    <w:bookmarkStart w:id="2" w:name="page3"/>
    <w:bookmarkEnd w:id="2"/>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About Forward-Looking Statements</w:t>
      </w:r>
    </w:p>
    <w:p>
      <w:pPr>
        <w:spacing w:after="0" w:line="17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This report includes estimates, projections, statements relating to our business plans, objectives, and expected operating results that are “forward-looking statements” within the meaning of the Private Securities Litigation Reform Act of 1995, Section 27A of the Securities Act of 1933, and Section 21E of the Securities Exchange Act of 1934. Forward-looking statements may appear throughout this report, including the following sections: “Business” (Part I, Item 1 of this Form 10-K), “Risk Factors” (Part I, Item 1A of this Form 10-K), and “Management’s Discussion and Analysis of Financial Condition and Results of Operations” (Part II, Item 7 of this Form 10-K). These forward-looking statements generally are identified by the words “believe,” “project,” “expect,” “anticipate,” “estimate,” “intend,” “strategy,” “future,” “opportunity,” “plan,” “may,” “should,” “will,” “would,” “will be,” “will continue,” “will likely result,” and similar expressions. Forward-looking statements are based on current expectations and assumptions that are subject to risks and uncertainties that may cause actual results to differ materially. We describe risks and uncertainties that could cause actual results and events to differ materially in “Risk Factors,” “Management’s Discussion and Analysis of Financial Condition and Results of Operations,” and “Quantitative and Qualitative Disclosures about Market Risk” (Part II, Item 7A of this Form 10-K). Readers are cautioned not to place undue reliance on forward-looking statements, which speak only as of the date they are made. We undertake no obligation to update or revise publicly any forward-looking statements, whether because of new information, future events, or otherwise.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 BUSINESS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Embracing Our Future</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Microsoft is a technology company whose mission is to empower every person and every organization on the planet to achieve more. We strive to create local opportunity, growth, and impact in every country around the world. Our platforms and tools help drive small business productivity, large business competitiveness, and public-sector efficiency. They also support new startups, improve educational and health outcomes, and empower human ingenuity.</w:t>
      </w:r>
    </w:p>
    <w:p>
      <w:pPr>
        <w:spacing w:after="0" w:line="14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bring technology and products together into experiences and solutions that unlock value for our customers. Our ecosystem of customers and partners has stepped up to help people and organizations in every country use technology to be resilient and transform during the most trying of circumstances. Amid rapid change we’ve witnessed technology empower telehealth, remote manufacturing, and new ways of working from home and serving customers. These capabilities have relied on the public cloud, which is built on the investments we have made over time.</w:t>
      </w:r>
    </w:p>
    <w:p>
      <w:pPr>
        <w:spacing w:after="0" w:line="14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are living in the new era of the intelligent cloud and intelligent edge, which is being sharpened by rapid advances in distributed computing, ambient intelligence, and multidevice experiences. This means the places we go and the things we interact with will increasingly become digitized, creating new opportunities and new breakthroughs. In the next phase of innovation, computing is more powerful and ubiquitous from the cloud to the edge. Artificial intelligence (“AI”) capabilities are rapidly advancing, fueled by data and knowledge of the world. Physical and virtual worlds are coming together with the Internet of Things (“IoT”) and mixed reality to create richer experiences that understand the context surrounding people, the things they use, the places they go, and their activities and relationships. A person’s experience with technology spans a multitude of devices and has become increasingly more natural and multi-sensory with voice, ink, and gaze interactions.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We Offer</w:t>
      </w:r>
    </w:p>
    <w:p>
      <w:pPr>
        <w:spacing w:after="0" w:line="17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Founded in 1975, we develop and support software, services, devices, and solutions that deliver new value for customers and help people and businesses realize their full potential.</w:t>
      </w:r>
    </w:p>
    <w:p>
      <w:pPr>
        <w:spacing w:after="0" w:line="14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offer an array of services, including cloud-based solutions that provide customers with software, services, platforms, and content, and we provide solution support and consulting services. We also deliver relevant online advertising to a global audience.</w:t>
      </w:r>
    </w:p>
    <w:p>
      <w:pPr>
        <w:spacing w:after="0" w:line="14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products include operating systems, cross-device productivity applications, server applications, business solution applications, desktop and server management tools, software development tools, and video games. We also design and sell devices, including PCs, tablets, gaming and entertainment consoles, other intelligent devices, and related accessories.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3" w:name="page4"/>
    <w:bookmarkEnd w:id="3"/>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Ambitions That Drive 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To achieve our vision, our research and development efforts focus on three interconnected ambitions:</w:t>
      </w:r>
    </w:p>
    <w:p>
      <w:pPr>
        <w:spacing w:after="0" w:line="76" w:lineRule="exact"/>
        <w:rPr>
          <w:sz w:val="20"/>
          <w:szCs w:val="20"/>
          <w:color w:val="auto"/>
        </w:rPr>
      </w:pPr>
    </w:p>
    <w:p>
      <w:pPr>
        <w:ind w:left="1060" w:hanging="39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Reinvent productivity and business processes.</w:t>
      </w:r>
    </w:p>
    <w:p>
      <w:pPr>
        <w:spacing w:after="0" w:line="62" w:lineRule="exact"/>
        <w:rPr>
          <w:rFonts w:ascii="Arial" w:cs="Arial" w:eastAsia="Arial" w:hAnsi="Arial"/>
          <w:sz w:val="18"/>
          <w:szCs w:val="18"/>
          <w:color w:val="auto"/>
        </w:rPr>
      </w:pPr>
    </w:p>
    <w:p>
      <w:pPr>
        <w:ind w:left="1060" w:hanging="39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Build the intelligent cloud and intelligent edge platform.</w:t>
      </w:r>
    </w:p>
    <w:p>
      <w:pPr>
        <w:spacing w:after="0" w:line="62" w:lineRule="exact"/>
        <w:rPr>
          <w:rFonts w:ascii="Arial" w:cs="Arial" w:eastAsia="Arial" w:hAnsi="Arial"/>
          <w:sz w:val="18"/>
          <w:szCs w:val="18"/>
          <w:color w:val="auto"/>
        </w:rPr>
      </w:pPr>
    </w:p>
    <w:p>
      <w:pPr>
        <w:ind w:left="1060" w:hanging="39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Create more personal computing.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Reinvent Productivity and Business Processes</w:t>
      </w:r>
    </w:p>
    <w:p>
      <w:pPr>
        <w:spacing w:after="0" w:line="17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At Microsoft, we’re providing technology and resources to help our customers navigate a remote environment. We’re seeing our family of products play key roles in the ways the world is continuing to work, learn, and connect.</w:t>
      </w:r>
    </w:p>
    <w:p>
      <w:pPr>
        <w:spacing w:after="0" w:line="14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growth depends on securely delivering continuous innovation and advancing our leading productivity and collaboration tools and services, including Office, Dynamics, and LinkedIn. Microsoft 365 brings together Office 365, Windows, and Enterprise Mobility + Security to help organizations empower their employees with AI-backed tools that unlock creativity, increase teamwork, and fuel innovation, all the while enabling compliance coverage and data protection. Microsoft Teams is enabling rapid digital transformation by giving people a single tool to chat, call, meet, and collaborate. Microsoft Viva is an employee experience platform that brings together communications, knowledge, learning, resources, and insights powered by Microsoft 365. Microsoft Relationship Sales solution brings together LinkedIn Sales Navigator and Dynamics to transform business to business sales through social selling. Dynamics 365 for Talent with LinkedIn Recruiter and Learning gives human resource professionals a complete solution to compete for talent. Microsoft Power Platform empowers employees to build custom applications, automate workflow, and analyze data no matter their technical expertise.</w:t>
      </w:r>
    </w:p>
    <w:p>
      <w:pPr>
        <w:spacing w:after="0" w:line="15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These scenarios represent a move to unlock creativity and discover new habits, while simplifying security and management. Organizations of all sizes have digitized business-critical functions, redefining what they can expect from their business applications. This creates an opportunity to reach new customers and increase usage and engagement with existing customers.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Build the Intelligent Cloud and Intelligent Edge Platform</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the new remote world, companies have accelerated their own digital transformation to empower their employees, optimize their operations, engage customers, and in some cases, change the very core of their products and services. Partnering with organizations on their digital transformation during this period is one of our largest opportunities and we are uniquely positioned to become the strategic digital transformation platform and partner of choice; their success is our success.</w:t>
      </w:r>
    </w:p>
    <w:p>
      <w:pPr>
        <w:spacing w:after="0" w:line="14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strategy requires continued investment in datacenters and other hybrid and edge infrastructure to support our services. Azure is a trusted cloud with comprehensive compliance coverage and AI-based security built in.</w:t>
      </w:r>
    </w:p>
    <w:p>
      <w:pPr>
        <w:spacing w:after="0" w:line="14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cloud business benefits from three economies of scale: datacenters that deploy computational resources at significantly lower cost per unit than smaller ones; datacenters that coordinate and aggregate diverse customer, geographic, and application demand patterns, improving the utilization of computing, storage, and network resources; and multi-tenancy locations that lower application maintenance labor costs.</w:t>
      </w:r>
    </w:p>
    <w:p>
      <w:pPr>
        <w:spacing w:after="0" w:line="13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Microsoft Cloud is the most comprehensive and trusted cloud, providing the best integration across the technology stack while offering openness, improving time to value, reducing costs, and increasing agility. Being a global-scale cloud, Azure uniquely offers hybrid consistency, developer productivity, AI capabilities, and trusted security and compliance. We see more emerging use cases and needs for compute and security at the edge and are accelerating our innovation across the spectrum of intelligent edge devices, from IoT sensors to gateway devices and edge hardware to build, manage, and secure edge workloads. With Azure Stack, organizations can extend Azure into their own datacenters to create a consistent stack across the public cloud and the intelligent edge. Our hybrid infrastructure consistency spans security, compliance, identity, and management, helping to support the real-world needs and evolving regulatory requirements of commercial customers and enterprises. Azure Arc simplifies governance and management by delivering a consistent multi-cloud and on-premises management platform. Security, compliance, identity, and management underlie our entire tech stack. We offer integrated, end-to-end capabilities to protect people and organizations. In April 2021, we entered into a definitive agreement to acquire Nuance Communications, Inc., a cloud and AI software provider with healthcare and enterprise AI experience. The acquisition will build on our industry-specific cloud offerings.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4" w:name="page5"/>
    <w:bookmarkEnd w:id="4"/>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3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are accelerating our development of mixed reality solutions with new Azure services and devices. Microsoft Mesh enables presence and shared experiences from anywhere through mixed reality applications. The opportunity to merge the physical and digital worlds, when combined with the power of Azure cloud services, unlocks the potential for entirely new workloads and experiences which we believe will shape the next era of computing.</w:t>
      </w:r>
    </w:p>
    <w:p>
      <w:pPr>
        <w:spacing w:after="0" w:line="14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ability to convert data into AI drives our competitive advantage. Azure SQL Database makes it possible for customers to take SQL Server from their on-premises datacenter to a fully managed instance in the cloud to utilize built-in AI. Azure Synapse Analytics, a limitless analytics service, brings together data integration, enterprise data warehousing, and big data analytics for immediate business intelligence and machine learning needs. We are accelerating adoption of AI innovations from research to products. Our innovation helps every developer be an AI developer, with approachable new tools from Azure Machine Learning Studio for creating simple machine learning models, to the powerful Azure Machine Learning Workbench for the most advanced AI modeling and data science. From GitHub to Visual Studio, we provide a developer tool chain for everyone, no matter the technical experience, across all platforms, whether Azure, Windows, or any other cloud or client platform.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Create More Personal Computing</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strive to make computing more personal by putting people at the core of the experience, enabling them to interact with technology in more intuitive, engaging, and dynamic ways. Microsoft 365 is empowering people and organizations to be productive and secure as they adapt to more fluid ways of working and learning. The PC has been mission-critical across work, school, and life to sustain productivity in a remote everything world.</w:t>
      </w:r>
    </w:p>
    <w:p>
      <w:pPr>
        <w:spacing w:after="0" w:line="14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Windows 10 serves the enterprise as the most secure and productive operating system. It empowers people with AI-first interfaces ranging from voice-activated commands through Cortana, inking, immersive 3D content storytelling, and mixed reality experiences. Our ambition for Windows 10 monetization opportunities includes gaming, services, subscriptions, and search advertising. In June 2021, Microsoft announced the next generation of Windows – Windows 11. Windows 11 builds on the strengths of productivity, versatility, and security on Windows 10 today and adds in new experiences that include powerful task switching tools like new snap layouts, snap groups, and desktops; new ways to stay connected through chat; the information you want at your fingertips; and more. Windows also plays a critical role in fueling our cloud business and Microsoft 365 strategy, and it powers the growing range of devices on the “intelligent edge.”</w:t>
      </w:r>
    </w:p>
    <w:p>
      <w:pPr>
        <w:spacing w:after="0" w:line="14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Microsoft Edge is our fast and secure browser that helps protect your data, with built-in shopping tools designed to save you time and money. Organizational tools such as Collections, Vertical Tabs, and Immersive Reader help you make the most of your time while browsing, streaming, searching, sharing, and more.</w:t>
      </w:r>
    </w:p>
    <w:p>
      <w:pPr>
        <w:spacing w:after="0" w:line="14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are committed to designing and marketing first-party devices to help drive innovation, create new device categories, and stimulate demand in the Windows ecosystem. The Surface family includes Surface Book 3, Surface Laptop Go, Surface Go 2, Surface Pro 7, Surface Laptop 4, Surface Pro X, Surface Studio 2, and Surface Duo.</w:t>
      </w:r>
    </w:p>
    <w:p>
      <w:pPr>
        <w:spacing w:after="0" w:line="14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To expand usage and deepen engagement, we continue to invest in content, community, and cloud services as we pursue the expansive opportunity in the gaming industry. We have broadened our approach to how we think about gaming end-to-end, from the way games are created and distributed to how they are played, including cloud gaming so players can stream across PC, console, and mobile. We have a strong position with our large and growing highly engaged community of gamers, including the March 2021 acquisition of ZeniMax Media Inc., the parent company of Bethesda Softworks LLC, one of the largest, privately held game developers and publishers in the world. Xbox Game Pass is a community with access to a curated library of over 100 first- and third-party console and PC titles. Xbox Cloud Gaming is Microsoft’s game streaming technology that is complementary to our console hardware and gives fans the ultimate choice to play the games they want, with the people they want, on the devices they want.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5" w:name="page6"/>
    <w:bookmarkEnd w:id="5"/>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Opportunity</w:t>
      </w:r>
    </w:p>
    <w:p>
      <w:pPr>
        <w:spacing w:after="0" w:line="17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 time of great disruption and uncertainty, customers are looking to us to accelerate their own digital transformations as software and cloud computing play a huge role across every industry and around the world. We continue to develop complete, intelligent solutions for our customers that empower people to stay productive and collaborate, while safeguarding businesses and simplifying IT management. Our goal is to lead the industry in several distinct areas of technology over the long-term, which we expect will translate to sustained growth. We are investing significant resources in:</w:t>
      </w:r>
    </w:p>
    <w:p>
      <w:pPr>
        <w:spacing w:after="0" w:line="68" w:lineRule="exact"/>
        <w:rPr>
          <w:sz w:val="20"/>
          <w:szCs w:val="20"/>
          <w:color w:val="auto"/>
        </w:rPr>
      </w:pPr>
    </w:p>
    <w:p>
      <w:pPr>
        <w:ind w:left="1060" w:right="20" w:hanging="393"/>
        <w:spacing w:after="0" w:line="244"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Transforming the workplace to deliver new modern, modular business applications to improve how people communicate, collaborate, learn, work, play, and interact with one another.</w:t>
      </w:r>
    </w:p>
    <w:p>
      <w:pPr>
        <w:spacing w:after="0" w:line="49" w:lineRule="exact"/>
        <w:rPr>
          <w:rFonts w:ascii="Arial" w:cs="Arial" w:eastAsia="Arial" w:hAnsi="Arial"/>
          <w:sz w:val="18"/>
          <w:szCs w:val="18"/>
          <w:color w:val="auto"/>
        </w:rPr>
      </w:pPr>
    </w:p>
    <w:p>
      <w:pPr>
        <w:ind w:left="1060" w:right="20" w:hanging="393"/>
        <w:spacing w:after="0" w:line="244"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Building and running cloud-based services in ways that unleash new experiences and opportunities for businesses and individuals.</w:t>
      </w:r>
    </w:p>
    <w:p>
      <w:pPr>
        <w:spacing w:after="0" w:line="49" w:lineRule="exact"/>
        <w:rPr>
          <w:rFonts w:ascii="Arial" w:cs="Arial" w:eastAsia="Arial" w:hAnsi="Arial"/>
          <w:sz w:val="18"/>
          <w:szCs w:val="18"/>
          <w:color w:val="auto"/>
        </w:rPr>
      </w:pPr>
    </w:p>
    <w:p>
      <w:pPr>
        <w:ind w:left="1060" w:hanging="393"/>
        <w:spacing w:after="0" w:line="244"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Applying AI to drive insights and act on our customer’s behalf by understanding and interpreting their needs using natural methods of communication.</w:t>
      </w:r>
    </w:p>
    <w:p>
      <w:pPr>
        <w:spacing w:after="0" w:line="29" w:lineRule="exact"/>
        <w:rPr>
          <w:rFonts w:ascii="Arial" w:cs="Arial" w:eastAsia="Arial" w:hAnsi="Arial"/>
          <w:sz w:val="18"/>
          <w:szCs w:val="18"/>
          <w:color w:val="auto"/>
        </w:rPr>
      </w:pPr>
    </w:p>
    <w:p>
      <w:pPr>
        <w:ind w:left="1060" w:hanging="393"/>
        <w:spacing w:after="0" w:line="272"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Using Windows to fuel our cloud business, grow our share of the PC market, </w:t>
      </w:r>
      <w:r>
        <w:rPr>
          <w:rFonts w:ascii="Arial" w:cs="Arial" w:eastAsia="Arial" w:hAnsi="Arial"/>
          <w:sz w:val="21"/>
          <w:szCs w:val="21"/>
          <w:color w:val="auto"/>
        </w:rPr>
        <w:t>and</w:t>
      </w:r>
      <w:r>
        <w:rPr>
          <w:rFonts w:ascii="Arial" w:cs="Arial" w:eastAsia="Arial" w:hAnsi="Arial"/>
          <w:sz w:val="18"/>
          <w:szCs w:val="18"/>
          <w:color w:val="auto"/>
        </w:rPr>
        <w:t xml:space="preserve"> drive increased engagement with our services like Microsoft 365 Consumer, Teams, Edge, Bing, Xbox Game Pass</w:t>
      </w:r>
      <w:r>
        <w:rPr>
          <w:rFonts w:ascii="Arial" w:cs="Arial" w:eastAsia="Arial" w:hAnsi="Arial"/>
          <w:sz w:val="21"/>
          <w:szCs w:val="21"/>
          <w:color w:val="auto"/>
        </w:rPr>
        <w:t>, and</w:t>
      </w:r>
      <w:r>
        <w:rPr>
          <w:rFonts w:ascii="Arial" w:cs="Arial" w:eastAsia="Arial" w:hAnsi="Arial"/>
          <w:sz w:val="18"/>
          <w:szCs w:val="18"/>
          <w:color w:val="auto"/>
        </w:rPr>
        <w:t xml:space="preserve"> more.</w:t>
      </w:r>
    </w:p>
    <w:p>
      <w:pPr>
        <w:spacing w:after="0" w:line="24" w:lineRule="exact"/>
        <w:rPr>
          <w:rFonts w:ascii="Arial" w:cs="Arial" w:eastAsia="Arial" w:hAnsi="Arial"/>
          <w:sz w:val="18"/>
          <w:szCs w:val="18"/>
          <w:color w:val="auto"/>
        </w:rPr>
      </w:pPr>
    </w:p>
    <w:p>
      <w:pPr>
        <w:ind w:left="1060" w:hanging="393"/>
        <w:spacing w:after="0" w:line="244"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Tackling security from all angles with our integrated, end-to-end solutions spanning security, compliance, identity, and management, across all clouds and platforms.</w:t>
      </w:r>
    </w:p>
    <w:p>
      <w:pPr>
        <w:spacing w:after="0" w:line="49" w:lineRule="exact"/>
        <w:rPr>
          <w:rFonts w:ascii="Arial" w:cs="Arial" w:eastAsia="Arial" w:hAnsi="Arial"/>
          <w:sz w:val="18"/>
          <w:szCs w:val="18"/>
          <w:color w:val="auto"/>
        </w:rPr>
      </w:pPr>
    </w:p>
    <w:p>
      <w:pPr>
        <w:ind w:left="1060" w:right="20" w:hanging="393"/>
        <w:spacing w:after="0" w:line="244"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Inventing new gaming experiences that bring people together around their shared love for games on any devices and pushing the boundaries of innovation with console and PC gaming by creating the next wave of entertainment.</w:t>
      </w:r>
    </w:p>
    <w:p>
      <w:pPr>
        <w:spacing w:after="0" w:line="13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future growth depends on our ability to transcend current product category definitions, business models, and sales motions. We have the opportunity to redefine what customers and partners can expect and are working to deliver new solutions that reflect the best of Microsoft.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17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March 2020, the World Health Organization declared the outbreak of COVID-19 to be a pandemic. The COVID-19 pandemic continues to have widespread and unpredictable impacts on global society, economies, financial markets, and business practices, and continues to impact our business operations, including our employees, customers, partners, and communities. Refer to Management’s Discussion and Analysis of Financial Condition and Results of Operations (Part II, Item 7 of this Form 10-K) for further discussion regarding the impact of COVID-19 on our fiscal year 2021 financial results. The extent to which the COVID-19 pandemic impacts our business going forward will depend on numerous evolving factors we cannot reliably predict. Refer to Risk Factors (Part I, Item 1A of this Form 10-K) for a discussion of these factors and other risks.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Social Responsibility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 to Sustainability</w:t>
      </w:r>
    </w:p>
    <w:p>
      <w:pPr>
        <w:spacing w:after="0" w:line="17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work to ensure that technology is inclusive, trusted, and increases sustainability. We are accelerating progress toward a more sustainable future by reducing our environmental footprint, advancing research, helping our customers build sustainable solutions, and advocating for policies that benefit the environment. In January 2020, we announced a bold commitment and detailed plan to be carbon negative by 2030, and to remove from the environment by 2050 all the carbon we have emitted since our founding in 1975. This included a commitment to invest $1 billion over four years in new technologies and innovative climate solutions. We built on this pledge by adding commitments to be water positive by 2030, zero waste by 2030, and to protect ecosystems by developing a Planetary Computer. We also help our suppliers and customers around the world use Microsoft technology to reduce their own carbon footprint.</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January 2021, we announced that in fiscal year 2020 we reduced Microsoft’s carbon emissions by 586,683 metric tons. We purchased the removal of 1.3 million metric tons of carbon from 26 projects around the world. Furthermore, we shared a commitment to transparency by subjecting the data in our annual sustainability report to third-party review and to accountability by including progress on sustainability goals as a factor in determining executive pay.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6" w:name="page7"/>
    <w:bookmarkEnd w:id="6"/>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36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investments we make in sustainability carry through to our products, services, and devices. We design our devices, from Surface to Xbox, to minimize their impact on the environment. Our cloud and AI services and datacenters help businesses cut energy consumption, reduce physical footprints, and design sustainable products. We also pledged a $50 million investment in AI for Earth to accelerate innovation by putting AI in the hands of those working to directly address sustainability challenges. We are committed to playing our part to help accelerate the world’s transition to a more economically and environmentally sustainable future for us all.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Addressing Racial Injustice and Inequity</w:t>
      </w:r>
    </w:p>
    <w:p>
      <w:pPr>
        <w:spacing w:after="0" w:line="17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future opportunity depends on reaching and empowering all communities, and we are committed to taking action to help address racial injustice and inequity. With significant input from employees and leaders who are members of the Black and African American community, our senior leadership team and board of directors announced in June 2020 that we had developed a set of actions to help improve the lived experience at Microsoft and drive change in the communities in which we live and work. These efforts include increasing our representation and strengthening our culture of inclusion by doubling the number of Black and African American people managers, senior individual contributors, and senior leaders in the United States by 2025; evolving our ecosystem with our supply chain, banking partners, and partner ecosystem; and strengthening our communities by using data, technology, and partnerships to help address racial injustice and inequities of the Black and African American communities in the U.S. and improve the safety and wellbeing of our employees and their communities.</w:t>
      </w:r>
    </w:p>
    <w:p>
      <w:pPr>
        <w:spacing w:after="0" w:line="14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Over the last year, we have collaborated with partners and worked within neighborhoods and communities to launch and scale a number of projects and programs including: expanding our existing justice reform work with a five-year, $50 million sustained effort, expanding access to affordable broadband and devices for Black and African American communities and key institutions that support them in major urban centers, expanding access to skills and education to support Black and African American students and adults to succeed in the digital economy, and increasing technology support for nonprofits that provide critical services to Black and African American communities.</w:t>
      </w:r>
    </w:p>
    <w:p>
      <w:pPr>
        <w:spacing w:after="0" w:line="14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more than doubled our percentage share of transaction volume with Black- and African American-owned financial institutions and increased our deposits with Black- and African American-owned minority depository institutions, enabling increased funds into local communities. Additionally, we have seen growth in our Black- and African American-owned supplier base and in Black- and African American-owned technology partners in the Microsoft Partner Network, and we launched the Black Channel Partner Alliance community to support partners onboarding to the Microsoft Cloud and to unlock partner benefits for co-selling with Microsoft.</w:t>
      </w:r>
    </w:p>
    <w:p>
      <w:pPr>
        <w:spacing w:after="0" w:line="14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acknowledge we have more work ahead of us to address racial injustice and inequity, and are applying many of the programs above to help other underrepresented communities.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Digital Skills</w:t>
      </w:r>
    </w:p>
    <w:p>
      <w:pPr>
        <w:spacing w:after="0" w:line="17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With a continued focus on digital transformation, Microsoft is helping to ensure that no one is left behind, particularly as economies recover from the COVID-19 pandemic. We announced in June 2020 that we are expanding access to the digital skills that have become increasingly vital to many of the world’s jobs, and especially to individuals hardest hit by recent job losses. Our skills initiative brings together learning resources, certification opportunities, and job-seeker tools from LinkedIn, GitHub, and Microsoft Learn, and is built on data insights drawn from LinkedIn’s Economic Graph. We also invested $20 million in key non-profit partnerships through Microsoft Philanthropies to help people from underserved communities that are often excluded by the digital economy.</w:t>
      </w:r>
    </w:p>
    <w:p>
      <w:pPr>
        <w:spacing w:after="0" w:line="15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Over 42 million people across every continent have accessed free training through our skills initiative. The effort surpassed its initial goals and has been expanded with a new emphasis on connecting learners with jobs that help put their new training to use and connecting employers with skilled job seekers they might not find in traditional networks.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7" w:name="page8"/>
    <w:bookmarkEnd w:id="7"/>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HUMAN CAPITAL RESOURCES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Microsoft aims to recruit, develop, and retain diverse, world-changing talent. To foster their and our success, we seek to create an environment where people can do their best work – a place where they can proudly be their authentic selves, guided by our values, and where they know their needs can be met. We strive to maximize the potential of our human capital resources by creating a respectful, rewarding, and inclusive work environment that enables our global employees to create products and services that further our mission to empower every person and every organization on the planet to achieve more.</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June 30, 2021, we employed approximately 181,000 people on a full-time basis, 103,000 in the U.S. and 78,000 internationally. Of the total employed people, 67,000 were in operations, including manufacturing, distribution, product support, and consulting services; 60,000 were in product research and development; 40,000 were in sales and marketing; and 14,000 were in general and administration. Certain of our employees are subject to collective bargaining agreements.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Culture</w:t>
      </w:r>
    </w:p>
    <w:p>
      <w:pPr>
        <w:spacing w:after="0" w:line="17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Microsoft’s culture is grounded in the growth mindset. This means everyone is on a continuous journey to learn and grow. We believe potential can be nurtured and is not pre-determined, and we should always be learning and curious - trying new things without fear of failure. We identified four attributes that allow growth mindset to flourish:</w:t>
      </w:r>
    </w:p>
    <w:p>
      <w:pPr>
        <w:spacing w:after="0" w:line="54" w:lineRule="exact"/>
        <w:rPr>
          <w:sz w:val="20"/>
          <w:szCs w:val="20"/>
          <w:color w:val="auto"/>
        </w:rPr>
      </w:pPr>
    </w:p>
    <w:p>
      <w:pPr>
        <w:ind w:left="1060" w:hanging="39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Obsessing over what matters to our customers.</w:t>
      </w:r>
    </w:p>
    <w:p>
      <w:pPr>
        <w:spacing w:after="0" w:line="62" w:lineRule="exact"/>
        <w:rPr>
          <w:rFonts w:ascii="Arial" w:cs="Arial" w:eastAsia="Arial" w:hAnsi="Arial"/>
          <w:sz w:val="18"/>
          <w:szCs w:val="18"/>
          <w:color w:val="auto"/>
        </w:rPr>
      </w:pPr>
    </w:p>
    <w:p>
      <w:pPr>
        <w:ind w:left="1060" w:hanging="39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Becoming more diverse and inclusive in everything we do.</w:t>
      </w:r>
    </w:p>
    <w:p>
      <w:pPr>
        <w:spacing w:after="0" w:line="62" w:lineRule="exact"/>
        <w:rPr>
          <w:rFonts w:ascii="Arial" w:cs="Arial" w:eastAsia="Arial" w:hAnsi="Arial"/>
          <w:sz w:val="18"/>
          <w:szCs w:val="18"/>
          <w:color w:val="auto"/>
        </w:rPr>
      </w:pPr>
    </w:p>
    <w:p>
      <w:pPr>
        <w:ind w:left="1060" w:hanging="39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as one company, One Microsoft, instead of multiple siloed businesses.</w:t>
      </w:r>
    </w:p>
    <w:p>
      <w:pPr>
        <w:spacing w:after="0" w:line="62" w:lineRule="exact"/>
        <w:rPr>
          <w:rFonts w:ascii="Arial" w:cs="Arial" w:eastAsia="Arial" w:hAnsi="Arial"/>
          <w:sz w:val="18"/>
          <w:szCs w:val="18"/>
          <w:color w:val="auto"/>
        </w:rPr>
      </w:pPr>
    </w:p>
    <w:p>
      <w:pPr>
        <w:ind w:left="1060" w:hanging="39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Making a difference in the lives of each other, our customers, and the world around us.</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employee listening systems enable us to gather feedback directly from our workforce to inform our programs and employee needs globally. 88% of employees globally participated in our fiscal year 2021 MS Poll engagement survey, which covers a variety of topics such as inclusion, pay and benefits, and learning and development. Throughout the fiscal year, we also collect nearly 75,000 Daily Pulse employee survey responses. During fiscal year 2021, our Daily Pulse surveys gave us invaluable insights into ways we could support employees through the COVID-19 pandemic and addressing racial injustice. In addition to poll and pulse surveys, we gain insights through onboarding and exit surveys, internal Yammer channels, employee Q&amp;A sessions, and AskHR Service support.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Diversity and Inclusion</w:t>
      </w:r>
    </w:p>
    <w:p>
      <w:pPr>
        <w:spacing w:after="0" w:line="17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At Microsoft we have an inherently inclusive mission: to empower every person and every organization on the planet to achieve more. We think of diversity and inclusion as core to our business model, informing our actions to impact economies and people around the world. There are billions of people who want to achieve more, but have a different set of circumstances, abilities, and backgrounds that often limit access to opportunity and achievement. The better we represent that diversity inside Microsoft, the more effectively we can innovate for those we seek to empower.</w:t>
      </w:r>
    </w:p>
    <w:p>
      <w:pPr>
        <w:spacing w:after="0" w:line="14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strive to include others by holding ourselves accountable for diversity, driving global systemic change in our workplace and workforce, and creating an inclusive work environment. Through this commitment we can allow everyone the chance to be their authentic selves and do their best work every day. We support multiple highly active Employee Resource Groups for women, families, racial and ethnic minorities, military, people with disabilities, or who identify as LGBTQI+, where employees can go for support, networking, and community-building. As described in our 2020 Proxy Statement, annual performance and compensation reviews of our senior leadership team include an evaluation of their contributions to employee culture and diversity. To ensure accountability over time, we publicly disclose our progress on a multitude of workforce metrics including:</w:t>
      </w:r>
    </w:p>
    <w:p>
      <w:pPr>
        <w:spacing w:after="0" w:line="55" w:lineRule="exact"/>
        <w:rPr>
          <w:sz w:val="20"/>
          <w:szCs w:val="20"/>
          <w:color w:val="auto"/>
        </w:rPr>
      </w:pPr>
    </w:p>
    <w:p>
      <w:pPr>
        <w:ind w:left="1060" w:hanging="393"/>
        <w:spacing w:after="0" w:line="244"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Detailed breakdowns of gender, racial, and ethnic minority representation in our employee population, with data by job types, levels, and segments of our business.</w:t>
      </w:r>
    </w:p>
    <w:p>
      <w:pPr>
        <w:spacing w:after="0" w:line="49" w:lineRule="exact"/>
        <w:rPr>
          <w:rFonts w:ascii="Arial" w:cs="Arial" w:eastAsia="Arial" w:hAnsi="Arial"/>
          <w:sz w:val="18"/>
          <w:szCs w:val="18"/>
          <w:color w:val="auto"/>
        </w:rPr>
      </w:pPr>
    </w:p>
    <w:p>
      <w:pPr>
        <w:ind w:left="1060" w:hanging="39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EEO-1 report (equal employment opportunity).</w:t>
      </w:r>
    </w:p>
    <w:p>
      <w:pPr>
        <w:spacing w:after="0" w:line="62" w:lineRule="exact"/>
        <w:rPr>
          <w:rFonts w:ascii="Arial" w:cs="Arial" w:eastAsia="Arial" w:hAnsi="Arial"/>
          <w:sz w:val="18"/>
          <w:szCs w:val="18"/>
          <w:color w:val="auto"/>
        </w:rPr>
      </w:pPr>
    </w:p>
    <w:p>
      <w:pPr>
        <w:ind w:left="1060" w:hanging="39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Disability representation.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8" w:name="page9"/>
    <w:bookmarkEnd w:id="8"/>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Rewards</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develop dynamic, sustainable, and strategic programs with the goal of providing a highly differentiated portfolio to attract, reward, and retain top talent and enable our employees to do their best work. These programs reinforce our culture and values such as collaboration and growth mindset. Managers evaluate and recommend rewards based on, for example, how well we leverage the work of others and contribute to the success of our colleagues. We monitor pay equity and career progress across multiple dimensions.</w:t>
      </w:r>
    </w:p>
    <w:p>
      <w:pPr>
        <w:spacing w:after="0" w:line="14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part of our effort to promote a One Microsoft and inclusive culture, we expanded stock eligibility to all Microsoft employees as part of our annual rewards process. This includes all non-exempt and exempt employees and equivalents across the globe including business support professionals and datacenter and retail employees.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Equity</w:t>
      </w:r>
    </w:p>
    <w:p>
      <w:pPr>
        <w:spacing w:after="0" w:line="17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our 2020 Diversity and Inclusion Report, we reported that all racial and ethnic minority employees in the U.S. combined earn $1.006 for every $1.000 earned by their white counterparts, that women in the U.S. earn $ 1.001 for every $1.000 earned by their counterparts in the U.S. who are men, and women in the U.S. plus our ten other largest employee geographies (Australia, Canada, China, France, Germany, India, Ireland, Israel, Japan, and United Kingdom) combined earn $1.000 for every $1.000 by men in these countries. Our intended result is a global performance and development approach that fosters our culture, and competitive compensation that ensures equitable pay by role while supporting pay for performance.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Wellness and Safety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Microsoft is committed to supporting our employees’ well-being and safety while they are at work and in their personal lives.</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took a wide variety of measures to protect the health and well-being of our employees, suppliers, and customers during the COVID-19 pandemic. We made substantial modifications to employee travel policies and implemented office closures so non-essential employees could work remotely. We continued to pay hourly service providers such as cleaning and reception staff who may have otherwise been furloughed. We implemented a global Paid Pandemic School and Childcare Closure Leave to support working parents, added wellbeing days for those who needed to take time off for mental health and wellness, implemented on-demand COVID-19 testing and vaccinations on our Redmond, Washington campus, and extended full medical plan coverage for coronavirus testing, treatment, and telehealth services. We also expanded existing programs such as our Microsoft CARES Employee Assistance Program and family backup care.</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to the extraordinary steps and programs relating to COVID-19, our comprehensive benefits package includes many physical, emotional, and financial wellness programs including counseling through the Microsoft CARES Employee Assistance Program, flexible fitness benefits, savings and investment tools, adoption assistance, and back-up care for children and elders. Finally, our Occupational Health and Safety program helps ensure employees can stay safe while they are working.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Learning and Development</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growth mindset culture begins with valuing learning over knowing – seeking out new ideas, driving innovation, embracing challenges, learning from failure, and improving over time. To support this culture, we offer a wide range of learning and development opportunities. We believe learning can be more than formal instruction, and our learning philosophy focuses on providing the right learning, at the right time, in the right way. Opportunities include:</w:t>
      </w:r>
    </w:p>
    <w:p>
      <w:pPr>
        <w:spacing w:after="0" w:line="67" w:lineRule="exact"/>
        <w:rPr>
          <w:sz w:val="20"/>
          <w:szCs w:val="20"/>
          <w:color w:val="auto"/>
        </w:rPr>
      </w:pPr>
    </w:p>
    <w:p>
      <w:pPr>
        <w:ind w:left="1060" w:hanging="393"/>
        <w:spacing w:after="0" w:line="244"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Personalized, integrated, and relevant views of all learning opportunities on our internal learning portal, our external learning portal MS Learn, and LinkedIn Learning that is available to all employees worldwide.</w:t>
      </w:r>
    </w:p>
    <w:p>
      <w:pPr>
        <w:spacing w:after="0" w:line="49" w:lineRule="exact"/>
        <w:rPr>
          <w:rFonts w:ascii="Arial" w:cs="Arial" w:eastAsia="Arial" w:hAnsi="Arial"/>
          <w:sz w:val="18"/>
          <w:szCs w:val="18"/>
          <w:color w:val="auto"/>
        </w:rPr>
      </w:pPr>
    </w:p>
    <w:p>
      <w:pPr>
        <w:ind w:left="1060" w:hanging="39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In-the-classroom learning, learning “pods,” our early-in-career Aspire program, and manager excellence communities.</w:t>
      </w:r>
    </w:p>
    <w:p>
      <w:pPr>
        <w:spacing w:after="0" w:line="62" w:lineRule="exact"/>
        <w:rPr>
          <w:rFonts w:ascii="Arial" w:cs="Arial" w:eastAsia="Arial" w:hAnsi="Arial"/>
          <w:sz w:val="18"/>
          <w:szCs w:val="18"/>
          <w:color w:val="auto"/>
        </w:rPr>
      </w:pPr>
    </w:p>
    <w:p>
      <w:pPr>
        <w:ind w:left="1060" w:hanging="39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On-the-job “stretch” and advancement opportunities.</w:t>
      </w:r>
    </w:p>
    <w:p>
      <w:pPr>
        <w:spacing w:after="0" w:line="62" w:lineRule="exact"/>
        <w:rPr>
          <w:rFonts w:ascii="Arial" w:cs="Arial" w:eastAsia="Arial" w:hAnsi="Arial"/>
          <w:sz w:val="18"/>
          <w:szCs w:val="18"/>
          <w:color w:val="auto"/>
        </w:rPr>
      </w:pPr>
    </w:p>
    <w:p>
      <w:pPr>
        <w:ind w:left="1060" w:hanging="393"/>
        <w:spacing w:after="0" w:line="244"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Managers holding conversations about employees’ career and development plans, coaching on career opportunities, and programs like mentoring and sponsorship.</w:t>
      </w:r>
    </w:p>
    <w:p>
      <w:pPr>
        <w:spacing w:after="0" w:line="49" w:lineRule="exact"/>
        <w:rPr>
          <w:rFonts w:ascii="Arial" w:cs="Arial" w:eastAsia="Arial" w:hAnsi="Arial"/>
          <w:sz w:val="18"/>
          <w:szCs w:val="18"/>
          <w:color w:val="auto"/>
        </w:rPr>
      </w:pPr>
    </w:p>
    <w:p>
      <w:pPr>
        <w:ind w:left="1060" w:hanging="393"/>
        <w:spacing w:after="0" w:line="244"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Customized manager learning to build people manager capabilities and similar learning solutions to build leadership skills for all employees including differentiated leadership development programs.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9" w:name="page10"/>
    <w:bookmarkEnd w:id="9"/>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67" w:lineRule="exact"/>
        <w:rPr>
          <w:sz w:val="20"/>
          <w:szCs w:val="20"/>
          <w:color w:val="auto"/>
        </w:rPr>
      </w:pPr>
    </w:p>
    <w:p>
      <w:pPr>
        <w:ind w:left="1060" w:hanging="393"/>
        <w:spacing w:after="0" w:line="244"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 employee orientation covering a range of topics including company values, culture, and Standards of Business Conduct, as well as ongoing onboarding program.</w:t>
      </w:r>
    </w:p>
    <w:p>
      <w:pPr>
        <w:spacing w:after="0" w:line="14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employees embrace the growth mindset and take advantage of the formal learning opportunities as well as thousands of informal and on-the-job learning opportunities. In terms of formal on-line learning solutions, in fiscal year 2021 our employees completed over 5 million courses, averaging over 18 hours per employee. Given our focus on understanding core company beliefs and compliance topics, all employees complete required learning programs like Standards of Business Conduct, Privacy, Unconscious Bias, and preventing harassment courses. Our corporate learning portal has over 100,000 average monthly active users. All of our approximately 23,000 people managers must complete between 25-30 hours of required manager capability and excellence training and are assigned ongoing required training each year. In addition, all employees complete skills training based on the profession they are in each year.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Ways of Working</w:t>
      </w:r>
    </w:p>
    <w:p>
      <w:pPr>
        <w:spacing w:after="0" w:line="17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global pandemic has accelerated our capabilities and culture with respect to flexible work. Microsoft has introduced a Hybrid Workplace Flexibility Guide to better support managers and employees as they adapt to new ways of working that shift paradigms, embrace flexibility, promote inclusion, and drive innovation. Our ongoing survey data shows employees value the flexibility related to work location, work site, and work hours, and while many indicate they intend to return to a worksite once conditions permit, they also intend to adjust hours or spend some portions of workweeks working remotely. We are focused on building capabilities to support a variety of workstyles where individuals, teams, and our business can be successful.</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OPERATING SEGMENTS</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operate our business and report our financial performance using three segments: Productivity and Business Processes, Intelligent Cloud, and More Personal Computing. Our segments provide management with a comprehensive financial view of our key businesses. The segments enable the alignment of strategies and objectives across the development, sales, marketing, and services organizations, and they provide a framework for timely and rational allocation of resources within businesses.</w:t>
      </w:r>
    </w:p>
    <w:p>
      <w:pPr>
        <w:spacing w:after="0" w:line="14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Additional information on our operating segments and geographic and product information is contained in Note 19 – Segment Information and Geographic Data of the Notes to Financial Statements (Part II, Item 8 of this Form 10-K).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Our reportable segments are described below.</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Productivity and Business Processes</w:t>
      </w:r>
    </w:p>
    <w:p>
      <w:pPr>
        <w:spacing w:after="0" w:line="178"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Our Productivity and Business Processes segment consists of products and services in our portfolio of productivity, communication, and information services, spanning a variety of devices and platforms. This segment primarily comprises:</w:t>
      </w:r>
    </w:p>
    <w:p>
      <w:pPr>
        <w:spacing w:after="0" w:line="50" w:lineRule="exact"/>
        <w:rPr>
          <w:sz w:val="20"/>
          <w:szCs w:val="20"/>
          <w:color w:val="auto"/>
        </w:rPr>
      </w:pPr>
    </w:p>
    <w:p>
      <w:pPr>
        <w:jc w:val="both"/>
        <w:ind w:left="1060" w:hanging="393"/>
        <w:spacing w:after="0" w:line="239"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Office Commercial (Office 365 subscriptions, the Office 365 portion of Microsoft 365 Commercial subscriptions, and Office licensed on-premises), comprising Office, Exchange, SharePoint, Microsoft Teams, Office 365 Security and Compliance, and Skype for Business.</w:t>
      </w:r>
    </w:p>
    <w:p>
      <w:pPr>
        <w:spacing w:after="0" w:line="54" w:lineRule="exact"/>
        <w:rPr>
          <w:rFonts w:ascii="Arial" w:cs="Arial" w:eastAsia="Arial" w:hAnsi="Arial"/>
          <w:sz w:val="18"/>
          <w:szCs w:val="18"/>
          <w:color w:val="auto"/>
        </w:rPr>
      </w:pPr>
    </w:p>
    <w:p>
      <w:pPr>
        <w:ind w:left="1060" w:hanging="393"/>
        <w:spacing w:after="0" w:line="24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Office Consumer, including Microsoft 365 Consumer subscriptions and Office licensed on-premises, and Office Consumer Services, including Skype, Outlook.com, and OneDrive.</w:t>
      </w:r>
    </w:p>
    <w:p>
      <w:pPr>
        <w:spacing w:after="0" w:line="76" w:lineRule="exact"/>
        <w:rPr>
          <w:rFonts w:ascii="Arial" w:cs="Arial" w:eastAsia="Arial" w:hAnsi="Arial"/>
          <w:sz w:val="18"/>
          <w:szCs w:val="18"/>
          <w:color w:val="auto"/>
        </w:rPr>
      </w:pPr>
    </w:p>
    <w:p>
      <w:pPr>
        <w:ind w:left="1060" w:hanging="39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LinkedIn, including Talent Solutions, Marketing Solutions, Premium Subscriptions, Sales Solutions, and Learning Solutions.</w:t>
      </w:r>
    </w:p>
    <w:p>
      <w:pPr>
        <w:spacing w:after="0" w:line="75" w:lineRule="exact"/>
        <w:rPr>
          <w:rFonts w:ascii="Arial" w:cs="Arial" w:eastAsia="Arial" w:hAnsi="Arial"/>
          <w:sz w:val="18"/>
          <w:szCs w:val="18"/>
          <w:color w:val="auto"/>
        </w:rPr>
      </w:pPr>
    </w:p>
    <w:p>
      <w:pPr>
        <w:ind w:left="1060" w:hanging="393"/>
        <w:spacing w:after="0" w:line="24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Dynamics business solutions, including Dynamics 365, comprising a set of intelligent, cloud-based applications across ERP, CRM, Customer Insights, Power Apps, and Power Automate; and on-premises ERP and CRM applications.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10" w:name="page11"/>
    <w:bookmarkEnd w:id="10"/>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Office Commercial</w:t>
      </w:r>
    </w:p>
    <w:p>
      <w:pPr>
        <w:spacing w:after="0" w:line="17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Office Commercial is designed to increase personal, team, and organizational productivity through a range of products and services. Growth depends on our ability to reach new users in new markets such as frontline workers, small and medium businesses, and growth markets, as well as add value to our core product and service offerings to span productivity categories such as communication, collaboration, analytics, security, and compliance. Office Commercial revenue is mainly affected by a combination of continued installed base growth and average revenue per user expansion, as well as the continued shift from Office licensed on-premises to Office 365.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Office Consumer</w:t>
      </w:r>
    </w:p>
    <w:p>
      <w:pPr>
        <w:spacing w:after="0" w:line="17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Office Consumer is designed to increase personal productivity through a range of products and services. Growth depends on our ability to reach new users, add value to our core product set, and continue to expand our product and service offerings into new markets. Office Consumer revenue is mainly affected by the percentage of customers that buy Office with their new devices and the continued shift from Office licensed on-premises to Microsoft 365 Consumer subscriptions. Office Consumer Services revenue is mainly affected by the demand for communication and storage through Skype, Outlook.com, and OneDrive, which is largely driven by subscriptions, advertising, and the sale of minutes.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LinkedIn</w:t>
      </w:r>
    </w:p>
    <w:p>
      <w:pPr>
        <w:spacing w:after="0" w:line="178"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LinkedIn connects the world’s professionals to make them more productive and successful and transforms the way companies hire, market, sell, and learn. Our vision is to create economic opportunity for every member of the global workforce through the ongoing development of the world’s first Economic Graph, a digital representation of the global economy. In addition to LinkedIn’s free services, LinkedIn offers monetized solutions: Talent Solutions, Marketing Solutions, Premium Subscriptions, Sales Solutions, and Learning Solutions. Talent Solutions provide insights for workforce planning and tools to hire, nurture, and develop talent. Marketing Solutions help companies reach, engage, and convert their audiences at scale. Premium Subscriptions enables professionals to manage their professional identity, grow their network, and connect with talent through additional services like premium search. Sales Solutions help companies strengthen customer relationships, empower teams with digital selling tools, and acquire new opportunities. Finally, Learning Solutions, including Glint, help businesses close critical skills gaps in times where companies are having to do more with existing talent. LinkedIn has over 750 million members and has offices around the globe. Growth will depend on our ability to increase the number of LinkedIn members and our ability to continue offering services that provide value for our members and increase their engagement. LinkedIn revenue is mainly affected by demand from enterprises and professional organizations for subscriptions to Talent Solutions, Learning Solutions, Sales Solutions, and Premium Subscriptions offerings, as well as member engagement and the quality of the sponsored content delivered to those members to drive Marketing Solutions.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Dynamics</w:t>
      </w:r>
    </w:p>
    <w:p>
      <w:pPr>
        <w:spacing w:after="0" w:line="17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Dynamics provides cloud-based and on-premises business solutions for financial management, enterprise resource planning (“ERP”), customer relationship management (“CRM”), supply chain management, and other application development platforms for small and medium businesses, large organizations, and divisions of global enterprises. Dynamics revenue is driven by the number of users licensed and applications consumed, expansion of average revenue per user, and the continued shift to Dynamics 365, a unified set of cloud-based intelligent business applications, including Power Apps and Power Automate.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11" w:name="page12"/>
    <w:bookmarkEnd w:id="11"/>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7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Competitors to Office include software and global application vendors, such as Apple, Cisco Systems, Facebook, Google, IBM, Okta, Proofpoint, Slack, Symantec, Zoom, and numerous web-based and mobile application competitors as well as local application developers. Apple distributes versions of its pre-installed application software, such as email and calendar products, through its PCs, tablets, and phones. Cisco Systems is using its position in enterprise communications equipment to grow its unified communications business. Google provides a hosted messaging and productivity suite. Slack provides teamwork and collaboration software. Zoom offers videoconferencing and cloud phone solutions. Skype for Business and Skype also compete with a variety of instant messaging, voice, and video communication providers, ranging from start-ups to established enterprises. Okta, Proofpoint, and Symantec provide security solutions across email security, information protection, identity, and governance. Web-based offerings competing with individual applications have also positioned themselves as alternatives to our products and services. We compete by providing powerful, flexible, secure, integrated industry-specific, and easy-to-use productivity and collaboration tools and services that create comprehensive solutions and work well with technologies our customers already have both on-premises or in the cloud.</w:t>
      </w:r>
    </w:p>
    <w:p>
      <w:pPr>
        <w:spacing w:after="0" w:line="15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LinkedIn faces competition from online professional networks, recruiting companies, talent management companies, and larger companies that are focusing on talent management and human resource services; job boards; traditional recruiting firms; and companies that provide learning and development products and services. Marketing Solutions competes with online and offline outlets that generate revenue from advertisers and marketers, and Sales Solutions competes with online and offline outlets for companies with lead generation and customer intelligence and insights.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Dynamics competes with cloud-based and on-premises business solution providers such as Oracle, Salesforce.com, and SAP.</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Intelligent Cloud</w:t>
      </w:r>
    </w:p>
    <w:p>
      <w:pPr>
        <w:spacing w:after="0" w:line="17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Intelligent Cloud segment consists of our public, private, and hybrid server products and cloud services that can power modern business and developers. This segment primarily comprises:</w:t>
      </w:r>
    </w:p>
    <w:p>
      <w:pPr>
        <w:spacing w:after="0" w:line="50" w:lineRule="exact"/>
        <w:rPr>
          <w:sz w:val="20"/>
          <w:szCs w:val="20"/>
          <w:color w:val="auto"/>
        </w:rPr>
      </w:pPr>
    </w:p>
    <w:p>
      <w:pPr>
        <w:ind w:left="1060" w:hanging="393"/>
        <w:spacing w:after="0" w:line="244"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Server products and cloud services, including Azure; SQL Server, Windows Server, Visual Studio, System Center, and related Client Access Licenses (“CALs”); and GitHub.</w:t>
      </w:r>
    </w:p>
    <w:p>
      <w:pPr>
        <w:spacing w:after="0" w:line="49" w:lineRule="exact"/>
        <w:rPr>
          <w:rFonts w:ascii="Arial" w:cs="Arial" w:eastAsia="Arial" w:hAnsi="Arial"/>
          <w:sz w:val="18"/>
          <w:szCs w:val="18"/>
          <w:color w:val="auto"/>
        </w:rPr>
      </w:pPr>
    </w:p>
    <w:p>
      <w:pPr>
        <w:ind w:left="1060" w:hanging="39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Enterprise Services, including Premier Support Services and Microsoft Consulting Services.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Server Products and Cloud Services</w:t>
      </w:r>
    </w:p>
    <w:p>
      <w:pPr>
        <w:spacing w:after="0" w:line="17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Azure is a comprehensive set of cloud services that offer developers, IT professionals, and enterprises freedom to build, deploy, and manage applications on any platform or device. Customers can use Azure through our global network of datacenters for computing, networking, storage, mobile and web application services, AI, IoT, cognitive services, and machine learning. Azure enables customers to devote more resources to development and use of applications that benefit their organizations, rather than managing on-premises hardware and software. Azure revenue is mainly affected by infrastructure-as-a-service and platform-as-a-service consumption-based services, and per user-based services such as Enterprise Mobility + Security.</w:t>
      </w:r>
    </w:p>
    <w:p>
      <w:pPr>
        <w:spacing w:after="0" w:line="15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server products are designed to make IT professionals, developers, and their systems more productive and efficient. Server software is integrated server infrastructure and middleware designed to support software applications built on the Windows Server operating system. This includes the server platform, database, business intelligence, storage, management and operations, virtualization, service-oriented architecture platform, security, and identity software. We also license standalone and software development lifecycle tools for software architects, developers, testers, and project managers. GitHub provides a collaboration platform and code hosting service for developers. Server products revenue is mainly affected by purchases through volume licensing programs, licenses sold to original equipment manufacturers (“OEM”), and retail packaged products. CALs provide access rights to certain server products, including SQL Server and Windows Server, and revenue is reported along with the associated server product.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Enterprise Services</w:t>
      </w:r>
    </w:p>
    <w:p>
      <w:pPr>
        <w:spacing w:after="0" w:line="17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Enterprise Services, including Premier Support Services and Microsoft Consulting Services, assist customers in developing, deploying, and managing Microsoft server and desktop solutions and provide training and certification to developers and IT professionals on various Microsoft products.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12" w:name="page13"/>
    <w:bookmarkEnd w:id="12"/>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7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Azure faces diverse competition from companies such as Amazon, Google, IBM, Oracle, VMware, and open source offerings. Our Enterprise Mobility + Security offerings also compete with products from a range of competitors including identity vendors, security solution vendors, and numerous other security point solution vendors. Azure’s competitive advantage includes enabling a hybrid cloud, allowing deployment of existing datacenters with our public cloud into a single, cohesive infrastructure, and the ability to run at a scale that meets the needs of businesses of all sizes and complexities. We believe our cloud’s global scale, coupled with our broad portfolio of identity and security solutions, allows us to effectively solve complex cybersecurity challenges for our customers and differentiates us from the competition.</w:t>
      </w:r>
    </w:p>
    <w:p>
      <w:pPr>
        <w:spacing w:after="0" w:line="15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server products face competition from a wide variety of server operating systems and applications offered by companies with a range of market approaches. Vertically integrated computer manufacturers such as Hewlett-Packard, IBM, and Oracle offer their own versions of the Unix operating system preinstalled on server hardware. Nearly all computer manufacturers offer server hardware for the Linux operating system and many contribute to Linux operating system development. The competitive position of Linux has also benefited from the large number of compatible applications now produced by many commercial and non-commercial software developers. A number of companies, such as Red Hat, supply versions of Linux.</w:t>
      </w:r>
    </w:p>
    <w:p>
      <w:pPr>
        <w:spacing w:after="0" w:line="15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compete to provide enterprise-wide computing solutions and point solutions with numerous commercial software vendors that offer solutions and middleware technology platforms, software applications for connectivity (both Internet and intranet), security, hosting, database, and e-business servers. IBM and Oracle lead a group of companies focused on the Java Platform Enterprise Edition that competes with our enterprise-wide computing solutions. Commercial competitors for our server applications for PC-based distributed client-server environments include CA Technologies, IBM, and Oracle. Our web application platform software competes with open source software such as Apache, Linux, MySQL, and PHP. In middleware, we compete against Java vendors.</w:t>
      </w:r>
    </w:p>
    <w:p>
      <w:pPr>
        <w:spacing w:after="0" w:line="15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database, business intelligence, and data warehousing solutions offerings compete with products from IBM, Oracle, SAP, and other companies. Our system management solutions compete with server management and server virtualization platform providers, such as BMC, CA Technologies, Hewlett-Packard, IBM, and VMware. Our products for software developers compete against offerings from Adobe, IBM, Oracle, and other companies, and also against open-source projects, including Eclipse (sponsored by CA Technologies, IBM, Oracle, and SAP), PHP, and Ruby on Rails.</w:t>
      </w:r>
    </w:p>
    <w:p>
      <w:pPr>
        <w:spacing w:after="0" w:line="14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believe our server products provide customers with advantages in performance, total costs of ownership, and productivity by delivering superior applications, development tools, compatibility with a broad base of hardware and software applications, security, and manageability.</w:t>
      </w:r>
    </w:p>
    <w:p>
      <w:pPr>
        <w:spacing w:after="0" w:line="14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Enterprise Services business competes with a wide range of companies that provide strategy and business planning, application development, and infrastructure services, including multinational consulting firms and small niche businesses focused on specific technologies.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More Personal Computing</w:t>
      </w:r>
    </w:p>
    <w:p>
      <w:pPr>
        <w:spacing w:after="0" w:line="178"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Our More Personal Computing segment consists of products and services that put customers at the center of the experience with our technology. This segment primarily comprises:</w:t>
      </w:r>
    </w:p>
    <w:p>
      <w:pPr>
        <w:spacing w:after="0" w:line="50" w:lineRule="exact"/>
        <w:rPr>
          <w:sz w:val="20"/>
          <w:szCs w:val="20"/>
          <w:color w:val="auto"/>
        </w:rPr>
      </w:pPr>
    </w:p>
    <w:p>
      <w:pPr>
        <w:jc w:val="both"/>
        <w:ind w:left="1060" w:hanging="393"/>
        <w:spacing w:after="0" w:line="239"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Windows, including Windows OEM licensing (“Windows OEM”) and other non-volume licensing of the Windows operating system; Windows Commercial, comprising volume licensing of the Windows operating system, Windows cloud services, and other Windows commercial offerings; patent licensing; Windows IoT; and MSN advertising.</w:t>
      </w:r>
    </w:p>
    <w:p>
      <w:pPr>
        <w:spacing w:after="0" w:line="54" w:lineRule="exact"/>
        <w:rPr>
          <w:rFonts w:ascii="Arial" w:cs="Arial" w:eastAsia="Arial" w:hAnsi="Arial"/>
          <w:sz w:val="18"/>
          <w:szCs w:val="18"/>
          <w:color w:val="auto"/>
        </w:rPr>
      </w:pPr>
    </w:p>
    <w:p>
      <w:pPr>
        <w:ind w:left="1060" w:hanging="393"/>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Devices, including Surface and PC accessories.</w:t>
      </w:r>
    </w:p>
    <w:p>
      <w:pPr>
        <w:spacing w:after="0" w:line="62" w:lineRule="exact"/>
        <w:rPr>
          <w:rFonts w:ascii="Arial" w:cs="Arial" w:eastAsia="Arial" w:hAnsi="Arial"/>
          <w:sz w:val="18"/>
          <w:szCs w:val="18"/>
          <w:color w:val="auto"/>
        </w:rPr>
      </w:pPr>
    </w:p>
    <w:p>
      <w:pPr>
        <w:ind w:left="1060" w:right="20" w:hanging="393"/>
        <w:spacing w:after="0" w:line="244"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Gaming, including Xbox hardware and Xbox content and services, comprising digital transactions, Xbox Game Pass and other subscriptions, video games, third-party video game royalties, cloud services, and advertising.</w:t>
      </w:r>
    </w:p>
    <w:p>
      <w:pPr>
        <w:spacing w:after="0" w:line="49" w:lineRule="exact"/>
        <w:rPr>
          <w:rFonts w:ascii="Arial" w:cs="Arial" w:eastAsia="Arial" w:hAnsi="Arial"/>
          <w:sz w:val="18"/>
          <w:szCs w:val="18"/>
          <w:color w:val="auto"/>
        </w:rPr>
      </w:pPr>
    </w:p>
    <w:p>
      <w:pPr>
        <w:ind w:left="1060" w:hanging="393"/>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Search advertising.</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13" w:name="page14"/>
    <w:bookmarkEnd w:id="13"/>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Windows</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Windows operating system is designed to deliver a more personal computing experience for users by enabling consistency of experience, applications, and information across their devices. Windows OEM revenue is impacted significantly by the number of Windows operating system licenses purchased by OEMs, which they pre-install on the devices they sell. In addition to computing device market volume, Windows OEM revenue is impacted by:</w:t>
      </w:r>
    </w:p>
    <w:p>
      <w:pPr>
        <w:spacing w:after="0" w:line="67" w:lineRule="exact"/>
        <w:rPr>
          <w:sz w:val="20"/>
          <w:szCs w:val="20"/>
          <w:color w:val="auto"/>
        </w:rPr>
      </w:pPr>
    </w:p>
    <w:p>
      <w:pPr>
        <w:ind w:left="1060" w:hanging="39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mix of computing devices based on form factor and screen size.</w:t>
      </w:r>
    </w:p>
    <w:p>
      <w:pPr>
        <w:spacing w:after="0" w:line="62" w:lineRule="exact"/>
        <w:rPr>
          <w:rFonts w:ascii="Arial" w:cs="Arial" w:eastAsia="Arial" w:hAnsi="Arial"/>
          <w:sz w:val="18"/>
          <w:szCs w:val="18"/>
          <w:color w:val="auto"/>
        </w:rPr>
      </w:pPr>
    </w:p>
    <w:p>
      <w:pPr>
        <w:ind w:left="1060" w:hanging="39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Differences in device market demand between developed markets and growth markets.</w:t>
      </w:r>
    </w:p>
    <w:p>
      <w:pPr>
        <w:spacing w:after="0" w:line="62" w:lineRule="exact"/>
        <w:rPr>
          <w:rFonts w:ascii="Arial" w:cs="Arial" w:eastAsia="Arial" w:hAnsi="Arial"/>
          <w:sz w:val="18"/>
          <w:szCs w:val="18"/>
          <w:color w:val="auto"/>
        </w:rPr>
      </w:pPr>
    </w:p>
    <w:p>
      <w:pPr>
        <w:ind w:left="1060" w:hanging="39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Attachment of Windows to devices shipped.</w:t>
      </w:r>
    </w:p>
    <w:p>
      <w:pPr>
        <w:spacing w:after="0" w:line="62" w:lineRule="exact"/>
        <w:rPr>
          <w:rFonts w:ascii="Arial" w:cs="Arial" w:eastAsia="Arial" w:hAnsi="Arial"/>
          <w:sz w:val="18"/>
          <w:szCs w:val="18"/>
          <w:color w:val="auto"/>
        </w:rPr>
      </w:pPr>
    </w:p>
    <w:p>
      <w:pPr>
        <w:ind w:left="1060" w:hanging="39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Customer mix between consumer, small and medium businesses, and large enterprises.</w:t>
      </w:r>
    </w:p>
    <w:p>
      <w:pPr>
        <w:spacing w:after="0" w:line="62" w:lineRule="exact"/>
        <w:rPr>
          <w:rFonts w:ascii="Arial" w:cs="Arial" w:eastAsia="Arial" w:hAnsi="Arial"/>
          <w:sz w:val="18"/>
          <w:szCs w:val="18"/>
          <w:color w:val="auto"/>
        </w:rPr>
      </w:pPr>
    </w:p>
    <w:p>
      <w:pPr>
        <w:ind w:left="1060" w:hanging="39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inventory levels in the OEM channel.</w:t>
      </w:r>
    </w:p>
    <w:p>
      <w:pPr>
        <w:spacing w:after="0" w:line="62" w:lineRule="exact"/>
        <w:rPr>
          <w:rFonts w:ascii="Arial" w:cs="Arial" w:eastAsia="Arial" w:hAnsi="Arial"/>
          <w:sz w:val="18"/>
          <w:szCs w:val="18"/>
          <w:color w:val="auto"/>
        </w:rPr>
      </w:pPr>
    </w:p>
    <w:p>
      <w:pPr>
        <w:ind w:left="1060" w:hanging="393"/>
        <w:spacing w:after="0" w:line="244"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Pricing changes and promotions, pricing variation that occurs when the mix of devices manufactured shifts from local and regional system builders to large multinational OEMs, and different pricing of Windows versions licensed.</w:t>
      </w:r>
    </w:p>
    <w:p>
      <w:pPr>
        <w:spacing w:after="0" w:line="49" w:lineRule="exact"/>
        <w:rPr>
          <w:rFonts w:ascii="Arial" w:cs="Arial" w:eastAsia="Arial" w:hAnsi="Arial"/>
          <w:sz w:val="18"/>
          <w:szCs w:val="18"/>
          <w:color w:val="auto"/>
        </w:rPr>
      </w:pPr>
    </w:p>
    <w:p>
      <w:pPr>
        <w:ind w:left="1060" w:hanging="39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Constraints in the supply chain of device components.</w:t>
      </w:r>
    </w:p>
    <w:p>
      <w:pPr>
        <w:spacing w:after="0" w:line="62" w:lineRule="exact"/>
        <w:rPr>
          <w:rFonts w:ascii="Arial" w:cs="Arial" w:eastAsia="Arial" w:hAnsi="Arial"/>
          <w:sz w:val="18"/>
          <w:szCs w:val="18"/>
          <w:color w:val="auto"/>
        </w:rPr>
      </w:pPr>
    </w:p>
    <w:p>
      <w:pPr>
        <w:ind w:left="1060" w:hanging="39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Piracy.</w:t>
      </w:r>
    </w:p>
    <w:p>
      <w:pPr>
        <w:spacing w:after="0" w:line="14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Windows Commercial revenue, which includes volume licensing of the Windows operating system and Windows cloud services such as Microsoft Defender Advanced Threat Protection, is affected mainly by the demand from commercial customers for volume licensing and Software Assurance (“SA”), as well as advanced security offerings. Windows Commercial revenue often reflects the number of information workers in a licensed enterprise and is relatively independent of the number of PCs sold in a given year.</w:t>
      </w:r>
    </w:p>
    <w:p>
      <w:pPr>
        <w:spacing w:after="0" w:line="14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Patent licensing includes our programs to license patents we own for use across a broad array of technology areas, including mobile devices and cloud offerings.</w:t>
      </w:r>
    </w:p>
    <w:p>
      <w:pPr>
        <w:spacing w:after="0" w:line="14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Windows IoT extends the power of Windows and the cloud to intelligent systems by delivering specialized operating systems, tools, and services for use in embedded devices.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MSN advertising includes both native and display ads.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Devices</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design and sell devices, including Surface and PC accessories. Our devices are designed to enable people and organizations to connect to the people and content that matter most using Windows and integrated Microsoft products and services. Surface is designed to help organizations, students, and consumers be more productive. Growth in Devices is dependent on total PC shipments, the ability to attract new customers, our product roadmap, and expanding into new categories.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w:t>
      </w:r>
    </w:p>
    <w:p>
      <w:pPr>
        <w:spacing w:after="0" w:line="17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gaming platform is designed to provide a variety of entertainment through a unique combination of content, community, and cloud. Our exclusive game content is created through Xbox Game Studios, a collection of first-party studios creating iconic and differentiated gaming experiences. We continue to invest in new gaming studios and content to expand our IP roadmap and leverage new content creators. These unique gaming experiences are the cornerstone of Xbox Game Pass, a subscription service and gaming community with access to a curated library of over 100 first- and third-party console and PC titles.</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gamer remains at the heart of the Xbox ecosystem. We continue to open new opportunities for gamers to engage both on- and off-console with both the launch of Xbox Cloud Gaming, our game streaming service, and continued investment in gaming hardware. Xbox Cloud Gaming utilizes Microsoft’s Azure cloud technology to allow direct and on-demand streaming of games to PCs, consoles, and mobile devices, enabling gamers to take their favorites games with them and play on the device most convenient to them.</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14" w:name="page15"/>
    <w:bookmarkEnd w:id="14"/>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36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Xbox enables people to connect and share online gaming experiences that are accessible on Xbox consoles, Windows-enabled devices, and other devices. Xbox is designed to benefit users by providing access to a network of certified applications and services and to benefit our developer and partner ecosystems by providing access to a large customer base. Xbox revenue is mainly affected by subscriptions and sales of first- and third-party content, as well as advertising. Growth of our Gaming business is determined by the overall active user base through Xbox enabled content, availability of games, providing exclusive game content that gamers seek, the computational power and reliability of the devices used to access our content and services, and the ability to create new experiences through first-party content creators.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Search Advertising</w:t>
      </w:r>
    </w:p>
    <w:p>
      <w:pPr>
        <w:spacing w:after="0" w:line="17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Search business, including Bing and Microsoft Advertising, is designed to deliver relevant online advertising to a global audience. We have several partnerships with other companies, including Verizon Media Group, through which we provide and monetize search queries. Growth depends on our ability to attract new users, understand intent, and match intent with relevant content and advertiser offerings.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7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Windows faces competition from various software products and from alternative platforms and devices, mainly from Apple and Google. We believe Windows competes effectively by giving customers choice, value, flexibility, security, an easy-to-use interface, and compatibility with a broad range of hardware and software applications, including those that enable productivity.</w:t>
      </w:r>
    </w:p>
    <w:p>
      <w:pPr>
        <w:spacing w:after="0" w:line="14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Devices face competition from various computer, tablet, and hardware manufacturers who offer a unique combination of high-quality industrial design and innovative technologies across various price points. These manufacturers, many of which are also current or potential partners and customers, include Apple and our Windows OEMs.</w:t>
      </w:r>
    </w:p>
    <w:p>
      <w:pPr>
        <w:spacing w:after="0" w:line="14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Xbox and our cloud gaming services face competition from various online gaming ecosystems and game streaming services, including those operated by Amazon, Apple, Facebook, Google, and Tencent. We also compete with other providers of entertainment services such as video streaming platforms. Our gaming platform competes with console platforms from Nintendo and Sony, both of which have a large, established base of customers. We believe our gaming platform is effectively positioned against, and uniquely differentiated from, competitive products and services based on significant innovation in hardware architecture, user interface, developer tools, online gaming and entertainment services, and continued strong exclusive content from our own first-party game franchises as well as other digital content offerings.</w:t>
      </w:r>
    </w:p>
    <w:p>
      <w:pPr>
        <w:spacing w:after="0" w:line="15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search business competes with Google and a wide array of websites, social platforms like Facebook, and portals that provide content and online offerings to end users.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OPERATIONS</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operations centers that support operations in their regions, including customer contract and order processing, credit and collections, information processing, and vendor management and logistics. The regional center in Ireland supports the European, Middle Eastern, and African region; the center in Singapore supports the Japan, India, Greater China, and Asia-Pacific region; and the centers in Fargo, North Dakota, Fort Lauderdale, Florida, Puerto Rico, Redmond, Washington, and Reno, Nevada support Latin America and North America. In addition to the operations centers, we also operate datacenters throughout the Americas, Europe, Australia, and Asia, as well as in the Middle East and Africa.</w:t>
      </w:r>
    </w:p>
    <w:p>
      <w:pPr>
        <w:spacing w:after="0" w:line="15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To serve the needs of customers around the world and to improve the quality and usability of products in international markets, we localize many of our products to reflect local languages and conventions. Localizing a product may require modifying the user interface, altering dialog boxes, and translating text.</w:t>
      </w:r>
    </w:p>
    <w:p>
      <w:pPr>
        <w:spacing w:after="0" w:line="14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devices are primarily manufactured by third-party contract manufacturers. For the majority of our products, we have the ability to use other manufacturers if a current vendor becomes unavailable or unable to meet our requirements. However, some of our products contain certain components for which there are very few qualified suppliers. For these components, we have limited near-term flexibility to use other manufacturers if a current vendor becomes unavailable or is unable to meet our requirements. Extended disruptions at these suppliers could lead to a similar disruption in our ability to manufacture devices on time to meet consumer demand.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15" w:name="page16"/>
    <w:bookmarkEnd w:id="15"/>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29" w:lineRule="exact"/>
        <w:rPr>
          <w:sz w:val="20"/>
          <w:szCs w:val="20"/>
          <w:color w:val="auto"/>
        </w:rPr>
      </w:pPr>
    </w:p>
    <w:p>
      <w:pPr>
        <w:ind w:left="4200"/>
        <w:spacing w:after="0"/>
        <w:rPr>
          <w:sz w:val="20"/>
          <w:szCs w:val="20"/>
          <w:color w:val="auto"/>
        </w:rPr>
      </w:pPr>
      <w:r>
        <w:rPr>
          <w:rFonts w:ascii="Arial" w:cs="Arial" w:eastAsia="Arial" w:hAnsi="Arial"/>
          <w:sz w:val="18"/>
          <w:szCs w:val="18"/>
          <w:u w:val="single" w:color="auto"/>
          <w:color w:val="auto"/>
        </w:rPr>
        <w:t>RESEARCH AND DEVELOPMENT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and Service Development, and Intellectual Property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We develop most of our products and services internally through the following engineering groups.</w:t>
      </w:r>
    </w:p>
    <w:p>
      <w:pPr>
        <w:spacing w:after="0" w:line="58" w:lineRule="exact"/>
        <w:rPr>
          <w:sz w:val="20"/>
          <w:szCs w:val="20"/>
          <w:color w:val="auto"/>
        </w:rPr>
      </w:pPr>
    </w:p>
    <w:p>
      <w:pPr>
        <w:jc w:val="both"/>
        <w:ind w:left="1060" w:hanging="393"/>
        <w:spacing w:after="0" w:line="249"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Cloud and AI</w:t>
      </w:r>
      <w:r>
        <w:rPr>
          <w:rFonts w:ascii="Arial" w:cs="Arial" w:eastAsia="Arial" w:hAnsi="Arial"/>
          <w:sz w:val="18"/>
          <w:szCs w:val="18"/>
          <w:color w:val="auto"/>
        </w:rPr>
        <w:t>, focuses on making IT professionals, developers, and their systems more productive and efficient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of cloud infrastructure, server, database, CRM, ERP, management and development tools, AI cognitive services, and other business process applications and services for enterprises.</w:t>
      </w:r>
    </w:p>
    <w:p>
      <w:pPr>
        <w:spacing w:after="0" w:line="28" w:lineRule="exact"/>
        <w:rPr>
          <w:rFonts w:ascii="Arial" w:cs="Arial" w:eastAsia="Arial" w:hAnsi="Arial"/>
          <w:sz w:val="18"/>
          <w:szCs w:val="18"/>
          <w:color w:val="auto"/>
        </w:rPr>
      </w:pPr>
    </w:p>
    <w:p>
      <w:pPr>
        <w:ind w:left="1060" w:hanging="393"/>
        <w:spacing w:after="0" w:line="265"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Experiences and Devices</w:t>
      </w:r>
      <w:r>
        <w:rPr>
          <w:rFonts w:ascii="Arial" w:cs="Arial" w:eastAsia="Arial" w:hAnsi="Arial"/>
          <w:sz w:val="18"/>
          <w:szCs w:val="18"/>
          <w:color w:val="auto"/>
        </w:rPr>
        <w:t>, focuses on instilling a unifying product ethos across our end-user experiences and devices,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Office, Windows, Enterprise Mobility + Security, and Surface.</w:t>
      </w:r>
    </w:p>
    <w:p>
      <w:pPr>
        <w:spacing w:after="0" w:line="13" w:lineRule="exact"/>
        <w:rPr>
          <w:rFonts w:ascii="Arial" w:cs="Arial" w:eastAsia="Arial" w:hAnsi="Arial"/>
          <w:sz w:val="18"/>
          <w:szCs w:val="18"/>
          <w:color w:val="auto"/>
        </w:rPr>
      </w:pPr>
    </w:p>
    <w:p>
      <w:pPr>
        <w:ind w:left="1060" w:right="20" w:hanging="393"/>
        <w:spacing w:after="0" w:line="265"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AI and Research</w:t>
      </w:r>
      <w:r>
        <w:rPr>
          <w:rFonts w:ascii="Arial" w:cs="Arial" w:eastAsia="Arial" w:hAnsi="Arial"/>
          <w:sz w:val="18"/>
          <w:szCs w:val="18"/>
          <w:color w:val="auto"/>
        </w:rPr>
        <w:t>, focuses on our AI innovations and other forward-looking research and development efforts spanning</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services, applications, and search.</w:t>
      </w:r>
    </w:p>
    <w:p>
      <w:pPr>
        <w:spacing w:after="0" w:line="13" w:lineRule="exact"/>
        <w:rPr>
          <w:rFonts w:ascii="Arial" w:cs="Arial" w:eastAsia="Arial" w:hAnsi="Arial"/>
          <w:sz w:val="18"/>
          <w:szCs w:val="18"/>
          <w:color w:val="auto"/>
        </w:rPr>
      </w:pPr>
    </w:p>
    <w:p>
      <w:pPr>
        <w:ind w:left="1060" w:hanging="393"/>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LinkedIn</w:t>
      </w:r>
      <w:r>
        <w:rPr>
          <w:rFonts w:ascii="Arial" w:cs="Arial" w:eastAsia="Arial" w:hAnsi="Arial"/>
          <w:sz w:val="18"/>
          <w:szCs w:val="18"/>
          <w:color w:val="auto"/>
        </w:rPr>
        <w:t>, focuses on our services that transform the way customers hire, market, sell, and learn.</w:t>
      </w:r>
    </w:p>
    <w:p>
      <w:pPr>
        <w:spacing w:after="0" w:line="62" w:lineRule="exact"/>
        <w:rPr>
          <w:rFonts w:ascii="Arial" w:cs="Arial" w:eastAsia="Arial" w:hAnsi="Arial"/>
          <w:sz w:val="18"/>
          <w:szCs w:val="18"/>
          <w:color w:val="auto"/>
        </w:rPr>
      </w:pPr>
    </w:p>
    <w:p>
      <w:pPr>
        <w:ind w:left="1060" w:hanging="393"/>
        <w:spacing w:after="0" w:line="265"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Gaming</w:t>
      </w:r>
      <w:r>
        <w:rPr>
          <w:rFonts w:ascii="Arial" w:cs="Arial" w:eastAsia="Arial" w:hAnsi="Arial"/>
          <w:sz w:val="18"/>
          <w:szCs w:val="18"/>
          <w:color w:val="auto"/>
        </w:rPr>
        <w:t>, focuses on developing hardware, content, and services across a large range of platforms to help grow our user base</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game experiences and social interaction.</w:t>
      </w:r>
    </w:p>
    <w:p>
      <w:pPr>
        <w:spacing w:after="0" w:line="11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Internal development allows us to maintain competitive advantages that come from product differentiation and closer technical control over our products and services. It also gives us the freedom to decide which modifications and enhancements are most important and when they should be implemented. We strive to obtain information as early as possible about changing usage patterns and hardware advances that may affect software and hardware design. Before releasing new software platforms, and as we make significant modifications to existing platforms, we provide application vendors with a range of resources and guidelines for development, training, and testing. Generally, we also create product documentation internally.</w:t>
      </w:r>
    </w:p>
    <w:p>
      <w:pPr>
        <w:spacing w:after="0" w:line="151"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We protect our intellectual property investments in a variety of ways. We work actively in the U.S. and internationally to ensure the enforcement of copyright, trademark, trade secret, and other protections that apply to our software and hardware products, services, business plans, and branding. We are a leader among technology companies in pursuing patents and currently have a portfolio of over 65,000 U.S. and international patents issued and over 21,000 pending worldwide. While we employ much of our internally-developed intellectual property exclusively in our products and services, we also engage in outbound licensing of specific patented technologies that are incorporated into licensees’ products. From time to time, we enter into broader cross-license agreements with other technology companies covering entire groups of patents. We may also purchase or license technology that we incorporate into our products and services. At times, we make select intellectual property broadly available at no or low cost to achieve a strategic objective, such as promoting industry standards, advancing interoperability, supporting societal and/or environmental efforts, or attracting and enabling our external development community. Our increasing engagement with open source software will also cause us to license our intellectual property rights broadly in certain situations.</w:t>
      </w:r>
    </w:p>
    <w:p>
      <w:pPr>
        <w:spacing w:after="0" w:line="14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While it may be necessary in the future to seek or renew licenses relating to various aspects of our products, services, and business methods, we believe, based upon past experience and industry practice, such licenses generally can be obtained on commercially reasonable terms. We believe our continuing research and product development are not materially dependent on any single license or other agreement with a third party relating to the development of our products.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the Future</w:t>
      </w:r>
    </w:p>
    <w:p>
      <w:pPr>
        <w:spacing w:after="0" w:line="17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success is based on our ability to create new and compelling products, services, and experiences for our users, to initiate and embrace disruptive technology trends, to enter new geographic and product markets, and to drive broad adoption of our products and services. We invest in a range of emerging technology trends and breakthroughs that we believe offer significant opportunities to deliver value to our customers and growth for the Company. Based on our assessment of key technology trends, we maintain our long-term commitment to research and development across a wide spectrum of technologies, tools, and platforms spanning digital work and life experiences, cloud computing, AI, devices, and operating systems.</w:t>
      </w:r>
    </w:p>
    <w:p>
      <w:pPr>
        <w:spacing w:after="0" w:line="15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While our main product research and development facilities are located in Redmond, Washington, we also operate research and development facilities in other parts of the U.S. and around the world. This global approach helps us remain competitive in local markets and enables us to continue to attract top talent from across the world.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16" w:name="page17"/>
    <w:bookmarkEnd w:id="16"/>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3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to our main research and development operations, we also operate Microsoft Research. Microsoft Research is one of the world’s largest corporate research organizations and works in close collaboration with top universities around the world to advance the state-of-the-art in computer science and a broad range of other disciplines, providing us a unique perspective on future trends and contributing to our innovation.</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generally fund research at the corporate level to ensure that we are looking beyond immediate product considerations to opportunities further in the future. We also fund research and development activities at the operating segment level. Much of our segment level research and development is coordinated with other segments and leveraged across the Company. We plan to continue to make significant investments in a broad range of research and development efforts.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DISTRIBUTION, SALES, AND MARKETING</w:t>
      </w:r>
    </w:p>
    <w:p>
      <w:pPr>
        <w:spacing w:after="0" w:line="15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market and distribute our products and services through the following channels: OEMs, direct, and distributors and resellers. Our sales force performs a variety of functions, including working directly with commercial enterprises and public-sector organizations worldwide to identify and meet their technology and digital transformation requirements; managing OEM relationships; and supporting system integrators, independent software vendors, and other partners who engage directly with our customers to perform sales, consulting, and fulfillment functions for our products and services.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OEMs</w:t>
      </w:r>
    </w:p>
    <w:p>
      <w:pPr>
        <w:spacing w:after="0" w:line="17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distribute our products and services through OEMs that pre-install our software on new devices and servers they sell. The largest component of the OEM business is the Windows operating system pre-installed on devices. OEMs also sell devices pre-installed with other Microsoft products and services, including applications such as Office and the capability to subscribe to Office 365.</w:t>
      </w:r>
    </w:p>
    <w:p>
      <w:pPr>
        <w:spacing w:after="0" w:line="14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There are two broad categories of OEMs. The largest category of OEMs are direct OEMs as our relationship with them is managed through a direct agreement between Microsoft and the OEM. We have distribution agreements covering one or more of our products with virtually all the multinational OEMs, including Dell, Hewlett-Packard, Lenovo, and with many regional and local OEMs. The second broad category of OEMs are system builders consisting of lower-volume PC manufacturers, which source Microsoft software for pre-installation and local redistribution primarily through the Microsoft distributor channel rather than through a direct agreement or relationship with Microsoft.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w:t>
      </w:r>
    </w:p>
    <w:p>
      <w:pPr>
        <w:spacing w:after="0" w:line="17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Many organizations that license our products and services transact directly with us through Enterprise Agreements and Enterprise Services contracts, with sales support from system integrators, independent software vendors, web agencies, and partners that advise organizations on licensing our products and services (“Enterprise Agreement Software Advisors” or “ESA”). Microsoft offers direct sales programs targeted to reach small, medium, and corporate customers, in addition to those offered through the reseller channel. A large network of partner advisors support many of these sales.</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also sell commercial and consumer products and services directly to customers, such as cloud services, search, and gaming, through our digital marketplaces and online stores. In fiscal year 2021, we closed our Microsoft Store physical locations and opened our Microsoft Experience Centers. Microsoft Experience Centers are designed to facilitate deeper engagement with our partners and customers across industries.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Distributors and Resellers</w:t>
      </w:r>
    </w:p>
    <w:p>
      <w:pPr>
        <w:spacing w:after="0" w:line="17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Organizations also license our products and services indirectly, primarily through licensing solution partners (“LSP”), distributors, value-added resellers (“VAR”), and retailers. Although each type of reselling partner may reach organizations of all sizes, LSPs are primarily engaged with large organizations, distributors resell primarily to VARs, and VARs typically reach small and medium organizations. ESAs are also typically authorized as LSPs and operate as resellers for our other volume licensing programs. Microsoft Cloud Solution Provider is our main partner program for reselling cloud services.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17" w:name="page18"/>
    <w:bookmarkEnd w:id="17"/>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3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distribute our retail packaged products primarily through independent non-exclusive distributors, authorized replicators, resellers, and retail outlets. Individual consumers obtain these products primarily through retail outlets. We distribute our devices through third-party retailers. We have a network of field sales representatives and field support personnel that solicit orders from distributors and resellers, and provide product training and sales support.</w:t>
      </w:r>
    </w:p>
    <w:p>
      <w:pPr>
        <w:spacing w:after="0" w:line="14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Dynamics business solutions are also licensed to enterprises through a global network of channel partners providing vertical solutions and specialized services.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LICENSING OPTIONS</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offer options for organizations that want to purchase our cloud services, on-premises software, and SA. We license software to organizations under volume licensing agreements to allow the customer to acquire multiple licenses of products and services instead of having to acquire separate licenses through retail channels. We use different programs designed to provide flexibility for organizations of various sizes. While these programs may differ in various parts of the world, generally they include those discussed below.</w:t>
      </w:r>
    </w:p>
    <w:p>
      <w:pPr>
        <w:spacing w:after="0" w:line="14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SA conveys rights to new software and upgrades for perpetual licenses released over the contract period. It also provides support, tools, training, and other licensing benefits to help customers deploy and use software efficiently. SA is included with certain volume licensing agreements and is an optional purchase with others.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Volume Licensing Programs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Enterprise Agreement</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Enterprise Agreements offer large organizations a manageable volume licensing program that gives them the flexibility to buy cloud services and software licenses under one agreement. Enterprise Agreements are designed for medium or large organizations that want to license cloud services and on-premises software organization-wide over a three-year period. Organizations can elect to purchase perpetual licenses or subscribe to licenses. SA is included.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Microsoft Product and Services Agreement</w:t>
      </w:r>
    </w:p>
    <w:p>
      <w:pPr>
        <w:spacing w:after="0" w:line="17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Microsoft Product and Services Agreements are designed for medium and large organizations that want to license cloud services and on-premises software as needed, with no organization-wide commitment, under a single, non-expiring agreement. Organizations purchase perpetual licenses or subscribe to licenses. SA is optional for customers that purchase perpetual licenses.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Open</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Open agreements are a simple, cost-effective way to acquire the latest Microsoft technology. Open agreements are designed for small and medium organizations that want to license cloud services and on-premises software over a one- to three-year period. Under the Open agreements, organizations purchase perpetual licenses and SA is optional. Under Open Value agreements, organizations can elect to purchase perpetual licenses or subscribe to licenses and SA is included.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18" w:name="page19"/>
    <w:bookmarkEnd w:id="18"/>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 Plus</w:t>
      </w:r>
    </w:p>
    <w:p>
      <w:pPr>
        <w:spacing w:after="0" w:line="17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Select Plus agreements are designed for government and academic organizations to acquire on-premises licenses at any affiliate or department level, while realizing advantages as one organization. Organizations purchase perpetual licenses and SA is optional.</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Microsoft Online Subscription Agreement</w:t>
      </w:r>
    </w:p>
    <w:p>
      <w:pPr>
        <w:spacing w:after="0" w:line="17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Microsoft Online Subscription Agreements are designed for small and medium organizations that want to subscribe to, activate, provision, and maintain cloud services seamlessly and directly via the web. The agreement allows customers to acquire monthly or annual subscriptions for cloud-based services.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 Programs</w:t>
      </w:r>
    </w:p>
    <w:p>
      <w:pPr>
        <w:spacing w:after="0" w:line="17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Microsoft Cloud Solution Provider program offers customers an easy way to license the cloud services they need in combination with the value-added services offered by their systems integrator, managed services provider, or cloud reseller partner. Partners in this program can easily package their own products and services to directly provision, manage, and support their customer subscriptions.</w:t>
      </w:r>
    </w:p>
    <w:p>
      <w:pPr>
        <w:spacing w:after="0" w:line="14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Microsoft Services Provider License Agreement allows hosting service providers and independent software vendors who want to license eligible Microsoft software products to provide software services and hosted applications to their end customers. Partners license software over a three-year period and are billed monthly based on consumption.</w:t>
      </w:r>
    </w:p>
    <w:p>
      <w:pPr>
        <w:spacing w:after="0" w:line="14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Independent Software Vendor Royalty program enables partners to integrate Microsoft products into other applications and then license the unified business solution to their end users.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CUSTOMERS</w:t>
      </w:r>
    </w:p>
    <w:p>
      <w:pPr>
        <w:spacing w:after="0" w:line="15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customers include individual consumers, small and medium organizations, large global enterprises, public-sector institutions, Internet service providers, application developers, and OEMs. Our practice is to ship our products promptly upon receipt of purchase orders from customers; consequently, backlog is not significant.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19" w:name="page20"/>
    <w:bookmarkEnd w:id="19"/>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ind w:right="3420" w:firstLine="3427"/>
        <w:spacing w:after="0" w:line="431" w:lineRule="auto"/>
        <w:rPr>
          <w:sz w:val="20"/>
          <w:szCs w:val="20"/>
          <w:color w:val="auto"/>
        </w:rPr>
      </w:pPr>
      <w:r>
        <w:rPr>
          <w:rFonts w:ascii="Arial" w:cs="Arial" w:eastAsia="Arial" w:hAnsi="Arial"/>
          <w:sz w:val="18"/>
          <w:szCs w:val="18"/>
          <w:u w:val="single" w:color="auto"/>
          <w:color w:val="auto"/>
        </w:rPr>
        <w:t xml:space="preserve">INFORMATION ABOUT OUR EXECUTIVE OFFICERS </w:t>
      </w:r>
      <w:r>
        <w:rPr>
          <w:rFonts w:ascii="Arial" w:cs="Arial" w:eastAsia="Arial" w:hAnsi="Arial"/>
          <w:sz w:val="18"/>
          <w:szCs w:val="18"/>
          <w:color w:val="auto"/>
        </w:rPr>
        <w:t>Our executive officers as of July 29, 2021 were as follows: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60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900" w:type="dxa"/>
            <w:vAlign w:val="bottom"/>
          </w:tcPr>
          <w:p>
            <w:pPr>
              <w:jc w:val="right"/>
              <w:ind w:right="33"/>
              <w:spacing w:after="0"/>
              <w:rPr>
                <w:sz w:val="20"/>
                <w:szCs w:val="20"/>
                <w:color w:val="auto"/>
              </w:rPr>
            </w:pPr>
            <w:r>
              <w:rPr>
                <w:rFonts w:ascii="Arial" w:cs="Arial" w:eastAsia="Arial" w:hAnsi="Arial"/>
                <w:sz w:val="13"/>
                <w:szCs w:val="13"/>
                <w:b w:val="1"/>
                <w:bCs w:val="1"/>
                <w:color w:val="auto"/>
              </w:rPr>
              <w:t>Age</w:t>
            </w:r>
          </w:p>
        </w:tc>
        <w:tc>
          <w:tcPr>
            <w:tcW w:w="7740" w:type="dxa"/>
            <w:vAlign w:val="bottom"/>
          </w:tcPr>
          <w:p>
            <w:pPr>
              <w:ind w:left="120"/>
              <w:spacing w:after="0"/>
              <w:rPr>
                <w:sz w:val="20"/>
                <w:szCs w:val="20"/>
                <w:color w:val="auto"/>
              </w:rPr>
            </w:pPr>
            <w:r>
              <w:rPr>
                <w:rFonts w:ascii="Arial" w:cs="Arial" w:eastAsia="Arial" w:hAnsi="Arial"/>
                <w:sz w:val="13"/>
                <w:szCs w:val="13"/>
                <w:b w:val="1"/>
                <w:bCs w:val="1"/>
                <w:color w:val="auto"/>
              </w:rPr>
              <w:t>Position with the Company</w:t>
            </w:r>
          </w:p>
        </w:tc>
      </w:tr>
      <w:tr>
        <w:trPr>
          <w:trHeight w:val="68"/>
        </w:trPr>
        <w:tc>
          <w:tcPr>
            <w:tcW w:w="26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7740" w:type="dxa"/>
            <w:vAlign w:val="bottom"/>
            <w:tcBorders>
              <w:bottom w:val="single" w:sz="8" w:color="auto"/>
            </w:tcBorders>
          </w:tcPr>
          <w:p>
            <w:pPr>
              <w:spacing w:after="0"/>
              <w:rPr>
                <w:sz w:val="5"/>
                <w:szCs w:val="5"/>
                <w:color w:val="auto"/>
              </w:rPr>
            </w:pPr>
          </w:p>
        </w:tc>
      </w:tr>
      <w:tr>
        <w:trPr>
          <w:trHeight w:val="275"/>
        </w:trPr>
        <w:tc>
          <w:tcPr>
            <w:tcW w:w="2600" w:type="dxa"/>
            <w:vAlign w:val="bottom"/>
          </w:tcPr>
          <w:p>
            <w:pPr>
              <w:spacing w:after="0"/>
              <w:rPr>
                <w:sz w:val="20"/>
                <w:szCs w:val="20"/>
                <w:color w:val="auto"/>
              </w:rPr>
            </w:pPr>
            <w:r>
              <w:rPr>
                <w:rFonts w:ascii="Arial" w:cs="Arial" w:eastAsia="Arial" w:hAnsi="Arial"/>
                <w:sz w:val="18"/>
                <w:szCs w:val="18"/>
                <w:color w:val="auto"/>
              </w:rPr>
              <w:t>Satya Nadella</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53</w:t>
            </w:r>
          </w:p>
        </w:tc>
        <w:tc>
          <w:tcPr>
            <w:tcW w:w="7740" w:type="dxa"/>
            <w:vAlign w:val="bottom"/>
          </w:tcPr>
          <w:p>
            <w:pPr>
              <w:ind w:left="120"/>
              <w:spacing w:after="0"/>
              <w:rPr>
                <w:sz w:val="20"/>
                <w:szCs w:val="20"/>
                <w:color w:val="auto"/>
              </w:rPr>
            </w:pPr>
            <w:r>
              <w:rPr>
                <w:rFonts w:ascii="Arial" w:cs="Arial" w:eastAsia="Arial" w:hAnsi="Arial"/>
                <w:sz w:val="18"/>
                <w:szCs w:val="18"/>
                <w:color w:val="auto"/>
              </w:rPr>
              <w:t>Chairman of the Board and Chief Executive Officer</w:t>
            </w:r>
          </w:p>
        </w:tc>
      </w:tr>
      <w:tr>
        <w:trPr>
          <w:trHeight w:val="202"/>
        </w:trPr>
        <w:tc>
          <w:tcPr>
            <w:tcW w:w="2600" w:type="dxa"/>
            <w:vAlign w:val="bottom"/>
          </w:tcPr>
          <w:p>
            <w:pPr>
              <w:spacing w:after="0" w:line="201" w:lineRule="exact"/>
              <w:rPr>
                <w:sz w:val="20"/>
                <w:szCs w:val="20"/>
                <w:color w:val="auto"/>
              </w:rPr>
            </w:pPr>
            <w:r>
              <w:rPr>
                <w:rFonts w:ascii="Arial" w:cs="Arial" w:eastAsia="Arial" w:hAnsi="Arial"/>
                <w:sz w:val="18"/>
                <w:szCs w:val="18"/>
                <w:color w:val="auto"/>
              </w:rPr>
              <w:t>Judson Althoff</w:t>
            </w:r>
          </w:p>
        </w:tc>
        <w:tc>
          <w:tcPr>
            <w:tcW w:w="900" w:type="dxa"/>
            <w:vAlign w:val="bottom"/>
          </w:tcPr>
          <w:p>
            <w:pPr>
              <w:jc w:val="right"/>
              <w:ind w:right="13"/>
              <w:spacing w:after="0" w:line="201" w:lineRule="exact"/>
              <w:rPr>
                <w:sz w:val="20"/>
                <w:szCs w:val="20"/>
                <w:color w:val="auto"/>
              </w:rPr>
            </w:pPr>
            <w:r>
              <w:rPr>
                <w:rFonts w:ascii="Arial" w:cs="Arial" w:eastAsia="Arial" w:hAnsi="Arial"/>
                <w:sz w:val="18"/>
                <w:szCs w:val="18"/>
                <w:color w:val="auto"/>
              </w:rPr>
              <w:t>48</w:t>
            </w:r>
          </w:p>
        </w:tc>
        <w:tc>
          <w:tcPr>
            <w:tcW w:w="7740" w:type="dxa"/>
            <w:vAlign w:val="bottom"/>
          </w:tcPr>
          <w:p>
            <w:pPr>
              <w:ind w:left="120"/>
              <w:spacing w:after="0" w:line="201" w:lineRule="exact"/>
              <w:rPr>
                <w:sz w:val="20"/>
                <w:szCs w:val="20"/>
                <w:color w:val="auto"/>
              </w:rPr>
            </w:pPr>
            <w:r>
              <w:rPr>
                <w:rFonts w:ascii="Arial" w:cs="Arial" w:eastAsia="Arial" w:hAnsi="Arial"/>
                <w:sz w:val="18"/>
                <w:szCs w:val="18"/>
                <w:color w:val="auto"/>
              </w:rPr>
              <w:t>Executive Vice President and Chief Commercial Officer</w:t>
            </w:r>
          </w:p>
        </w:tc>
      </w:tr>
      <w:tr>
        <w:trPr>
          <w:trHeight w:val="202"/>
        </w:trPr>
        <w:tc>
          <w:tcPr>
            <w:tcW w:w="2600" w:type="dxa"/>
            <w:vAlign w:val="bottom"/>
          </w:tcPr>
          <w:p>
            <w:pPr>
              <w:spacing w:after="0" w:line="201" w:lineRule="exact"/>
              <w:rPr>
                <w:sz w:val="20"/>
                <w:szCs w:val="20"/>
                <w:color w:val="auto"/>
              </w:rPr>
            </w:pPr>
            <w:r>
              <w:rPr>
                <w:rFonts w:ascii="Arial" w:cs="Arial" w:eastAsia="Arial" w:hAnsi="Arial"/>
                <w:sz w:val="18"/>
                <w:szCs w:val="18"/>
                <w:color w:val="auto"/>
              </w:rPr>
              <w:t>Christopher C. Capossela</w:t>
            </w:r>
          </w:p>
        </w:tc>
        <w:tc>
          <w:tcPr>
            <w:tcW w:w="900" w:type="dxa"/>
            <w:vAlign w:val="bottom"/>
          </w:tcPr>
          <w:p>
            <w:pPr>
              <w:jc w:val="right"/>
              <w:ind w:right="13"/>
              <w:spacing w:after="0" w:line="201" w:lineRule="exact"/>
              <w:rPr>
                <w:sz w:val="20"/>
                <w:szCs w:val="20"/>
                <w:color w:val="auto"/>
              </w:rPr>
            </w:pPr>
            <w:r>
              <w:rPr>
                <w:rFonts w:ascii="Arial" w:cs="Arial" w:eastAsia="Arial" w:hAnsi="Arial"/>
                <w:sz w:val="18"/>
                <w:szCs w:val="18"/>
                <w:color w:val="auto"/>
              </w:rPr>
              <w:t>51</w:t>
            </w:r>
          </w:p>
        </w:tc>
        <w:tc>
          <w:tcPr>
            <w:tcW w:w="7740" w:type="dxa"/>
            <w:vAlign w:val="bottom"/>
          </w:tcPr>
          <w:p>
            <w:pPr>
              <w:ind w:left="120"/>
              <w:spacing w:after="0" w:line="201" w:lineRule="exact"/>
              <w:rPr>
                <w:sz w:val="20"/>
                <w:szCs w:val="20"/>
                <w:color w:val="auto"/>
              </w:rPr>
            </w:pPr>
            <w:r>
              <w:rPr>
                <w:rFonts w:ascii="Arial" w:cs="Arial" w:eastAsia="Arial" w:hAnsi="Arial"/>
                <w:sz w:val="18"/>
                <w:szCs w:val="18"/>
                <w:color w:val="auto"/>
              </w:rPr>
              <w:t>Executive Vice President, Marketing and Consumer Business, and Chief Marketing Officer</w:t>
            </w:r>
          </w:p>
        </w:tc>
      </w:tr>
      <w:tr>
        <w:trPr>
          <w:trHeight w:val="202"/>
        </w:trPr>
        <w:tc>
          <w:tcPr>
            <w:tcW w:w="2600" w:type="dxa"/>
            <w:vAlign w:val="bottom"/>
          </w:tcPr>
          <w:p>
            <w:pPr>
              <w:spacing w:after="0" w:line="201" w:lineRule="exact"/>
              <w:rPr>
                <w:sz w:val="20"/>
                <w:szCs w:val="20"/>
                <w:color w:val="auto"/>
              </w:rPr>
            </w:pPr>
            <w:r>
              <w:rPr>
                <w:rFonts w:ascii="Arial" w:cs="Arial" w:eastAsia="Arial" w:hAnsi="Arial"/>
                <w:sz w:val="18"/>
                <w:szCs w:val="18"/>
                <w:color w:val="auto"/>
              </w:rPr>
              <w:t>Kathleen T. Hogan</w:t>
            </w:r>
          </w:p>
        </w:tc>
        <w:tc>
          <w:tcPr>
            <w:tcW w:w="900" w:type="dxa"/>
            <w:vAlign w:val="bottom"/>
          </w:tcPr>
          <w:p>
            <w:pPr>
              <w:jc w:val="right"/>
              <w:ind w:right="13"/>
              <w:spacing w:after="0" w:line="201" w:lineRule="exact"/>
              <w:rPr>
                <w:sz w:val="20"/>
                <w:szCs w:val="20"/>
                <w:color w:val="auto"/>
              </w:rPr>
            </w:pPr>
            <w:r>
              <w:rPr>
                <w:rFonts w:ascii="Arial" w:cs="Arial" w:eastAsia="Arial" w:hAnsi="Arial"/>
                <w:sz w:val="18"/>
                <w:szCs w:val="18"/>
                <w:color w:val="auto"/>
              </w:rPr>
              <w:t>55</w:t>
            </w:r>
          </w:p>
        </w:tc>
        <w:tc>
          <w:tcPr>
            <w:tcW w:w="7740" w:type="dxa"/>
            <w:vAlign w:val="bottom"/>
          </w:tcPr>
          <w:p>
            <w:pPr>
              <w:ind w:left="120"/>
              <w:spacing w:after="0" w:line="201" w:lineRule="exact"/>
              <w:rPr>
                <w:sz w:val="20"/>
                <w:szCs w:val="20"/>
                <w:color w:val="auto"/>
              </w:rPr>
            </w:pPr>
            <w:r>
              <w:rPr>
                <w:rFonts w:ascii="Arial" w:cs="Arial" w:eastAsia="Arial" w:hAnsi="Arial"/>
                <w:sz w:val="18"/>
                <w:szCs w:val="18"/>
                <w:color w:val="auto"/>
              </w:rPr>
              <w:t>Executive Vice President, Human Resources</w:t>
            </w:r>
          </w:p>
        </w:tc>
      </w:tr>
      <w:tr>
        <w:trPr>
          <w:trHeight w:val="202"/>
        </w:trPr>
        <w:tc>
          <w:tcPr>
            <w:tcW w:w="2600" w:type="dxa"/>
            <w:vAlign w:val="bottom"/>
          </w:tcPr>
          <w:p>
            <w:pPr>
              <w:spacing w:after="0" w:line="201" w:lineRule="exact"/>
              <w:rPr>
                <w:sz w:val="20"/>
                <w:szCs w:val="20"/>
                <w:color w:val="auto"/>
              </w:rPr>
            </w:pPr>
            <w:r>
              <w:rPr>
                <w:rFonts w:ascii="Arial" w:cs="Arial" w:eastAsia="Arial" w:hAnsi="Arial"/>
                <w:sz w:val="18"/>
                <w:szCs w:val="18"/>
                <w:color w:val="auto"/>
              </w:rPr>
              <w:t>Amy E. Hood</w:t>
            </w:r>
          </w:p>
        </w:tc>
        <w:tc>
          <w:tcPr>
            <w:tcW w:w="900" w:type="dxa"/>
            <w:vAlign w:val="bottom"/>
          </w:tcPr>
          <w:p>
            <w:pPr>
              <w:jc w:val="right"/>
              <w:ind w:right="13"/>
              <w:spacing w:after="0" w:line="201" w:lineRule="exact"/>
              <w:rPr>
                <w:sz w:val="20"/>
                <w:szCs w:val="20"/>
                <w:color w:val="auto"/>
              </w:rPr>
            </w:pPr>
            <w:r>
              <w:rPr>
                <w:rFonts w:ascii="Arial" w:cs="Arial" w:eastAsia="Arial" w:hAnsi="Arial"/>
                <w:sz w:val="18"/>
                <w:szCs w:val="18"/>
                <w:color w:val="auto"/>
              </w:rPr>
              <w:t>49</w:t>
            </w:r>
          </w:p>
        </w:tc>
        <w:tc>
          <w:tcPr>
            <w:tcW w:w="7740" w:type="dxa"/>
            <w:vAlign w:val="bottom"/>
          </w:tcPr>
          <w:p>
            <w:pPr>
              <w:ind w:left="120"/>
              <w:spacing w:after="0" w:line="201" w:lineRule="exact"/>
              <w:rPr>
                <w:sz w:val="20"/>
                <w:szCs w:val="20"/>
                <w:color w:val="auto"/>
              </w:rPr>
            </w:pPr>
            <w:r>
              <w:rPr>
                <w:rFonts w:ascii="Arial" w:cs="Arial" w:eastAsia="Arial" w:hAnsi="Arial"/>
                <w:sz w:val="18"/>
                <w:szCs w:val="18"/>
                <w:color w:val="auto"/>
              </w:rPr>
              <w:t>Executive Vice President, Chief Financial Officer</w:t>
            </w:r>
          </w:p>
        </w:tc>
      </w:tr>
      <w:tr>
        <w:trPr>
          <w:trHeight w:val="202"/>
        </w:trPr>
        <w:tc>
          <w:tcPr>
            <w:tcW w:w="2600" w:type="dxa"/>
            <w:vAlign w:val="bottom"/>
          </w:tcPr>
          <w:p>
            <w:pPr>
              <w:spacing w:after="0" w:line="201" w:lineRule="exact"/>
              <w:rPr>
                <w:sz w:val="20"/>
                <w:szCs w:val="20"/>
                <w:color w:val="auto"/>
              </w:rPr>
            </w:pPr>
            <w:r>
              <w:rPr>
                <w:rFonts w:ascii="Arial" w:cs="Arial" w:eastAsia="Arial" w:hAnsi="Arial"/>
                <w:sz w:val="18"/>
                <w:szCs w:val="18"/>
                <w:color w:val="auto"/>
              </w:rPr>
              <w:t>Bradford L. Smith</w:t>
            </w:r>
          </w:p>
        </w:tc>
        <w:tc>
          <w:tcPr>
            <w:tcW w:w="900" w:type="dxa"/>
            <w:vAlign w:val="bottom"/>
          </w:tcPr>
          <w:p>
            <w:pPr>
              <w:jc w:val="right"/>
              <w:ind w:right="13"/>
              <w:spacing w:after="0" w:line="201" w:lineRule="exact"/>
              <w:rPr>
                <w:sz w:val="20"/>
                <w:szCs w:val="20"/>
                <w:color w:val="auto"/>
              </w:rPr>
            </w:pPr>
            <w:r>
              <w:rPr>
                <w:rFonts w:ascii="Arial" w:cs="Arial" w:eastAsia="Arial" w:hAnsi="Arial"/>
                <w:sz w:val="18"/>
                <w:szCs w:val="18"/>
                <w:color w:val="auto"/>
              </w:rPr>
              <w:t>62</w:t>
            </w:r>
          </w:p>
        </w:tc>
        <w:tc>
          <w:tcPr>
            <w:tcW w:w="7740" w:type="dxa"/>
            <w:vAlign w:val="bottom"/>
          </w:tcPr>
          <w:p>
            <w:pPr>
              <w:ind w:left="120"/>
              <w:spacing w:after="0" w:line="201" w:lineRule="exact"/>
              <w:rPr>
                <w:sz w:val="20"/>
                <w:szCs w:val="20"/>
                <w:color w:val="auto"/>
              </w:rPr>
            </w:pPr>
            <w:r>
              <w:rPr>
                <w:rFonts w:ascii="Arial" w:cs="Arial" w:eastAsia="Arial" w:hAnsi="Arial"/>
                <w:sz w:val="18"/>
                <w:szCs w:val="18"/>
                <w:color w:val="auto"/>
              </w:rPr>
              <w:t>President and Chief Legal Officer</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Christopher D. Young</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49</w:t>
            </w:r>
          </w:p>
        </w:tc>
        <w:tc>
          <w:tcPr>
            <w:tcW w:w="7740" w:type="dxa"/>
            <w:vAlign w:val="bottom"/>
          </w:tcPr>
          <w:p>
            <w:pPr>
              <w:ind w:left="120"/>
              <w:spacing w:after="0"/>
              <w:rPr>
                <w:sz w:val="20"/>
                <w:szCs w:val="20"/>
                <w:color w:val="auto"/>
              </w:rPr>
            </w:pPr>
            <w:r>
              <w:rPr>
                <w:rFonts w:ascii="Arial" w:cs="Arial" w:eastAsia="Arial" w:hAnsi="Arial"/>
                <w:sz w:val="18"/>
                <w:szCs w:val="18"/>
                <w:color w:val="auto"/>
              </w:rPr>
              <w:t>Executive Vice President, Business Development, Strategy, and Ventures</w:t>
            </w:r>
          </w:p>
        </w:tc>
      </w:tr>
      <w:tr>
        <w:trPr>
          <w:trHeight w:val="67"/>
        </w:trPr>
        <w:tc>
          <w:tcPr>
            <w:tcW w:w="26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7740" w:type="dxa"/>
            <w:vAlign w:val="bottom"/>
            <w:tcBorders>
              <w:bottom w:val="single" w:sz="8" w:color="auto"/>
            </w:tcBorders>
          </w:tcPr>
          <w:p>
            <w:pPr>
              <w:spacing w:after="0"/>
              <w:rPr>
                <w:sz w:val="5"/>
                <w:szCs w:val="5"/>
                <w:color w:val="auto"/>
              </w:rPr>
            </w:pPr>
          </w:p>
        </w:tc>
      </w:tr>
    </w:tbl>
    <w:p>
      <w:pPr>
        <w:spacing w:after="0" w:line="16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Mr. Nadella was appointed Chairman of the Board in June 2021 and Chief Executive Officer in February 2014. He served as Executive Vice President, Cloud and Enterprise from July 2013 until that time. From 2011 to 2013, Mr. Nadella served as President, Server and Tools. From 2009 to 2011, he was Senior Vice President, Online Services Division. From 2008 to 2009, he was Senior Vice President, Search, Portal, and Advertising. Since joining Microsoft in 1992, Mr. Nadella’s roles also included Vice President of the Business Division. Mr. Nadella also serves on the Board of Directors of Starbucks Corporation.</w:t>
      </w:r>
    </w:p>
    <w:p>
      <w:pPr>
        <w:spacing w:after="0" w:line="14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Mr. Althoff was appointed Executive Vice President and Chief Commercial Officer in July 2021. He served as Executive Vice President, Worldwide Commercial Business from July 2017 until that time. Prior to that, Mr. Althoff served as the President of Microsoft North America. Mr. Althoff joined Microsoft in March 2013 as President of Microsoft North America.</w:t>
      </w:r>
    </w:p>
    <w:p>
      <w:pPr>
        <w:spacing w:after="0" w:line="14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Mr. Capossela was appointed Executive Vice President, Marketing and Consumer Business, and Chief Marketing Officer in July 2016. He had served as Executive Vice President, Chief Marketing Officer since March 2014. Previously, he served as the worldwide leader of the Consumer Channels Group, responsible for sales and marketing activities with OEMs, operators, and retail partners. In his more than 28 years at Microsoft, Mr. Capossela has held a variety of marketing leadership roles in the Microsoft Office Division. He was responsible for marketing productivity solutions including Microsoft Office, Office 365, SharePoint, Exchange, Skype for Business, Project, and Visio.</w:t>
      </w:r>
    </w:p>
    <w:p>
      <w:pPr>
        <w:spacing w:after="0" w:line="14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Ms. Hogan was appointed Executive Vice President, Human Resources in November 2014. Prior to that Ms. Hogan was Corporate Vice President of Microsoft Services. She also served as Corporate Vice President of Customer Service and Support. Ms. Hogan joined Microsoft in 2003. Ms. Hogan also serves on the Board of Directors of Alaska Air Group, Inc.</w:t>
      </w:r>
    </w:p>
    <w:p>
      <w:pPr>
        <w:spacing w:after="0" w:line="14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Ms. Hood was appointed Executive Vice President and Chief Financial Officer in July 2013, subsequent to her appointment as Chief Financial Officer in May 2013. From 2010 to 2013, Ms. Hood was Chief Financial Officer of the Microsoft Business Division. From 2006 through 2009, Ms. Hood was General Manager, Microsoft Business Division Strategy. Since joining Microsoft in 2002, Ms. Hood has also held finance-related positions in the Server and Tools Business and the corporate finance organization. Ms. Hood also serves on the Board of Directors of 3M Corporation.</w:t>
      </w:r>
    </w:p>
    <w:p>
      <w:pPr>
        <w:spacing w:after="0" w:line="14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Mr. Smith was appointed President and Chief Legal Officer in September 2015. He served as Executive Vice President, General Counsel, and Secretary from 2011 to 2015, and served as Senior Vice President, General Counsel, and Secretary from 2001 to 2011. Mr. Smith was also named Chief Compliance Officer in 2002. Since joining Microsoft in 1993, he was Deputy General Counsel for Worldwide Sales and previously was responsible for managing the European Law and Corporate Affairs Group, based in Paris. Mr. Smith also serves on the Board of Directors of Netflix, Inc.</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Mr. Young joined Microsoft in November 2020 as Executive Vice President, Business Development, Strategy, and Ventures. Prior to Microsoft, he served as the Chief Executive Officer of McAfee, LLC from 2017 to 2020, and served as a Senior Vice President and General Manager of Intel Security Group from 2014 until 2017, when he led the initiative to spin out McAfee into a standalone company. Mr. Young also serves on the Board of Directors of American Express Company.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20" w:name="page21"/>
    <w:bookmarkEnd w:id="20"/>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AVAILABLE INFORMATION</w:t>
      </w:r>
    </w:p>
    <w:p>
      <w:pPr>
        <w:spacing w:after="0" w:line="156"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Our Internet address is www.microsoft.com. At our Investor Relations website, www.microsoft.com/investor, we make available free of charge a variety of information for investors. Our goal is to maintain the Investor Relations website as a portal through which investors can easily find or navigate to pertinent information about us, including:</w:t>
      </w:r>
    </w:p>
    <w:p>
      <w:pPr>
        <w:spacing w:after="0" w:line="68" w:lineRule="exact"/>
        <w:rPr>
          <w:sz w:val="20"/>
          <w:szCs w:val="20"/>
          <w:color w:val="auto"/>
        </w:rPr>
      </w:pPr>
    </w:p>
    <w:p>
      <w:pPr>
        <w:jc w:val="both"/>
        <w:ind w:left="1060" w:hanging="393"/>
        <w:spacing w:after="0" w:line="239"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annual report on Form 10-K, quarterly reports on Form 10-Q, current reports on Form 8-K, and any amendments to those reports, as soon as reasonably practicable after we electronically file that material with or furnish it to the Securities and Exchange Commission (“SEC”) at www.sec.gov.</w:t>
      </w:r>
    </w:p>
    <w:p>
      <w:pPr>
        <w:spacing w:after="0" w:line="54" w:lineRule="exact"/>
        <w:rPr>
          <w:rFonts w:ascii="Arial" w:cs="Arial" w:eastAsia="Arial" w:hAnsi="Arial"/>
          <w:sz w:val="18"/>
          <w:szCs w:val="18"/>
          <w:color w:val="auto"/>
        </w:rPr>
      </w:pPr>
    </w:p>
    <w:p>
      <w:pPr>
        <w:ind w:left="1060" w:hanging="393"/>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Information on our business strategies, financial results, and metrics for investors.</w:t>
      </w:r>
    </w:p>
    <w:p>
      <w:pPr>
        <w:spacing w:after="0" w:line="62" w:lineRule="exact"/>
        <w:rPr>
          <w:rFonts w:ascii="Arial" w:cs="Arial" w:eastAsia="Arial" w:hAnsi="Arial"/>
          <w:sz w:val="18"/>
          <w:szCs w:val="18"/>
          <w:color w:val="auto"/>
        </w:rPr>
      </w:pPr>
    </w:p>
    <w:p>
      <w:pPr>
        <w:ind w:left="1060" w:right="20" w:hanging="393"/>
        <w:spacing w:after="0" w:line="244"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of investor conferences, speeches, and events at which our executives talk about our product, service, and competitive strategies. Archives of these events are also available.</w:t>
      </w:r>
    </w:p>
    <w:p>
      <w:pPr>
        <w:spacing w:after="0" w:line="49" w:lineRule="exact"/>
        <w:rPr>
          <w:rFonts w:ascii="Arial" w:cs="Arial" w:eastAsia="Arial" w:hAnsi="Arial"/>
          <w:sz w:val="18"/>
          <w:szCs w:val="18"/>
          <w:color w:val="auto"/>
        </w:rPr>
      </w:pPr>
    </w:p>
    <w:p>
      <w:pPr>
        <w:ind w:left="1060" w:hanging="393"/>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Press releases on quarterly earnings, product and service announcements, legal developments, and international news.</w:t>
      </w:r>
    </w:p>
    <w:p>
      <w:pPr>
        <w:spacing w:after="0" w:line="62" w:lineRule="exact"/>
        <w:rPr>
          <w:rFonts w:ascii="Arial" w:cs="Arial" w:eastAsia="Arial" w:hAnsi="Arial"/>
          <w:sz w:val="18"/>
          <w:szCs w:val="18"/>
          <w:color w:val="auto"/>
        </w:rPr>
      </w:pPr>
    </w:p>
    <w:p>
      <w:pPr>
        <w:ind w:left="1060" w:hanging="393"/>
        <w:spacing w:after="0" w:line="244"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Corporate governance information including our articles of incorporation, bylaws, governance guidelines, committee charters, codes of conduct and ethics, global corporate social responsibility initiatives, and other governance-related policies.</w:t>
      </w:r>
    </w:p>
    <w:p>
      <w:pPr>
        <w:spacing w:after="0" w:line="49" w:lineRule="exact"/>
        <w:rPr>
          <w:rFonts w:ascii="Arial" w:cs="Arial" w:eastAsia="Arial" w:hAnsi="Arial"/>
          <w:sz w:val="18"/>
          <w:szCs w:val="18"/>
          <w:color w:val="auto"/>
        </w:rPr>
      </w:pPr>
    </w:p>
    <w:p>
      <w:pPr>
        <w:ind w:left="1060" w:hanging="393"/>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news and announcements that we may post from time to time that investors might find useful or interesting.</w:t>
      </w:r>
    </w:p>
    <w:p>
      <w:pPr>
        <w:spacing w:after="0" w:line="62" w:lineRule="exact"/>
        <w:rPr>
          <w:rFonts w:ascii="Arial" w:cs="Arial" w:eastAsia="Arial" w:hAnsi="Arial"/>
          <w:sz w:val="18"/>
          <w:szCs w:val="18"/>
          <w:color w:val="auto"/>
        </w:rPr>
      </w:pPr>
    </w:p>
    <w:p>
      <w:pPr>
        <w:ind w:left="1060" w:hanging="393"/>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Opportunities to sign up for email alerts to have information pushed in real time.</w:t>
      </w:r>
    </w:p>
    <w:p>
      <w:pPr>
        <w:spacing w:after="0" w:line="14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publish a variety of reports and resources related to our Corporate Social Responsibility programs and progress on our Reports hub website, www.microsoft.com/corporate-responsibility/reports-hub, including reports on sustainability, responsible sourcing, accessibility, digital trust, and public policy engagement.</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information found on these websites is not part of, or incorporated by reference into, this or any other report we file with, or furnish to, the SEC. In addition to these channels, we use social media to communicate to the public. It is possible that the information we post on social media could be deemed to be material to investors. We encourage investors, the media, and others interested in Microsoft to review the information we post on the social media channels listed on our Investor Relations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21" w:name="page22"/>
    <w:bookmarkEnd w:id="21"/>
    <w:p>
      <w:pPr>
        <w:ind w:left="5420"/>
        <w:spacing w:after="0"/>
        <w:rPr>
          <w:sz w:val="20"/>
          <w:szCs w:val="20"/>
          <w:color w:val="auto"/>
        </w:rPr>
      </w:pPr>
      <w:r>
        <w:rPr>
          <w:rFonts w:ascii="Arial" w:cs="Arial" w:eastAsia="Arial" w:hAnsi="Arial"/>
          <w:sz w:val="13"/>
          <w:szCs w:val="13"/>
          <w:u w:val="single" w:color="auto"/>
          <w:color w:val="auto"/>
        </w:rPr>
        <w:t>PART I</w:t>
      </w:r>
    </w:p>
    <w:p>
      <w:pPr>
        <w:ind w:left="5400"/>
        <w:spacing w:after="0"/>
        <w:rPr>
          <w:sz w:val="20"/>
          <w:szCs w:val="20"/>
          <w:color w:val="auto"/>
        </w:rPr>
      </w:pPr>
      <w:r>
        <w:rPr>
          <w:rFonts w:ascii="Arial" w:cs="Arial" w:eastAsia="Arial" w:hAnsi="Arial"/>
          <w:sz w:val="13"/>
          <w:szCs w:val="13"/>
          <w:color w:val="auto"/>
        </w:rPr>
        <w:t>Item 1A</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1A. RISK FACTORS</w:t>
      </w:r>
    </w:p>
    <w:p>
      <w:pPr>
        <w:spacing w:after="0" w:line="18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operations and financial results are subject to various risks and uncertainties, including those described below, that could adversely affect our business, financial condition, results of operations, cash flows, and the trading price of our common stock.</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STRATEGIC AND COMPETITIVE RISKS</w:t>
      </w:r>
    </w:p>
    <w:p>
      <w:pPr>
        <w:spacing w:after="0" w:line="13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color w:val="auto"/>
        </w:rPr>
        <w:t>We face intense competition across all markets for our products and services, which may lead to lower revenue or operating margins.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the technology sector</w:t>
      </w:r>
    </w:p>
    <w:p>
      <w:pPr>
        <w:spacing w:after="0" w:line="17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competitors range in size from diversified global companies with significant research and development resources to small, specialized firms whose narrower product lines may let them be more effective in deploying technical, marketing, and financial resources. Barriers to entry in many of our businesses are low and many of the areas in which we compete evolve rapidly with changing and disruptive technologies, shifting user needs, and frequent introductions of new products and services. Our ability to remain competitive depends on our success in making innovative products, devices, and services that appeal to businesses and consumers.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among platform-based ecosystems</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An important element of our business model has been to create platform-based ecosystems on which many participants can build diverse solutions. A well-established ecosystem creates beneficial network effects among users, application developers, and the platform provider that can accelerate growth. Establishing significant scale in the marketplace is necessary to achieve and maintain attractive margins. We face significant competition from firms that provide competing platforms.</w:t>
      </w:r>
    </w:p>
    <w:p>
      <w:pPr>
        <w:spacing w:after="0" w:line="53" w:lineRule="exact"/>
        <w:rPr>
          <w:sz w:val="20"/>
          <w:szCs w:val="20"/>
          <w:color w:val="auto"/>
        </w:rPr>
      </w:pPr>
    </w:p>
    <w:p>
      <w:pPr>
        <w:jc w:val="both"/>
        <w:ind w:left="1060" w:hanging="393"/>
        <w:spacing w:after="0" w:line="236"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competing vertically-integrated model, in which a single firm controls the software and hardware elements of a product and related services, has succeeded with some consumer products such as personal computers, tablets, phones, gaming consoles, wearables, and other endpoint devices. Competitors pursuing this model also earn revenue from services integrated with the hardware and software platform, including applications and content sold through their integrated marketplaces. They may also be able to claim security and performance benefits from their vertically integrated offer. We also offer some vertically-integrated hardware and software products and services. To the extent we shift a portion of our business to a vertically integrated model we increase our cost of revenue and reduce our operating margins.</w:t>
      </w:r>
    </w:p>
    <w:p>
      <w:pPr>
        <w:spacing w:after="0" w:line="55" w:lineRule="exact"/>
        <w:rPr>
          <w:rFonts w:ascii="Arial" w:cs="Arial" w:eastAsia="Arial" w:hAnsi="Arial"/>
          <w:sz w:val="18"/>
          <w:szCs w:val="18"/>
          <w:color w:val="auto"/>
        </w:rPr>
      </w:pPr>
    </w:p>
    <w:p>
      <w:pPr>
        <w:jc w:val="both"/>
        <w:ind w:left="1060" w:hanging="393"/>
        <w:spacing w:after="0" w:line="235"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derive substantial revenue from licenses of Windows operating systems on PCs. We face significant competition from competing platforms developed for new devices and form factors such as smartphones and tablet computers. These devices compete on multiple bases including price and the perceived utility of the device and its platform. Users are increasingly turning to these devices to perform functions that in the past were performed by personal computers. Even if many users view these devices as complementary to a personal computer, the prevalence of these devices may make it more difficult to attract application developers to our PC operating system platforms. Competing with operating systems licensed at low or no cost may decrease our PC operating system margins. Popular products or services offered on competing platforms could increase their competitive strength. In addition, some of our devices compete with products made by our original equipment manufacturer (“OEM”) partners, which may affect their commitment to our platform.</w:t>
      </w:r>
    </w:p>
    <w:p>
      <w:pPr>
        <w:spacing w:after="0" w:line="59" w:lineRule="exact"/>
        <w:rPr>
          <w:rFonts w:ascii="Arial" w:cs="Arial" w:eastAsia="Arial" w:hAnsi="Arial"/>
          <w:sz w:val="18"/>
          <w:szCs w:val="18"/>
          <w:color w:val="auto"/>
        </w:rPr>
      </w:pPr>
    </w:p>
    <w:p>
      <w:pPr>
        <w:jc w:val="both"/>
        <w:ind w:left="1060" w:hanging="393"/>
        <w:spacing w:after="0" w:line="236"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Competing platforms have content and application marketplaces with scale and significant installed bases. The variety and utility of content and applications available on a platform are important to device purchasing decisions. Users may incur costs to move data and buy new content and applications when switching platforms. To compete, we must successfully enlist developers to write applications for our platform and ensure that these applications have high quality, security, customer appeal, and value. Efforts to compete with competitors’ content and application marketplaces may increase our cost of revenue and lower our operating margins. Competitors’ rules governing their content and applications marketplaces may restrict our ability to distribute products and services through them in accordance with our technical and business model objectives.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22" w:name="page23"/>
    <w:bookmarkEnd w:id="22"/>
    <w:p>
      <w:pPr>
        <w:ind w:left="5420"/>
        <w:spacing w:after="0"/>
        <w:rPr>
          <w:sz w:val="20"/>
          <w:szCs w:val="20"/>
          <w:color w:val="auto"/>
        </w:rPr>
      </w:pPr>
      <w:r>
        <w:rPr>
          <w:rFonts w:ascii="Arial" w:cs="Arial" w:eastAsia="Arial" w:hAnsi="Arial"/>
          <w:sz w:val="13"/>
          <w:szCs w:val="13"/>
          <w:u w:val="single" w:color="auto"/>
          <w:color w:val="auto"/>
        </w:rPr>
        <w:t>PART I</w:t>
      </w:r>
    </w:p>
    <w:p>
      <w:pPr>
        <w:ind w:left="5400"/>
        <w:spacing w:after="0"/>
        <w:rPr>
          <w:sz w:val="20"/>
          <w:szCs w:val="20"/>
          <w:color w:val="auto"/>
        </w:rPr>
      </w:pPr>
      <w:r>
        <w:rPr>
          <w:rFonts w:ascii="Arial" w:cs="Arial" w:eastAsia="Arial" w:hAnsi="Arial"/>
          <w:sz w:val="13"/>
          <w:szCs w:val="13"/>
          <w:color w:val="auto"/>
        </w:rPr>
        <w:t>Item 1A</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model competition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Companies compete with us based on a growing variety of business models.</w:t>
      </w:r>
    </w:p>
    <w:p>
      <w:pPr>
        <w:spacing w:after="0" w:line="76" w:lineRule="exact"/>
        <w:rPr>
          <w:sz w:val="20"/>
          <w:szCs w:val="20"/>
          <w:color w:val="auto"/>
        </w:rPr>
      </w:pPr>
    </w:p>
    <w:p>
      <w:pPr>
        <w:jc w:val="both"/>
        <w:ind w:left="1060" w:hanging="393"/>
        <w:spacing w:after="0" w:line="23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Even as we transition more of our business to infrastructure-, platform-, and software-as-a-service business model, the license-based proprietary software model generates a substantial portion of our software revenue. We bear the costs of converting original ideas into software products through investments in research and development, offsetting these costs with the revenue received from licensing our products. Many of our competitors also develop and sell software to businesses and consumers under this model.</w:t>
      </w:r>
    </w:p>
    <w:p>
      <w:pPr>
        <w:spacing w:after="0" w:line="54" w:lineRule="exact"/>
        <w:rPr>
          <w:rFonts w:ascii="Arial" w:cs="Arial" w:eastAsia="Arial" w:hAnsi="Arial"/>
          <w:sz w:val="18"/>
          <w:szCs w:val="18"/>
          <w:color w:val="auto"/>
        </w:rPr>
      </w:pPr>
    </w:p>
    <w:p>
      <w:pPr>
        <w:jc w:val="both"/>
        <w:ind w:left="1060" w:hanging="393"/>
        <w:spacing w:after="0" w:line="239"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competitors develop and offer free applications, online services and content, and make money by selling third-party advertising. Advertising revenue funds development of products and services these competitors provide to users at no or little cost, competing directly with our revenue-generating products.</w:t>
      </w:r>
    </w:p>
    <w:p>
      <w:pPr>
        <w:spacing w:after="0" w:line="54" w:lineRule="exact"/>
        <w:rPr>
          <w:rFonts w:ascii="Arial" w:cs="Arial" w:eastAsia="Arial" w:hAnsi="Arial"/>
          <w:sz w:val="18"/>
          <w:szCs w:val="18"/>
          <w:color w:val="auto"/>
        </w:rPr>
      </w:pPr>
    </w:p>
    <w:p>
      <w:pPr>
        <w:jc w:val="both"/>
        <w:ind w:left="1060" w:hanging="393"/>
        <w:spacing w:after="0" w:line="239"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Some companies compete with us by modifying and then distributing open source software at little or no cost to end users, and earning revenue on advertising or integrated products and services. These firms do not bear the full costs of research and development for the open source software. Some open source software mimics the features and functionality of our products.</w:t>
      </w:r>
    </w:p>
    <w:p>
      <w:pPr>
        <w:spacing w:after="0" w:line="13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competitive pressures described above may cause decreased sales volumes, price reductions, and/or increased operating costs, such as for research and development, marketing, and sales incentives. This may lead to lower revenue, gross margins, and operating income.</w:t>
      </w:r>
    </w:p>
    <w:p>
      <w:pPr>
        <w:spacing w:after="0" w:line="12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Our increasing focus on cloud-based services presents execution and competitive risks. </w:t>
      </w:r>
      <w:r>
        <w:rPr>
          <w:rFonts w:ascii="Arial" w:cs="Arial" w:eastAsia="Arial" w:hAnsi="Arial"/>
          <w:sz w:val="18"/>
          <w:szCs w:val="18"/>
          <w:color w:val="auto"/>
        </w:rPr>
        <w:t>A growing part of our business involves</w:t>
      </w:r>
      <w:r>
        <w:rPr>
          <w:rFonts w:ascii="Arial" w:cs="Arial" w:eastAsia="Arial" w:hAnsi="Arial"/>
          <w:sz w:val="18"/>
          <w:szCs w:val="18"/>
          <w:b w:val="1"/>
          <w:bCs w:val="1"/>
          <w:color w:val="auto"/>
        </w:rPr>
        <w:t xml:space="preserve"> </w:t>
      </w:r>
      <w:r>
        <w:rPr>
          <w:rFonts w:ascii="Arial" w:cs="Arial" w:eastAsia="Arial" w:hAnsi="Arial"/>
          <w:sz w:val="18"/>
          <w:szCs w:val="18"/>
          <w:color w:val="auto"/>
        </w:rPr>
        <w:t>cloud-based services available across the spectrum of computing devices. Our strategic vision is to compete and grow by building best-in-class platforms and productivity services for an intelligent cloud and an intelligent edge infused with artificial intelligence (“AI”). At the same time, our competitors are rapidly developing and deploying cloud-based services for consumers and business customers. Pricing and delivery models are evolving. Devices and form factors influence how users access services in the cloud and sometimes the user’s choice of which cloud-based services to use. We are devoting significant resources to develop and deploy our cloud-based strategies. The Windows ecosystem must continue to evolve with this changing environment. We embrace cultural and organizational changes to drive accountability and eliminate obstacles to innovation. Our intelligent cloud and intelligent edge worldview is connected with the growth of the Internet of Things (“IoT”). Our success in the IoT will depend on the level of adoption of our offerings such as Azure, Azure Stack, Azure IoT Edge, and Azure Sphere. We may not establish market share sufficient to achieve scale necessary to achieve our business objectives.</w:t>
      </w:r>
    </w:p>
    <w:p>
      <w:pPr>
        <w:spacing w:after="0" w:line="14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Besides software development costs, we are incurring costs to build and maintain infrastructure to support cloud computing services. These costs will reduce the operating margins we have previously achieved. Whether we succeed in cloud-based services depends on our execution in several areas, including:</w:t>
      </w:r>
    </w:p>
    <w:p>
      <w:pPr>
        <w:spacing w:after="0" w:line="68" w:lineRule="exact"/>
        <w:rPr>
          <w:sz w:val="20"/>
          <w:szCs w:val="20"/>
          <w:color w:val="auto"/>
        </w:rPr>
      </w:pPr>
    </w:p>
    <w:p>
      <w:pPr>
        <w:ind w:left="1060" w:hanging="393"/>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Continuing to bring to market compelling cloud-based experiences that generate increasing traffic and market share.</w:t>
      </w:r>
    </w:p>
    <w:p>
      <w:pPr>
        <w:spacing w:after="0" w:line="62" w:lineRule="exact"/>
        <w:rPr>
          <w:rFonts w:ascii="Arial" w:cs="Arial" w:eastAsia="Arial" w:hAnsi="Arial"/>
          <w:sz w:val="18"/>
          <w:szCs w:val="18"/>
          <w:color w:val="auto"/>
        </w:rPr>
      </w:pPr>
    </w:p>
    <w:p>
      <w:pPr>
        <w:ind w:left="1060" w:hanging="393"/>
        <w:spacing w:after="0" w:line="244"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Maintaining the utility, compatibility, and performance of our cloud-based services on the growing array of computing devices, including PCs, smartphones, tablets, gaming consoles, and other devices, as well as sensors and other IoT endpoints.</w:t>
      </w:r>
    </w:p>
    <w:p>
      <w:pPr>
        <w:spacing w:after="0" w:line="49" w:lineRule="exact"/>
        <w:rPr>
          <w:rFonts w:ascii="Arial" w:cs="Arial" w:eastAsia="Arial" w:hAnsi="Arial"/>
          <w:sz w:val="18"/>
          <w:szCs w:val="18"/>
          <w:color w:val="auto"/>
        </w:rPr>
      </w:pPr>
    </w:p>
    <w:p>
      <w:pPr>
        <w:ind w:left="1060" w:hanging="393"/>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Continuing to enhance the attractiveness of our cloud platforms to third-party developers.</w:t>
      </w:r>
    </w:p>
    <w:p>
      <w:pPr>
        <w:spacing w:after="0" w:line="62" w:lineRule="exact"/>
        <w:rPr>
          <w:rFonts w:ascii="Arial" w:cs="Arial" w:eastAsia="Arial" w:hAnsi="Arial"/>
          <w:sz w:val="18"/>
          <w:szCs w:val="18"/>
          <w:color w:val="auto"/>
        </w:rPr>
      </w:pPr>
    </w:p>
    <w:p>
      <w:pPr>
        <w:ind w:left="1060" w:hanging="393"/>
        <w:spacing w:after="0" w:line="244"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Ensuring our cloud-based services meet the reliability expectations of our customers and maintain the security of their data as well as help them meet their own compliance needs.</w:t>
      </w:r>
    </w:p>
    <w:p>
      <w:pPr>
        <w:spacing w:after="0" w:line="49" w:lineRule="exact"/>
        <w:rPr>
          <w:rFonts w:ascii="Arial" w:cs="Arial" w:eastAsia="Arial" w:hAnsi="Arial"/>
          <w:sz w:val="18"/>
          <w:szCs w:val="18"/>
          <w:color w:val="auto"/>
        </w:rPr>
      </w:pPr>
    </w:p>
    <w:p>
      <w:pPr>
        <w:ind w:left="1060" w:hanging="393"/>
        <w:spacing w:after="0" w:line="244"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Making our suite of cloud-based services platform-agnostic, available on a wide range of devices and ecosystems, including those of our competitors.</w:t>
      </w:r>
    </w:p>
    <w:p>
      <w:pPr>
        <w:spacing w:after="0" w:line="13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It is uncertain whether our strategies will attract the users or generate the revenue required to succeed. If we are not effective in executing organizational and technical changes to increase efficiency and accelerate innovation, or if we fail to generate sufficient usage of our new products and services, we may not grow revenue in line with the infrastructure and development investments described above. This may negatively impact gross margins and operating income.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23" w:name="page24"/>
    <w:bookmarkEnd w:id="23"/>
    <w:p>
      <w:pPr>
        <w:ind w:left="5420"/>
        <w:spacing w:after="0"/>
        <w:rPr>
          <w:sz w:val="20"/>
          <w:szCs w:val="20"/>
          <w:color w:val="auto"/>
        </w:rPr>
      </w:pPr>
      <w:r>
        <w:rPr>
          <w:rFonts w:ascii="Arial" w:cs="Arial" w:eastAsia="Arial" w:hAnsi="Arial"/>
          <w:sz w:val="13"/>
          <w:szCs w:val="13"/>
          <w:u w:val="single" w:color="auto"/>
          <w:color w:val="auto"/>
        </w:rPr>
        <w:t>PART I</w:t>
      </w:r>
    </w:p>
    <w:p>
      <w:pPr>
        <w:ind w:left="5400"/>
        <w:spacing w:after="0"/>
        <w:rPr>
          <w:sz w:val="20"/>
          <w:szCs w:val="20"/>
          <w:color w:val="auto"/>
        </w:rPr>
      </w:pPr>
      <w:r>
        <w:rPr>
          <w:rFonts w:ascii="Arial" w:cs="Arial" w:eastAsia="Arial" w:hAnsi="Arial"/>
          <w:sz w:val="13"/>
          <w:szCs w:val="13"/>
          <w:color w:val="auto"/>
        </w:rPr>
        <w:t>Item 1A</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RISKS RELATING TO THE EVOLUTION OF OUR BUSINESS</w:t>
      </w:r>
    </w:p>
    <w:p>
      <w:pPr>
        <w:spacing w:after="0" w:line="1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We make significant investments in products and services that may not achieve expected returns. </w:t>
      </w:r>
      <w:r>
        <w:rPr>
          <w:rFonts w:ascii="Arial" w:cs="Arial" w:eastAsia="Arial" w:hAnsi="Arial"/>
          <w:sz w:val="18"/>
          <w:szCs w:val="18"/>
          <w:color w:val="auto"/>
        </w:rPr>
        <w:t>We will continue to make significant</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in research, development, and marketing for existing products, services, and technologies, including the Windows operating system, Microsoft 365, Office, Bing, SQL Server, Windows Server, Azure, Office 365, Xbox, LinkedIn, and other products and services. We also invest in the development and acquisition of a variety of hardware for productivity, communication, and entertainment including PCs, tablets, gaming devices, and HoloLens. Investments in new technology are speculative. Commercial success depends on many factors, including innovativeness, developer support, and effective distribution and marketing. If customers do not perceive our latest offerings as providing significant new functionality or other value, they may reduce their purchases of new software and hardware products or upgrades, unfavorably affecting revenue. We may not achieve significant revenue from new product, service, and distribution channel investments for several years, if at all. New products and services may not be profitable, and even if they are profitable, operating margins for some new products and businesses will not be as high as the margins we have experienced historically. We may not get engagement in certain features, like Edge and Bing, that drive post-sale monetization opportunities. Our data handling practices across our products and services will continue to be under scrutiny and perceptions of mismanagement, driven by regulatory activity or negative public reaction to our practices or product experiences, which could negatively impact product and feature adoption, product design, and product quality.</w:t>
      </w:r>
    </w:p>
    <w:p>
      <w:pPr>
        <w:spacing w:after="0" w:line="14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Developing new technologies is complex. It can require long development and testing periods. Significant delays in new releases or significant problems in creating new products or services could adversely affect our revenue.</w:t>
      </w:r>
    </w:p>
    <w:p>
      <w:pPr>
        <w:spacing w:after="0" w:line="12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Acquisitions, joint ventures, and strategic alliances may have an adverse effect on our business. </w:t>
      </w:r>
      <w:r>
        <w:rPr>
          <w:rFonts w:ascii="Arial" w:cs="Arial" w:eastAsia="Arial" w:hAnsi="Arial"/>
          <w:sz w:val="18"/>
          <w:szCs w:val="18"/>
          <w:color w:val="auto"/>
        </w:rPr>
        <w:t>We expect to continue making</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acquisitions and entering into joint ventures and strategic alliances as part of our long-term business strategy. For example, in October 2018 we completed our acquisition of GitHub, Inc. (“GitHub”) for $7.5 billion, in March 2021 we completed our acquisition of ZeniMax Media Inc. for $8.1 billion, and in April 2021 we announced a definitive agreement to acquire Nuance Communications, Inc. for $19.7 billion. These acquisitions and other transactions and arrangements involve significant challenges and risks, including that they do not advance our business strategy, that we get an unsatisfactory return on our investment, that we have difficulty integrating and retaining new employees, business systems, and technology, that they distract management from our other businesses, or that announced transactions may not be completed. If an arrangement fails to adequately anticipate changing circumstances and interests of a party, it may result in early termination or renegotiation of the arrangement. The success of these transactions and arrangements will depend in part on our ability to leverage them to enhance our existing products and services or develop compelling new ones. It may take longer than expected to realize the full benefits from these transactions and arrangements such as increased revenue or enhanced efficiencies, or the benefits may ultimately be smaller than we expected. These events could adversely affect our consolidated financial statements.</w:t>
      </w:r>
    </w:p>
    <w:p>
      <w:pPr>
        <w:spacing w:after="0" w:line="13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If our goodwill or amortizable intangible assets become impaired, we may be required to record a significant charge to earnings. </w:t>
      </w:r>
      <w:r>
        <w:rPr>
          <w:rFonts w:ascii="Arial" w:cs="Arial" w:eastAsia="Arial" w:hAnsi="Arial"/>
          <w:sz w:val="18"/>
          <w:szCs w:val="18"/>
          <w:color w:val="auto"/>
        </w:rPr>
        <w:t>We acquire other companies and intangible assets and may not realize all the economic benefit from those acquisitions, which</w:t>
      </w:r>
      <w:r>
        <w:rPr>
          <w:rFonts w:ascii="Arial" w:cs="Arial" w:eastAsia="Arial" w:hAnsi="Arial"/>
          <w:sz w:val="18"/>
          <w:szCs w:val="18"/>
          <w:b w:val="1"/>
          <w:bCs w:val="1"/>
          <w:color w:val="auto"/>
        </w:rPr>
        <w:t xml:space="preserve"> </w:t>
      </w:r>
      <w:r>
        <w:rPr>
          <w:rFonts w:ascii="Arial" w:cs="Arial" w:eastAsia="Arial" w:hAnsi="Arial"/>
          <w:sz w:val="18"/>
          <w:szCs w:val="18"/>
          <w:color w:val="auto"/>
        </w:rPr>
        <w:t>could cause an impairment of goodwill or intangibles. We review our amortizable intangible assets for impairment when events or changes in circumstances indicate the carrying value may not be recoverable. We test goodwill for impairment at least annually. Factors that may be a change in circumstances, indicating that the carrying value of our goodwill or amortizable intangible assets may not be recoverable, include a decline in our stock price and market capitalization, reduced future cash flow estimates, and slower growth rates in industry segments in which we participate. We have in the past recorded, and may in the future be required to record, a significant charge in our consolidated financial statements during the period in which any impairment of our goodwill or amortizable intangible assets is determined, negatively affecting our results of operations.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24" w:name="page25"/>
    <w:bookmarkEnd w:id="24"/>
    <w:p>
      <w:pPr>
        <w:ind w:left="5420"/>
        <w:spacing w:after="0"/>
        <w:rPr>
          <w:sz w:val="20"/>
          <w:szCs w:val="20"/>
          <w:color w:val="auto"/>
        </w:rPr>
      </w:pPr>
      <w:r>
        <w:rPr>
          <w:rFonts w:ascii="Arial" w:cs="Arial" w:eastAsia="Arial" w:hAnsi="Arial"/>
          <w:sz w:val="13"/>
          <w:szCs w:val="13"/>
          <w:u w:val="single" w:color="auto"/>
          <w:color w:val="auto"/>
        </w:rPr>
        <w:t>PART I</w:t>
      </w:r>
    </w:p>
    <w:p>
      <w:pPr>
        <w:ind w:left="5400"/>
        <w:spacing w:after="0"/>
        <w:rPr>
          <w:sz w:val="20"/>
          <w:szCs w:val="20"/>
          <w:color w:val="auto"/>
        </w:rPr>
      </w:pPr>
      <w:r>
        <w:rPr>
          <w:rFonts w:ascii="Arial" w:cs="Arial" w:eastAsia="Arial" w:hAnsi="Arial"/>
          <w:sz w:val="13"/>
          <w:szCs w:val="13"/>
          <w:color w:val="auto"/>
        </w:rPr>
        <w:t>Item 1A</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CYBERSECURITY, DATA PRIVACY, AND PLATFORM ABUSE RISKS</w:t>
      </w:r>
    </w:p>
    <w:p>
      <w:pPr>
        <w:spacing w:after="0" w:line="13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color w:val="auto"/>
        </w:rPr>
        <w:t>Cyberattacks and security vulnerabilities could lead to reduced revenue, increased costs, liability claims, or harm to our reputation or competitive position.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of our information technology</w:t>
      </w:r>
    </w:p>
    <w:p>
      <w:pPr>
        <w:spacing w:after="0" w:line="17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Threats to IT security can take a variety of forms. Individual and groups of hackers and sophisticated organizations, including state-sponsored organizations or nation-states, continuously undertake attacks that pose threats to our customers and our IT. These actors may use a wide variety of methods, which may include developing and deploying malicious software or exploiting vulnerabilities in hardware, software, or other infrastructure in order to attack our products and services or gain access to our networks and datacenters, using social engineering techniques to induce our employees, users, partners, or customers to disclose passwords or other sensitive information or take other actions to gain access to our data or our users’ or customers’ data, or acting in a coordinated manner to launch distributed denial of service or other coordinated attacks. Nation state and state sponsored actors can deploy significant resources to plan and carry out exploits. Inadequate account security practices may also result in unauthorized access to confidential data. For example, system administrators may fail to timely remove employee account access when no longer appropriate. Employees or third parties may intentionally compromise our or our users’ security or systems or reveal confidential information. Malicious actors may employ the IT supply chain to introduce malware through software updates or compromised supplier accounts or hardware.</w:t>
      </w:r>
    </w:p>
    <w:p>
      <w:pPr>
        <w:spacing w:after="0" w:line="15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Cyberthreats are constantly evolving and becoming increasingly sophisticated and complex, increasing the difficulty of detecting and successfully defending against them. We may have no current capability to detect certain vulnerabilities, which may allow them to persist in the environment over long periods of time. Cyberthreats can have cascading impacts that unfold with increasing speed across our internal networks and systems and those of our partners and customers. Breaches of our facilities, network, or data security could disrupt the security of our systems and business applications, impair our ability to provide services to our customers and protect the privacy of their data, result in product development delays, compromise confidential or technical business information harming our reputation or competitive position, result in theft or misuse of our intellectual property or other assets, require us to allocate more resources to improve technologies or remediate the impacts of attacks, or otherwise adversely affect our business.</w:t>
      </w:r>
    </w:p>
    <w:p>
      <w:pPr>
        <w:spacing w:after="0" w:line="14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cyberattacks uncovered in late 2020 known as “Solorigate” or “Nobelium” are an example of a supply chain attack where malware was introduced to a software provider’s customers, including us, through software updates. The attackers were later able to create false credentials that appeared legitimate to certain customers’ systems. We may be targets of further attacks similar to Solorigate/Nobelium as both a supplier and consumer of IT.</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our internal IT environment continues to evolve. Often, we are early adopters of new devices and technologies. We embrace new ways of sharing data and communicating internally and with partners and customers using methods such as social networking and other consumer-oriented technologies. Our business policies and internal security controls may not keep pace with these changes as new threats emerge.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25" w:name="page26"/>
    <w:bookmarkEnd w:id="25"/>
    <w:p>
      <w:pPr>
        <w:ind w:left="5420"/>
        <w:spacing w:after="0"/>
        <w:rPr>
          <w:sz w:val="20"/>
          <w:szCs w:val="20"/>
          <w:color w:val="auto"/>
        </w:rPr>
      </w:pPr>
      <w:r>
        <w:rPr>
          <w:rFonts w:ascii="Arial" w:cs="Arial" w:eastAsia="Arial" w:hAnsi="Arial"/>
          <w:sz w:val="13"/>
          <w:szCs w:val="13"/>
          <w:u w:val="single" w:color="auto"/>
          <w:color w:val="auto"/>
        </w:rPr>
        <w:t>PART I</w:t>
      </w:r>
    </w:p>
    <w:p>
      <w:pPr>
        <w:ind w:left="5400"/>
        <w:spacing w:after="0"/>
        <w:rPr>
          <w:sz w:val="20"/>
          <w:szCs w:val="20"/>
          <w:color w:val="auto"/>
        </w:rPr>
      </w:pPr>
      <w:r>
        <w:rPr>
          <w:rFonts w:ascii="Arial" w:cs="Arial" w:eastAsia="Arial" w:hAnsi="Arial"/>
          <w:sz w:val="13"/>
          <w:szCs w:val="13"/>
          <w:color w:val="auto"/>
        </w:rPr>
        <w:t>Item 1A</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of our products, services, devices, and customers’ data</w:t>
      </w:r>
    </w:p>
    <w:p>
      <w:pPr>
        <w:spacing w:after="0" w:line="17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security of our products and services is important in our customers’ decisions to purchase or use our products or services across cloud and on-premises environments. Security threats are a significant challenge to companies like us whose business is providing technology products and services to others. Threats to our own IT infrastructure can also affect our customers. Customers using our cloud-based services rely on the security of our infrastructure, including hardware and other elements provided by third parties, to ensure the reliability of our services and the protection of their data. Adversaries tend to focus their efforts on the most popular operating systems, programs, and services, including many of ours, and we expect that to continue. In addition, adversaries can attack our customers’ on-premises or cloud environments, sometimes exploiting previously unknown (“zero day”) vulnerabilities, such as occurred in early calendar year 2021 with several of our Exchange Server on-premises products. Vulnerabilities in these or any product can persist even after we have issued security patches if customers have not installed the most recent updates, or if the attackers exploited the vulnerabilities before patching to install additional malware to further compromise customers’ systems. Adversaries will continue to attack customers using our cloud services as customers embrace digital transformation. Adversaries that acquire user account information can use that information to compromise our users’ accounts, including where accounts share the same attributes as passwords. Inadequate account security practices may also result in unauthorized access, and user activity may result in ransomware or other malicious software impacting a customer’s use of our products or services. We are increasingly incorporating open source software into our products. There may be vulnerabilities in open source software that may make our products susceptible to cyberattacks.</w:t>
      </w:r>
    </w:p>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customers operate complex IT systems with third-party hardware and software from multiple vendors that may include systems acquired over many years. They expect our products and services to support all these systems and products, including those that no longer incorporate the strongest current security advances or standards. As a result, we may not be able to discontinue support in our services for a product, service, standard, or feature solely because a more secure alternative is available. Failure to utilize the most current security advances and standards can increase our customers’ vulnerability to attack. Further, customers of widely varied size and technical sophistication use our technology, and consequently may have limited capabilities and resources to help them adopt and implement state of the art cybersecurity practices and technologies. In addition, we must account for this wide variation of technical sophistication when defining default settings for our products and services, including security default settings, as these settings may limit or otherwise impact other aspects of IT operations and some customers may have limited capability to review and reset these defaults.</w:t>
      </w:r>
    </w:p>
    <w:p>
      <w:pPr>
        <w:spacing w:after="0" w:line="15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Solorigate/Nobelium or similar cyberattacks may adversely impact our customers even if our production services are not directly compromised. We are committed to notifying our customers whose systems have been impacted as we become aware and have available information and actions for customers to help protect themselves. We are also committed to providing guidance and support on detection, tracking, and remediation. We may not be able to detect the existence or extent of these attacks for all of our customers or have information on how to detect or track an attack, especially where an attack involves on-premises software such as Exchange Server where we may have no or limited visibility into our customers’ computing environments.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and deployment of defensive measures</w:t>
      </w:r>
    </w:p>
    <w:p>
      <w:pPr>
        <w:spacing w:after="0" w:line="17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To defend against security threats to our internal IT systems, our cloud-based services, and our customers’ systems, we must continuously engineer more secure products and services, enhance security and reliability features, improve the deployment of software updates to address security vulnerabilities in our own products as well as those provided by others, develop mitigation technologies that help to secure customers from attacks even when software updates are not deployed, maintain the digital security infrastructure that protects the integrity of our network, products, and services, and provide security tools such as firewalls, anti-virus software, and advanced security and information about the need to deploy security measures and the impact of doing so. Customers in certain industries such as financial services, health care, and government may have enhanced or specialized requirements to which we must engineer our product and services.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26" w:name="page27"/>
    <w:bookmarkEnd w:id="26"/>
    <w:p>
      <w:pPr>
        <w:ind w:left="5420"/>
        <w:spacing w:after="0"/>
        <w:rPr>
          <w:sz w:val="20"/>
          <w:szCs w:val="20"/>
          <w:color w:val="auto"/>
        </w:rPr>
      </w:pPr>
      <w:r>
        <w:rPr>
          <w:rFonts w:ascii="Arial" w:cs="Arial" w:eastAsia="Arial" w:hAnsi="Arial"/>
          <w:sz w:val="13"/>
          <w:szCs w:val="13"/>
          <w:u w:val="single" w:color="auto"/>
          <w:color w:val="auto"/>
        </w:rPr>
        <w:t>PART I</w:t>
      </w:r>
    </w:p>
    <w:p>
      <w:pPr>
        <w:ind w:left="5400"/>
        <w:spacing w:after="0"/>
        <w:rPr>
          <w:sz w:val="20"/>
          <w:szCs w:val="20"/>
          <w:color w:val="auto"/>
        </w:rPr>
      </w:pPr>
      <w:r>
        <w:rPr>
          <w:rFonts w:ascii="Arial" w:cs="Arial" w:eastAsia="Arial" w:hAnsi="Arial"/>
          <w:sz w:val="13"/>
          <w:szCs w:val="13"/>
          <w:color w:val="auto"/>
        </w:rPr>
        <w:t>Item 1A</w:t>
      </w:r>
    </w:p>
    <w:p>
      <w:pPr>
        <w:spacing w:after="0" w:line="36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cost of measures to protect products and customer-facing services could reduce our operating margins. If we fail to do these things well, actual or perceived security vulnerabilities in our products and services, data corruption issues, or reduced performance could harm our reputation and lead customers to reduce or delay future purchases of products or subscriptions to services, or to use competing products or services. Customers may also spend more on protecting their existing computer systems from attack, which could delay adoption of additional products or services. Customers, and third parties granted access to their systems, may fail to update their systems, continue to run software or operating systems we no longer support, or may fail timely to install or enable security patches, or may otherwise fail to adopt adequate security practices. Any of these could adversely affect our reputation and revenue. Actual or perceived vulnerabilities may lead to claims against us. Our license agreements typically contain provisions that eliminate or limit our exposure to liability, but there is no assurance these provisions will withstand legal challenges. At times, to achieve commercial objectives, we may enter into agreements with larger liability exposure to customers.</w:t>
      </w:r>
    </w:p>
    <w:p>
      <w:pPr>
        <w:spacing w:after="0" w:line="15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products operate in conjunction with and are dependent on products and components across a broad ecosystem of third parties. If there is a security vulnerability in one of these components, and if there is a security exploit targeting it, we could face increased costs, liability claims, reduced revenue, or harm to our reputation or competitive position.</w:t>
      </w:r>
    </w:p>
    <w:p>
      <w:pPr>
        <w:spacing w:after="0" w:line="12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b w:val="1"/>
          <w:bCs w:val="1"/>
          <w:color w:val="auto"/>
        </w:rPr>
        <w:t xml:space="preserve">Disclosure and misuse of personal data could result in liability and harm our reputation. </w:t>
      </w:r>
      <w:r>
        <w:rPr>
          <w:rFonts w:ascii="Arial" w:cs="Arial" w:eastAsia="Arial" w:hAnsi="Arial"/>
          <w:sz w:val="18"/>
          <w:szCs w:val="18"/>
          <w:color w:val="auto"/>
        </w:rPr>
        <w:t>As we continue to grow the number and scale</w:t>
      </w:r>
      <w:r>
        <w:rPr>
          <w:rFonts w:ascii="Arial" w:cs="Arial" w:eastAsia="Arial" w:hAnsi="Arial"/>
          <w:sz w:val="18"/>
          <w:szCs w:val="18"/>
          <w:b w:val="1"/>
          <w:bCs w:val="1"/>
          <w:color w:val="auto"/>
        </w:rPr>
        <w:t xml:space="preserve"> </w:t>
      </w:r>
      <w:r>
        <w:rPr>
          <w:rFonts w:ascii="Arial" w:cs="Arial" w:eastAsia="Arial" w:hAnsi="Arial"/>
          <w:sz w:val="18"/>
          <w:szCs w:val="18"/>
          <w:color w:val="auto"/>
        </w:rPr>
        <w:t>of our cloud-based offerings, we store and process increasingly large amounts of personally identifiable information of our customers and users. The continued occurrence of high-profile data breaches provides evidence of an external environment increasingly hostile to information security. Despite our efforts to improve the security controls across our business groups and geographies, it is possible our security controls over personal data, our training of employees and third parties on data security, and other practices we follow may not prevent the improper disclosure or misuse of customer or user data we or our vendors store and manage. In addition, third parties who have limited access to our customer or user data may use this data in unauthorized ways. Improper disclosure or misuse could harm our reputation, lead to legal exposure to customers or users, or subject us to liability under laws that protect personal data, resulting in increased costs or loss of revenue. Our software products and services also enable our customers and users to store and process personal data on-premises or, increasingly, in a cloud-based environment we host. Government authorities can sometimes require us to produce customer or user data in response to valid legal orders. In the U.S. and elsewhere, we advocate for transparency concerning these requests and appropriate limitations on government authority to compel disclosure. Despite our efforts to protect customer and user data, perceptions that the collection, use, and retention of personal information is not satisfactorily protected could inhibit sales of our products or services and could limit adoption of our cloud-based solutions by consumers, businesses, and government entities. Additional security measures we may take to address customer or user concerns, or constraints on our flexibility to determine where and how to operate datacenters in response to customer or user expectations or governmental rules or actions, may cause higher operating expenses or hinder growth of our products and services.</w:t>
      </w:r>
    </w:p>
    <w:p>
      <w:pPr>
        <w:spacing w:after="0" w:line="13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color w:val="auto"/>
        </w:rPr>
        <w:t>We may not be able to protect information in our products and services from use by others</w:t>
      </w:r>
      <w:r>
        <w:rPr>
          <w:rFonts w:ascii="Arial" w:cs="Arial" w:eastAsia="Arial" w:hAnsi="Arial"/>
          <w:sz w:val="18"/>
          <w:szCs w:val="18"/>
          <w:color w:val="auto"/>
        </w:rPr>
        <w:t>. LinkedIn and other Microsoft products and</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contain valuable information and content protected by contractual restrictions or technical measures. In certain cases, we have made commitments to our members and users to limit access to or use of this information. Changes in the law or interpretations of the law may weaken our ability to prevent third parties from scraping or gathering information or content through use of bots or other measures and using it for their own benefit, thus diminishing the value of our products and services.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Abuse of our platforms may harm our reputation or user engagement.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professional, and social platform abuses</w:t>
      </w:r>
    </w:p>
    <w:p>
      <w:pPr>
        <w:spacing w:after="0" w:line="17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For platform products and services that provide content or host ads that come from or can be influenced by third parties, including GitHub, LinkedIn, Microsoft Advertising, MSN, and Xbox, our reputation or user engagement may be negatively affected by activity that is hostile or inappropriate. This activity may come from users impersonating other people or organizations, use of our products or services to spread terrorist or violent extremist content or to disseminate information that may be viewed as misleading or intended to manipulate the opinions of our users, or the use of our products or services that violates our terms of service or otherwise for objectionable or illegal ends. Preventing or responding to these actions may require us to make substantial investments in people and technology and these investments may not be successful, adversely affecting our business and consolidated financial statements.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27" w:name="page28"/>
    <w:bookmarkEnd w:id="27"/>
    <w:p>
      <w:pPr>
        <w:ind w:left="5420"/>
        <w:spacing w:after="0"/>
        <w:rPr>
          <w:sz w:val="20"/>
          <w:szCs w:val="20"/>
          <w:color w:val="auto"/>
        </w:rPr>
      </w:pPr>
      <w:r>
        <w:rPr>
          <w:rFonts w:ascii="Arial" w:cs="Arial" w:eastAsia="Arial" w:hAnsi="Arial"/>
          <w:sz w:val="13"/>
          <w:szCs w:val="13"/>
          <w:u w:val="single" w:color="auto"/>
          <w:color w:val="auto"/>
        </w:rPr>
        <w:t>PART I</w:t>
      </w:r>
    </w:p>
    <w:p>
      <w:pPr>
        <w:ind w:left="5400"/>
        <w:spacing w:after="0"/>
        <w:rPr>
          <w:sz w:val="20"/>
          <w:szCs w:val="20"/>
          <w:color w:val="auto"/>
        </w:rPr>
      </w:pPr>
      <w:r>
        <w:rPr>
          <w:rFonts w:ascii="Arial" w:cs="Arial" w:eastAsia="Arial" w:hAnsi="Arial"/>
          <w:sz w:val="13"/>
          <w:szCs w:val="13"/>
          <w:color w:val="auto"/>
        </w:rPr>
        <w:t>Item 1A</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Digital safety and service misuse</w:t>
      </w:r>
    </w:p>
    <w:p>
      <w:pPr>
        <w:spacing w:after="0" w:line="17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hosted consumer services as well as our enterprise services may be used by third parties to disseminate harmful or illegal content in violation of our terms or applicable law. We may not proactively discover such content due to scale and the limitations of existing technologies, and when discovered by users, such content may negatively affect our reputation, our brands, and user engagement. Regulations and other initiatives to make platforms responsible for preventing or eliminating harmful content online are gaining momentum and we expect this to continue. We may be subject to enhanced regulatory oversight, civil or criminal liability, or reputational damage if we fail to comply with content moderation regulations, adversely affecting our business and consolidated financial statements.</w:t>
      </w:r>
    </w:p>
    <w:p>
      <w:pPr>
        <w:spacing w:after="0" w:line="1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The development of the IoT presents security, privacy, and execution risks. </w:t>
      </w:r>
      <w:r>
        <w:rPr>
          <w:rFonts w:ascii="Arial" w:cs="Arial" w:eastAsia="Arial" w:hAnsi="Arial"/>
          <w:sz w:val="18"/>
          <w:szCs w:val="18"/>
          <w:color w:val="auto"/>
        </w:rPr>
        <w:t>To support the growth of the intelligent cloud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intelligent edge, we are developing products, services, and technologies to power the IoT, a network of distributed and interconnected devices employing sensors, data, and computing capabilities including AI. The IoT’s great potential also carries substantial risks. IoT products and services may contain defects in design, manufacture, or operation that make them insecure or ineffective for their intended purposes. An IoT solution has multiple layers of hardware, sensors, processors, software, and firmware, several of which we may not develop or control. Each layer, including the weakest layer, can impact the security of the whole system. Many IoT devices have limited interfaces and ability to be updated or patched. IoT solutions may collect large amounts of data, and our handling of IoT data may not satisfy customers or regulatory requirements. IoT scenarios may increasingly affect personal health and safety. If IoT solutions that include our technologies do not work as intended, violate the law, or harm individuals or businesses, we may be subject to legal claims or enforcement actions. These risks, if realized, may increase our costs, damage our reputation or brands, or negatively impact our revenues or margins.</w:t>
      </w:r>
    </w:p>
    <w:p>
      <w:pPr>
        <w:spacing w:after="0" w:line="12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Issues in the use of AI in our offerings may result in reputational harm or liability</w:t>
      </w:r>
      <w:r>
        <w:rPr>
          <w:rFonts w:ascii="Arial" w:cs="Arial" w:eastAsia="Arial" w:hAnsi="Arial"/>
          <w:sz w:val="18"/>
          <w:szCs w:val="18"/>
          <w:color w:val="auto"/>
        </w:rPr>
        <w:t>. We are building AI into many of our offerings and we</w:t>
      </w:r>
      <w:r>
        <w:rPr>
          <w:rFonts w:ascii="Arial" w:cs="Arial" w:eastAsia="Arial" w:hAnsi="Arial"/>
          <w:sz w:val="18"/>
          <w:szCs w:val="18"/>
          <w:b w:val="1"/>
          <w:bCs w:val="1"/>
          <w:color w:val="auto"/>
        </w:rPr>
        <w:t xml:space="preserve"> </w:t>
      </w:r>
      <w:r>
        <w:rPr>
          <w:rFonts w:ascii="Arial" w:cs="Arial" w:eastAsia="Arial" w:hAnsi="Arial"/>
          <w:sz w:val="18"/>
          <w:szCs w:val="18"/>
          <w:color w:val="auto"/>
        </w:rPr>
        <w:t>expect this element of our business to grow. We envision a future in which AI operating in our devices, applications, and the cloud helps our customers be more productive in their work and personal lives. As with many disruptive innovations, AI presents risks and challenges that could affect its adoption, and therefore our business. AI algorithms may be flawed. Datasets may be insufficient or contain biased information. Inappropriate or controversial data practices by Microsoft or others could impair the acceptance of AI solutions. These deficiencies could undermine the decisions, predictions, or analysis AI applications produce, subjecting us to competitive harm, legal liability, and brand or reputational harm. Some AI scenarios present ethical issues. If we enable or offer AI solutions that are controversial because of their impact on human rights, privacy, employment, or other social issues, we may experience brand or reputational harm.</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OPERATIONAL RISKS</w:t>
      </w:r>
    </w:p>
    <w:p>
      <w:pPr>
        <w:spacing w:after="0" w:line="1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b w:val="1"/>
          <w:bCs w:val="1"/>
          <w:color w:val="auto"/>
        </w:rPr>
        <w:t xml:space="preserve">We may have excessive outages, data losses, and disruptions of our online services if we fail to maintain an adequate operations infrastructure. </w:t>
      </w:r>
      <w:r>
        <w:rPr>
          <w:rFonts w:ascii="Arial" w:cs="Arial" w:eastAsia="Arial" w:hAnsi="Arial"/>
          <w:sz w:val="18"/>
          <w:szCs w:val="18"/>
          <w:color w:val="auto"/>
        </w:rPr>
        <w:t>Our increasing user traffic, growth in services, and the complexity of our products and services demand more computing</w:t>
      </w:r>
      <w:r>
        <w:rPr>
          <w:rFonts w:ascii="Arial" w:cs="Arial" w:eastAsia="Arial" w:hAnsi="Arial"/>
          <w:sz w:val="18"/>
          <w:szCs w:val="18"/>
          <w:b w:val="1"/>
          <w:bCs w:val="1"/>
          <w:color w:val="auto"/>
        </w:rPr>
        <w:t xml:space="preserve"> </w:t>
      </w:r>
      <w:r>
        <w:rPr>
          <w:rFonts w:ascii="Arial" w:cs="Arial" w:eastAsia="Arial" w:hAnsi="Arial"/>
          <w:sz w:val="18"/>
          <w:szCs w:val="18"/>
          <w:color w:val="auto"/>
        </w:rPr>
        <w:t>power. We spend substantial amounts to build, purchase, or lease datacenters and equipment and to upgrade our technology and network infrastructure to handle more traffic on our websites and in our datacenters. These demands continue to increase as we introduce new products and services and support the growth of existing services such as Bing, Azure, Microsoft Account services, Microsoft 365, Microsoft Teams, Dynamics 365, OneDrive, SharePoint Online, Skype, Xbox, and Outlook.com. We are rapidly growing our business of providing a platform and back-end hosting for services provided by third parties to their end users. Maintaining, securing, and expanding this infrastructure is expensive and complex, and requires development of principles for datacenter builds in geographies with higher safety risks. It requires that we maintain an Internet connectivity infrastructure and storage and compute capacity that is robust and reliable within competitive and regulatory constraints that continue to evolve. Inefficiencies or operational failures, including temporary or permanent loss of customer data, insufficient Internet connectivity, or inadequate storage and compute capacity, could diminish the quality of our products, services, and user experience resulting in contractual liability, claims by customers and other third parties, regulatory actions, damage to our reputation, and loss of current and potential users, subscribers, and advertisers, each of which may adversely impact our consolidated financial statements.</w:t>
      </w:r>
    </w:p>
    <w:p>
      <w:pPr>
        <w:spacing w:after="0" w:line="13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color w:val="auto"/>
        </w:rPr>
        <w:t xml:space="preserve">We may experience quality or supply problems. </w:t>
      </w:r>
      <w:r>
        <w:rPr>
          <w:rFonts w:ascii="Arial" w:cs="Arial" w:eastAsia="Arial" w:hAnsi="Arial"/>
          <w:sz w:val="18"/>
          <w:szCs w:val="18"/>
          <w:color w:val="auto"/>
        </w:rPr>
        <w:t>Our hardware products such as Xbox consoles, Surface devices, and other devices we</w:t>
      </w:r>
      <w:r>
        <w:rPr>
          <w:rFonts w:ascii="Arial" w:cs="Arial" w:eastAsia="Arial" w:hAnsi="Arial"/>
          <w:sz w:val="18"/>
          <w:szCs w:val="18"/>
          <w:b w:val="1"/>
          <w:bCs w:val="1"/>
          <w:color w:val="auto"/>
        </w:rPr>
        <w:t xml:space="preserve"> </w:t>
      </w:r>
      <w:r>
        <w:rPr>
          <w:rFonts w:ascii="Arial" w:cs="Arial" w:eastAsia="Arial" w:hAnsi="Arial"/>
          <w:sz w:val="18"/>
          <w:szCs w:val="18"/>
          <w:color w:val="auto"/>
        </w:rPr>
        <w:t>design and market are highly complex and can have defects in design, manufacture, or associated software. We could incur significant expenses, lost revenue, and reputational harm as a result of recalls, safety alerts, or product liability claims if we fail to prevent, detect, or address such issues through design, testing, or warranty repairs.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28" w:name="page29"/>
    <w:bookmarkEnd w:id="28"/>
    <w:p>
      <w:pPr>
        <w:ind w:left="5420"/>
        <w:spacing w:after="0"/>
        <w:rPr>
          <w:sz w:val="20"/>
          <w:szCs w:val="20"/>
          <w:color w:val="auto"/>
        </w:rPr>
      </w:pPr>
      <w:r>
        <w:rPr>
          <w:rFonts w:ascii="Arial" w:cs="Arial" w:eastAsia="Arial" w:hAnsi="Arial"/>
          <w:sz w:val="13"/>
          <w:szCs w:val="13"/>
          <w:u w:val="single" w:color="auto"/>
          <w:color w:val="auto"/>
        </w:rPr>
        <w:t>PART I</w:t>
      </w:r>
    </w:p>
    <w:p>
      <w:pPr>
        <w:ind w:left="5400"/>
        <w:spacing w:after="0"/>
        <w:rPr>
          <w:sz w:val="20"/>
          <w:szCs w:val="20"/>
          <w:color w:val="auto"/>
        </w:rPr>
      </w:pPr>
      <w:r>
        <w:rPr>
          <w:rFonts w:ascii="Arial" w:cs="Arial" w:eastAsia="Arial" w:hAnsi="Arial"/>
          <w:sz w:val="13"/>
          <w:szCs w:val="13"/>
          <w:color w:val="auto"/>
        </w:rPr>
        <w:t>Item 1A</w:t>
      </w:r>
    </w:p>
    <w:p>
      <w:pPr>
        <w:spacing w:after="0" w:line="36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software products and services also may experience quality or reliability problems. The highly sophisticated software we develop may contain bugs and other defects that interfere with their intended operation. Our customers increasingly rely on us for critical business functions and multiple workloads. Many of our products and services are interdependent with one another. Each of these circumstances potentially magnifies the impact of quality or reliability issues. Any defects we do not detect and fix in pre-release testing could cause reduced sales and revenue, damage to our reputation, repair or remediation costs, delays in the release of new products or versions, or legal liability. Although our license agreements typically contain provisions that eliminate or limit our exposure to liability, there is no assurance these provisions will withstand legal challenge.</w:t>
      </w:r>
    </w:p>
    <w:p>
      <w:pPr>
        <w:spacing w:after="0" w:line="14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acquire some device and datacenter components from sole suppliers. Our competitors use some of the same suppliers and their demand for hardware components can affect the capacity available to us. If a component from a sole-source supplier is delayed or becomes unavailable, whether because of supplier capacity constraint, industry shortages, legal or regulatory changes that restrict supply sources, or other reasons, we may not obtain timely replacement supplies, resulting in reduced sales or inadequate datacenter capacity. Component shortages, excess or obsolete inventory, or price reductions resulting in inventory adjustments may increase our cost of revenue. Xbox consoles, Surface devices, datacenter servers, and other hardware are assembled in Asia and other geographies that may be subject to disruptions in the supply chain, resulting in shortages that would affect our revenue and operating margins. These same risks would apply to any other hardware and software products we may offer.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LEGAL, REGULATORY, AND LITIGATION RISKS</w:t>
      </w:r>
    </w:p>
    <w:p>
      <w:pPr>
        <w:spacing w:after="0" w:line="13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color w:val="auto"/>
        </w:rPr>
        <w:t xml:space="preserve">Government litigation and regulatory activity relating to competition rules may limit how we design and market our products. </w:t>
      </w:r>
      <w:r>
        <w:rPr>
          <w:rFonts w:ascii="Arial" w:cs="Arial" w:eastAsia="Arial" w:hAnsi="Arial"/>
          <w:sz w:val="18"/>
          <w:szCs w:val="18"/>
          <w:color w:val="auto"/>
        </w:rPr>
        <w:t>As a</w:t>
      </w:r>
      <w:r>
        <w:rPr>
          <w:rFonts w:ascii="Arial" w:cs="Arial" w:eastAsia="Arial" w:hAnsi="Arial"/>
          <w:sz w:val="18"/>
          <w:szCs w:val="18"/>
          <w:b w:val="1"/>
          <w:bCs w:val="1"/>
          <w:color w:val="auto"/>
        </w:rPr>
        <w:t xml:space="preserve"> </w:t>
      </w:r>
      <w:r>
        <w:rPr>
          <w:rFonts w:ascii="Arial" w:cs="Arial" w:eastAsia="Arial" w:hAnsi="Arial"/>
          <w:sz w:val="18"/>
          <w:szCs w:val="18"/>
          <w:color w:val="auto"/>
        </w:rPr>
        <w:t>leading global software and device maker, government agencies closely scrutinize us under U.S. and foreign competition laws. Governments are actively enforcing competition laws and regulations, and this includes scrutiny in potentially large markets such as the European Union (“EU”), the U.S., and China. Some jurisdictions also allow competitors or consumers to assert claims of anti-competitive conduct. U.S. federal and state antitrust authorities have previously brought enforcement actions and continue to scrutinize our business.</w:t>
      </w:r>
    </w:p>
    <w:p>
      <w:pPr>
        <w:spacing w:after="0" w:line="145"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The European Commission (“the Commission”) closely scrutinizes the design of high-volume Microsoft products and the terms on which we make certain technologies used in these products, such as file formats, programming interfaces, and protocols, available to other companies. Flagship product releases such as Windows can receive significant scrutiny under competition laws. For example, in 2004, the Commission ordered us to create new versions of our Windows operating system that do not include certain multimedia technologies and to provide our competitors with specifications for how to implement certain proprietary Windows communications protocols in their own products. In 2009, the Commission accepted a set of commitments we offered to address the Commission’s concerns relating to competition in web browsing software, including an undertaking to address Commission concerns relating to interoperability. The web browsing commitments expired in 2014. The remaining obligations may limit our ability to innovate in Windows or other products in the future, diminish the developer appeal of the Windows platform, and increase our product development costs. The availability of licenses related to protocols and file formats may enable competitors to develop software products that better mimic the functionality of our products, which could hamper sales of our products.</w:t>
      </w:r>
    </w:p>
    <w:p>
      <w:pPr>
        <w:spacing w:after="0" w:line="14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portfolio of first-party devices continues to grow; at the same time our OEM partners offer a large variety of devices for our platforms. As a result, increasingly we both cooperate and compete with our OEM partners, creating a risk that we fail to do so in compliance with competition rules. Regulatory scrutiny in this area may increase. Certain foreign governments, particularly in China and other countries in Asia, have advanced arguments under their competition laws that exert downward pressure on royalties for our intellectual property.</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Government regulatory actions and court decisions such as these may result in fines or hinder our ability to provide the benefits of our software to consumers and businesses, reducing the attractiveness of our products and the revenue that come from them. New competition law actions could be initiated, potentially using previous actions as precedent. The outcome of such actions, or steps taken to avoid them, could adversely affect us in a variety of ways, including:</w:t>
      </w:r>
    </w:p>
    <w:p>
      <w:pPr>
        <w:spacing w:after="0" w:line="67" w:lineRule="exact"/>
        <w:rPr>
          <w:sz w:val="20"/>
          <w:szCs w:val="20"/>
          <w:color w:val="auto"/>
        </w:rPr>
      </w:pPr>
    </w:p>
    <w:p>
      <w:pPr>
        <w:jc w:val="both"/>
        <w:ind w:left="1060" w:hanging="393"/>
        <w:spacing w:after="0" w:line="239"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have to choose between withdrawing products from certain geographies to avoid fines or designing and developing alternative versions of those products to comply with government rulings, which may entail a delay in a product release and removing functionality that customers want or on which developers rely.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29" w:name="page30"/>
    <w:bookmarkEnd w:id="29"/>
    <w:p>
      <w:pPr>
        <w:ind w:left="5420"/>
        <w:spacing w:after="0"/>
        <w:rPr>
          <w:sz w:val="20"/>
          <w:szCs w:val="20"/>
          <w:color w:val="auto"/>
        </w:rPr>
      </w:pPr>
      <w:r>
        <w:rPr>
          <w:rFonts w:ascii="Arial" w:cs="Arial" w:eastAsia="Arial" w:hAnsi="Arial"/>
          <w:sz w:val="13"/>
          <w:szCs w:val="13"/>
          <w:u w:val="single" w:color="auto"/>
          <w:color w:val="auto"/>
        </w:rPr>
        <w:t>PART I</w:t>
      </w:r>
    </w:p>
    <w:p>
      <w:pPr>
        <w:ind w:left="5400"/>
        <w:spacing w:after="0"/>
        <w:rPr>
          <w:sz w:val="20"/>
          <w:szCs w:val="20"/>
          <w:color w:val="auto"/>
        </w:rPr>
      </w:pPr>
      <w:r>
        <w:rPr>
          <w:rFonts w:ascii="Arial" w:cs="Arial" w:eastAsia="Arial" w:hAnsi="Arial"/>
          <w:sz w:val="13"/>
          <w:szCs w:val="13"/>
          <w:color w:val="auto"/>
        </w:rPr>
        <w:t>Item 1A</w:t>
      </w:r>
    </w:p>
    <w:p>
      <w:pPr>
        <w:spacing w:after="0" w:line="267" w:lineRule="exact"/>
        <w:rPr>
          <w:sz w:val="20"/>
          <w:szCs w:val="20"/>
          <w:color w:val="auto"/>
        </w:rPr>
      </w:pPr>
    </w:p>
    <w:p>
      <w:pPr>
        <w:ind w:left="1060" w:hanging="393"/>
        <w:spacing w:after="0" w:line="244"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required to make available licenses to our proprietary technologies on terms that do not reflect their fair market value or do not protect our associated intellectual property.</w:t>
      </w:r>
    </w:p>
    <w:p>
      <w:pPr>
        <w:spacing w:after="0" w:line="49" w:lineRule="exact"/>
        <w:rPr>
          <w:rFonts w:ascii="Arial" w:cs="Arial" w:eastAsia="Arial" w:hAnsi="Arial"/>
          <w:sz w:val="18"/>
          <w:szCs w:val="18"/>
          <w:color w:val="auto"/>
        </w:rPr>
      </w:pPr>
    </w:p>
    <w:p>
      <w:pPr>
        <w:jc w:val="both"/>
        <w:ind w:left="1060" w:hanging="393"/>
        <w:spacing w:after="0" w:line="239"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subject to a variety of ongoing commitments because of court or administrative orders, consent decrees, or other voluntary actions we have taken. If we fail to comply with these commitments, we may incur litigation costs and be subject to substantial fines or other remedial actions.</w:t>
      </w:r>
    </w:p>
    <w:p>
      <w:pPr>
        <w:spacing w:after="0" w:line="54" w:lineRule="exact"/>
        <w:rPr>
          <w:rFonts w:ascii="Arial" w:cs="Arial" w:eastAsia="Arial" w:hAnsi="Arial"/>
          <w:sz w:val="18"/>
          <w:szCs w:val="18"/>
          <w:color w:val="auto"/>
        </w:rPr>
      </w:pPr>
    </w:p>
    <w:p>
      <w:pPr>
        <w:ind w:left="1060" w:hanging="393"/>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realize anticipated Windows post-sale monetization opportunities may be limited.</w:t>
      </w:r>
    </w:p>
    <w:p>
      <w:pPr>
        <w:spacing w:after="0" w:line="134" w:lineRule="exact"/>
        <w:rPr>
          <w:sz w:val="20"/>
          <w:szCs w:val="20"/>
          <w:color w:val="auto"/>
        </w:rPr>
      </w:pPr>
    </w:p>
    <w:p>
      <w:pPr>
        <w:jc w:val="both"/>
        <w:spacing w:after="0" w:line="251" w:lineRule="auto"/>
        <w:rPr>
          <w:sz w:val="20"/>
          <w:szCs w:val="20"/>
          <w:color w:val="auto"/>
        </w:rPr>
      </w:pPr>
      <w:r>
        <w:rPr>
          <w:rFonts w:ascii="Arial" w:cs="Arial" w:eastAsia="Arial" w:hAnsi="Arial"/>
          <w:sz w:val="17"/>
          <w:szCs w:val="17"/>
          <w:b w:val="1"/>
          <w:bCs w:val="1"/>
          <w:color w:val="auto"/>
        </w:rPr>
        <w:t xml:space="preserve">Our global operations subject us to potential consequences under anti-corruption, trade, and other laws and regulations. </w:t>
      </w:r>
      <w:r>
        <w:rPr>
          <w:rFonts w:ascii="Arial" w:cs="Arial" w:eastAsia="Arial" w:hAnsi="Arial"/>
          <w:sz w:val="17"/>
          <w:szCs w:val="17"/>
          <w:color w:val="auto"/>
        </w:rPr>
        <w:t>The</w:t>
      </w:r>
      <w:r>
        <w:rPr>
          <w:rFonts w:ascii="Arial" w:cs="Arial" w:eastAsia="Arial" w:hAnsi="Arial"/>
          <w:sz w:val="17"/>
          <w:szCs w:val="17"/>
          <w:b w:val="1"/>
          <w:bCs w:val="1"/>
          <w:color w:val="auto"/>
        </w:rPr>
        <w:t xml:space="preserve"> </w:t>
      </w:r>
      <w:r>
        <w:rPr>
          <w:rFonts w:ascii="Arial" w:cs="Arial" w:eastAsia="Arial" w:hAnsi="Arial"/>
          <w:sz w:val="17"/>
          <w:szCs w:val="17"/>
          <w:color w:val="auto"/>
        </w:rPr>
        <w:t>Foreign Corrupt Practices Act (“FCPA”) and other anti-corruption laws and regulations (“Anti-Corruption Laws”) prohibit corrupt payments by our employees, vendors, or agents, and the accounting provisions of the FCPA require us to maintain accurate books and records and adequate internal controls. From time to time, we receive inquiries from authorities in the U.S. and elsewhere which may be based on reports from employees and others about our business activities outside the U.S. and our compliance with Anti-Corruption Laws. Periodically, we receive such reports directly and investigate them. On July 22, 2019, our Hungarian subsidiary entered into a non-prosecution agreement (“NPA”) with the U.S. Department of Justice (“DOJ”) and we agreed to the terms of a cease and desist order with the Securities and Exchange Commission. These agreements required us to pay $25.3 million in monetary penalties, disgorgement, and interest pertaining to activities at Microsoft’s subsidiary in Hungary. The NPA, which has a three-year term, also contains certain ongoing compliance requirements, including the obligations to disclose to the DOJ issues that may implicate the FCPA and to cooperate in any inquiries. Most countries in which we operate also have competition laws that prohibit competitors from colluding or otherwise attempting to reduce competition between themselves. While we devote substantial resources to our U.S. and international compliance programs and have implemented policies, training, and internal controls designed to reduce the risk of corrupt payments and collusive activity, our employees, vendors, or agents may violate our policies. Our failure to comply with Anti-Corruption Laws or competition laws could result in significant fines and penalties, criminal sanctions against us, our officers, or our employees, prohibitions on the conduct of our business, and damage to our reputation.</w:t>
      </w:r>
    </w:p>
    <w:p>
      <w:pPr>
        <w:spacing w:after="0" w:line="14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Increasing trade laws, policies, sanctions, and other regulatory requirements also affect our operations in and outside the U.S. relating to trade and investment. Economic sanctions in the U.S., the EU, and other countries prohibit most business with restricted entities or countries such as Crimea, Cuba, Iran, North Korea, and Syria. U.S. export controls restrict Microsoft from offering many of its products and services to, or making investments in, certain entities in specified countries. U.S. import controls restrict us from integrating certain information and communication technologies into our supply chain and allow for government review of transactions involving information and communications technology from countries determined to be foreign adversaries. Non-compliance could result in reputational harm, operational delays, monetary fines, loss of export privileges, or criminal sanctions.</w:t>
      </w:r>
    </w:p>
    <w:p>
      <w:pPr>
        <w:spacing w:after="0" w:line="14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Other regulatory areas that may apply to our products and online services offerings include requirements related to user privacy, telecommunications, data storage and protection, advertising, and online content. For example, some regulators are taking the position that our offerings such as Microsoft Teams and Skype are covered by existing laws regulating telecommunications services, and some new laws, including EU Member State laws under the European Electronic Communications Code, are defining more of our services as regulated telecommunications services. This trend may continue and will result in these offerings being subjected to additional data protection, security, and law enforcement surveillance obligations. Regulators may assert that our collection, use, and management of customer and other data is inconsistent with their laws and regulations. Legislative or regulatory action relating to cybersecurity requirements may increase the costs to develop, implement, or secure our products and services. Legislative and regulatory action is emerging in the areas of AI and content moderation, which could increase costs or restrict opportunity. Applying these laws and regulations to our business is often unclear, subject to change over time, and sometimes may conflict from jurisdiction to jurisdiction. Additionally, these laws and governments’ approach to their enforcement, and our products and services, are continuing to evolve. Compliance with these types of regulation may involve significant costs or require changes in products or business practices that result in reduced revenue. Noncompliance could result in the imposition of penalties or orders we stop the alleged noncompliant activity.</w:t>
      </w:r>
    </w:p>
    <w:p>
      <w:pPr>
        <w:spacing w:after="0" w:line="15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strive to empower all people and organizations to achieve more, and accessibility of our products is an important aspect of this goal. There is increasing pressure from advocacy groups, regulators, competitors, customers, and other stakeholders to make technology more accessible. If our products do not meet customer expectations or global accessibility requirements, we could lose sales opportunities or face regulatory or legal actions.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30" w:name="page31"/>
    <w:bookmarkEnd w:id="30"/>
    <w:p>
      <w:pPr>
        <w:ind w:left="5420"/>
        <w:spacing w:after="0"/>
        <w:rPr>
          <w:sz w:val="20"/>
          <w:szCs w:val="20"/>
          <w:color w:val="auto"/>
        </w:rPr>
      </w:pPr>
      <w:r>
        <w:rPr>
          <w:rFonts w:ascii="Arial" w:cs="Arial" w:eastAsia="Arial" w:hAnsi="Arial"/>
          <w:sz w:val="13"/>
          <w:szCs w:val="13"/>
          <w:u w:val="single" w:color="auto"/>
          <w:color w:val="auto"/>
        </w:rPr>
        <w:t>PART I</w:t>
      </w:r>
    </w:p>
    <w:p>
      <w:pPr>
        <w:ind w:left="5400"/>
        <w:spacing w:after="0"/>
        <w:rPr>
          <w:sz w:val="20"/>
          <w:szCs w:val="20"/>
          <w:color w:val="auto"/>
        </w:rPr>
      </w:pPr>
      <w:r>
        <w:rPr>
          <w:rFonts w:ascii="Arial" w:cs="Arial" w:eastAsia="Arial" w:hAnsi="Arial"/>
          <w:sz w:val="13"/>
          <w:szCs w:val="13"/>
          <w:color w:val="auto"/>
        </w:rPr>
        <w:t>Item 1A</w:t>
      </w:r>
    </w:p>
    <w:p>
      <w:pPr>
        <w:spacing w:after="0" w:line="34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b w:val="1"/>
          <w:bCs w:val="1"/>
          <w:color w:val="auto"/>
        </w:rPr>
        <w:t xml:space="preserve">Laws and regulations relating to the handling of personal data may impede the adoption of our services or result in increased costs, legal claims, fines against us, or reputational damage. </w:t>
      </w:r>
      <w:r>
        <w:rPr>
          <w:rFonts w:ascii="Arial" w:cs="Arial" w:eastAsia="Arial" w:hAnsi="Arial"/>
          <w:sz w:val="18"/>
          <w:szCs w:val="18"/>
          <w:color w:val="auto"/>
        </w:rPr>
        <w:t>The growth of our Internet- and cloud-based services internationally relies</w:t>
      </w:r>
      <w:r>
        <w:rPr>
          <w:rFonts w:ascii="Arial" w:cs="Arial" w:eastAsia="Arial" w:hAnsi="Arial"/>
          <w:sz w:val="18"/>
          <w:szCs w:val="18"/>
          <w:b w:val="1"/>
          <w:bCs w:val="1"/>
          <w:color w:val="auto"/>
        </w:rPr>
        <w:t xml:space="preserve"> </w:t>
      </w:r>
      <w:r>
        <w:rPr>
          <w:rFonts w:ascii="Arial" w:cs="Arial" w:eastAsia="Arial" w:hAnsi="Arial"/>
          <w:sz w:val="18"/>
          <w:szCs w:val="18"/>
          <w:color w:val="auto"/>
        </w:rPr>
        <w:t>increasingly on the movement of data across national boundaries. Legal requirements relating to the collection, storage, handling, and transfer of personal data continue to evolve. For example, in July 2020 the Court of Justice of the EU invalidated a framework called Privacy Shield for companies to transfer data from EU member states to the United States. This ruling has led to uncertainty about the legal requirements for data transfers from the EU under other legal mechanisms. Potential new rules and restrictions on the flow of data across borders could increase the cost and complexity of delivering our products and services in some markets. In May 2018, the EU General Data Protection Regulation (“GDPR”), became effective. The law, which applies to all of our activities conducted from an establishment in the EU or related to products and services offered in the EU, imposes a range of compliance obligations regarding the handling of personal data. Engineering efforts to build and maintain capabilities to facilitate compliance with the law have entailed substantial expense and the diversion of engineering resources from other projects and may continue to do so. We might experience reduced demand for our offerings if we are unable to engineer products that meet our legal duties or help our customers meet their obligations under the GDPR or other data regulations, or if our implementation to comply with the GDPR makes our offerings less attractive. The GDPR imposes significant new obligations and compliance with these obligations depends in part on how particular regulators interpret and apply them. If we fail to comply with the GDPR, or if regulators assert we have failed to comply with the GDPR, it may lead to regulatory enforcement actions, which can result in monetary penalties of up to 4% of worldwide revenue, private lawsuits, reputational damage, and loss of customers. Countries around the world, and states in the U.S. such as California, Colorado, and Virginia, have adopted, or are considering adopting or expanding, laws and regulations imposing obligations regarding the handling of personal data.</w:t>
      </w:r>
    </w:p>
    <w:p>
      <w:pPr>
        <w:spacing w:after="0" w:line="15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Company’s investment in gaining insights from data is becoming central to the value of the services we deliver to customers, to our operational efficiency and key opportunities in monetization, customer perceptions of quality, and operational efficiency. Our ability to use data in this way may be constrained by regulatory developments that impede realizing the expected return from this investment. Ongoing legal analyses, reviews, and inquiries by regulators of Microsoft practices, or relevant practices of other organizations, may result in burdensome or inconsistent requirements, including data sovereignty and localization requirements, affecting the location, movement, collection, and use of our customer and internal employee data as well as the management of that data. Compliance with applicable laws and regulations regarding personal data may require changes in services, business practices, or internal systems that result in increased costs, lower revenue, reduced efficiency, or greater difficulty in competing with foreign-based firms. Compliance with data regulations might limit our ability to innovate or offer certain features and functionality in some jurisdictions where we operate. Failure to comply with existing or new rules may result in significant penalties or orders to stop the alleged noncompliant activity, as well as negative publicity and diversion of management time and effort.</w:t>
      </w:r>
    </w:p>
    <w:p>
      <w:pPr>
        <w:spacing w:after="0" w:line="130"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We have claims and lawsuits against us that may result in adverse outcomes. </w:t>
      </w:r>
      <w:r>
        <w:rPr>
          <w:rFonts w:ascii="Arial" w:cs="Arial" w:eastAsia="Arial" w:hAnsi="Arial"/>
          <w:sz w:val="18"/>
          <w:szCs w:val="18"/>
          <w:color w:val="auto"/>
        </w:rPr>
        <w:t>We are subject to a variety of claims and lawsuits. These</w:t>
      </w:r>
      <w:r>
        <w:rPr>
          <w:rFonts w:ascii="Arial" w:cs="Arial" w:eastAsia="Arial" w:hAnsi="Arial"/>
          <w:sz w:val="18"/>
          <w:szCs w:val="18"/>
          <w:b w:val="1"/>
          <w:bCs w:val="1"/>
          <w:color w:val="auto"/>
        </w:rPr>
        <w:t xml:space="preserve"> </w:t>
      </w:r>
      <w:r>
        <w:rPr>
          <w:rFonts w:ascii="Arial" w:cs="Arial" w:eastAsia="Arial" w:hAnsi="Arial"/>
          <w:sz w:val="18"/>
          <w:szCs w:val="18"/>
          <w:color w:val="auto"/>
        </w:rPr>
        <w:t>claims may arise from a wide variety of business practices and initiatives, including major new product releases such as Windows, significant business transactions, warranty or product claims, and employment practices. Adverse outcomes in some or all of these claims may result in significant monetary damages or injunctive relief that could adversely affect our ability to conduct our business. The litigation and other claims are subject to inherent uncertainties and management’s view of these matters may change in the future. A material adverse impact in our consolidated financial statements could occur for the period in which the effect of an unfavorable outcome becomes probable and reasonably estimable.</w:t>
      </w:r>
    </w:p>
    <w:p>
      <w:pPr>
        <w:spacing w:after="0" w:line="125"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Our business with government customers may present additional uncertainties. </w:t>
      </w:r>
      <w:r>
        <w:rPr>
          <w:rFonts w:ascii="Arial" w:cs="Arial" w:eastAsia="Arial" w:hAnsi="Arial"/>
          <w:sz w:val="18"/>
          <w:szCs w:val="18"/>
          <w:color w:val="auto"/>
        </w:rPr>
        <w:t>We derive substantial revenue from government</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contracts. Government contracts generally can present risks and challenges not present in private commercial agreements. For instance, we may be subject to government audits and investigations relating to these contracts, we could be suspended or debarred as a governmental contractor, we could incur civil and criminal fines and penalties, and under certain circumstances contracts may be rescinded. Some agreements may allow a government to terminate without cause and provide for higher liability limits for certain losses. Some contracts may be subject to periodic funding approval, reductions, or delays which could adversely impact public-sector demand for our products and services. These events could negatively impact our results of operations, financial condition, and reputation.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31" w:name="page32"/>
    <w:bookmarkEnd w:id="31"/>
    <w:p>
      <w:pPr>
        <w:ind w:left="5420"/>
        <w:spacing w:after="0"/>
        <w:rPr>
          <w:sz w:val="20"/>
          <w:szCs w:val="20"/>
          <w:color w:val="auto"/>
        </w:rPr>
      </w:pPr>
      <w:r>
        <w:rPr>
          <w:rFonts w:ascii="Arial" w:cs="Arial" w:eastAsia="Arial" w:hAnsi="Arial"/>
          <w:sz w:val="13"/>
          <w:szCs w:val="13"/>
          <w:u w:val="single" w:color="auto"/>
          <w:color w:val="auto"/>
        </w:rPr>
        <w:t>PART I</w:t>
      </w:r>
    </w:p>
    <w:p>
      <w:pPr>
        <w:ind w:left="5400"/>
        <w:spacing w:after="0"/>
        <w:rPr>
          <w:sz w:val="20"/>
          <w:szCs w:val="20"/>
          <w:color w:val="auto"/>
        </w:rPr>
      </w:pPr>
      <w:r>
        <w:rPr>
          <w:rFonts w:ascii="Arial" w:cs="Arial" w:eastAsia="Arial" w:hAnsi="Arial"/>
          <w:sz w:val="13"/>
          <w:szCs w:val="13"/>
          <w:color w:val="auto"/>
        </w:rPr>
        <w:t>Item 1A</w:t>
      </w:r>
    </w:p>
    <w:p>
      <w:pPr>
        <w:spacing w:after="0" w:line="340"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We may have additional tax liabilities. </w:t>
      </w:r>
      <w:r>
        <w:rPr>
          <w:rFonts w:ascii="Arial" w:cs="Arial" w:eastAsia="Arial" w:hAnsi="Arial"/>
          <w:sz w:val="18"/>
          <w:szCs w:val="18"/>
          <w:color w:val="auto"/>
        </w:rPr>
        <w:t>We are subject to income taxes in the U.S. and many foreign jurisdictions. Significant judgment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in determining our worldwide provision for income taxes. In the course of our business, there are many transactions and calculations where the ultimate tax determination is uncertain. For example, compliance with the 2017 United States Tax Cuts and Jobs Act (“TCJA”) and possible future legislative changes may require the collection of information not regularly produced within the Company, the use of estimates in our consolidated financial statements, and the exercise of significant judgment in accounting for its provisions. As regulations and guidance evolve with respect to the TCJA or possible future legislative changes, and as we gather more information and perform more analysis, our results may differ from previous estimates and may materially affect our consolidated financial statements.</w:t>
      </w:r>
    </w:p>
    <w:p>
      <w:pPr>
        <w:spacing w:after="0" w:line="14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regularly are under audit by tax authorities in different jurisdictions. Although we believe that our provision for income taxes and our tax estimates are reasonable, tax authorities may disagree with certain positions we have taken. In addition, economic and political pressures to increase tax revenue in various jurisdictions may make resolving tax disputes favorably more difficult. We are currently under Internal Revenue Service audit for prior tax years, with the primary unresolved issues relating to transfer pricing. The final resolution of those audits, and other audits or litigation, may differ from the amounts recorded in our consolidated financial statements and may materially affect our consolidated financial statements in the period or periods in which that determination is made.</w:t>
      </w:r>
    </w:p>
    <w:p>
      <w:pPr>
        <w:spacing w:after="0" w:line="15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earn a significant amount of our operating income outside the U.S. A change in the mix of earnings and losses in countries with differing statutory tax rates, changes in our business or structure, or the expiration of or disputes about certain tax agreements in a particular country may result in higher effective tax rates for the Company. In addition, changes in U.S. federal and state or international tax laws applicable to corporate multinationals, other fundamental law changes currently being considered by many countries, including in the U.S., and changes in taxing jurisdictions’ administrative interpretations, decisions, policies, and positions may materially adversely impact our consolidated financial statements.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INTELLECTUAL PROPERTY RISKS</w:t>
      </w:r>
    </w:p>
    <w:p>
      <w:pPr>
        <w:spacing w:after="0" w:line="13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color w:val="auto"/>
        </w:rPr>
        <w:t xml:space="preserve">We may not be able to protect our source code from copying if there is an unauthorized disclosure. </w:t>
      </w:r>
      <w:r>
        <w:rPr>
          <w:rFonts w:ascii="Arial" w:cs="Arial" w:eastAsia="Arial" w:hAnsi="Arial"/>
          <w:sz w:val="18"/>
          <w:szCs w:val="18"/>
          <w:color w:val="auto"/>
        </w:rPr>
        <w:t>Source code, the detailed</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commands for our operating systems and other software programs, is critical to our business. Although we license portions of our application and operating system source code to several licensees, we take significant measures to protect the secrecy of large portions of our source code. If our source code leaks, we might lose future trade secret protection for that code. It may then become easier for third parties to compete with our products by copying functionality, which could adversely affect our revenue and operating margins. Unauthorized disclosure of source code also could increase the security risks described elsewhere in these risk factors.</w:t>
      </w:r>
    </w:p>
    <w:p>
      <w:pPr>
        <w:spacing w:after="0" w:line="12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Legal changes, our evolving business model, piracy, and other factors may decrease the value of our intellectual property. </w:t>
      </w:r>
      <w:r>
        <w:rPr>
          <w:rFonts w:ascii="Arial" w:cs="Arial" w:eastAsia="Arial" w:hAnsi="Arial"/>
          <w:sz w:val="18"/>
          <w:szCs w:val="18"/>
          <w:color w:val="auto"/>
        </w:rPr>
        <w:t>Protecting our intellectual property rights and combating unlicensed copying and use of our software and other intellectual property on a global basis is difficult. While piracy adversely affects U.S. revenue, the impact on revenue from outside the U.S. is more significant, particularly countries in which the legal system provides less protection for intellectual property rights. Our revenue in these markets may grow more slowly than the underlying device market. Similarly, the absence of harmonized patent laws makes it more difficult to ensure consistent respect for patent rights. Throughout the world, we educate users about the benefits of licensing genuine products and obtaining indemnification benefits for intellectual property risks, and we educate lawmakers about the advantages of a business climate where intellectual property rights are protected. Reductions in the legal protection for software intellectual property rights could adversely affect revenue.</w:t>
      </w:r>
    </w:p>
    <w:p>
      <w:pPr>
        <w:spacing w:after="0" w:line="15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expend significant resources to patent the intellectual property we create with the expectation that we will generate revenues by incorporating that intellectual property in our products or services or, in some instances, by licensing or cross-licensing our patents to others in return for a royalty and/or increased freedom to operate. Changes in the law may continue to weaken our ability to prevent the use of patented technology or collect revenue for licensing our patents. These include legislative changes and regulatory actions that make it more difficult to obtain injunctions, and the increasing use of legal process to challenge issued patents. Similarly, licensees of our patents may fail to satisfy their obligations to pay us royalties or may contest the scope and extent of their obligations. The royalties we can obtain to monetize our intellectual property may decline because of the evolution of technology, price changes in products using licensed patents, greater value from cross-licensing, or the difficulty of discovering infringements. Finally, our increasing engagement with open source software will also cause us to license our intellectual property rights broadly in certain situations and may negatively impact revenue.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32" w:name="page33"/>
    <w:bookmarkEnd w:id="32"/>
    <w:p>
      <w:pPr>
        <w:ind w:left="5420"/>
        <w:spacing w:after="0"/>
        <w:rPr>
          <w:sz w:val="20"/>
          <w:szCs w:val="20"/>
          <w:color w:val="auto"/>
        </w:rPr>
      </w:pPr>
      <w:r>
        <w:rPr>
          <w:rFonts w:ascii="Arial" w:cs="Arial" w:eastAsia="Arial" w:hAnsi="Arial"/>
          <w:sz w:val="13"/>
          <w:szCs w:val="13"/>
          <w:u w:val="single" w:color="auto"/>
          <w:color w:val="auto"/>
        </w:rPr>
        <w:t>PART I</w:t>
      </w:r>
    </w:p>
    <w:p>
      <w:pPr>
        <w:ind w:left="5400"/>
        <w:spacing w:after="0"/>
        <w:rPr>
          <w:sz w:val="20"/>
          <w:szCs w:val="20"/>
          <w:color w:val="auto"/>
        </w:rPr>
      </w:pPr>
      <w:r>
        <w:rPr>
          <w:rFonts w:ascii="Arial" w:cs="Arial" w:eastAsia="Arial" w:hAnsi="Arial"/>
          <w:sz w:val="13"/>
          <w:szCs w:val="13"/>
          <w:color w:val="auto"/>
        </w:rPr>
        <w:t>Item 1A</w:t>
      </w:r>
    </w:p>
    <w:p>
      <w:pPr>
        <w:spacing w:after="0" w:line="34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Third parties may claim we infringe their intellectual property rights. </w:t>
      </w:r>
      <w:r>
        <w:rPr>
          <w:rFonts w:ascii="Arial" w:cs="Arial" w:eastAsia="Arial" w:hAnsi="Arial"/>
          <w:sz w:val="18"/>
          <w:szCs w:val="18"/>
          <w:color w:val="auto"/>
        </w:rPr>
        <w:t>From time to time, others claim we infringe their intellectual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rights. The number of these claims may grow because of constant technological change in the markets in which we compete, the extensive patent coverage of existing technologies, the rapid rate of issuance of new patents, and our offering of first-party devices, such as Surface. To resolve these claims, we may enter into royalty and licensing agreements on terms that are less favorable than currently available, stop selling or redesign affected products or services, or pay damages to satisfy indemnification commitments with our customers. These outcomes may cause operating margins to decline. Besides money damages, in some jurisdictions plaintiffs can seek injunctive relief that may limit or prevent importing, marketing, and selling our products or services that have infringing technologies. In some countries, such as Germany, an injunction can be issued before the parties have fully litigated the validity of the underlying patents. We have paid significant amounts to settle claims related to the use of technology and intellectual property rights and to procure intellectual property rights as part of our strategy to manage this risk, and may continue to do so.</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 RISKS</w:t>
      </w:r>
    </w:p>
    <w:p>
      <w:pPr>
        <w:spacing w:after="0" w:line="13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color w:val="auto"/>
        </w:rPr>
        <w:t>If our reputation or our brands are damaged, our business and operating results may be harmed</w:t>
      </w:r>
      <w:r>
        <w:rPr>
          <w:rFonts w:ascii="Arial" w:cs="Arial" w:eastAsia="Arial" w:hAnsi="Arial"/>
          <w:sz w:val="18"/>
          <w:szCs w:val="18"/>
          <w:color w:val="auto"/>
        </w:rPr>
        <w:t>. Our reputation and brands are</w:t>
      </w:r>
      <w:r>
        <w:rPr>
          <w:rFonts w:ascii="Arial" w:cs="Arial" w:eastAsia="Arial" w:hAnsi="Arial"/>
          <w:sz w:val="18"/>
          <w:szCs w:val="18"/>
          <w:b w:val="1"/>
          <w:bCs w:val="1"/>
          <w:color w:val="auto"/>
        </w:rPr>
        <w:t xml:space="preserve"> </w:t>
      </w:r>
      <w:r>
        <w:rPr>
          <w:rFonts w:ascii="Arial" w:cs="Arial" w:eastAsia="Arial" w:hAnsi="Arial"/>
          <w:sz w:val="18"/>
          <w:szCs w:val="18"/>
          <w:color w:val="auto"/>
        </w:rPr>
        <w:t>globally recognized and are important to our business. Our reputation and brands affect our ability to attract and retain consumer, business, and public-sector customers. There are numerous ways our reputation or brands could be damaged. These include product safety or quality issues, or our environmental impact and sustainability, supply chain practices, or human rights record. We may experience backlash from customers, government entities, advocacy groups, employees, and other stakeholders that disagree with our product offering decisions or public policy positions. Damage to our reputation or our brands may occur from, among other things:</w:t>
      </w:r>
    </w:p>
    <w:p>
      <w:pPr>
        <w:spacing w:after="0" w:line="66" w:lineRule="exact"/>
        <w:rPr>
          <w:sz w:val="20"/>
          <w:szCs w:val="20"/>
          <w:color w:val="auto"/>
        </w:rPr>
      </w:pPr>
    </w:p>
    <w:p>
      <w:pPr>
        <w:ind w:left="1060" w:hanging="393"/>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introduction of new features, products, services, or terms of service that customers, users, or partners do not like.</w:t>
      </w:r>
    </w:p>
    <w:p>
      <w:pPr>
        <w:spacing w:after="0" w:line="62" w:lineRule="exact"/>
        <w:rPr>
          <w:rFonts w:ascii="Arial" w:cs="Arial" w:eastAsia="Arial" w:hAnsi="Arial"/>
          <w:sz w:val="18"/>
          <w:szCs w:val="18"/>
          <w:color w:val="auto"/>
        </w:rPr>
      </w:pPr>
    </w:p>
    <w:p>
      <w:pPr>
        <w:ind w:left="1060" w:hanging="393"/>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Public scrutiny of our decisions regarding user privacy, data practices, or content.</w:t>
      </w:r>
    </w:p>
    <w:p>
      <w:pPr>
        <w:spacing w:after="0" w:line="62" w:lineRule="exact"/>
        <w:rPr>
          <w:rFonts w:ascii="Arial" w:cs="Arial" w:eastAsia="Arial" w:hAnsi="Arial"/>
          <w:sz w:val="18"/>
          <w:szCs w:val="18"/>
          <w:color w:val="auto"/>
        </w:rPr>
      </w:pPr>
    </w:p>
    <w:p>
      <w:pPr>
        <w:ind w:left="1060" w:hanging="393"/>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Data security breaches, compliance failures, or actions of partners or individual employees.</w:t>
      </w:r>
    </w:p>
    <w:p>
      <w:pPr>
        <w:spacing w:after="0" w:line="143"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The proliferation of social media may increase the likelihood, speed, and magnitude of negative brand events. If our brands or reputation are damaged, it could negatively impact our revenues or margins, or ability to attract the most highly qualified employees.</w:t>
      </w:r>
    </w:p>
    <w:p>
      <w:pPr>
        <w:spacing w:after="0" w:line="12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color w:val="auto"/>
        </w:rPr>
        <w:t xml:space="preserve">Adverse economic or market conditions may harm our business. </w:t>
      </w:r>
      <w:r>
        <w:rPr>
          <w:rFonts w:ascii="Arial" w:cs="Arial" w:eastAsia="Arial" w:hAnsi="Arial"/>
          <w:sz w:val="18"/>
          <w:szCs w:val="18"/>
          <w:color w:val="auto"/>
        </w:rPr>
        <w:t>Worsening economic conditions, including inflation, recession,</w:t>
      </w:r>
      <w:r>
        <w:rPr>
          <w:rFonts w:ascii="Arial" w:cs="Arial" w:eastAsia="Arial" w:hAnsi="Arial"/>
          <w:sz w:val="18"/>
          <w:szCs w:val="18"/>
          <w:b w:val="1"/>
          <w:bCs w:val="1"/>
          <w:color w:val="auto"/>
        </w:rPr>
        <w:t xml:space="preserve"> </w:t>
      </w:r>
      <w:r>
        <w:rPr>
          <w:rFonts w:ascii="Arial" w:cs="Arial" w:eastAsia="Arial" w:hAnsi="Arial"/>
          <w:sz w:val="18"/>
          <w:szCs w:val="18"/>
          <w:color w:val="auto"/>
        </w:rPr>
        <w:t>pandemic, or other changes in economic conditions, may cause lower IT spending and adversely affect our revenue. If demand for PCs, servers, and other computing devices declines, or consumer or business spending for those products declines, our revenue will be adversely affected.</w:t>
      </w:r>
    </w:p>
    <w:p>
      <w:pPr>
        <w:spacing w:after="0" w:line="14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product distribution system relies on an extensive partner and retail network. OEMs building devices that run our software have also been a significant means of distribution. The impact of economic conditions on our partners, such as the bankruptcy of a major distributor, OEM, or retailer, could cause sales channel disruption.</w:t>
      </w:r>
    </w:p>
    <w:p>
      <w:pPr>
        <w:spacing w:after="0" w:line="14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Challenging economic conditions also may impair the ability of our customers to pay for products and services they have purchased. As a result, allowances for doubtful accounts and write-offs of accounts receivable may increase.</w:t>
      </w:r>
    </w:p>
    <w:p>
      <w:pPr>
        <w:spacing w:after="0" w:line="14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maintain an investment portfolio of various holdings, types, and maturities. These investments are subject to general credit, liquidity, market, and interest rate risks, which may be exacerbated by market downturns or events that affect global financial markets. A significant part of our investment portfolio comprises U.S. government securities. If global financial markets decline for long periods, or if there is a downgrade of the U.S. government credit rating due to an actual or threatened default on government debt, our investment portfolio may be adversely affected and we could determine that more of our investments have experienced a decline in fair value, requiring impairment charges that could adversely affect our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33" w:name="page34"/>
    <w:bookmarkEnd w:id="33"/>
    <w:p>
      <w:pPr>
        <w:ind w:left="5420"/>
        <w:spacing w:after="0"/>
        <w:rPr>
          <w:sz w:val="20"/>
          <w:szCs w:val="20"/>
          <w:color w:val="auto"/>
        </w:rPr>
      </w:pPr>
      <w:r>
        <w:rPr>
          <w:rFonts w:ascii="Arial" w:cs="Arial" w:eastAsia="Arial" w:hAnsi="Arial"/>
          <w:sz w:val="13"/>
          <w:szCs w:val="13"/>
          <w:u w:val="single" w:color="auto"/>
          <w:color w:val="auto"/>
        </w:rPr>
        <w:t>PART I</w:t>
      </w:r>
    </w:p>
    <w:p>
      <w:pPr>
        <w:ind w:left="5400"/>
        <w:spacing w:after="0"/>
        <w:rPr>
          <w:sz w:val="20"/>
          <w:szCs w:val="20"/>
          <w:color w:val="auto"/>
        </w:rPr>
      </w:pPr>
      <w:r>
        <w:rPr>
          <w:rFonts w:ascii="Arial" w:cs="Arial" w:eastAsia="Arial" w:hAnsi="Arial"/>
          <w:sz w:val="13"/>
          <w:szCs w:val="13"/>
          <w:color w:val="auto"/>
        </w:rPr>
        <w:t>Item 1A</w:t>
      </w:r>
    </w:p>
    <w:p>
      <w:pPr>
        <w:spacing w:after="0" w:line="34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Catastrophic events or geopolitical conditions may disrupt our business. </w:t>
      </w:r>
      <w:r>
        <w:rPr>
          <w:rFonts w:ascii="Arial" w:cs="Arial" w:eastAsia="Arial" w:hAnsi="Arial"/>
          <w:sz w:val="18"/>
          <w:szCs w:val="18"/>
          <w:color w:val="auto"/>
        </w:rPr>
        <w:t>A disruption or failure of our systems or operations because of</w:t>
      </w:r>
      <w:r>
        <w:rPr>
          <w:rFonts w:ascii="Arial" w:cs="Arial" w:eastAsia="Arial" w:hAnsi="Arial"/>
          <w:sz w:val="18"/>
          <w:szCs w:val="18"/>
          <w:b w:val="1"/>
          <w:bCs w:val="1"/>
          <w:color w:val="auto"/>
        </w:rPr>
        <w:t xml:space="preserve"> </w:t>
      </w:r>
      <w:r>
        <w:rPr>
          <w:rFonts w:ascii="Arial" w:cs="Arial" w:eastAsia="Arial" w:hAnsi="Arial"/>
          <w:sz w:val="18"/>
          <w:szCs w:val="18"/>
          <w:color w:val="auto"/>
        </w:rPr>
        <w:t>a major earthquake, weather event, cyberattack, terrorist attack, pandemic, or other catastrophic event could cause delays in completing sales, providing services, or performing other critical functions. Our corporate headquarters, a significant portion of our research and development activities, and certain other essential business operations are in the Seattle, Washington area, and we have other business operations in the Silicon Valley area of California, both of which are seismically active regions. A catastrophic event that results in the destruction or disruption of any of our critical business or IT systems, or the infrastructure or systems they rely on, such as power grids, could harm our ability to conduct normal business operations. Providing our customers with more services and solutions in the cloud puts a premium on the resilience of our systems and strength of our business continuity management plans and magnifies the potential impact of prolonged service outages in our consolidated financial statements.</w:t>
      </w:r>
    </w:p>
    <w:p>
      <w:pPr>
        <w:spacing w:after="0" w:line="15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Abrupt political change, terrorist activity, and armed conflict pose a risk of general economic disruption in affected countries, which may increase our operating costs. These conditions also may add uncertainty to the timing and budget for technology investment decisions by our customers and may cause supply chain disruptions for hardware manufacturers. Geopolitical change may result in changing regulatory systems and requirements and market interventions that could impact our operating strategies, access to national, regional, and global markets, hiring, and profitability. Geopolitical instability may lead to sanctions and impact our ability to do business in some markets or with some public-sector customers. Any of these changes may negatively impact our revenues.</w:t>
      </w:r>
    </w:p>
    <w:p>
      <w:pPr>
        <w:spacing w:after="0" w:line="15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occurrence of regional epidemics or a global pandemic may adversely affect our operations, financial condition, and results of operations. The COVID-19 pandemic continues to have widespread, rapidly evolving, and unpredictable impacts on global society, economies, financial markets, and business practices. Federal and state governments have implemented measures to contain the virus, including social distancing, travel restrictions, and vaccination programs. Even as efforts to contain the pandemic have made progress and some restrictions have relaxed, new variants of the virus are causing additional outbreaks. The COVID-19 pandemic has impacted and may continue to impact our business operations, including our employees, customers, partners, and communities, and there is substantial uncertainty in the nature and degree of its continued effects over time.</w:t>
      </w:r>
    </w:p>
    <w:p>
      <w:pPr>
        <w:spacing w:after="0" w:line="14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extent to which the COVID-19 pandemic impacts our business going forward will depend on numerous evolving factors we cannot reliably predict, including the duration and scope of the pandemic; governmental, business, and individuals' actions in response to the pandemic; and the impact on economic activity including the possibility of recession or financial market instability. These factors may adversely impact consumer, business, and government spending on technology as well as customers' ability to pay for our products and services on an ongoing basis. This uncertainty also affects management’s accounting estimates and assumptions, which could result in greater variability in a variety of areas that depend on these estimates and assumptions, including investments, receivables, and forward-looking guidance.</w:t>
      </w:r>
    </w:p>
    <w:p>
      <w:pPr>
        <w:spacing w:after="0" w:line="149"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Measures to contain the virus that impact us, our partners, distributors, and suppliers may further intensify these impacts and other risks described in these Risk Factors. Any of these may adversely impact our ability to:</w:t>
      </w:r>
    </w:p>
    <w:p>
      <w:pPr>
        <w:spacing w:after="0" w:line="50" w:lineRule="exact"/>
        <w:rPr>
          <w:sz w:val="20"/>
          <w:szCs w:val="20"/>
          <w:color w:val="auto"/>
        </w:rPr>
      </w:pPr>
    </w:p>
    <w:p>
      <w:pPr>
        <w:ind w:left="1060" w:hanging="393"/>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 our operations infrastructure, including the reliability and adequate capacity of cloud services.</w:t>
      </w:r>
    </w:p>
    <w:p>
      <w:pPr>
        <w:spacing w:after="0" w:line="62" w:lineRule="exact"/>
        <w:rPr>
          <w:rFonts w:ascii="Arial" w:cs="Arial" w:eastAsia="Arial" w:hAnsi="Arial"/>
          <w:sz w:val="18"/>
          <w:szCs w:val="18"/>
          <w:color w:val="auto"/>
        </w:rPr>
      </w:pPr>
    </w:p>
    <w:p>
      <w:pPr>
        <w:ind w:left="1060" w:hanging="393"/>
        <w:spacing w:after="0" w:line="244"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Satisfy our contractual and regulatory compliance obligations as we adapt to changing usage patterns, such as through datacenter load balancing.</w:t>
      </w:r>
    </w:p>
    <w:p>
      <w:pPr>
        <w:spacing w:after="0" w:line="49" w:lineRule="exact"/>
        <w:rPr>
          <w:rFonts w:ascii="Arial" w:cs="Arial" w:eastAsia="Arial" w:hAnsi="Arial"/>
          <w:sz w:val="18"/>
          <w:szCs w:val="18"/>
          <w:color w:val="auto"/>
        </w:rPr>
      </w:pPr>
    </w:p>
    <w:p>
      <w:pPr>
        <w:ind w:left="1060" w:hanging="393"/>
        <w:spacing w:after="0" w:line="244"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Ensure a high-quality and consistent supply chain and manufacturing operations for our hardware devices and datacenter operations.</w:t>
      </w:r>
    </w:p>
    <w:p>
      <w:pPr>
        <w:spacing w:after="0" w:line="49" w:lineRule="exact"/>
        <w:rPr>
          <w:rFonts w:ascii="Arial" w:cs="Arial" w:eastAsia="Arial" w:hAnsi="Arial"/>
          <w:sz w:val="18"/>
          <w:szCs w:val="18"/>
          <w:color w:val="auto"/>
        </w:rPr>
      </w:pPr>
    </w:p>
    <w:p>
      <w:pPr>
        <w:ind w:left="1060" w:hanging="393"/>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Effectively manage our international operations through changes in trade practices and policies.</w:t>
      </w:r>
    </w:p>
    <w:p>
      <w:pPr>
        <w:spacing w:after="0" w:line="62" w:lineRule="exact"/>
        <w:rPr>
          <w:rFonts w:ascii="Arial" w:cs="Arial" w:eastAsia="Arial" w:hAnsi="Arial"/>
          <w:sz w:val="18"/>
          <w:szCs w:val="18"/>
          <w:color w:val="auto"/>
        </w:rPr>
      </w:pPr>
    </w:p>
    <w:p>
      <w:pPr>
        <w:ind w:left="1060" w:hanging="393"/>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Hire and deploy people where we most need them.</w:t>
      </w:r>
    </w:p>
    <w:p>
      <w:pPr>
        <w:spacing w:after="0" w:line="62" w:lineRule="exact"/>
        <w:rPr>
          <w:rFonts w:ascii="Arial" w:cs="Arial" w:eastAsia="Arial" w:hAnsi="Arial"/>
          <w:sz w:val="18"/>
          <w:szCs w:val="18"/>
          <w:color w:val="auto"/>
        </w:rPr>
      </w:pPr>
    </w:p>
    <w:p>
      <w:pPr>
        <w:ind w:left="1060" w:hanging="393"/>
        <w:spacing w:after="0" w:line="244"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Sustain the effectiveness and productivity of our operations including our sales, marketing, engineering, and distribution functions.</w:t>
      </w:r>
    </w:p>
    <w:p>
      <w:pPr>
        <w:spacing w:after="0" w:line="144"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We may incur increased costs to effectively manage these aspects of our business. If we are unsuccessful it may adversely impact our revenues, cash flows, market share growth, and reputation.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34" w:name="page35"/>
    <w:bookmarkEnd w:id="34"/>
    <w:p>
      <w:pPr>
        <w:ind w:left="5420"/>
        <w:spacing w:after="0"/>
        <w:rPr>
          <w:sz w:val="20"/>
          <w:szCs w:val="20"/>
          <w:color w:val="auto"/>
        </w:rPr>
      </w:pPr>
      <w:r>
        <w:rPr>
          <w:rFonts w:ascii="Arial" w:cs="Arial" w:eastAsia="Arial" w:hAnsi="Arial"/>
          <w:sz w:val="13"/>
          <w:szCs w:val="13"/>
          <w:u w:val="single" w:color="auto"/>
          <w:color w:val="auto"/>
        </w:rPr>
        <w:t>PART I</w:t>
      </w:r>
    </w:p>
    <w:p>
      <w:pPr>
        <w:ind w:left="5400"/>
        <w:spacing w:after="0"/>
        <w:rPr>
          <w:sz w:val="20"/>
          <w:szCs w:val="20"/>
          <w:color w:val="auto"/>
        </w:rPr>
      </w:pPr>
      <w:r>
        <w:rPr>
          <w:rFonts w:ascii="Arial" w:cs="Arial" w:eastAsia="Arial" w:hAnsi="Arial"/>
          <w:sz w:val="13"/>
          <w:szCs w:val="13"/>
          <w:color w:val="auto"/>
        </w:rPr>
        <w:t>Item 1A</w:t>
      </w:r>
    </w:p>
    <w:p>
      <w:pPr>
        <w:spacing w:after="0" w:line="3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long-term effects of climate change on the global economy and the IT industry in particular are unclear. Environmental regulations or changes in the supply, demand or available sources of energy or other resources may affect the availability or cost of goods and services, including natural resources, necessary to run our business. Changes in climate where we operate may increase the costs of powering and cooling computer hardware we use to develop software and provide cloud-based services.</w:t>
      </w:r>
    </w:p>
    <w:p>
      <w:pPr>
        <w:spacing w:after="0" w:line="1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Our global business exposes us to operational and economic risks. </w:t>
      </w:r>
      <w:r>
        <w:rPr>
          <w:rFonts w:ascii="Arial" w:cs="Arial" w:eastAsia="Arial" w:hAnsi="Arial"/>
          <w:sz w:val="18"/>
          <w:szCs w:val="18"/>
          <w:color w:val="auto"/>
        </w:rPr>
        <w:t>Our customers are located throughout the world and a significant part</w:t>
      </w:r>
      <w:r>
        <w:rPr>
          <w:rFonts w:ascii="Arial" w:cs="Arial" w:eastAsia="Arial" w:hAnsi="Arial"/>
          <w:sz w:val="18"/>
          <w:szCs w:val="18"/>
          <w:b w:val="1"/>
          <w:bCs w:val="1"/>
          <w:color w:val="auto"/>
        </w:rPr>
        <w:t xml:space="preserve"> </w:t>
      </w:r>
      <w:r>
        <w:rPr>
          <w:rFonts w:ascii="Arial" w:cs="Arial" w:eastAsia="Arial" w:hAnsi="Arial"/>
          <w:sz w:val="18"/>
          <w:szCs w:val="18"/>
          <w:color w:val="auto"/>
        </w:rPr>
        <w:t>of our revenue comes from international sales. The global nature of our business creates operational, economic, and geopolitical risks. Our results of operations may be affected by global, regional, and local economic developments, monetary policy, inflation, and recession, as well as political and military disputes. In addition, our international growth strategy includes certain markets, the developing nature of which presents several risks, including deterioration of social, political, labor, or economic conditions in a country or region, and difficulties in staffing and managing foreign operations. Emerging nationalist and protectionist trends and concerns about human rights and political expression in specific countries may significantly alter the trade and commercial environments. Changes to trade policy or agreements as a result of populism, protectionism, or economic nationalism may result in higher tariffs, local sourcing initiatives, and non-local sourcing restrictions, export controls, investment restrictions, or other developments that make it more difficult to sell our products in foreign countries. Disruptions of these kinds in developed or emerging markets could negatively impact demand for our products and services or increase operating costs. Although we hedge a portion of our international currency exposure, significant fluctuations in foreign exchange rates between the U.S. dollar and foreign currencies may adversely affect our results of operations.</w:t>
      </w:r>
    </w:p>
    <w:p>
      <w:pPr>
        <w:spacing w:after="0" w:line="13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Our business depends on our ability to attract and retain talented employees. </w:t>
      </w:r>
      <w:r>
        <w:rPr>
          <w:rFonts w:ascii="Arial" w:cs="Arial" w:eastAsia="Arial" w:hAnsi="Arial"/>
          <w:sz w:val="18"/>
          <w:szCs w:val="18"/>
          <w:color w:val="auto"/>
        </w:rPr>
        <w:t>Our business is based on successfully attracting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retaining talented employees representing diverse backgrounds, experiences, and skill sets. The market for highly skilled workers and leaders in our industry is extremely competitive. Maintaining our brand and reputation, as well as a diverse and inclusive work environment that enables all our employees to thrive, are important to our ability to recruit and retain employees. We are also limited in our ability to recruit internationally by restrictive domestic immigration laws. Changes to U.S. immigration policies that restrain the flow of technical and professional talent may inhibit our ability to adequately staff our research and development efforts. If we are less successful in our recruiting efforts, or if we cannot retain highly skilled workers and key leaders, our ability to develop and deliver successful products and services may be adversely affected. Effective succession planning is also important to our long-term success. Failure to ensure effective transfer of knowledge and smooth transitions involving key employees could hinder our strategic planning and execution. How employment-related laws are interpreted and applied to our workforce practices may result in increased operating costs and less flexibility in how we meet our workforce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3"/>
          <w:szCs w:val="13"/>
          <w:u w:val="single" w:color="auto"/>
          <w:color w:val="auto"/>
        </w:rPr>
        <w:t>PART I</w:t>
      </w:r>
    </w:p>
    <w:p>
      <w:pPr>
        <w:jc w:val="center"/>
        <w:spacing w:after="0"/>
        <w:rPr>
          <w:sz w:val="20"/>
          <w:szCs w:val="20"/>
          <w:color w:val="auto"/>
        </w:rPr>
      </w:pPr>
      <w:r>
        <w:rPr>
          <w:rFonts w:ascii="Arial" w:cs="Arial" w:eastAsia="Arial" w:hAnsi="Arial"/>
          <w:sz w:val="13"/>
          <w:szCs w:val="13"/>
          <w:color w:val="auto"/>
        </w:rPr>
        <w:t>Item 1B, 2, 3, 4</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1B. UNRESOLVED STAFF COMMENTS</w:t>
      </w:r>
    </w:p>
    <w:p>
      <w:pPr>
        <w:spacing w:after="0" w:line="18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have received no written comments regarding our periodic or current reports from the staff of the Securities and Exchange Commission that were issued 180 days or more preceding the end of our fiscal year 2021 that remain unresolved.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2. PROPERTIES</w:t>
      </w:r>
    </w:p>
    <w:p>
      <w:pPr>
        <w:spacing w:after="0" w:line="18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corporate headquarters are located in Redmond, Washington. We have approximately 15 million square feet of space located in King County, Washington that is used for engineering, sales, marketing, and operations, among other general and administrative purposes. These facilities include approximately 10 million square feet of owned space situated on approximately 520 acres of land we own at our corporate headquarters, and approximately 5 million square feet of space we lease. In addition, we own and lease space domestically that includes office and datacenter space.</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also own and lease facilities internationally for datacenters, research and development, and other operations. The largest owned properties include space in the following locations: China, India, Ireland, the Netherlands, Singapore, and South Korea. The largest leased properties include space in the following locations: Australia, Canada, China, France, Germany, India, Israel, Japan, Netherlands, and the United Kingdom.</w:t>
      </w:r>
    </w:p>
    <w:p>
      <w:pPr>
        <w:spacing w:after="0" w:line="14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addition to the above locations, we have various product development facilities, both domestically and internationally, as described under Research and Development (Part I, Item 1 of this Form 10-K).</w:t>
      </w:r>
    </w:p>
    <w:p>
      <w:pPr>
        <w:spacing w:after="0" w:line="14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table below shows a summary of the square footage of our office, datacenter, and other facilities owned and leased domestically and internationally as of June 30, 2021:</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(Square feet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0643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980" w:type="dxa"/>
            <w:vAlign w:val="bottom"/>
            <w:gridSpan w:val="2"/>
          </w:tcPr>
          <w:p>
            <w:pPr>
              <w:spacing w:after="0"/>
              <w:rPr>
                <w:sz w:val="20"/>
                <w:szCs w:val="20"/>
                <w:color w:val="auto"/>
              </w:rPr>
            </w:pPr>
            <w:r>
              <w:rPr>
                <w:rFonts w:ascii="Arial" w:cs="Arial" w:eastAsia="Arial" w:hAnsi="Arial"/>
                <w:sz w:val="13"/>
                <w:szCs w:val="13"/>
                <w:b w:val="1"/>
                <w:bCs w:val="1"/>
                <w:color w:val="auto"/>
              </w:rPr>
              <w:t>Location</w:t>
            </w:r>
          </w:p>
        </w:tc>
        <w:tc>
          <w:tcPr>
            <w:tcW w:w="14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Owned</w:t>
            </w:r>
          </w:p>
        </w:tc>
        <w:tc>
          <w:tcPr>
            <w:tcW w:w="1440" w:type="dxa"/>
            <w:vAlign w:val="bottom"/>
            <w:gridSpan w:val="2"/>
          </w:tcPr>
          <w:p>
            <w:pPr>
              <w:ind w:left="760"/>
              <w:spacing w:after="0"/>
              <w:rPr>
                <w:sz w:val="20"/>
                <w:szCs w:val="20"/>
                <w:color w:val="auto"/>
              </w:rPr>
            </w:pPr>
            <w:r>
              <w:rPr>
                <w:rFonts w:ascii="Arial" w:cs="Arial" w:eastAsia="Arial" w:hAnsi="Arial"/>
                <w:sz w:val="13"/>
                <w:szCs w:val="13"/>
                <w:b w:val="1"/>
                <w:bCs w:val="1"/>
                <w:color w:val="auto"/>
              </w:rPr>
              <w:t>Leased</w:t>
            </w:r>
          </w:p>
        </w:tc>
        <w:tc>
          <w:tcPr>
            <w:tcW w:w="1340" w:type="dxa"/>
            <w:vAlign w:val="bottom"/>
            <w:gridSpan w:val="2"/>
          </w:tcPr>
          <w:p>
            <w:pPr>
              <w:ind w:left="9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69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9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U.S.</w:t>
            </w:r>
          </w:p>
        </w:tc>
        <w:tc>
          <w:tcPr>
            <w:tcW w:w="14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22</w:t>
            </w:r>
          </w:p>
        </w:tc>
        <w:tc>
          <w:tcPr>
            <w:tcW w:w="14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17</w:t>
            </w:r>
          </w:p>
        </w:tc>
        <w:tc>
          <w:tcPr>
            <w:tcW w:w="13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39</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International</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19</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28</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960" w:type="dxa"/>
            <w:vAlign w:val="bottom"/>
            <w:tcBorders>
              <w:top w:val="single" w:sz="8" w:color="auto"/>
            </w:tcBorders>
          </w:tcPr>
          <w:p>
            <w:pPr>
              <w:spacing w:after="0"/>
              <w:rPr>
                <w:sz w:val="5"/>
                <w:szCs w:val="5"/>
                <w:color w:val="auto"/>
              </w:rPr>
            </w:pPr>
          </w:p>
        </w:tc>
        <w:tc>
          <w:tcPr>
            <w:tcW w:w="12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24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9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14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31</w:t>
            </w:r>
          </w:p>
        </w:tc>
        <w:tc>
          <w:tcPr>
            <w:tcW w:w="14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36</w:t>
            </w:r>
          </w:p>
        </w:tc>
        <w:tc>
          <w:tcPr>
            <w:tcW w:w="13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67</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960" w:type="dxa"/>
            <w:vAlign w:val="bottom"/>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3. LEGAL PROCEEDINGS</w:t>
      </w:r>
    </w:p>
    <w:p>
      <w:pPr>
        <w:spacing w:after="0" w:line="18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 xml:space="preserve">While not material to the Company, the Company was required to make annual reports of the general activities of the Company’s Antitrust Compliance Office as required by the Final Order and Judgment in </w:t>
      </w:r>
      <w:r>
        <w:rPr>
          <w:rFonts w:ascii="Arial" w:cs="Arial" w:eastAsia="Arial" w:hAnsi="Arial"/>
          <w:sz w:val="18"/>
          <w:szCs w:val="18"/>
          <w:i w:val="1"/>
          <w:iCs w:val="1"/>
          <w:color w:val="auto"/>
        </w:rPr>
        <w:t>Barovic v. Ballmer et al,</w:t>
      </w:r>
      <w:r>
        <w:rPr>
          <w:rFonts w:ascii="Arial" w:cs="Arial" w:eastAsia="Arial" w:hAnsi="Arial"/>
          <w:sz w:val="18"/>
          <w:szCs w:val="18"/>
          <w:color w:val="auto"/>
        </w:rPr>
        <w:t xml:space="preserve"> United States District Court for the Western District of Washington (“Final Order”). For more information see http://aka.ms/MSLegalNotice2015. The Final Order expired in April of 2021. During fiscal year 2021, the Antitrust Compliance Office (a) monitored the Company’s compliance with the European Commission Decision of March 24, 2004, (“2004 Decision”) and with the Company’s Public Undertaking to the European Commission dated December 16, 2009 (“2009 Undertaking”); (b) monitored, in the manner required by the Final Order, employee, customer, competitor, regulator, or other third-party complaints regarding compliance with the 2004 Decision, the 2009 Undertaking, or other EU or U.S. laws or regulations governing tying, bundling, and exclusive dealing contracts; and, (c) monitored, in the manner required by the Final Order, the training of the Company’s employees regarding the Company’s antitrust compliance polices. In addition, prior to expiration of the Final Order, the Antitrust Compliance Officer reported to the Regulatory and Public Policy Committee of the Board at each of its regularly scheduled meetings.</w:t>
      </w:r>
    </w:p>
    <w:p>
      <w:pPr>
        <w:spacing w:after="0" w:line="15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Refer to Note 15 – Contingencies of the Notes to Financial Statements (Part II, Item 8 of this Form 10-K) for information regarding legal proceedings in which we are involved.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4. MINE SAFETY DISCLOSURES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36" w:name="page37"/>
    <w:bookmarkEnd w:id="36"/>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5</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47" w:lineRule="exact"/>
        <w:rPr>
          <w:sz w:val="20"/>
          <w:szCs w:val="20"/>
          <w:color w:val="auto"/>
        </w:rPr>
      </w:pPr>
    </w:p>
    <w:p>
      <w:pPr>
        <w:jc w:val="center"/>
        <w:ind w:left="340" w:right="20"/>
        <w:spacing w:after="0" w:line="259" w:lineRule="auto"/>
        <w:rPr>
          <w:sz w:val="20"/>
          <w:szCs w:val="20"/>
          <w:color w:val="auto"/>
        </w:rPr>
      </w:pPr>
      <w:r>
        <w:rPr>
          <w:rFonts w:ascii="Arial" w:cs="Arial" w:eastAsia="Arial" w:hAnsi="Arial"/>
          <w:sz w:val="22"/>
          <w:szCs w:val="22"/>
          <w:b w:val="1"/>
          <w:bCs w:val="1"/>
          <w:color w:val="auto"/>
        </w:rPr>
        <w:t>ITEM 5. MARKET FOR REGISTRANT’S COMMON EQUITY, RELATED STOCKHOLDER MATTERS, AND ISSUER PURCHASES OF EQUITY SECURITIES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MARKET AND STOCKHOLDERS</w:t>
      </w:r>
    </w:p>
    <w:p>
      <w:pPr>
        <w:spacing w:after="0" w:line="15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common stock is traded on the NASDAQ Stock Market under the symbol MSFT. On July 26, 2021, there were 89,291 registered holders of record of our common stock.</w:t>
      </w:r>
    </w:p>
    <w:p>
      <w:pPr>
        <w:spacing w:after="0" w:line="144" w:lineRule="exact"/>
        <w:rPr>
          <w:sz w:val="20"/>
          <w:szCs w:val="20"/>
          <w:color w:val="auto"/>
        </w:rPr>
      </w:pPr>
    </w:p>
    <w:p>
      <w:pPr>
        <w:ind w:left="3880"/>
        <w:spacing w:after="0"/>
        <w:rPr>
          <w:sz w:val="20"/>
          <w:szCs w:val="20"/>
          <w:color w:val="auto"/>
        </w:rPr>
      </w:pPr>
      <w:r>
        <w:rPr>
          <w:rFonts w:ascii="Arial" w:cs="Arial" w:eastAsia="Arial" w:hAnsi="Arial"/>
          <w:sz w:val="18"/>
          <w:szCs w:val="18"/>
          <w:u w:val="single" w:color="auto"/>
          <w:color w:val="auto"/>
        </w:rPr>
        <w:t>SHARE REPURCHASES AND DIVIDENDS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Following are our monthly share repurchases for the fourth quarter of fiscal year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Total Number of</w:t>
            </w:r>
          </w:p>
        </w:tc>
        <w:tc>
          <w:tcPr>
            <w:tcW w:w="2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2"/>
          </w:tcPr>
          <w:p>
            <w:pPr>
              <w:jc w:val="right"/>
              <w:ind w:right="120"/>
              <w:spacing w:after="0" w:line="148" w:lineRule="exact"/>
              <w:rPr>
                <w:sz w:val="20"/>
                <w:szCs w:val="20"/>
                <w:color w:val="auto"/>
              </w:rPr>
            </w:pPr>
            <w:r>
              <w:rPr>
                <w:rFonts w:ascii="Arial" w:cs="Arial" w:eastAsia="Arial" w:hAnsi="Arial"/>
                <w:sz w:val="13"/>
                <w:szCs w:val="13"/>
                <w:b w:val="1"/>
                <w:bCs w:val="1"/>
                <w:color w:val="auto"/>
              </w:rPr>
              <w:t>Shares Purchased as</w:t>
            </w:r>
          </w:p>
        </w:tc>
        <w:tc>
          <w:tcPr>
            <w:tcW w:w="260" w:type="dxa"/>
            <w:vAlign w:val="bottom"/>
          </w:tcPr>
          <w:p>
            <w:pPr>
              <w:spacing w:after="0"/>
              <w:rPr>
                <w:sz w:val="12"/>
                <w:szCs w:val="12"/>
                <w:color w:val="auto"/>
              </w:rPr>
            </w:pPr>
          </w:p>
        </w:tc>
        <w:tc>
          <w:tcPr>
            <w:tcW w:w="2020" w:type="dxa"/>
            <w:vAlign w:val="bottom"/>
            <w:gridSpan w:val="2"/>
          </w:tcPr>
          <w:p>
            <w:pPr>
              <w:jc w:val="right"/>
              <w:ind w:right="60"/>
              <w:spacing w:after="0" w:line="148" w:lineRule="exact"/>
              <w:rPr>
                <w:sz w:val="20"/>
                <w:szCs w:val="20"/>
                <w:color w:val="auto"/>
              </w:rPr>
            </w:pPr>
            <w:r>
              <w:rPr>
                <w:rFonts w:ascii="Arial" w:cs="Arial" w:eastAsia="Arial" w:hAnsi="Arial"/>
                <w:sz w:val="13"/>
                <w:szCs w:val="13"/>
                <w:b w:val="1"/>
                <w:bCs w:val="1"/>
                <w:color w:val="auto"/>
              </w:rPr>
              <w:t>Approximate Dollar Value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580" w:type="dxa"/>
            <w:vAlign w:val="bottom"/>
            <w:gridSpan w:val="2"/>
          </w:tcPr>
          <w:p>
            <w:pPr>
              <w:jc w:val="right"/>
              <w:ind w:right="140"/>
              <w:spacing w:after="0" w:line="148" w:lineRule="exact"/>
              <w:rPr>
                <w:sz w:val="20"/>
                <w:szCs w:val="20"/>
                <w:color w:val="auto"/>
              </w:rPr>
            </w:pPr>
            <w:r>
              <w:rPr>
                <w:rFonts w:ascii="Arial" w:cs="Arial" w:eastAsia="Arial" w:hAnsi="Arial"/>
                <w:sz w:val="13"/>
                <w:szCs w:val="13"/>
                <w:b w:val="1"/>
                <w:bCs w:val="1"/>
                <w:color w:val="auto"/>
              </w:rPr>
              <w:t>Total Number</w:t>
            </w:r>
          </w:p>
        </w:tc>
        <w:tc>
          <w:tcPr>
            <w:tcW w:w="320" w:type="dxa"/>
            <w:vAlign w:val="bottom"/>
          </w:tcPr>
          <w:p>
            <w:pPr>
              <w:spacing w:after="0"/>
              <w:rPr>
                <w:sz w:val="12"/>
                <w:szCs w:val="12"/>
                <w:color w:val="auto"/>
              </w:rPr>
            </w:pPr>
          </w:p>
        </w:tc>
        <w:tc>
          <w:tcPr>
            <w:tcW w:w="1020" w:type="dxa"/>
            <w:vAlign w:val="bottom"/>
            <w:gridSpan w:val="2"/>
          </w:tcPr>
          <w:p>
            <w:pPr>
              <w:jc w:val="right"/>
              <w:ind w:right="120"/>
              <w:spacing w:after="0" w:line="148" w:lineRule="exact"/>
              <w:rPr>
                <w:sz w:val="20"/>
                <w:szCs w:val="20"/>
                <w:color w:val="auto"/>
              </w:rPr>
            </w:pPr>
            <w:r>
              <w:rPr>
                <w:rFonts w:ascii="Arial" w:cs="Arial" w:eastAsia="Arial" w:hAnsi="Arial"/>
                <w:sz w:val="13"/>
                <w:szCs w:val="13"/>
                <w:b w:val="1"/>
                <w:bCs w:val="1"/>
                <w:color w:val="auto"/>
              </w:rPr>
              <w:t>Average</w:t>
            </w:r>
          </w:p>
        </w:tc>
        <w:tc>
          <w:tcPr>
            <w:tcW w:w="1780" w:type="dxa"/>
            <w:vAlign w:val="bottom"/>
            <w:gridSpan w:val="2"/>
          </w:tcPr>
          <w:p>
            <w:pPr>
              <w:jc w:val="right"/>
              <w:ind w:right="120"/>
              <w:spacing w:after="0" w:line="148" w:lineRule="exact"/>
              <w:rPr>
                <w:sz w:val="20"/>
                <w:szCs w:val="20"/>
                <w:color w:val="auto"/>
              </w:rPr>
            </w:pPr>
            <w:r>
              <w:rPr>
                <w:rFonts w:ascii="Arial" w:cs="Arial" w:eastAsia="Arial" w:hAnsi="Arial"/>
                <w:sz w:val="13"/>
                <w:szCs w:val="13"/>
                <w:b w:val="1"/>
                <w:bCs w:val="1"/>
                <w:color w:val="auto"/>
              </w:rPr>
              <w:t>Part of Publicly</w:t>
            </w:r>
          </w:p>
        </w:tc>
        <w:tc>
          <w:tcPr>
            <w:tcW w:w="260" w:type="dxa"/>
            <w:vAlign w:val="bottom"/>
          </w:tcPr>
          <w:p>
            <w:pPr>
              <w:spacing w:after="0"/>
              <w:rPr>
                <w:sz w:val="12"/>
                <w:szCs w:val="12"/>
                <w:color w:val="auto"/>
              </w:rPr>
            </w:pPr>
          </w:p>
        </w:tc>
        <w:tc>
          <w:tcPr>
            <w:tcW w:w="2020" w:type="dxa"/>
            <w:vAlign w:val="bottom"/>
            <w:gridSpan w:val="2"/>
          </w:tcPr>
          <w:p>
            <w:pPr>
              <w:jc w:val="right"/>
              <w:ind w:right="60"/>
              <w:spacing w:after="0" w:line="148" w:lineRule="exact"/>
              <w:rPr>
                <w:sz w:val="20"/>
                <w:szCs w:val="20"/>
                <w:color w:val="auto"/>
              </w:rPr>
            </w:pPr>
            <w:r>
              <w:rPr>
                <w:rFonts w:ascii="Arial" w:cs="Arial" w:eastAsia="Arial" w:hAnsi="Arial"/>
                <w:sz w:val="13"/>
                <w:szCs w:val="13"/>
                <w:b w:val="1"/>
                <w:bCs w:val="1"/>
                <w:color w:val="auto"/>
              </w:rPr>
              <w:t>Shares That May Yet be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580" w:type="dxa"/>
            <w:vAlign w:val="bottom"/>
            <w:gridSpan w:val="2"/>
          </w:tcPr>
          <w:p>
            <w:pPr>
              <w:jc w:val="right"/>
              <w:ind w:right="140"/>
              <w:spacing w:after="0" w:line="148" w:lineRule="exact"/>
              <w:rPr>
                <w:sz w:val="20"/>
                <w:szCs w:val="20"/>
                <w:color w:val="auto"/>
              </w:rPr>
            </w:pPr>
            <w:r>
              <w:rPr>
                <w:rFonts w:ascii="Arial" w:cs="Arial" w:eastAsia="Arial" w:hAnsi="Arial"/>
                <w:sz w:val="13"/>
                <w:szCs w:val="13"/>
                <w:b w:val="1"/>
                <w:bCs w:val="1"/>
                <w:color w:val="auto"/>
              </w:rPr>
              <w:t>of Shares</w:t>
            </w:r>
          </w:p>
        </w:tc>
        <w:tc>
          <w:tcPr>
            <w:tcW w:w="320" w:type="dxa"/>
            <w:vAlign w:val="bottom"/>
          </w:tcPr>
          <w:p>
            <w:pPr>
              <w:spacing w:after="0"/>
              <w:rPr>
                <w:sz w:val="12"/>
                <w:szCs w:val="12"/>
                <w:color w:val="auto"/>
              </w:rPr>
            </w:pPr>
          </w:p>
        </w:tc>
        <w:tc>
          <w:tcPr>
            <w:tcW w:w="1020" w:type="dxa"/>
            <w:vAlign w:val="bottom"/>
            <w:gridSpan w:val="2"/>
          </w:tcPr>
          <w:p>
            <w:pPr>
              <w:jc w:val="right"/>
              <w:ind w:right="120"/>
              <w:spacing w:after="0" w:line="148" w:lineRule="exact"/>
              <w:rPr>
                <w:sz w:val="20"/>
                <w:szCs w:val="20"/>
                <w:color w:val="auto"/>
              </w:rPr>
            </w:pPr>
            <w:r>
              <w:rPr>
                <w:rFonts w:ascii="Arial" w:cs="Arial" w:eastAsia="Arial" w:hAnsi="Arial"/>
                <w:sz w:val="13"/>
                <w:szCs w:val="13"/>
                <w:b w:val="1"/>
                <w:bCs w:val="1"/>
                <w:color w:val="auto"/>
              </w:rPr>
              <w:t>Price Paid</w:t>
            </w:r>
          </w:p>
        </w:tc>
        <w:tc>
          <w:tcPr>
            <w:tcW w:w="1780" w:type="dxa"/>
            <w:vAlign w:val="bottom"/>
            <w:gridSpan w:val="2"/>
          </w:tcPr>
          <w:p>
            <w:pPr>
              <w:jc w:val="right"/>
              <w:ind w:right="120"/>
              <w:spacing w:after="0" w:line="148" w:lineRule="exact"/>
              <w:rPr>
                <w:sz w:val="20"/>
                <w:szCs w:val="20"/>
                <w:color w:val="auto"/>
              </w:rPr>
            </w:pPr>
            <w:r>
              <w:rPr>
                <w:rFonts w:ascii="Arial" w:cs="Arial" w:eastAsia="Arial" w:hAnsi="Arial"/>
                <w:sz w:val="13"/>
                <w:szCs w:val="13"/>
                <w:b w:val="1"/>
                <w:bCs w:val="1"/>
                <w:color w:val="auto"/>
              </w:rPr>
              <w:t>Announced Plans</w:t>
            </w:r>
          </w:p>
        </w:tc>
        <w:tc>
          <w:tcPr>
            <w:tcW w:w="260" w:type="dxa"/>
            <w:vAlign w:val="bottom"/>
          </w:tcPr>
          <w:p>
            <w:pPr>
              <w:spacing w:after="0"/>
              <w:rPr>
                <w:sz w:val="12"/>
                <w:szCs w:val="12"/>
                <w:color w:val="auto"/>
              </w:rPr>
            </w:pPr>
          </w:p>
        </w:tc>
        <w:tc>
          <w:tcPr>
            <w:tcW w:w="2020" w:type="dxa"/>
            <w:vAlign w:val="bottom"/>
            <w:gridSpan w:val="2"/>
          </w:tcPr>
          <w:p>
            <w:pPr>
              <w:jc w:val="right"/>
              <w:ind w:right="60"/>
              <w:spacing w:after="0" w:line="148" w:lineRule="exact"/>
              <w:rPr>
                <w:sz w:val="20"/>
                <w:szCs w:val="20"/>
                <w:color w:val="auto"/>
              </w:rPr>
            </w:pPr>
            <w:r>
              <w:rPr>
                <w:rFonts w:ascii="Arial" w:cs="Arial" w:eastAsia="Arial" w:hAnsi="Arial"/>
                <w:sz w:val="13"/>
                <w:szCs w:val="13"/>
                <w:b w:val="1"/>
                <w:bCs w:val="1"/>
                <w:color w:val="auto"/>
              </w:rPr>
              <w:t>Purchased Under the Plans</w:t>
            </w:r>
          </w:p>
        </w:tc>
        <w:tc>
          <w:tcPr>
            <w:tcW w:w="0" w:type="dxa"/>
            <w:vAlign w:val="bottom"/>
          </w:tcPr>
          <w:p>
            <w:pPr>
              <w:spacing w:after="0"/>
              <w:rPr>
                <w:sz w:val="1"/>
                <w:szCs w:val="1"/>
                <w:color w:val="auto"/>
              </w:rPr>
            </w:pPr>
          </w:p>
        </w:tc>
      </w:tr>
      <w:tr>
        <w:trPr>
          <w:trHeight w:val="178"/>
        </w:trPr>
        <w:tc>
          <w:tcPr>
            <w:tcW w:w="4260" w:type="dxa"/>
            <w:vAlign w:val="bottom"/>
            <w:gridSpan w:val="2"/>
          </w:tcPr>
          <w:p>
            <w:pPr>
              <w:spacing w:after="0"/>
              <w:rPr>
                <w:sz w:val="20"/>
                <w:szCs w:val="20"/>
                <w:color w:val="auto"/>
              </w:rPr>
            </w:pPr>
            <w:r>
              <w:rPr>
                <w:rFonts w:ascii="Arial" w:cs="Arial" w:eastAsia="Arial" w:hAnsi="Arial"/>
                <w:sz w:val="13"/>
                <w:szCs w:val="13"/>
                <w:b w:val="1"/>
                <w:bCs w:val="1"/>
                <w:color w:val="auto"/>
              </w:rPr>
              <w:t>Period</w:t>
            </w:r>
          </w:p>
        </w:tc>
        <w:tc>
          <w:tcPr>
            <w:tcW w:w="15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Purchased</w:t>
            </w:r>
          </w:p>
        </w:tc>
        <w:tc>
          <w:tcPr>
            <w:tcW w:w="32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Per Share</w:t>
            </w:r>
          </w:p>
        </w:tc>
        <w:tc>
          <w:tcPr>
            <w:tcW w:w="17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or Programs</w:t>
            </w:r>
          </w:p>
        </w:tc>
        <w:tc>
          <w:tcPr>
            <w:tcW w:w="260" w:type="dxa"/>
            <w:vAlign w:val="bottom"/>
          </w:tcPr>
          <w:p>
            <w:pPr>
              <w:spacing w:after="0"/>
              <w:rPr>
                <w:sz w:val="15"/>
                <w:szCs w:val="15"/>
                <w:color w:val="auto"/>
              </w:rPr>
            </w:pPr>
          </w:p>
        </w:tc>
        <w:tc>
          <w:tcPr>
            <w:tcW w:w="20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or Programs</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(In millions)</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42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9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2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April 1, 2021 – April 30, 2021</w:t>
            </w:r>
          </w:p>
        </w:tc>
        <w:tc>
          <w:tcPr>
            <w:tcW w:w="15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7,493,732</w:t>
            </w:r>
          </w:p>
        </w:tc>
        <w:tc>
          <w:tcPr>
            <w:tcW w:w="320" w:type="dxa"/>
            <w:vAlign w:val="bottom"/>
            <w:shd w:val="clear" w:color="auto" w:fill="E5E5E5"/>
          </w:tcPr>
          <w:p>
            <w:pPr>
              <w:jc w:val="right"/>
              <w:ind w:right="130"/>
              <w:spacing w:after="0" w:line="189" w:lineRule="exact"/>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255.23</w:t>
            </w:r>
          </w:p>
        </w:tc>
        <w:tc>
          <w:tcPr>
            <w:tcW w:w="17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7,493,732</w:t>
            </w: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b w:val="1"/>
                <w:bCs w:val="1"/>
                <w:color w:val="auto"/>
                <w:w w:val="79"/>
              </w:rPr>
              <w:t>$</w:t>
            </w:r>
          </w:p>
        </w:tc>
        <w:tc>
          <w:tcPr>
            <w:tcW w:w="20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13,030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240" w:type="dxa"/>
            <w:vAlign w:val="bottom"/>
          </w:tcPr>
          <w:p>
            <w:pPr>
              <w:spacing w:after="0" w:line="189" w:lineRule="exact"/>
              <w:rPr>
                <w:sz w:val="20"/>
                <w:szCs w:val="20"/>
                <w:color w:val="auto"/>
              </w:rPr>
            </w:pPr>
            <w:r>
              <w:rPr>
                <w:rFonts w:ascii="Arial" w:cs="Arial" w:eastAsia="Arial" w:hAnsi="Arial"/>
                <w:sz w:val="18"/>
                <w:szCs w:val="18"/>
                <w:color w:val="auto"/>
              </w:rPr>
              <w:t>May 1, 2021 – May 31, 2021</w:t>
            </w:r>
          </w:p>
        </w:tc>
        <w:tc>
          <w:tcPr>
            <w:tcW w:w="158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8,823,524</w:t>
            </w:r>
          </w:p>
        </w:tc>
        <w:tc>
          <w:tcPr>
            <w:tcW w:w="320" w:type="dxa"/>
            <w:vAlign w:val="bottom"/>
          </w:tcPr>
          <w:p>
            <w:pPr>
              <w:spacing w:after="0"/>
              <w:rPr>
                <w:sz w:val="16"/>
                <w:szCs w:val="16"/>
                <w:color w:val="auto"/>
              </w:rPr>
            </w:pPr>
          </w:p>
        </w:tc>
        <w:tc>
          <w:tcPr>
            <w:tcW w:w="102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247.36</w:t>
            </w:r>
          </w:p>
        </w:tc>
        <w:tc>
          <w:tcPr>
            <w:tcW w:w="178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8,823,524</w:t>
            </w:r>
          </w:p>
        </w:tc>
        <w:tc>
          <w:tcPr>
            <w:tcW w:w="260" w:type="dxa"/>
            <w:vAlign w:val="bottom"/>
          </w:tcPr>
          <w:p>
            <w:pPr>
              <w:spacing w:after="0"/>
              <w:rPr>
                <w:sz w:val="16"/>
                <w:szCs w:val="16"/>
                <w:color w:val="auto"/>
              </w:rPr>
            </w:pPr>
          </w:p>
        </w:tc>
        <w:tc>
          <w:tcPr>
            <w:tcW w:w="202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10,847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2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June 1, 2021 – June 30, 2021</w:t>
            </w:r>
          </w:p>
        </w:tc>
        <w:tc>
          <w:tcPr>
            <w:tcW w:w="15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8,155,857</w:t>
            </w:r>
          </w:p>
        </w:tc>
        <w:tc>
          <w:tcPr>
            <w:tcW w:w="32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258.07</w:t>
            </w:r>
          </w:p>
        </w:tc>
        <w:tc>
          <w:tcPr>
            <w:tcW w:w="17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8,155,857</w:t>
            </w:r>
          </w:p>
        </w:tc>
        <w:tc>
          <w:tcPr>
            <w:tcW w:w="260" w:type="dxa"/>
            <w:vAlign w:val="bottom"/>
            <w:shd w:val="clear" w:color="auto" w:fill="E5E5E5"/>
          </w:tcPr>
          <w:p>
            <w:pPr>
              <w:spacing w:after="0"/>
              <w:rPr>
                <w:sz w:val="16"/>
                <w:szCs w:val="16"/>
                <w:color w:val="auto"/>
              </w:rPr>
            </w:pPr>
          </w:p>
        </w:tc>
        <w:tc>
          <w:tcPr>
            <w:tcW w:w="19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8,742</w:t>
            </w:r>
          </w:p>
        </w:tc>
        <w:tc>
          <w:tcPr>
            <w:tcW w:w="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424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40" w:type="dxa"/>
            <w:vAlign w:val="bottom"/>
          </w:tcPr>
          <w:p>
            <w:pPr>
              <w:spacing w:after="0"/>
              <w:rPr>
                <w:sz w:val="22"/>
                <w:szCs w:val="22"/>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24,473,113</w:t>
            </w: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24,473,113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240" w:type="dxa"/>
            <w:vAlign w:val="bottom"/>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9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All share repurchases were made using cash resources. Our share repurchases may occur through open market purchases or pursuant to a Rule 10b5-1 trading plan. The above table excludes shares repurchased to settle employee tax withholding related to the vesting of stock awards.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declared the following dividends during the fourth quarter of fiscal year 2021: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Dividend</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140" w:type="dxa"/>
            <w:vAlign w:val="bottom"/>
            <w:gridSpan w:val="2"/>
          </w:tcPr>
          <w:p>
            <w:pPr>
              <w:spacing w:after="0"/>
              <w:rPr>
                <w:sz w:val="20"/>
                <w:szCs w:val="20"/>
                <w:color w:val="auto"/>
              </w:rPr>
            </w:pPr>
            <w:r>
              <w:rPr>
                <w:rFonts w:ascii="Arial" w:cs="Arial" w:eastAsia="Arial" w:hAnsi="Arial"/>
                <w:sz w:val="13"/>
                <w:szCs w:val="13"/>
                <w:b w:val="1"/>
                <w:bCs w:val="1"/>
                <w:color w:val="auto"/>
              </w:rPr>
              <w:t>Declaration Date</w:t>
            </w:r>
          </w:p>
        </w:tc>
        <w:tc>
          <w:tcPr>
            <w:tcW w:w="3040" w:type="dxa"/>
            <w:vAlign w:val="bottom"/>
          </w:tcPr>
          <w:p>
            <w:pPr>
              <w:ind w:left="940"/>
              <w:spacing w:after="0"/>
              <w:rPr>
                <w:sz w:val="20"/>
                <w:szCs w:val="20"/>
                <w:color w:val="auto"/>
              </w:rPr>
            </w:pPr>
            <w:r>
              <w:rPr>
                <w:rFonts w:ascii="Arial" w:cs="Arial" w:eastAsia="Arial" w:hAnsi="Arial"/>
                <w:sz w:val="13"/>
                <w:szCs w:val="13"/>
                <w:b w:val="1"/>
                <w:bCs w:val="1"/>
                <w:color w:val="auto"/>
              </w:rPr>
              <w:t>Record Date</w:t>
            </w:r>
          </w:p>
        </w:tc>
        <w:tc>
          <w:tcPr>
            <w:tcW w:w="2880" w:type="dxa"/>
            <w:vAlign w:val="bottom"/>
          </w:tcPr>
          <w:p>
            <w:pPr>
              <w:ind w:left="720"/>
              <w:spacing w:after="0"/>
              <w:rPr>
                <w:sz w:val="20"/>
                <w:szCs w:val="20"/>
                <w:color w:val="auto"/>
              </w:rPr>
            </w:pPr>
            <w:r>
              <w:rPr>
                <w:rFonts w:ascii="Arial" w:cs="Arial" w:eastAsia="Arial" w:hAnsi="Arial"/>
                <w:sz w:val="13"/>
                <w:szCs w:val="13"/>
                <w:b w:val="1"/>
                <w:bCs w:val="1"/>
                <w:color w:val="auto"/>
              </w:rPr>
              <w:t>Payment Date</w:t>
            </w:r>
          </w:p>
        </w:tc>
        <w:tc>
          <w:tcPr>
            <w:tcW w:w="88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Per Share</w:t>
            </w:r>
          </w:p>
        </w:tc>
        <w:tc>
          <w:tcPr>
            <w:tcW w:w="260" w:type="dxa"/>
            <w:vAlign w:val="bottom"/>
          </w:tcPr>
          <w:p>
            <w:pPr>
              <w:spacing w:after="0"/>
              <w:rPr>
                <w:sz w:val="15"/>
                <w:szCs w:val="15"/>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3040" w:type="dxa"/>
            <w:vAlign w:val="bottom"/>
            <w:tcBorders>
              <w:bottom w:val="single" w:sz="8" w:color="auto"/>
            </w:tcBorders>
          </w:tcPr>
          <w:p>
            <w:pPr>
              <w:spacing w:after="0"/>
              <w:rPr>
                <w:sz w:val="4"/>
                <w:szCs w:val="4"/>
                <w:color w:val="auto"/>
              </w:rPr>
            </w:pPr>
          </w:p>
        </w:tc>
        <w:tc>
          <w:tcPr>
            <w:tcW w:w="28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(In millions)</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2120" w:type="dxa"/>
            <w:vAlign w:val="bottom"/>
          </w:tcPr>
          <w:p>
            <w:pPr>
              <w:spacing w:after="0"/>
              <w:rPr>
                <w:sz w:val="4"/>
                <w:szCs w:val="4"/>
                <w:color w:val="auto"/>
              </w:rPr>
            </w:pPr>
          </w:p>
        </w:tc>
        <w:tc>
          <w:tcPr>
            <w:tcW w:w="30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212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June 16, 2021</w:t>
            </w:r>
          </w:p>
        </w:tc>
        <w:tc>
          <w:tcPr>
            <w:tcW w:w="3040" w:type="dxa"/>
            <w:vAlign w:val="bottom"/>
            <w:shd w:val="clear" w:color="auto" w:fill="E5E5E5"/>
          </w:tcPr>
          <w:p>
            <w:pPr>
              <w:ind w:left="940"/>
              <w:spacing w:after="0" w:line="189" w:lineRule="exact"/>
              <w:rPr>
                <w:sz w:val="20"/>
                <w:szCs w:val="20"/>
                <w:color w:val="auto"/>
              </w:rPr>
            </w:pPr>
            <w:r>
              <w:rPr>
                <w:rFonts w:ascii="Arial" w:cs="Arial" w:eastAsia="Arial" w:hAnsi="Arial"/>
                <w:sz w:val="18"/>
                <w:szCs w:val="18"/>
                <w:b w:val="1"/>
                <w:bCs w:val="1"/>
                <w:color w:val="auto"/>
              </w:rPr>
              <w:t>August 19, 2021</w:t>
            </w:r>
          </w:p>
        </w:tc>
        <w:tc>
          <w:tcPr>
            <w:tcW w:w="2880" w:type="dxa"/>
            <w:vAlign w:val="bottom"/>
            <w:shd w:val="clear" w:color="auto" w:fill="E5E5E5"/>
          </w:tcPr>
          <w:p>
            <w:pPr>
              <w:ind w:left="720"/>
              <w:spacing w:after="0" w:line="189" w:lineRule="exact"/>
              <w:rPr>
                <w:sz w:val="20"/>
                <w:szCs w:val="20"/>
                <w:color w:val="auto"/>
              </w:rPr>
            </w:pPr>
            <w:r>
              <w:rPr>
                <w:rFonts w:ascii="Arial" w:cs="Arial" w:eastAsia="Arial" w:hAnsi="Arial"/>
                <w:sz w:val="18"/>
                <w:szCs w:val="18"/>
                <w:b w:val="1"/>
                <w:bCs w:val="1"/>
                <w:color w:val="auto"/>
              </w:rPr>
              <w:t>September 9, 2021</w:t>
            </w:r>
          </w:p>
        </w:tc>
        <w:tc>
          <w:tcPr>
            <w:tcW w:w="88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0.56</w:t>
            </w: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4,211</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120" w:type="dxa"/>
            <w:vAlign w:val="bottom"/>
            <w:tcBorders>
              <w:bottom w:val="single" w:sz="8" w:color="auto"/>
            </w:tcBorders>
          </w:tcPr>
          <w:p>
            <w:pPr>
              <w:spacing w:after="0"/>
              <w:rPr>
                <w:sz w:val="5"/>
                <w:szCs w:val="5"/>
                <w:color w:val="auto"/>
              </w:rPr>
            </w:pPr>
          </w:p>
        </w:tc>
        <w:tc>
          <w:tcPr>
            <w:tcW w:w="3040" w:type="dxa"/>
            <w:vAlign w:val="bottom"/>
            <w:tcBorders>
              <w:bottom w:val="single" w:sz="8" w:color="auto"/>
            </w:tcBorders>
          </w:tcPr>
          <w:p>
            <w:pPr>
              <w:spacing w:after="0"/>
              <w:rPr>
                <w:sz w:val="5"/>
                <w:szCs w:val="5"/>
                <w:color w:val="auto"/>
              </w:rPr>
            </w:pPr>
          </w:p>
        </w:tc>
        <w:tc>
          <w:tcPr>
            <w:tcW w:w="28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returned $10.4 billion to shareholders in the form of share repurchases and dividends in the fourth quarter of fiscal year 2021. Refer to Note 16 – Stockholders’ Equity of the Notes to Financial Statements (Part II, Item 8 of this Form 10-K) for further discussion regarding share repurchases and dividends.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37" w:name="page38"/>
    <w:bookmarkEnd w:id="37"/>
    <w:p>
      <w:pPr>
        <w:ind w:left="4280"/>
        <w:spacing w:after="0"/>
        <w:rPr>
          <w:sz w:val="20"/>
          <w:szCs w:val="20"/>
          <w:color w:val="auto"/>
        </w:rPr>
      </w:pPr>
      <w:r>
        <w:rPr>
          <w:rFonts w:ascii="Arial" w:cs="Arial" w:eastAsia="Arial" w:hAnsi="Arial"/>
          <w:sz w:val="13"/>
          <w:szCs w:val="13"/>
          <w:u w:val="single" w:color="auto"/>
          <w:color w:val="auto"/>
        </w:rPr>
        <w:t>PART II</w:t>
      </w:r>
    </w:p>
    <w:p>
      <w:pPr>
        <w:ind w:left="4320"/>
        <w:spacing w:after="0"/>
        <w:rPr>
          <w:sz w:val="20"/>
          <w:szCs w:val="20"/>
          <w:color w:val="auto"/>
        </w:rPr>
      </w:pPr>
      <w:r>
        <w:rPr>
          <w:rFonts w:ascii="Arial" w:cs="Arial" w:eastAsia="Arial" w:hAnsi="Arial"/>
          <w:sz w:val="13"/>
          <w:szCs w:val="13"/>
          <w:color w:val="auto"/>
        </w:rPr>
        <w:t>Item 6</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52705</wp:posOffset>
            </wp:positionV>
            <wp:extent cx="71583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9019"/>
          </w:cols>
          <w:pgMar w:left="1440" w:top="137" w:right="1440" w:bottom="1440" w:gutter="0" w:footer="0" w:header="0"/>
        </w:sectPr>
      </w:pPr>
    </w:p>
    <w:bookmarkStart w:id="38" w:name="page39"/>
    <w:bookmarkEnd w:id="38"/>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7</w:t>
      </w:r>
    </w:p>
    <w:p>
      <w:pPr>
        <w:spacing w:after="0" w:line="168" w:lineRule="exact"/>
        <w:rPr>
          <w:sz w:val="20"/>
          <w:szCs w:val="20"/>
          <w:color w:val="auto"/>
        </w:rPr>
      </w:pPr>
    </w:p>
    <w:p>
      <w:pPr>
        <w:jc w:val="center"/>
        <w:ind w:left="340" w:right="400"/>
        <w:spacing w:after="0" w:line="259" w:lineRule="auto"/>
        <w:rPr>
          <w:sz w:val="20"/>
          <w:szCs w:val="20"/>
          <w:color w:val="auto"/>
        </w:rPr>
      </w:pPr>
      <w:r>
        <w:rPr>
          <w:rFonts w:ascii="Arial" w:cs="Arial" w:eastAsia="Arial" w:hAnsi="Arial"/>
          <w:sz w:val="22"/>
          <w:szCs w:val="22"/>
          <w:b w:val="1"/>
          <w:bCs w:val="1"/>
          <w:color w:val="auto"/>
        </w:rPr>
        <w:t>ITEM 7. MANAGEMENT’S DISCUSSION AND ANALYSIS OF FINANCIAL CONDITION AND RESULTS OF OPERATIONS</w:t>
      </w:r>
    </w:p>
    <w:p>
      <w:pPr>
        <w:spacing w:after="0" w:line="13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help the reader understand the results of operations and financial condition of Microsoft Corporation. MD&amp;A is provided as a supplement to, and should be read in conjunction with, our consolidated financial statements and the accompanying Notes to Financial Statements (Part II, Item 8 of this Form 10-K). This section generally discusses the results of our operations for the year ended June 30, 2021 compared to the year ended June 30, 2020. For a discussion of the year ended June 30, 2020 compared to the year ended June 30, 2019, please refer to Part II, Item 7, “Management’s Discussion and Analysis of Financial Condition and Results of Operations” in our Annual Report on Form 10-K for the year ended June 30, 2020.</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OVERVIEW</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Microsoft is a technology company whose mission is to empower every person and every organization on the planet to achieve more. We strive to create local opportunity, growth, and impact in every country around the world. Our platforms and tools help drive small business productivity, large business competitiveness, and public-sector efficiency. They also support new startups, improve educational and health outcomes, and empower human ingenuity.</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generate revenue by offering a wide range of cloud-based and other services to people and businesses; licensing and supporting an array of software products; designing, manufacturing, and selling devices; and delivering relevant online advertising to a global audience. Our most significant expenses are related to compensating employees; designing, manufacturing, marketing, and selling our products and services; datacenter costs in support of our cloud-based services; and income taxes.</w:t>
      </w:r>
    </w:p>
    <w:p>
      <w:pPr>
        <w:spacing w:after="0" w:line="14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the world continues to respond to COVID-19, we are working to do our part by ensuring the safety of our employees, striving to protect the health and well-being of the communities in which we operate, and providing technology and resources to our customers to help them do their best work while remote.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fiscal year 2021 compared with fiscal year 2020 included:</w:t>
      </w:r>
    </w:p>
    <w:p>
      <w:pPr>
        <w:spacing w:after="0" w:line="76" w:lineRule="exact"/>
        <w:rPr>
          <w:sz w:val="20"/>
          <w:szCs w:val="20"/>
          <w:color w:val="auto"/>
        </w:rPr>
      </w:pPr>
    </w:p>
    <w:p>
      <w:pPr>
        <w:ind w:left="1060" w:hanging="393"/>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Commercial cloud revenue increased 34% to $69.1 billion.</w:t>
      </w:r>
    </w:p>
    <w:p>
      <w:pPr>
        <w:spacing w:after="0" w:line="62" w:lineRule="exact"/>
        <w:rPr>
          <w:rFonts w:ascii="Arial" w:cs="Arial" w:eastAsia="Arial" w:hAnsi="Arial"/>
          <w:sz w:val="18"/>
          <w:szCs w:val="18"/>
          <w:color w:val="auto"/>
        </w:rPr>
      </w:pPr>
    </w:p>
    <w:p>
      <w:pPr>
        <w:ind w:left="1060" w:hanging="393"/>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Office Commercial products and cloud services revenue increased 13% driven by Office 365 Commercial growth of 22%.</w:t>
      </w:r>
    </w:p>
    <w:p>
      <w:pPr>
        <w:spacing w:after="0" w:line="62" w:lineRule="exact"/>
        <w:rPr>
          <w:rFonts w:ascii="Arial" w:cs="Arial" w:eastAsia="Arial" w:hAnsi="Arial"/>
          <w:sz w:val="18"/>
          <w:szCs w:val="18"/>
          <w:color w:val="auto"/>
        </w:rPr>
      </w:pPr>
    </w:p>
    <w:p>
      <w:pPr>
        <w:ind w:left="1060" w:hanging="393"/>
        <w:spacing w:after="0" w:line="244"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Office Consumer products and cloud services revenue increased 10% and Microsoft 365 Consumer subscribers increased to 51.9 million.</w:t>
      </w:r>
    </w:p>
    <w:p>
      <w:pPr>
        <w:spacing w:after="0" w:line="49" w:lineRule="exact"/>
        <w:rPr>
          <w:rFonts w:ascii="Arial" w:cs="Arial" w:eastAsia="Arial" w:hAnsi="Arial"/>
          <w:sz w:val="18"/>
          <w:szCs w:val="18"/>
          <w:color w:val="auto"/>
        </w:rPr>
      </w:pPr>
    </w:p>
    <w:p>
      <w:pPr>
        <w:ind w:left="1060" w:hanging="393"/>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LinkedIn revenue increased 27%.</w:t>
      </w:r>
    </w:p>
    <w:p>
      <w:pPr>
        <w:spacing w:after="0" w:line="62" w:lineRule="exact"/>
        <w:rPr>
          <w:rFonts w:ascii="Arial" w:cs="Arial" w:eastAsia="Arial" w:hAnsi="Arial"/>
          <w:sz w:val="18"/>
          <w:szCs w:val="18"/>
          <w:color w:val="auto"/>
        </w:rPr>
      </w:pPr>
    </w:p>
    <w:p>
      <w:pPr>
        <w:ind w:left="1060" w:hanging="393"/>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Dynamics products and cloud services revenue increased 25% driven by Dynamics 365 growth of 43%.</w:t>
      </w:r>
    </w:p>
    <w:p>
      <w:pPr>
        <w:spacing w:after="0" w:line="62" w:lineRule="exact"/>
        <w:rPr>
          <w:rFonts w:ascii="Arial" w:cs="Arial" w:eastAsia="Arial" w:hAnsi="Arial"/>
          <w:sz w:val="18"/>
          <w:szCs w:val="18"/>
          <w:color w:val="auto"/>
        </w:rPr>
      </w:pPr>
    </w:p>
    <w:p>
      <w:pPr>
        <w:ind w:left="1060" w:hanging="393"/>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Server products and cloud services revenue increased 27% driven by Azure growth of 50%.</w:t>
      </w:r>
    </w:p>
    <w:p>
      <w:pPr>
        <w:spacing w:after="0" w:line="62" w:lineRule="exact"/>
        <w:rPr>
          <w:rFonts w:ascii="Arial" w:cs="Arial" w:eastAsia="Arial" w:hAnsi="Arial"/>
          <w:sz w:val="18"/>
          <w:szCs w:val="18"/>
          <w:color w:val="auto"/>
        </w:rPr>
      </w:pPr>
    </w:p>
    <w:p>
      <w:pPr>
        <w:ind w:left="1060" w:hanging="393"/>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Windows original equipment manufacturer licensing (“Windows OEM”) revenue increased slightly.</w:t>
      </w:r>
    </w:p>
    <w:p>
      <w:pPr>
        <w:spacing w:after="0" w:line="62" w:lineRule="exact"/>
        <w:rPr>
          <w:rFonts w:ascii="Arial" w:cs="Arial" w:eastAsia="Arial" w:hAnsi="Arial"/>
          <w:sz w:val="18"/>
          <w:szCs w:val="18"/>
          <w:color w:val="auto"/>
        </w:rPr>
      </w:pPr>
    </w:p>
    <w:p>
      <w:pPr>
        <w:ind w:left="1060" w:hanging="393"/>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Windows Commercial products and cloud services revenue increased 14%.</w:t>
      </w:r>
    </w:p>
    <w:p>
      <w:pPr>
        <w:spacing w:after="0" w:line="62" w:lineRule="exact"/>
        <w:rPr>
          <w:rFonts w:ascii="Arial" w:cs="Arial" w:eastAsia="Arial" w:hAnsi="Arial"/>
          <w:sz w:val="18"/>
          <w:szCs w:val="18"/>
          <w:color w:val="auto"/>
        </w:rPr>
      </w:pPr>
    </w:p>
    <w:p>
      <w:pPr>
        <w:ind w:left="1060" w:hanging="393"/>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Xbox content and services revenue increased 23%.</w:t>
      </w:r>
    </w:p>
    <w:p>
      <w:pPr>
        <w:spacing w:after="0" w:line="62" w:lineRule="exact"/>
        <w:rPr>
          <w:rFonts w:ascii="Arial" w:cs="Arial" w:eastAsia="Arial" w:hAnsi="Arial"/>
          <w:sz w:val="18"/>
          <w:szCs w:val="18"/>
          <w:color w:val="auto"/>
        </w:rPr>
      </w:pPr>
    </w:p>
    <w:p>
      <w:pPr>
        <w:ind w:left="1060" w:hanging="393"/>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Search advertising revenue, excluding traffic acquisition costs, increased 13%.</w:t>
      </w:r>
    </w:p>
    <w:p>
      <w:pPr>
        <w:spacing w:after="0" w:line="62" w:lineRule="exact"/>
        <w:rPr>
          <w:rFonts w:ascii="Arial" w:cs="Arial" w:eastAsia="Arial" w:hAnsi="Arial"/>
          <w:sz w:val="18"/>
          <w:szCs w:val="18"/>
          <w:color w:val="auto"/>
        </w:rPr>
      </w:pPr>
    </w:p>
    <w:p>
      <w:pPr>
        <w:ind w:left="1060" w:hanging="393"/>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Surface revenue increased 5%.</w:t>
      </w:r>
    </w:p>
    <w:p>
      <w:pPr>
        <w:spacing w:after="0" w:line="14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 March 9, 2021, we completed our acquisition of ZeniMax Media Inc. (“ZeniMax”), the parent company of Bethesda Softworks LLC, for a total purchase price of $8.1 billion, consisting primarily of cash. The purchase price included $768 million of cash and cash equivalents acquired. The financial results of ZeniMax have been included in our consolidated financial statements since the date of the acquisition. ZeniMax is reported as part of our More Personal Computing segment. Refer to Note 8 – Business Combinations of the Notes to Financial Statements (Part II, Item 8 of this Form 10-K) for further discussion.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39" w:name="page40"/>
    <w:bookmarkEnd w:id="39"/>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7</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industry is dynamic and highly competitive, with frequent changes in both technologies and business models. Each industry shift is an opportunity to conceive new products, new technologies, or new ideas that can further transform the industry and our business. At Microsoft, we push the boundaries of what is possible through a broad range of research and development activities that seek to identify and address the changing demands of customers and users, industry trends, and competitive forces.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Conditions, Challenges, and Risks</w:t>
      </w:r>
    </w:p>
    <w:p>
      <w:pPr>
        <w:spacing w:after="0" w:line="17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markets for software, devices, and cloud-based services are dynamic and highly competitive. Our competitors are developing new software and devices, while also deploying competing cloud-based services for consumers and businesses. The devices and form factors customers prefer evolve rapidly, and influence how users access services in the cloud, and in some cases, the user’s choice of which suite of cloud-based services to use. We must continue to evolve and adapt over an extended time in pace with this changing environment. The investments we are making in infrastructure and devices will continue to increase our operating costs and may decrease our operating margins.</w:t>
      </w:r>
    </w:p>
    <w:p>
      <w:pPr>
        <w:spacing w:after="0" w:line="15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success is highly dependent on our ability to attract and retain qualified employees. We hire a mix of university and industry talent worldwide. We compete for talented individuals globally by offering an exceptional working environment, broad customer reach, scale in resources, the ability to grow one’s career across many different products and businesses, and competitive compensation and benefits. Aggregate demand for our software, services, and devices is correlated to global macroeconomic and geopolitical factors, which remain dynamic.</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devices are primarily manufactured by third-party contract manufacturers, some of which contain certain components for which there are very few qualified suppliers. For these components, we have limited near-term flexibility to use other manufacturers if a current vendor becomes unavailable or is unable to meet our requirements. Extended disruptions at these suppliers could lead to a similar disruption in our ability to manufacture devices on time to meet consumer demand.</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international operations provide a significant portion of our total revenue and expenses. Many of these revenue and expenses are denominated in currencies other than the U.S. dollar. As a result, changes in foreign exchange rates may significantly affect revenue and expenses. Weakening of the U.S. dollar relative to certain foreign currencies increased reported revenue and did not have a material impact on reported expenses from our international operations in fiscal year 2021.</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Refer to Risk Factors (Part I, Item 1A of this Form 10-K) for a discussion of these factors and other risks.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17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fiscal year 2021, the COVID-19 pandemic continued to impact our business operations and financial results. Cloud usage and demand benefited as customers accelerate their digital transformation priorities. Our consumer businesses also benefited from the remote environment, with continued demand for PCs and productivity tools, as well as strong engagement across our Gaming platform. We saw improvement in customer advertising spend and savings in operating expenses related to COVID-19, but experienced weakness in transactional licensing. The COVID-19 pandemic may continue to impact our business operations and financial operating results, and there is uncertainty in the nature and degree of its continued effects over time. Refer to Risk Factors (Part I, Item 1A of this Form 10-K) for a discussion of these factors and other risks.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revenue fluctuates quarterly and is generally higher in the second and fourth quarters of our fiscal year. Second quarter revenue is driven by corporate year-end spending trends in our major markets and holiday season spending by consumers, and fourth quarter revenue is driven by the volume of multi-year on-premises contracts executed during the period.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40" w:name="page41"/>
    <w:bookmarkEnd w:id="40"/>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7</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Estimate</w:t>
      </w:r>
    </w:p>
    <w:p>
      <w:pPr>
        <w:spacing w:after="0" w:line="17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July 2020, we completed an assessment of the useful lives of our server and network equipment and determined we should increase the estimated useful life of server equipment from three years to four years and increase the estimated useful life of network equipment from two years to four years. This change in accounting estimate was effective beginning fiscal year 2021. Based on the carrying amount of server and network equipment included in property and equipment, net as of June 30, 2020, the effect of this change in estimate for fiscal year 2021 was an increase in operating income of $2.7 billion and net income of $2.3 billion, or $0.30 per both basic and diluted share.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report our financial performance based on the following segments: Productivity and Business Processes, Intelligent Cloud, and More Personal Computing. The segment amounts included in MD&amp;A are presented on a basis consistent with our internal management reporting. All differences between our internal management reporting basis and accounting principles generally accepted in the United States of America (“GAAP”), along with certain corporate-level and other activity, are included in Corporate and Other.</w:t>
      </w:r>
    </w:p>
    <w:p>
      <w:pPr>
        <w:spacing w:after="0" w:line="14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Additional information on our reportable segments is contained in Note 19 – Segment Information and Geographic Data of the Notes to Financial Statements (Part II, Item 8 of this Form 10-K).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Metrics</w:t>
      </w:r>
    </w:p>
    <w:p>
      <w:pPr>
        <w:spacing w:after="0" w:line="17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use metrics in assessing the performance of our business and to make informed decisions regarding the allocation of resources. We disclose metrics to enable investors to evaluate progress against our ambitions, provide transparency into performance trends, and reflect the continued evolution of our products and services. Our commercial and other business metrics are fundamentally connected based on how customers use our products and services. The metrics are disclosed in the MD&amp;A or the Notes to Financial Statements (Part II, Item 8 of this Form 10-K). Financial metrics are calculated based on GAAP results and growth comparisons relate to the corresponding period of last fiscal year.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w:t>
      </w:r>
    </w:p>
    <w:p>
      <w:pPr>
        <w:spacing w:after="0" w:line="17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commercial business primarily consists of Server products and cloud services, Office Commercial, Windows Commercial, the commercial portion of LinkedIn, Enterprise Services, and Dynamics. Our commercial metrics allow management and investors to assess the overall health of our commercial business and include leading indicators of future performance.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tcPr>
          <w:p>
            <w:pPr>
              <w:ind w:left="160"/>
              <w:spacing w:after="0"/>
              <w:rPr>
                <w:sz w:val="20"/>
                <w:szCs w:val="20"/>
                <w:color w:val="auto"/>
              </w:rPr>
            </w:pPr>
            <w:r>
              <w:rPr>
                <w:rFonts w:ascii="Arial" w:cs="Arial" w:eastAsia="Arial" w:hAnsi="Arial"/>
                <w:sz w:val="18"/>
                <w:szCs w:val="18"/>
                <w:color w:val="auto"/>
              </w:rPr>
              <w:t>Commercial remaining performance obligation</w:t>
            </w:r>
          </w:p>
        </w:tc>
        <w:tc>
          <w:tcPr>
            <w:tcW w:w="7080" w:type="dxa"/>
            <w:vAlign w:val="bottom"/>
          </w:tcPr>
          <w:p>
            <w:pPr>
              <w:ind w:left="340"/>
              <w:spacing w:after="0"/>
              <w:rPr>
                <w:sz w:val="20"/>
                <w:szCs w:val="20"/>
                <w:color w:val="auto"/>
              </w:rPr>
            </w:pPr>
            <w:r>
              <w:rPr>
                <w:rFonts w:ascii="Arial" w:cs="Arial" w:eastAsia="Arial" w:hAnsi="Arial"/>
                <w:sz w:val="18"/>
                <w:szCs w:val="18"/>
                <w:color w:val="auto"/>
              </w:rPr>
              <w:t>Commercial portion of revenue allocated to remaining performance obligations,</w:t>
            </w:r>
          </w:p>
        </w:tc>
      </w:tr>
      <w:tr>
        <w:trPr>
          <w:trHeight w:val="202"/>
        </w:trPr>
        <w:tc>
          <w:tcPr>
            <w:tcW w:w="4160" w:type="dxa"/>
            <w:vAlign w:val="bottom"/>
          </w:tcPr>
          <w:p>
            <w:pPr>
              <w:spacing w:after="0"/>
              <w:rPr>
                <w:sz w:val="17"/>
                <w:szCs w:val="17"/>
                <w:color w:val="auto"/>
              </w:rPr>
            </w:pPr>
          </w:p>
        </w:tc>
        <w:tc>
          <w:tcPr>
            <w:tcW w:w="7080" w:type="dxa"/>
            <w:vAlign w:val="bottom"/>
          </w:tcPr>
          <w:p>
            <w:pPr>
              <w:ind w:left="340"/>
              <w:spacing w:after="0" w:line="201" w:lineRule="exact"/>
              <w:rPr>
                <w:sz w:val="20"/>
                <w:szCs w:val="20"/>
                <w:color w:val="auto"/>
              </w:rPr>
            </w:pPr>
            <w:r>
              <w:rPr>
                <w:rFonts w:ascii="Arial" w:cs="Arial" w:eastAsia="Arial" w:hAnsi="Arial"/>
                <w:sz w:val="18"/>
                <w:szCs w:val="18"/>
                <w:color w:val="auto"/>
              </w:rPr>
              <w:t>which includes unearned revenue and amounts that will be invoiced and recognized</w:t>
            </w:r>
          </w:p>
        </w:tc>
      </w:tr>
      <w:tr>
        <w:trPr>
          <w:trHeight w:val="216"/>
        </w:trPr>
        <w:tc>
          <w:tcPr>
            <w:tcW w:w="4160" w:type="dxa"/>
            <w:vAlign w:val="bottom"/>
          </w:tcPr>
          <w:p>
            <w:pPr>
              <w:spacing w:after="0"/>
              <w:rPr>
                <w:sz w:val="18"/>
                <w:szCs w:val="18"/>
                <w:color w:val="auto"/>
              </w:rPr>
            </w:pPr>
          </w:p>
        </w:tc>
        <w:tc>
          <w:tcPr>
            <w:tcW w:w="7080" w:type="dxa"/>
            <w:vAlign w:val="bottom"/>
          </w:tcPr>
          <w:p>
            <w:pPr>
              <w:ind w:left="340"/>
              <w:spacing w:after="0"/>
              <w:rPr>
                <w:sz w:val="20"/>
                <w:szCs w:val="20"/>
                <w:color w:val="auto"/>
              </w:rPr>
            </w:pPr>
            <w:r>
              <w:rPr>
                <w:rFonts w:ascii="Arial" w:cs="Arial" w:eastAsia="Arial" w:hAnsi="Arial"/>
                <w:sz w:val="18"/>
                <w:szCs w:val="18"/>
                <w:color w:val="auto"/>
              </w:rPr>
              <w:t>as revenue in future periods</w:t>
            </w:r>
          </w:p>
        </w:tc>
      </w:tr>
      <w:tr>
        <w:trPr>
          <w:trHeight w:val="268"/>
        </w:trPr>
        <w:tc>
          <w:tcPr>
            <w:tcW w:w="4160" w:type="dxa"/>
            <w:vAlign w:val="bottom"/>
          </w:tcPr>
          <w:p>
            <w:pPr>
              <w:ind w:left="160"/>
              <w:spacing w:after="0"/>
              <w:rPr>
                <w:sz w:val="20"/>
                <w:szCs w:val="20"/>
                <w:color w:val="auto"/>
              </w:rPr>
            </w:pPr>
            <w:r>
              <w:rPr>
                <w:rFonts w:ascii="Arial" w:cs="Arial" w:eastAsia="Arial" w:hAnsi="Arial"/>
                <w:sz w:val="18"/>
                <w:szCs w:val="18"/>
                <w:color w:val="auto"/>
              </w:rPr>
              <w:t>Commercial cloud revenue</w:t>
            </w:r>
          </w:p>
        </w:tc>
        <w:tc>
          <w:tcPr>
            <w:tcW w:w="7080" w:type="dxa"/>
            <w:vAlign w:val="bottom"/>
          </w:tcPr>
          <w:p>
            <w:pPr>
              <w:ind w:left="340"/>
              <w:spacing w:after="0"/>
              <w:rPr>
                <w:sz w:val="20"/>
                <w:szCs w:val="20"/>
                <w:color w:val="auto"/>
              </w:rPr>
            </w:pPr>
            <w:r>
              <w:rPr>
                <w:rFonts w:ascii="Arial" w:cs="Arial" w:eastAsia="Arial" w:hAnsi="Arial"/>
                <w:sz w:val="18"/>
                <w:szCs w:val="18"/>
                <w:color w:val="auto"/>
              </w:rPr>
              <w:t>Revenue from our commercial cloud business, which includes Azure, Office 365</w:t>
            </w:r>
          </w:p>
        </w:tc>
      </w:tr>
      <w:tr>
        <w:trPr>
          <w:trHeight w:val="202"/>
        </w:trPr>
        <w:tc>
          <w:tcPr>
            <w:tcW w:w="4160" w:type="dxa"/>
            <w:vAlign w:val="bottom"/>
          </w:tcPr>
          <w:p>
            <w:pPr>
              <w:spacing w:after="0"/>
              <w:rPr>
                <w:sz w:val="17"/>
                <w:szCs w:val="17"/>
                <w:color w:val="auto"/>
              </w:rPr>
            </w:pPr>
          </w:p>
        </w:tc>
        <w:tc>
          <w:tcPr>
            <w:tcW w:w="7080" w:type="dxa"/>
            <w:vAlign w:val="bottom"/>
          </w:tcPr>
          <w:p>
            <w:pPr>
              <w:ind w:left="340"/>
              <w:spacing w:after="0" w:line="201" w:lineRule="exact"/>
              <w:rPr>
                <w:sz w:val="20"/>
                <w:szCs w:val="20"/>
                <w:color w:val="auto"/>
              </w:rPr>
            </w:pPr>
            <w:r>
              <w:rPr>
                <w:rFonts w:ascii="Arial" w:cs="Arial" w:eastAsia="Arial" w:hAnsi="Arial"/>
                <w:sz w:val="18"/>
                <w:szCs w:val="18"/>
                <w:color w:val="auto"/>
              </w:rPr>
              <w:t>Commercial,  the  commercial  portion  of  LinkedIn,  Dynamics  365,  and  other</w:t>
            </w:r>
          </w:p>
        </w:tc>
      </w:tr>
      <w:tr>
        <w:trPr>
          <w:trHeight w:val="216"/>
        </w:trPr>
        <w:tc>
          <w:tcPr>
            <w:tcW w:w="4160" w:type="dxa"/>
            <w:vAlign w:val="bottom"/>
          </w:tcPr>
          <w:p>
            <w:pPr>
              <w:spacing w:after="0"/>
              <w:rPr>
                <w:sz w:val="18"/>
                <w:szCs w:val="18"/>
                <w:color w:val="auto"/>
              </w:rPr>
            </w:pPr>
          </w:p>
        </w:tc>
        <w:tc>
          <w:tcPr>
            <w:tcW w:w="7080" w:type="dxa"/>
            <w:vAlign w:val="bottom"/>
          </w:tcPr>
          <w:p>
            <w:pPr>
              <w:ind w:left="340"/>
              <w:spacing w:after="0"/>
              <w:rPr>
                <w:sz w:val="20"/>
                <w:szCs w:val="20"/>
                <w:color w:val="auto"/>
              </w:rPr>
            </w:pPr>
            <w:r>
              <w:rPr>
                <w:rFonts w:ascii="Arial" w:cs="Arial" w:eastAsia="Arial" w:hAnsi="Arial"/>
                <w:sz w:val="18"/>
                <w:szCs w:val="18"/>
                <w:color w:val="auto"/>
              </w:rPr>
              <w:t>commercial cloud properties</w:t>
            </w:r>
          </w:p>
        </w:tc>
      </w:tr>
      <w:tr>
        <w:trPr>
          <w:trHeight w:val="283"/>
        </w:trPr>
        <w:tc>
          <w:tcPr>
            <w:tcW w:w="4160" w:type="dxa"/>
            <w:vAlign w:val="bottom"/>
          </w:tcPr>
          <w:p>
            <w:pPr>
              <w:ind w:left="160"/>
              <w:spacing w:after="0"/>
              <w:rPr>
                <w:sz w:val="20"/>
                <w:szCs w:val="20"/>
                <w:color w:val="auto"/>
              </w:rPr>
            </w:pPr>
            <w:r>
              <w:rPr>
                <w:rFonts w:ascii="Arial" w:cs="Arial" w:eastAsia="Arial" w:hAnsi="Arial"/>
                <w:sz w:val="18"/>
                <w:szCs w:val="18"/>
                <w:color w:val="auto"/>
              </w:rPr>
              <w:t>Commercial cloud gross margin percentage</w:t>
            </w:r>
          </w:p>
        </w:tc>
        <w:tc>
          <w:tcPr>
            <w:tcW w:w="7080" w:type="dxa"/>
            <w:vAlign w:val="bottom"/>
          </w:tcPr>
          <w:p>
            <w:pPr>
              <w:ind w:left="340"/>
              <w:spacing w:after="0"/>
              <w:rPr>
                <w:sz w:val="20"/>
                <w:szCs w:val="20"/>
                <w:color w:val="auto"/>
              </w:rPr>
            </w:pPr>
            <w:r>
              <w:rPr>
                <w:rFonts w:ascii="Arial" w:cs="Arial" w:eastAsia="Arial" w:hAnsi="Arial"/>
                <w:sz w:val="18"/>
                <w:szCs w:val="18"/>
                <w:color w:val="auto"/>
              </w:rPr>
              <w:t>Gross margin percentage for our commercial cloud business</w:t>
            </w:r>
          </w:p>
        </w:tc>
      </w:tr>
      <w:tr>
        <w:trPr>
          <w:trHeight w:val="593"/>
        </w:trPr>
        <w:tc>
          <w:tcPr>
            <w:tcW w:w="4160" w:type="dxa"/>
            <w:vAlign w:val="bottom"/>
          </w:tcPr>
          <w:p>
            <w:pPr>
              <w:spacing w:after="0"/>
              <w:rPr>
                <w:sz w:val="24"/>
                <w:szCs w:val="24"/>
                <w:color w:val="auto"/>
              </w:rPr>
            </w:pPr>
          </w:p>
        </w:tc>
        <w:tc>
          <w:tcPr>
            <w:tcW w:w="7080" w:type="dxa"/>
            <w:vAlign w:val="bottom"/>
          </w:tcPr>
          <w:p>
            <w:pPr>
              <w:ind w:left="1380"/>
              <w:spacing w:after="0"/>
              <w:rPr>
                <w:sz w:val="20"/>
                <w:szCs w:val="20"/>
                <w:color w:val="auto"/>
              </w:rPr>
            </w:pPr>
            <w:r>
              <w:rPr>
                <w:rFonts w:ascii="Arial" w:cs="Arial" w:eastAsia="Arial" w:hAnsi="Arial"/>
                <w:sz w:val="14"/>
                <w:szCs w:val="14"/>
                <w:color w:val="auto"/>
              </w:rPr>
              <w:t>41</w:t>
            </w:r>
          </w:p>
        </w:tc>
      </w:tr>
      <w:tr>
        <w:trPr>
          <w:trHeight w:val="99"/>
        </w:trPr>
        <w:tc>
          <w:tcPr>
            <w:tcW w:w="4160" w:type="dxa"/>
            <w:vAlign w:val="bottom"/>
            <w:tcBorders>
              <w:bottom w:val="single" w:sz="8" w:color="9A9A9A"/>
            </w:tcBorders>
          </w:tcPr>
          <w:p>
            <w:pPr>
              <w:spacing w:after="0"/>
              <w:rPr>
                <w:sz w:val="8"/>
                <w:szCs w:val="8"/>
                <w:color w:val="auto"/>
              </w:rPr>
            </w:pPr>
          </w:p>
        </w:tc>
        <w:tc>
          <w:tcPr>
            <w:tcW w:w="70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41" w:name="page42"/>
    <w:bookmarkEnd w:id="41"/>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7</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Productivity and Business Processes and Intelligent Cloud</w:t>
      </w:r>
    </w:p>
    <w:p>
      <w:pPr>
        <w:spacing w:after="0" w:line="178"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Metrics related to our Productivity and Business Processes and Intelligent Cloud segments assess the health of our core businesses within these segments. The metrics reflect our cloud and on-premises product strategies and trends.</w:t>
      </w:r>
    </w:p>
    <w:p>
      <w:pPr>
        <w:spacing w:after="0" w:line="171" w:lineRule="exact"/>
        <w:rPr>
          <w:sz w:val="20"/>
          <w:szCs w:val="20"/>
          <w:color w:val="auto"/>
        </w:rPr>
      </w:pPr>
    </w:p>
    <w:p>
      <w:pPr>
        <w:jc w:val="both"/>
        <w:ind w:left="5300" w:hanging="5124"/>
        <w:spacing w:after="0" w:line="237" w:lineRule="auto"/>
        <w:rPr>
          <w:sz w:val="20"/>
          <w:szCs w:val="20"/>
          <w:color w:val="auto"/>
        </w:rPr>
      </w:pPr>
      <w:r>
        <w:rPr>
          <w:rFonts w:ascii="Arial" w:cs="Arial" w:eastAsia="Arial" w:hAnsi="Arial"/>
          <w:sz w:val="18"/>
          <w:szCs w:val="18"/>
          <w:color w:val="auto"/>
        </w:rPr>
        <w:t>Office Commercial products and cloud services revenue growth Revenue from Office Commercial products and cloud services (Office 365 subscriptions, the Office 365 portion of Microsoft 365 Commercial subscriptions, and Office licensed on-premises), comprising Office, Exchange, SharePoint, Microsoft Teams, Office 365 Security and Compliance, and Skype for Business</w:t>
      </w:r>
    </w:p>
    <w:p>
      <w:pPr>
        <w:sectPr>
          <w:pgSz w:w="11900" w:h="16838" w:orient="portrait"/>
          <w:cols w:equalWidth="0" w:num="1">
            <w:col w:w="11240"/>
          </w:cols>
          <w:pgMar w:left="320" w:top="137" w:right="339" w:bottom="1440" w:gutter="0" w:footer="0" w:header="0"/>
        </w:sectPr>
      </w:pPr>
    </w:p>
    <w:p>
      <w:pPr>
        <w:spacing w:after="0" w:line="6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Office Consumer products and cloud services revenue growth</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Revenue from Office Consumer products and cloud services, including Microsoft 365 Consumer subscriptions and Office licensed on-premises</w:t>
      </w:r>
    </w:p>
    <w:p>
      <w:pPr>
        <w:spacing w:after="0" w:line="63" w:lineRule="exact"/>
        <w:rPr>
          <w:sz w:val="20"/>
          <w:szCs w:val="20"/>
          <w:color w:val="auto"/>
        </w:rPr>
      </w:pPr>
    </w:p>
    <w:p>
      <w:pPr>
        <w:sectPr>
          <w:pgSz w:w="11900" w:h="16838" w:orient="portrait"/>
          <w:cols w:equalWidth="0" w:num="2">
            <w:col w:w="5060" w:space="240"/>
            <w:col w:w="5940"/>
          </w:cols>
          <w:pgMar w:left="320" w:top="137" w:right="339" w:bottom="1440" w:gutter="0" w:footer="0" w:header="0"/>
          <w:type w:val="continuous"/>
        </w:sectPr>
      </w:pPr>
    </w:p>
    <w:p>
      <w:pPr>
        <w:ind w:left="160"/>
        <w:spacing w:after="0"/>
        <w:rPr>
          <w:sz w:val="20"/>
          <w:szCs w:val="20"/>
          <w:color w:val="auto"/>
        </w:rPr>
      </w:pPr>
      <w:r>
        <w:rPr>
          <w:rFonts w:ascii="Arial" w:cs="Arial" w:eastAsia="Arial" w:hAnsi="Arial"/>
          <w:sz w:val="17"/>
          <w:szCs w:val="17"/>
          <w:color w:val="auto"/>
        </w:rPr>
        <w:t>Office 365 Commercial seat growth</w:t>
      </w:r>
    </w:p>
    <w:p>
      <w:pPr>
        <w:spacing w:after="0" w:line="20" w:lineRule="exact"/>
        <w:rPr>
          <w:sz w:val="20"/>
          <w:szCs w:val="20"/>
          <w:color w:val="auto"/>
        </w:rPr>
      </w:pPr>
      <w:r>
        <w:rPr>
          <w:sz w:val="20"/>
          <w:szCs w:val="20"/>
          <w:color w:val="auto"/>
        </w:rPr>
        <w:br w:type="column"/>
      </w:r>
    </w:p>
    <w:p>
      <w:pPr>
        <w:ind w:right="20"/>
        <w:spacing w:after="0" w:line="244" w:lineRule="auto"/>
        <w:rPr>
          <w:sz w:val="20"/>
          <w:szCs w:val="20"/>
          <w:color w:val="auto"/>
        </w:rPr>
      </w:pPr>
      <w:r>
        <w:rPr>
          <w:rFonts w:ascii="Arial" w:cs="Arial" w:eastAsia="Arial" w:hAnsi="Arial"/>
          <w:sz w:val="18"/>
          <w:szCs w:val="18"/>
          <w:color w:val="auto"/>
        </w:rPr>
        <w:t>The number of Office 365 Commercial seats at end of period where seats are paid users covered by an Office 365 Commercial subscription</w:t>
      </w:r>
    </w:p>
    <w:p>
      <w:pPr>
        <w:spacing w:after="0" w:line="58" w:lineRule="exact"/>
        <w:rPr>
          <w:sz w:val="20"/>
          <w:szCs w:val="20"/>
          <w:color w:val="auto"/>
        </w:rPr>
      </w:pPr>
    </w:p>
    <w:p>
      <w:pPr>
        <w:sectPr>
          <w:pgSz w:w="11900" w:h="16838" w:orient="portrait"/>
          <w:cols w:equalWidth="0" w:num="2">
            <w:col w:w="4580" w:space="720"/>
            <w:col w:w="5940"/>
          </w:cols>
          <w:pgMar w:left="320" w:top="137" w:right="339" w:bottom="1440" w:gutter="0" w:footer="0" w:header="0"/>
          <w:type w:val="continuous"/>
        </w:sectPr>
      </w:pPr>
    </w:p>
    <w:p>
      <w:pPr>
        <w:spacing w:after="0" w:line="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Microsoft 365 Consumer subscribers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The number of Microsoft 365 Consumer (formerly Office 365 Consumer)</w:t>
      </w:r>
    </w:p>
    <w:p>
      <w:pPr>
        <w:spacing w:after="0"/>
        <w:rPr>
          <w:sz w:val="20"/>
          <w:szCs w:val="20"/>
          <w:color w:val="auto"/>
        </w:rPr>
      </w:pPr>
      <w:r>
        <w:rPr>
          <w:rFonts w:ascii="Arial" w:cs="Arial" w:eastAsia="Arial" w:hAnsi="Arial"/>
          <w:sz w:val="18"/>
          <w:szCs w:val="18"/>
          <w:color w:val="auto"/>
        </w:rPr>
        <w:t>subscribers at end of period</w:t>
      </w:r>
    </w:p>
    <w:p>
      <w:pPr>
        <w:spacing w:after="0" w:line="76" w:lineRule="exact"/>
        <w:rPr>
          <w:sz w:val="20"/>
          <w:szCs w:val="20"/>
          <w:color w:val="auto"/>
        </w:rPr>
      </w:pPr>
    </w:p>
    <w:p>
      <w:pPr>
        <w:sectPr>
          <w:pgSz w:w="11900" w:h="16838" w:orient="portrait"/>
          <w:cols w:equalWidth="0" w:num="2">
            <w:col w:w="4580" w:space="720"/>
            <w:col w:w="5940"/>
          </w:cols>
          <w:pgMar w:left="320" w:top="137" w:right="339" w:bottom="1440" w:gutter="0" w:footer="0" w:header="0"/>
          <w:type w:val="continuous"/>
        </w:sectPr>
      </w:pPr>
    </w:p>
    <w:p>
      <w:pPr>
        <w:ind w:left="160"/>
        <w:spacing w:after="0"/>
        <w:rPr>
          <w:sz w:val="20"/>
          <w:szCs w:val="20"/>
          <w:color w:val="auto"/>
        </w:rPr>
      </w:pPr>
      <w:r>
        <w:rPr>
          <w:rFonts w:ascii="Arial" w:cs="Arial" w:eastAsia="Arial" w:hAnsi="Arial"/>
          <w:sz w:val="17"/>
          <w:szCs w:val="17"/>
          <w:color w:val="auto"/>
        </w:rPr>
        <w:t>Dynamics products and cloud services revenue growth</w:t>
      </w:r>
    </w:p>
    <w:p>
      <w:pPr>
        <w:spacing w:after="0" w:line="20" w:lineRule="exact"/>
        <w:rPr>
          <w:sz w:val="20"/>
          <w:szCs w:val="20"/>
          <w:color w:val="auto"/>
        </w:rPr>
      </w:pPr>
      <w:r>
        <w:rPr>
          <w:sz w:val="20"/>
          <w:szCs w:val="20"/>
          <w:color w:val="auto"/>
        </w:rPr>
        <w:br w:type="column"/>
      </w:r>
    </w:p>
    <w:p>
      <w:pPr>
        <w:jc w:val="both"/>
        <w:spacing w:after="0" w:line="238" w:lineRule="auto"/>
        <w:rPr>
          <w:sz w:val="20"/>
          <w:szCs w:val="20"/>
          <w:color w:val="auto"/>
        </w:rPr>
      </w:pPr>
      <w:r>
        <w:rPr>
          <w:rFonts w:ascii="Arial" w:cs="Arial" w:eastAsia="Arial" w:hAnsi="Arial"/>
          <w:sz w:val="18"/>
          <w:szCs w:val="18"/>
          <w:color w:val="auto"/>
        </w:rPr>
        <w:t>Revenue from Dynamics products and cloud services, including Dynamics 365, comprising a set of intelligent, cloud-based applications across ERP, CRM, Customer Insights, Power Apps, and Power Automate; and on-premises ERP and CRM applications</w:t>
      </w:r>
    </w:p>
    <w:p>
      <w:pPr>
        <w:spacing w:after="0" w:line="67" w:lineRule="exact"/>
        <w:rPr>
          <w:sz w:val="20"/>
          <w:szCs w:val="20"/>
          <w:color w:val="auto"/>
        </w:rPr>
      </w:pPr>
    </w:p>
    <w:p>
      <w:pPr>
        <w:sectPr>
          <w:pgSz w:w="11900" w:h="16838" w:orient="portrait"/>
          <w:cols w:equalWidth="0" w:num="2">
            <w:col w:w="4580" w:space="720"/>
            <w:col w:w="5940"/>
          </w:cols>
          <w:pgMar w:left="320" w:top="137" w:right="339" w:bottom="1440" w:gutter="0" w:footer="0" w:header="0"/>
          <w:type w:val="continuous"/>
        </w:sectPr>
      </w:pPr>
    </w:p>
    <w:p>
      <w:pPr>
        <w:ind w:left="160"/>
        <w:spacing w:after="0"/>
        <w:rPr>
          <w:sz w:val="20"/>
          <w:szCs w:val="20"/>
          <w:color w:val="auto"/>
        </w:rPr>
      </w:pPr>
      <w:r>
        <w:rPr>
          <w:rFonts w:ascii="Arial" w:cs="Arial" w:eastAsia="Arial" w:hAnsi="Arial"/>
          <w:sz w:val="18"/>
          <w:szCs w:val="18"/>
          <w:color w:val="auto"/>
        </w:rPr>
        <w:t>LinkedIn revenue growth</w:t>
      </w:r>
    </w:p>
    <w:p>
      <w:pPr>
        <w:spacing w:after="0" w:line="20" w:lineRule="exact"/>
        <w:rPr>
          <w:sz w:val="20"/>
          <w:szCs w:val="20"/>
          <w:color w:val="auto"/>
        </w:rPr>
      </w:pPr>
      <w:r>
        <w:rPr>
          <w:sz w:val="20"/>
          <w:szCs w:val="20"/>
          <w:color w:val="auto"/>
        </w:rPr>
        <w:br w:type="column"/>
      </w:r>
    </w:p>
    <w:p>
      <w:pPr>
        <w:spacing w:after="0" w:line="244" w:lineRule="auto"/>
        <w:rPr>
          <w:sz w:val="20"/>
          <w:szCs w:val="20"/>
          <w:color w:val="auto"/>
        </w:rPr>
      </w:pPr>
      <w:r>
        <w:rPr>
          <w:rFonts w:ascii="Arial" w:cs="Arial" w:eastAsia="Arial" w:hAnsi="Arial"/>
          <w:sz w:val="18"/>
          <w:szCs w:val="18"/>
          <w:color w:val="auto"/>
        </w:rPr>
        <w:t>Revenue from LinkedIn, including Talent Solutions, Marketing Solutions, Premium Subscriptions, Sales Solutions, and Learning Solutions</w:t>
      </w:r>
    </w:p>
    <w:p>
      <w:pPr>
        <w:spacing w:after="0" w:line="63" w:lineRule="exact"/>
        <w:rPr>
          <w:sz w:val="20"/>
          <w:szCs w:val="20"/>
          <w:color w:val="auto"/>
        </w:rPr>
      </w:pPr>
    </w:p>
    <w:p>
      <w:pPr>
        <w:sectPr>
          <w:pgSz w:w="11900" w:h="16838" w:orient="portrait"/>
          <w:cols w:equalWidth="0" w:num="2">
            <w:col w:w="4580" w:space="720"/>
            <w:col w:w="5940"/>
          </w:cols>
          <w:pgMar w:left="320" w:top="137" w:right="339" w:bottom="1440" w:gutter="0" w:footer="0" w:header="0"/>
          <w:type w:val="continuous"/>
        </w:sectPr>
      </w:pPr>
    </w:p>
    <w:p>
      <w:pPr>
        <w:ind w:left="160"/>
        <w:spacing w:after="0"/>
        <w:rPr>
          <w:sz w:val="20"/>
          <w:szCs w:val="20"/>
          <w:color w:val="auto"/>
        </w:rPr>
      </w:pPr>
      <w:r>
        <w:rPr>
          <w:rFonts w:ascii="Arial" w:cs="Arial" w:eastAsia="Arial" w:hAnsi="Arial"/>
          <w:sz w:val="17"/>
          <w:szCs w:val="17"/>
          <w:color w:val="auto"/>
        </w:rPr>
        <w:t>Server products and cloud services revenue growth</w:t>
      </w:r>
    </w:p>
    <w:p>
      <w:pPr>
        <w:spacing w:after="0" w:line="20" w:lineRule="exact"/>
        <w:rPr>
          <w:sz w:val="20"/>
          <w:szCs w:val="20"/>
          <w:color w:val="auto"/>
        </w:rPr>
      </w:pPr>
      <w:r>
        <w:rPr>
          <w:sz w:val="20"/>
          <w:szCs w:val="20"/>
          <w:color w:val="auto"/>
        </w:rPr>
        <w:br w:type="column"/>
      </w:r>
    </w:p>
    <w:p>
      <w:pPr>
        <w:jc w:val="both"/>
        <w:spacing w:after="0" w:line="239" w:lineRule="auto"/>
        <w:rPr>
          <w:sz w:val="20"/>
          <w:szCs w:val="20"/>
          <w:color w:val="auto"/>
        </w:rPr>
      </w:pPr>
      <w:r>
        <w:rPr>
          <w:rFonts w:ascii="Arial" w:cs="Arial" w:eastAsia="Arial" w:hAnsi="Arial"/>
          <w:sz w:val="18"/>
          <w:szCs w:val="18"/>
          <w:color w:val="auto"/>
        </w:rPr>
        <w:t>Revenue from Server products and cloud services, including Azure; SQL Server, Windows Server, Visual Studio, System Center, and related Client Access Licenses (“CALs”); and GitHub</w:t>
      </w:r>
    </w:p>
    <w:p>
      <w:pPr>
        <w:spacing w:after="0" w:line="194" w:lineRule="exact"/>
        <w:rPr>
          <w:sz w:val="20"/>
          <w:szCs w:val="20"/>
          <w:color w:val="auto"/>
        </w:rPr>
      </w:pPr>
    </w:p>
    <w:p>
      <w:pPr>
        <w:sectPr>
          <w:pgSz w:w="11900" w:h="16838" w:orient="portrait"/>
          <w:cols w:equalWidth="0" w:num="2">
            <w:col w:w="4580" w:space="720"/>
            <w:col w:w="5940"/>
          </w:cols>
          <w:pgMar w:left="320" w:top="137" w:right="33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More Personal Computing</w:t>
      </w:r>
    </w:p>
    <w:p>
      <w:pPr>
        <w:spacing w:after="0" w:line="17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Metrics related to our More Personal Computing segment assess the performance of key lines of business within this segment. These metrics provide strategic product insights which allow us to assess the performance across our commercial and consumer businesses. As we have diversity of target audiences and sales motions within the Windows business, we monitor metrics that are reflective of those varying motions.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20" w:type="dxa"/>
            <w:vAlign w:val="bottom"/>
          </w:tcPr>
          <w:p>
            <w:pPr>
              <w:ind w:left="160"/>
              <w:spacing w:after="0"/>
              <w:rPr>
                <w:sz w:val="20"/>
                <w:szCs w:val="20"/>
                <w:color w:val="auto"/>
              </w:rPr>
            </w:pPr>
            <w:r>
              <w:rPr>
                <w:rFonts w:ascii="Arial" w:cs="Arial" w:eastAsia="Arial" w:hAnsi="Arial"/>
                <w:sz w:val="18"/>
                <w:szCs w:val="18"/>
                <w:color w:val="auto"/>
              </w:rPr>
              <w:t>Windows OEM Pro revenue growth</w:t>
            </w:r>
          </w:p>
        </w:tc>
        <w:tc>
          <w:tcPr>
            <w:tcW w:w="7320" w:type="dxa"/>
            <w:vAlign w:val="bottom"/>
          </w:tcPr>
          <w:p>
            <w:pPr>
              <w:ind w:left="580"/>
              <w:spacing w:after="0"/>
              <w:rPr>
                <w:sz w:val="20"/>
                <w:szCs w:val="20"/>
                <w:color w:val="auto"/>
              </w:rPr>
            </w:pPr>
            <w:r>
              <w:rPr>
                <w:rFonts w:ascii="Arial" w:cs="Arial" w:eastAsia="Arial" w:hAnsi="Arial"/>
                <w:sz w:val="18"/>
                <w:szCs w:val="18"/>
                <w:color w:val="auto"/>
              </w:rPr>
              <w:t>Revenue from sales of Windows Pro licenses sold through the OEM channel, which</w:t>
            </w:r>
          </w:p>
        </w:tc>
      </w:tr>
      <w:tr>
        <w:trPr>
          <w:trHeight w:val="216"/>
        </w:trPr>
        <w:tc>
          <w:tcPr>
            <w:tcW w:w="3920" w:type="dxa"/>
            <w:vAlign w:val="bottom"/>
          </w:tcPr>
          <w:p>
            <w:pPr>
              <w:spacing w:after="0"/>
              <w:rPr>
                <w:sz w:val="18"/>
                <w:szCs w:val="18"/>
                <w:color w:val="auto"/>
              </w:rPr>
            </w:pPr>
          </w:p>
        </w:tc>
        <w:tc>
          <w:tcPr>
            <w:tcW w:w="7320" w:type="dxa"/>
            <w:vAlign w:val="bottom"/>
          </w:tcPr>
          <w:p>
            <w:pPr>
              <w:ind w:left="580"/>
              <w:spacing w:after="0"/>
              <w:rPr>
                <w:sz w:val="20"/>
                <w:szCs w:val="20"/>
                <w:color w:val="auto"/>
              </w:rPr>
            </w:pPr>
            <w:r>
              <w:rPr>
                <w:rFonts w:ascii="Arial" w:cs="Arial" w:eastAsia="Arial" w:hAnsi="Arial"/>
                <w:sz w:val="18"/>
                <w:szCs w:val="18"/>
                <w:color w:val="auto"/>
              </w:rPr>
              <w:t>primarily addresses demand in the commercial market</w:t>
            </w:r>
          </w:p>
        </w:tc>
      </w:tr>
      <w:tr>
        <w:trPr>
          <w:trHeight w:val="268"/>
        </w:trPr>
        <w:tc>
          <w:tcPr>
            <w:tcW w:w="3920" w:type="dxa"/>
            <w:vAlign w:val="bottom"/>
          </w:tcPr>
          <w:p>
            <w:pPr>
              <w:ind w:left="160"/>
              <w:spacing w:after="0"/>
              <w:rPr>
                <w:sz w:val="20"/>
                <w:szCs w:val="20"/>
                <w:color w:val="auto"/>
              </w:rPr>
            </w:pPr>
            <w:r>
              <w:rPr>
                <w:rFonts w:ascii="Arial" w:cs="Arial" w:eastAsia="Arial" w:hAnsi="Arial"/>
                <w:sz w:val="18"/>
                <w:szCs w:val="18"/>
                <w:color w:val="auto"/>
              </w:rPr>
              <w:t>Windows OEM non-Pro revenue growth</w:t>
            </w:r>
          </w:p>
        </w:tc>
        <w:tc>
          <w:tcPr>
            <w:tcW w:w="7320" w:type="dxa"/>
            <w:vAlign w:val="bottom"/>
          </w:tcPr>
          <w:p>
            <w:pPr>
              <w:ind w:left="580"/>
              <w:spacing w:after="0"/>
              <w:rPr>
                <w:sz w:val="20"/>
                <w:szCs w:val="20"/>
                <w:color w:val="auto"/>
              </w:rPr>
            </w:pPr>
            <w:r>
              <w:rPr>
                <w:rFonts w:ascii="Arial" w:cs="Arial" w:eastAsia="Arial" w:hAnsi="Arial"/>
                <w:sz w:val="18"/>
                <w:szCs w:val="18"/>
                <w:color w:val="auto"/>
              </w:rPr>
              <w:t>Revenue from sales of Windows non-Pro licenses sold through the OEM channel,</w:t>
            </w:r>
          </w:p>
        </w:tc>
      </w:tr>
      <w:tr>
        <w:trPr>
          <w:trHeight w:val="216"/>
        </w:trPr>
        <w:tc>
          <w:tcPr>
            <w:tcW w:w="3920" w:type="dxa"/>
            <w:vAlign w:val="bottom"/>
          </w:tcPr>
          <w:p>
            <w:pPr>
              <w:spacing w:after="0"/>
              <w:rPr>
                <w:sz w:val="18"/>
                <w:szCs w:val="18"/>
                <w:color w:val="auto"/>
              </w:rPr>
            </w:pPr>
          </w:p>
        </w:tc>
        <w:tc>
          <w:tcPr>
            <w:tcW w:w="7320" w:type="dxa"/>
            <w:vAlign w:val="bottom"/>
          </w:tcPr>
          <w:p>
            <w:pPr>
              <w:ind w:left="580"/>
              <w:spacing w:after="0"/>
              <w:rPr>
                <w:sz w:val="20"/>
                <w:szCs w:val="20"/>
                <w:color w:val="auto"/>
              </w:rPr>
            </w:pPr>
            <w:r>
              <w:rPr>
                <w:rFonts w:ascii="Arial" w:cs="Arial" w:eastAsia="Arial" w:hAnsi="Arial"/>
                <w:sz w:val="18"/>
                <w:szCs w:val="18"/>
                <w:color w:val="auto"/>
              </w:rPr>
              <w:t>which primarily addresses demand in the consumer market</w:t>
            </w:r>
          </w:p>
        </w:tc>
      </w:tr>
      <w:tr>
        <w:trPr>
          <w:trHeight w:val="459"/>
        </w:trPr>
        <w:tc>
          <w:tcPr>
            <w:tcW w:w="3920" w:type="dxa"/>
            <w:vAlign w:val="bottom"/>
          </w:tcPr>
          <w:p>
            <w:pPr>
              <w:spacing w:after="0"/>
              <w:rPr>
                <w:sz w:val="24"/>
                <w:szCs w:val="24"/>
                <w:color w:val="auto"/>
              </w:rPr>
            </w:pPr>
          </w:p>
        </w:tc>
        <w:tc>
          <w:tcPr>
            <w:tcW w:w="7320" w:type="dxa"/>
            <w:vAlign w:val="bottom"/>
          </w:tcPr>
          <w:p>
            <w:pPr>
              <w:ind w:left="1620"/>
              <w:spacing w:after="0"/>
              <w:rPr>
                <w:sz w:val="20"/>
                <w:szCs w:val="20"/>
                <w:color w:val="auto"/>
              </w:rPr>
            </w:pPr>
            <w:r>
              <w:rPr>
                <w:rFonts w:ascii="Arial" w:cs="Arial" w:eastAsia="Arial" w:hAnsi="Arial"/>
                <w:sz w:val="14"/>
                <w:szCs w:val="14"/>
                <w:color w:val="auto"/>
              </w:rPr>
              <w:t>42</w:t>
            </w:r>
          </w:p>
        </w:tc>
      </w:tr>
      <w:tr>
        <w:trPr>
          <w:trHeight w:val="99"/>
        </w:trPr>
        <w:tc>
          <w:tcPr>
            <w:tcW w:w="3920" w:type="dxa"/>
            <w:vAlign w:val="bottom"/>
            <w:tcBorders>
              <w:bottom w:val="single" w:sz="8" w:color="9A9A9A"/>
            </w:tcBorders>
          </w:tcPr>
          <w:p>
            <w:pPr>
              <w:spacing w:after="0"/>
              <w:rPr>
                <w:sz w:val="8"/>
                <w:szCs w:val="8"/>
                <w:color w:val="auto"/>
              </w:rPr>
            </w:pPr>
          </w:p>
        </w:tc>
        <w:tc>
          <w:tcPr>
            <w:tcW w:w="73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type w:val="continuous"/>
        </w:sectPr>
      </w:pPr>
    </w:p>
    <w:bookmarkStart w:id="42" w:name="page43"/>
    <w:bookmarkEnd w:id="42"/>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7</w:t>
      </w:r>
    </w:p>
    <w:p>
      <w:pPr>
        <w:spacing w:after="0" w:line="200" w:lineRule="exact"/>
        <w:rPr>
          <w:sz w:val="20"/>
          <w:szCs w:val="20"/>
          <w:color w:val="auto"/>
        </w:rPr>
      </w:pPr>
    </w:p>
    <w:p>
      <w:pPr>
        <w:jc w:val="both"/>
        <w:ind w:left="5560" w:hanging="5393"/>
        <w:spacing w:after="0" w:line="239" w:lineRule="auto"/>
        <w:rPr>
          <w:sz w:val="20"/>
          <w:szCs w:val="20"/>
          <w:color w:val="auto"/>
        </w:rPr>
      </w:pPr>
      <w:r>
        <w:rPr>
          <w:rFonts w:ascii="Arial" w:cs="Arial" w:eastAsia="Arial" w:hAnsi="Arial"/>
          <w:sz w:val="18"/>
          <w:szCs w:val="18"/>
          <w:color w:val="auto"/>
        </w:rPr>
        <w:t>Windows Commercial products and cloud services revenue growth Revenue from Windows Commercial products and cloud services, comprising volume licensing of the Windows operating system, Windows cloud services, and other Windows commercial offerings</w:t>
      </w:r>
    </w:p>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60" w:type="dxa"/>
            <w:vAlign w:val="bottom"/>
            <w:gridSpan w:val="2"/>
          </w:tcPr>
          <w:p>
            <w:pPr>
              <w:ind w:left="120"/>
              <w:spacing w:after="0"/>
              <w:rPr>
                <w:sz w:val="20"/>
                <w:szCs w:val="20"/>
                <w:color w:val="auto"/>
              </w:rPr>
            </w:pPr>
            <w:r>
              <w:rPr>
                <w:rFonts w:ascii="Arial" w:cs="Arial" w:eastAsia="Arial" w:hAnsi="Arial"/>
                <w:sz w:val="18"/>
                <w:szCs w:val="18"/>
                <w:color w:val="auto"/>
              </w:rPr>
              <w:t>Surface revenue</w:t>
            </w:r>
          </w:p>
        </w:tc>
        <w:tc>
          <w:tcPr>
            <w:tcW w:w="5020" w:type="dxa"/>
            <w:vAlign w:val="bottom"/>
            <w:gridSpan w:val="5"/>
          </w:tcPr>
          <w:p>
            <w:pPr>
              <w:ind w:left="660"/>
              <w:spacing w:after="0"/>
              <w:rPr>
                <w:sz w:val="20"/>
                <w:szCs w:val="20"/>
                <w:color w:val="auto"/>
              </w:rPr>
            </w:pPr>
            <w:r>
              <w:rPr>
                <w:rFonts w:ascii="Arial" w:cs="Arial" w:eastAsia="Arial" w:hAnsi="Arial"/>
                <w:sz w:val="18"/>
                <w:szCs w:val="18"/>
                <w:color w:val="auto"/>
              </w:rPr>
              <w:t>Revenue from Surface devices and accessories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4860" w:type="dxa"/>
            <w:vAlign w:val="bottom"/>
            <w:gridSpan w:val="2"/>
          </w:tcPr>
          <w:p>
            <w:pPr>
              <w:ind w:left="120"/>
              <w:spacing w:after="0"/>
              <w:rPr>
                <w:sz w:val="20"/>
                <w:szCs w:val="20"/>
                <w:color w:val="auto"/>
              </w:rPr>
            </w:pPr>
            <w:r>
              <w:rPr>
                <w:rFonts w:ascii="Arial" w:cs="Arial" w:eastAsia="Arial" w:hAnsi="Arial"/>
                <w:sz w:val="18"/>
                <w:szCs w:val="18"/>
                <w:color w:val="auto"/>
              </w:rPr>
              <w:t>Xbox content and services revenue growth</w:t>
            </w:r>
          </w:p>
        </w:tc>
        <w:tc>
          <w:tcPr>
            <w:tcW w:w="6340" w:type="dxa"/>
            <w:vAlign w:val="bottom"/>
            <w:gridSpan w:val="7"/>
          </w:tcPr>
          <w:p>
            <w:pPr>
              <w:ind w:left="660"/>
              <w:spacing w:after="0"/>
              <w:rPr>
                <w:sz w:val="20"/>
                <w:szCs w:val="20"/>
                <w:color w:val="auto"/>
              </w:rPr>
            </w:pPr>
            <w:r>
              <w:rPr>
                <w:rFonts w:ascii="Arial" w:cs="Arial" w:eastAsia="Arial" w:hAnsi="Arial"/>
                <w:sz w:val="18"/>
                <w:szCs w:val="18"/>
                <w:color w:val="auto"/>
              </w:rPr>
              <w:t>Revenue  from  Xbox  content  and  services,  comprising  digital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340" w:type="dxa"/>
            <w:vAlign w:val="bottom"/>
            <w:gridSpan w:val="7"/>
          </w:tcPr>
          <w:p>
            <w:pPr>
              <w:ind w:left="660"/>
              <w:spacing w:after="0" w:line="201" w:lineRule="exact"/>
              <w:rPr>
                <w:sz w:val="20"/>
                <w:szCs w:val="20"/>
                <w:color w:val="auto"/>
              </w:rPr>
            </w:pPr>
            <w:r>
              <w:rPr>
                <w:rFonts w:ascii="Arial" w:cs="Arial" w:eastAsia="Arial" w:hAnsi="Arial"/>
                <w:sz w:val="18"/>
                <w:szCs w:val="18"/>
                <w:color w:val="auto"/>
              </w:rPr>
              <w:t>transactions, Xbox Game Pass and other subscriptions, video games,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340" w:type="dxa"/>
            <w:vAlign w:val="bottom"/>
            <w:gridSpan w:val="7"/>
          </w:tcPr>
          <w:p>
            <w:pPr>
              <w:ind w:left="660"/>
              <w:spacing w:after="0"/>
              <w:rPr>
                <w:sz w:val="20"/>
                <w:szCs w:val="20"/>
                <w:color w:val="auto"/>
              </w:rPr>
            </w:pPr>
            <w:r>
              <w:rPr>
                <w:rFonts w:ascii="Arial" w:cs="Arial" w:eastAsia="Arial" w:hAnsi="Arial"/>
                <w:sz w:val="18"/>
                <w:szCs w:val="18"/>
                <w:color w:val="auto"/>
              </w:rPr>
              <w:t>third-party video game royalties, cloud services, and advertising</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4860" w:type="dxa"/>
            <w:vAlign w:val="bottom"/>
            <w:gridSpan w:val="2"/>
          </w:tcPr>
          <w:p>
            <w:pPr>
              <w:ind w:left="120"/>
              <w:spacing w:after="0"/>
              <w:rPr>
                <w:sz w:val="20"/>
                <w:szCs w:val="20"/>
                <w:color w:val="auto"/>
              </w:rPr>
            </w:pPr>
            <w:r>
              <w:rPr>
                <w:rFonts w:ascii="Arial" w:cs="Arial" w:eastAsia="Arial" w:hAnsi="Arial"/>
                <w:sz w:val="18"/>
                <w:szCs w:val="18"/>
                <w:color w:val="auto"/>
              </w:rPr>
              <w:t>Search advertising revenue, excluding TAC, growth</w:t>
            </w:r>
          </w:p>
        </w:tc>
        <w:tc>
          <w:tcPr>
            <w:tcW w:w="6340" w:type="dxa"/>
            <w:vAlign w:val="bottom"/>
            <w:gridSpan w:val="7"/>
          </w:tcPr>
          <w:p>
            <w:pPr>
              <w:ind w:left="660"/>
              <w:spacing w:after="0"/>
              <w:rPr>
                <w:sz w:val="20"/>
                <w:szCs w:val="20"/>
                <w:color w:val="auto"/>
              </w:rPr>
            </w:pPr>
            <w:r>
              <w:rPr>
                <w:rFonts w:ascii="Arial" w:cs="Arial" w:eastAsia="Arial" w:hAnsi="Arial"/>
                <w:sz w:val="18"/>
                <w:szCs w:val="18"/>
                <w:color w:val="auto"/>
              </w:rPr>
              <w:t>Revenue from search advertising excluding traffic acquisition costs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20" w:type="dxa"/>
            <w:vAlign w:val="bottom"/>
            <w:gridSpan w:val="5"/>
          </w:tcPr>
          <w:p>
            <w:pPr>
              <w:ind w:left="660"/>
              <w:spacing w:after="0"/>
              <w:rPr>
                <w:sz w:val="20"/>
                <w:szCs w:val="20"/>
                <w:color w:val="auto"/>
              </w:rPr>
            </w:pPr>
            <w:r>
              <w:rPr>
                <w:rFonts w:ascii="Arial" w:cs="Arial" w:eastAsia="Arial" w:hAnsi="Arial"/>
                <w:sz w:val="18"/>
                <w:szCs w:val="18"/>
                <w:color w:val="auto"/>
              </w:rPr>
              <w:t>(“TAC”) paid to Bing Ads network publishers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7860" w:type="dxa"/>
            <w:vAlign w:val="bottom"/>
            <w:gridSpan w:val="5"/>
          </w:tcPr>
          <w:p>
            <w:pPr>
              <w:jc w:val="right"/>
              <w:ind w:right="640"/>
              <w:spacing w:after="0"/>
              <w:rPr>
                <w:sz w:val="20"/>
                <w:szCs w:val="20"/>
                <w:color w:val="auto"/>
              </w:rPr>
            </w:pPr>
            <w:r>
              <w:rPr>
                <w:rFonts w:ascii="Arial" w:cs="Arial" w:eastAsia="Arial" w:hAnsi="Arial"/>
                <w:sz w:val="18"/>
                <w:szCs w:val="18"/>
                <w:color w:val="auto"/>
              </w:rPr>
              <w:t>SUMMARY RESULTS OF OPERATIONS</w:t>
            </w: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78"/>
        </w:trPr>
        <w:tc>
          <w:tcPr>
            <w:tcW w:w="4880" w:type="dxa"/>
            <w:vAlign w:val="bottom"/>
            <w:gridSpan w:val="3"/>
          </w:tcPr>
          <w:p>
            <w:pPr>
              <w:spacing w:after="0"/>
              <w:rPr>
                <w:sz w:val="20"/>
                <w:szCs w:val="20"/>
                <w:color w:val="auto"/>
              </w:rPr>
            </w:pPr>
            <w:r>
              <w:rPr>
                <w:rFonts w:ascii="Arial" w:cs="Arial" w:eastAsia="Arial" w:hAnsi="Arial"/>
                <w:sz w:val="13"/>
                <w:szCs w:val="13"/>
                <w:b w:val="1"/>
                <w:bCs w:val="1"/>
                <w:color w:val="auto"/>
              </w:rPr>
              <w:t>(In millions, except percentages and per share amounts)</w:t>
            </w:r>
          </w:p>
        </w:tc>
        <w:tc>
          <w:tcPr>
            <w:tcW w:w="188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2021</w:t>
            </w:r>
          </w:p>
        </w:tc>
        <w:tc>
          <w:tcPr>
            <w:tcW w:w="560" w:type="dxa"/>
            <w:vAlign w:val="bottom"/>
          </w:tcPr>
          <w:p>
            <w:pPr>
              <w:spacing w:after="0"/>
              <w:rPr>
                <w:sz w:val="15"/>
                <w:szCs w:val="15"/>
                <w:color w:val="auto"/>
              </w:rPr>
            </w:pPr>
          </w:p>
        </w:tc>
        <w:tc>
          <w:tcPr>
            <w:tcW w:w="1460" w:type="dxa"/>
            <w:vAlign w:val="bottom"/>
          </w:tcPr>
          <w:p>
            <w:pPr>
              <w:jc w:val="right"/>
              <w:ind w:right="373"/>
              <w:spacing w:after="0"/>
              <w:rPr>
                <w:sz w:val="20"/>
                <w:szCs w:val="20"/>
                <w:color w:val="auto"/>
              </w:rPr>
            </w:pPr>
            <w:r>
              <w:rPr>
                <w:rFonts w:ascii="Arial" w:cs="Arial" w:eastAsia="Arial" w:hAnsi="Arial"/>
                <w:sz w:val="13"/>
                <w:szCs w:val="13"/>
                <w:b w:val="1"/>
                <w:bCs w:val="1"/>
                <w:color w:val="auto"/>
              </w:rPr>
              <w:t>2020</w:t>
            </w:r>
          </w:p>
        </w:tc>
        <w:tc>
          <w:tcPr>
            <w:tcW w:w="13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9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39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8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860" w:type="dxa"/>
            <w:vAlign w:val="bottom"/>
            <w:gridSpan w:val="2"/>
            <w:shd w:val="clear" w:color="auto" w:fill="E5E5E5"/>
          </w:tcPr>
          <w:p>
            <w:pPr>
              <w:spacing w:after="0" w:line="189" w:lineRule="exact"/>
              <w:rPr>
                <w:sz w:val="20"/>
                <w:szCs w:val="20"/>
                <w:color w:val="auto"/>
              </w:rPr>
            </w:pPr>
            <w:r>
              <w:rPr>
                <w:rFonts w:ascii="Arial" w:cs="Arial" w:eastAsia="Arial" w:hAnsi="Arial"/>
                <w:sz w:val="18"/>
                <w:szCs w:val="18"/>
                <w:color w:val="auto"/>
              </w:rPr>
              <w:t>Revenue</w:t>
            </w:r>
          </w:p>
        </w:tc>
        <w:tc>
          <w:tcPr>
            <w:tcW w:w="1880" w:type="dxa"/>
            <w:vAlign w:val="bottom"/>
            <w:shd w:val="clear" w:color="auto" w:fill="E5E5E5"/>
          </w:tcPr>
          <w:p>
            <w:pPr>
              <w:ind w:left="1420"/>
              <w:spacing w:after="0" w:line="189" w:lineRule="exact"/>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168,088</w:t>
            </w:r>
          </w:p>
        </w:tc>
        <w:tc>
          <w:tcPr>
            <w:tcW w:w="560" w:type="dxa"/>
            <w:vAlign w:val="bottom"/>
            <w:shd w:val="clear" w:color="auto" w:fill="E5E5E5"/>
          </w:tcPr>
          <w:p>
            <w:pPr>
              <w:jc w:val="right"/>
              <w:ind w:right="270"/>
              <w:spacing w:after="0" w:line="189" w:lineRule="exact"/>
              <w:rPr>
                <w:sz w:val="20"/>
                <w:szCs w:val="20"/>
                <w:color w:val="auto"/>
              </w:rPr>
            </w:pPr>
            <w:r>
              <w:rPr>
                <w:rFonts w:ascii="Arial" w:cs="Arial" w:eastAsia="Arial" w:hAnsi="Arial"/>
                <w:sz w:val="18"/>
                <w:szCs w:val="18"/>
                <w:color w:val="auto"/>
              </w:rPr>
              <w:t>$</w:t>
            </w:r>
          </w:p>
        </w:tc>
        <w:tc>
          <w:tcPr>
            <w:tcW w:w="1460" w:type="dxa"/>
            <w:vAlign w:val="bottom"/>
            <w:shd w:val="clear" w:color="auto" w:fill="E5E5E5"/>
          </w:tcPr>
          <w:p>
            <w:pPr>
              <w:jc w:val="right"/>
              <w:ind w:right="373"/>
              <w:spacing w:after="0" w:line="189" w:lineRule="exact"/>
              <w:rPr>
                <w:sz w:val="20"/>
                <w:szCs w:val="20"/>
                <w:color w:val="auto"/>
              </w:rPr>
            </w:pPr>
            <w:r>
              <w:rPr>
                <w:rFonts w:ascii="Arial" w:cs="Arial" w:eastAsia="Arial" w:hAnsi="Arial"/>
                <w:sz w:val="18"/>
                <w:szCs w:val="18"/>
                <w:color w:val="auto"/>
              </w:rPr>
              <w:t>143,015</w:t>
            </w:r>
          </w:p>
        </w:tc>
        <w:tc>
          <w:tcPr>
            <w:tcW w:w="12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18%</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860" w:type="dxa"/>
            <w:vAlign w:val="bottom"/>
            <w:gridSpan w:val="2"/>
          </w:tcPr>
          <w:p>
            <w:pPr>
              <w:spacing w:after="0" w:line="189" w:lineRule="exact"/>
              <w:rPr>
                <w:sz w:val="20"/>
                <w:szCs w:val="20"/>
                <w:color w:val="auto"/>
              </w:rPr>
            </w:pPr>
            <w:r>
              <w:rPr>
                <w:rFonts w:ascii="Arial" w:cs="Arial" w:eastAsia="Arial" w:hAnsi="Arial"/>
                <w:sz w:val="18"/>
                <w:szCs w:val="18"/>
                <w:color w:val="auto"/>
              </w:rPr>
              <w:t>Gross margin</w:t>
            </w:r>
          </w:p>
        </w:tc>
        <w:tc>
          <w:tcPr>
            <w:tcW w:w="1880" w:type="dxa"/>
            <w:vAlign w:val="bottom"/>
          </w:tcPr>
          <w:p>
            <w:pPr>
              <w:spacing w:after="0"/>
              <w:rPr>
                <w:sz w:val="16"/>
                <w:szCs w:val="16"/>
                <w:color w:val="auto"/>
              </w:rPr>
            </w:pPr>
          </w:p>
        </w:tc>
        <w:tc>
          <w:tcPr>
            <w:tcW w:w="112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115,856</w:t>
            </w:r>
          </w:p>
        </w:tc>
        <w:tc>
          <w:tcPr>
            <w:tcW w:w="560" w:type="dxa"/>
            <w:vAlign w:val="bottom"/>
          </w:tcPr>
          <w:p>
            <w:pPr>
              <w:spacing w:after="0"/>
              <w:rPr>
                <w:sz w:val="16"/>
                <w:szCs w:val="16"/>
                <w:color w:val="auto"/>
              </w:rPr>
            </w:pPr>
          </w:p>
        </w:tc>
        <w:tc>
          <w:tcPr>
            <w:tcW w:w="1460" w:type="dxa"/>
            <w:vAlign w:val="bottom"/>
          </w:tcPr>
          <w:p>
            <w:pPr>
              <w:jc w:val="right"/>
              <w:ind w:right="373"/>
              <w:spacing w:after="0" w:line="189" w:lineRule="exact"/>
              <w:rPr>
                <w:sz w:val="20"/>
                <w:szCs w:val="20"/>
                <w:color w:val="auto"/>
              </w:rPr>
            </w:pPr>
            <w:r>
              <w:rPr>
                <w:rFonts w:ascii="Arial" w:cs="Arial" w:eastAsia="Arial" w:hAnsi="Arial"/>
                <w:sz w:val="18"/>
                <w:szCs w:val="18"/>
                <w:color w:val="auto"/>
              </w:rPr>
              <w:t>96,937</w:t>
            </w: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860" w:type="dxa"/>
            <w:vAlign w:val="bottom"/>
            <w:gridSpan w:val="2"/>
            <w:shd w:val="clear" w:color="auto" w:fill="E5E5E5"/>
          </w:tcPr>
          <w:p>
            <w:pPr>
              <w:spacing w:after="0" w:line="189" w:lineRule="exact"/>
              <w:rPr>
                <w:sz w:val="20"/>
                <w:szCs w:val="20"/>
                <w:color w:val="auto"/>
              </w:rPr>
            </w:pPr>
            <w:r>
              <w:rPr>
                <w:rFonts w:ascii="Arial" w:cs="Arial" w:eastAsia="Arial" w:hAnsi="Arial"/>
                <w:sz w:val="18"/>
                <w:szCs w:val="18"/>
                <w:color w:val="auto"/>
              </w:rPr>
              <w:t>Operating income</w:t>
            </w:r>
          </w:p>
        </w:tc>
        <w:tc>
          <w:tcPr>
            <w:tcW w:w="188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69,916</w:t>
            </w:r>
          </w:p>
        </w:tc>
        <w:tc>
          <w:tcPr>
            <w:tcW w:w="560" w:type="dxa"/>
            <w:vAlign w:val="bottom"/>
            <w:shd w:val="clear" w:color="auto" w:fill="E5E5E5"/>
          </w:tcPr>
          <w:p>
            <w:pPr>
              <w:spacing w:after="0"/>
              <w:rPr>
                <w:sz w:val="16"/>
                <w:szCs w:val="16"/>
                <w:color w:val="auto"/>
              </w:rPr>
            </w:pPr>
          </w:p>
        </w:tc>
        <w:tc>
          <w:tcPr>
            <w:tcW w:w="1460" w:type="dxa"/>
            <w:vAlign w:val="bottom"/>
            <w:shd w:val="clear" w:color="auto" w:fill="E5E5E5"/>
          </w:tcPr>
          <w:p>
            <w:pPr>
              <w:jc w:val="right"/>
              <w:ind w:right="373"/>
              <w:spacing w:after="0" w:line="189" w:lineRule="exact"/>
              <w:rPr>
                <w:sz w:val="20"/>
                <w:szCs w:val="20"/>
                <w:color w:val="auto"/>
              </w:rPr>
            </w:pPr>
            <w:r>
              <w:rPr>
                <w:rFonts w:ascii="Arial" w:cs="Arial" w:eastAsia="Arial" w:hAnsi="Arial"/>
                <w:sz w:val="18"/>
                <w:szCs w:val="18"/>
                <w:color w:val="auto"/>
              </w:rPr>
              <w:t>52,959</w:t>
            </w:r>
          </w:p>
        </w:tc>
        <w:tc>
          <w:tcPr>
            <w:tcW w:w="12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32%</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860" w:type="dxa"/>
            <w:vAlign w:val="bottom"/>
            <w:gridSpan w:val="2"/>
          </w:tcPr>
          <w:p>
            <w:pPr>
              <w:spacing w:after="0" w:line="189" w:lineRule="exact"/>
              <w:rPr>
                <w:sz w:val="20"/>
                <w:szCs w:val="20"/>
                <w:color w:val="auto"/>
              </w:rPr>
            </w:pPr>
            <w:r>
              <w:rPr>
                <w:rFonts w:ascii="Arial" w:cs="Arial" w:eastAsia="Arial" w:hAnsi="Arial"/>
                <w:sz w:val="18"/>
                <w:szCs w:val="18"/>
                <w:color w:val="auto"/>
              </w:rPr>
              <w:t>Net income</w:t>
            </w:r>
          </w:p>
        </w:tc>
        <w:tc>
          <w:tcPr>
            <w:tcW w:w="1880" w:type="dxa"/>
            <w:vAlign w:val="bottom"/>
          </w:tcPr>
          <w:p>
            <w:pPr>
              <w:spacing w:after="0"/>
              <w:rPr>
                <w:sz w:val="16"/>
                <w:szCs w:val="16"/>
                <w:color w:val="auto"/>
              </w:rPr>
            </w:pPr>
          </w:p>
        </w:tc>
        <w:tc>
          <w:tcPr>
            <w:tcW w:w="112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61,271</w:t>
            </w:r>
          </w:p>
        </w:tc>
        <w:tc>
          <w:tcPr>
            <w:tcW w:w="560" w:type="dxa"/>
            <w:vAlign w:val="bottom"/>
          </w:tcPr>
          <w:p>
            <w:pPr>
              <w:spacing w:after="0"/>
              <w:rPr>
                <w:sz w:val="16"/>
                <w:szCs w:val="16"/>
                <w:color w:val="auto"/>
              </w:rPr>
            </w:pPr>
          </w:p>
        </w:tc>
        <w:tc>
          <w:tcPr>
            <w:tcW w:w="1460" w:type="dxa"/>
            <w:vAlign w:val="bottom"/>
          </w:tcPr>
          <w:p>
            <w:pPr>
              <w:jc w:val="right"/>
              <w:ind w:right="373"/>
              <w:spacing w:after="0" w:line="189" w:lineRule="exact"/>
              <w:rPr>
                <w:sz w:val="20"/>
                <w:szCs w:val="20"/>
                <w:color w:val="auto"/>
              </w:rPr>
            </w:pPr>
            <w:r>
              <w:rPr>
                <w:rFonts w:ascii="Arial" w:cs="Arial" w:eastAsia="Arial" w:hAnsi="Arial"/>
                <w:sz w:val="18"/>
                <w:szCs w:val="18"/>
                <w:color w:val="auto"/>
              </w:rPr>
              <w:t>44,281</w:t>
            </w: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38%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860" w:type="dxa"/>
            <w:vAlign w:val="bottom"/>
            <w:gridSpan w:val="2"/>
            <w:shd w:val="clear" w:color="auto" w:fill="E5E5E5"/>
          </w:tcPr>
          <w:p>
            <w:pPr>
              <w:spacing w:after="0" w:line="189" w:lineRule="exact"/>
              <w:rPr>
                <w:sz w:val="20"/>
                <w:szCs w:val="20"/>
                <w:color w:val="auto"/>
              </w:rPr>
            </w:pPr>
            <w:r>
              <w:rPr>
                <w:rFonts w:ascii="Arial" w:cs="Arial" w:eastAsia="Arial" w:hAnsi="Arial"/>
                <w:sz w:val="18"/>
                <w:szCs w:val="18"/>
                <w:color w:val="auto"/>
              </w:rPr>
              <w:t>Diluted earnings per share</w:t>
            </w:r>
          </w:p>
        </w:tc>
        <w:tc>
          <w:tcPr>
            <w:tcW w:w="188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8.05</w:t>
            </w:r>
          </w:p>
        </w:tc>
        <w:tc>
          <w:tcPr>
            <w:tcW w:w="560" w:type="dxa"/>
            <w:vAlign w:val="bottom"/>
            <w:shd w:val="clear" w:color="auto" w:fill="E5E5E5"/>
          </w:tcPr>
          <w:p>
            <w:pPr>
              <w:spacing w:after="0"/>
              <w:rPr>
                <w:sz w:val="16"/>
                <w:szCs w:val="16"/>
                <w:color w:val="auto"/>
              </w:rPr>
            </w:pPr>
          </w:p>
        </w:tc>
        <w:tc>
          <w:tcPr>
            <w:tcW w:w="1460" w:type="dxa"/>
            <w:vAlign w:val="bottom"/>
            <w:shd w:val="clear" w:color="auto" w:fill="E5E5E5"/>
          </w:tcPr>
          <w:p>
            <w:pPr>
              <w:jc w:val="right"/>
              <w:ind w:right="373"/>
              <w:spacing w:after="0" w:line="189" w:lineRule="exact"/>
              <w:rPr>
                <w:sz w:val="20"/>
                <w:szCs w:val="20"/>
                <w:color w:val="auto"/>
              </w:rPr>
            </w:pPr>
            <w:r>
              <w:rPr>
                <w:rFonts w:ascii="Arial" w:cs="Arial" w:eastAsia="Arial" w:hAnsi="Arial"/>
                <w:sz w:val="18"/>
                <w:szCs w:val="18"/>
                <w:color w:val="auto"/>
              </w:rPr>
              <w:t>5.76</w:t>
            </w:r>
          </w:p>
        </w:tc>
        <w:tc>
          <w:tcPr>
            <w:tcW w:w="12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40%</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880" w:type="dxa"/>
            <w:vAlign w:val="bottom"/>
            <w:gridSpan w:val="3"/>
          </w:tcPr>
          <w:p>
            <w:pPr>
              <w:spacing w:after="0"/>
              <w:rPr>
                <w:sz w:val="20"/>
                <w:szCs w:val="20"/>
                <w:color w:val="auto"/>
              </w:rPr>
            </w:pPr>
            <w:r>
              <w:rPr>
                <w:rFonts w:ascii="Arial" w:cs="Arial" w:eastAsia="Arial" w:hAnsi="Arial"/>
                <w:sz w:val="18"/>
                <w:szCs w:val="18"/>
                <w:color w:val="auto"/>
              </w:rPr>
              <w:t>Adjusted net income (non-GAAP)</w:t>
            </w:r>
          </w:p>
        </w:tc>
        <w:tc>
          <w:tcPr>
            <w:tcW w:w="188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60,651</w:t>
            </w:r>
          </w:p>
        </w:tc>
        <w:tc>
          <w:tcPr>
            <w:tcW w:w="560" w:type="dxa"/>
            <w:vAlign w:val="bottom"/>
          </w:tcPr>
          <w:p>
            <w:pPr>
              <w:spacing w:after="0"/>
              <w:rPr>
                <w:sz w:val="22"/>
                <w:szCs w:val="22"/>
                <w:color w:val="auto"/>
              </w:rPr>
            </w:pPr>
          </w:p>
        </w:tc>
        <w:tc>
          <w:tcPr>
            <w:tcW w:w="1460" w:type="dxa"/>
            <w:vAlign w:val="bottom"/>
          </w:tcPr>
          <w:p>
            <w:pPr>
              <w:jc w:val="right"/>
              <w:ind w:right="373"/>
              <w:spacing w:after="0"/>
              <w:rPr>
                <w:sz w:val="20"/>
                <w:szCs w:val="20"/>
                <w:color w:val="auto"/>
              </w:rPr>
            </w:pPr>
            <w:r>
              <w:rPr>
                <w:rFonts w:ascii="Arial" w:cs="Arial" w:eastAsia="Arial" w:hAnsi="Arial"/>
                <w:sz w:val="18"/>
                <w:szCs w:val="18"/>
                <w:color w:val="auto"/>
              </w:rPr>
              <w:t>44,281</w:t>
            </w:r>
          </w:p>
        </w:tc>
        <w:tc>
          <w:tcPr>
            <w:tcW w:w="12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860" w:type="dxa"/>
            <w:vAlign w:val="bottom"/>
            <w:gridSpan w:val="2"/>
            <w:shd w:val="clear" w:color="auto" w:fill="E5E5E5"/>
          </w:tcPr>
          <w:p>
            <w:pPr>
              <w:spacing w:after="0" w:line="189" w:lineRule="exact"/>
              <w:rPr>
                <w:sz w:val="20"/>
                <w:szCs w:val="20"/>
                <w:color w:val="auto"/>
              </w:rPr>
            </w:pPr>
            <w:r>
              <w:rPr>
                <w:rFonts w:ascii="Arial" w:cs="Arial" w:eastAsia="Arial" w:hAnsi="Arial"/>
                <w:sz w:val="18"/>
                <w:szCs w:val="18"/>
                <w:color w:val="auto"/>
              </w:rPr>
              <w:t>Adjusted diluted earnings per share (non-GAAP)</w:t>
            </w:r>
          </w:p>
        </w:tc>
        <w:tc>
          <w:tcPr>
            <w:tcW w:w="188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7.97</w:t>
            </w:r>
          </w:p>
        </w:tc>
        <w:tc>
          <w:tcPr>
            <w:tcW w:w="560" w:type="dxa"/>
            <w:vAlign w:val="bottom"/>
            <w:shd w:val="clear" w:color="auto" w:fill="E5E5E5"/>
          </w:tcPr>
          <w:p>
            <w:pPr>
              <w:spacing w:after="0"/>
              <w:rPr>
                <w:sz w:val="16"/>
                <w:szCs w:val="16"/>
                <w:color w:val="auto"/>
              </w:rPr>
            </w:pPr>
          </w:p>
        </w:tc>
        <w:tc>
          <w:tcPr>
            <w:tcW w:w="1460" w:type="dxa"/>
            <w:vAlign w:val="bottom"/>
            <w:shd w:val="clear" w:color="auto" w:fill="E5E5E5"/>
          </w:tcPr>
          <w:p>
            <w:pPr>
              <w:jc w:val="right"/>
              <w:ind w:right="373"/>
              <w:spacing w:after="0" w:line="189" w:lineRule="exact"/>
              <w:rPr>
                <w:sz w:val="20"/>
                <w:szCs w:val="20"/>
                <w:color w:val="auto"/>
              </w:rPr>
            </w:pPr>
            <w:r>
              <w:rPr>
                <w:rFonts w:ascii="Arial" w:cs="Arial" w:eastAsia="Arial" w:hAnsi="Arial"/>
                <w:sz w:val="18"/>
                <w:szCs w:val="18"/>
                <w:color w:val="auto"/>
              </w:rPr>
              <w:t>5.76</w:t>
            </w:r>
          </w:p>
        </w:tc>
        <w:tc>
          <w:tcPr>
            <w:tcW w:w="12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38%</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39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Adjusted net income and adjusted diluted earnings per share (“EPS”) are non-GAAP financial measures which exclude tax benefits related to an India Supreme Court decision on withholding taxes in fiscal year 2021. Refer to the Non-GAAP Financial Measures section below for a reconciliation of our financial results reported in accordance with GAAP to non-GAAP financial results. See Note 12 – Income Taxes of the Notes to Financial Statements (Part II, Item 8 of this Form 10-K) for further discussion.</w:t>
      </w:r>
    </w:p>
    <w:p>
      <w:pPr>
        <w:spacing w:after="0" w:line="14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Revenue increased $25.1 billion or 18% driven by growth across each of our segments. Intelligent Cloud revenue increased driven by Azure. Productivity and Business Processes revenue increased driven by Office 365 Commercial and LinkedIn. More Personal Computing revenue increased driven by Gaming.</w:t>
      </w:r>
    </w:p>
    <w:p>
      <w:pPr>
        <w:spacing w:after="0" w:line="14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Cost of revenue increased $6.2 billion or 13% driven by growth in commercial cloud and Gaming, offset in part by a reduction in depreciation expense due to the change in estimated useful lives of our server and network equipment.</w:t>
      </w:r>
    </w:p>
    <w:p>
      <w:pPr>
        <w:spacing w:after="0" w:line="14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Gross margin increased $18.9 billion or 20% driven by growth across each of our segments and the change in estimated useful lives of our server and network equipment. Gross margin percentage increased with the change in estimated useful lives of our server and network equipment. Excluding this impact, gross margin percentage decreased slightly driven by gross margin percentage reduction in More Personal Computing. Commercial cloud gross margin percentage increased 4 points to 71% driven by gross margin percentage improvement in Azure and the change in estimated useful lives of our server and network equipment, offset in part by sales mix shift to Azure.</w:t>
      </w:r>
    </w:p>
    <w:p>
      <w:pPr>
        <w:spacing w:after="0" w:line="14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Operating expenses increased $2.0 billion or 4% driven by investments in cloud engineering and commercial sales, offset in part by savings related to COVID-19 across each of our segments, prior year charges associated with the closing of our Microsoft Store physical locations, and a reduction in bad debt expense.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Key changes in operating expenses were:</w:t>
      </w:r>
    </w:p>
    <w:p>
      <w:pPr>
        <w:spacing w:after="0" w:line="76" w:lineRule="exact"/>
        <w:rPr>
          <w:sz w:val="20"/>
          <w:szCs w:val="20"/>
          <w:color w:val="auto"/>
        </w:rPr>
      </w:pPr>
    </w:p>
    <w:p>
      <w:pPr>
        <w:ind w:left="1060" w:hanging="393"/>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Research and development expenses increased $1.4 billion or 8% driven by investments in cloud engineering.</w:t>
      </w:r>
    </w:p>
    <w:p>
      <w:pPr>
        <w:spacing w:after="0" w:line="62" w:lineRule="exact"/>
        <w:rPr>
          <w:rFonts w:ascii="Arial" w:cs="Arial" w:eastAsia="Arial" w:hAnsi="Arial"/>
          <w:sz w:val="18"/>
          <w:szCs w:val="18"/>
          <w:color w:val="auto"/>
        </w:rPr>
      </w:pPr>
    </w:p>
    <w:p>
      <w:pPr>
        <w:ind w:left="1060" w:hanging="393"/>
        <w:spacing w:after="0" w:line="244"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and marketing expenses increased $519 million or 3% driven by investments in commercial sales, offset in part by a reduction in bad debt expense. Sales and marketing included an unfavorable foreign currency impact of 2%.</w:t>
      </w:r>
    </w:p>
    <w:p>
      <w:pPr>
        <w:spacing w:after="0" w:line="49" w:lineRule="exact"/>
        <w:rPr>
          <w:rFonts w:ascii="Arial" w:cs="Arial" w:eastAsia="Arial" w:hAnsi="Arial"/>
          <w:sz w:val="18"/>
          <w:szCs w:val="18"/>
          <w:color w:val="auto"/>
        </w:rPr>
      </w:pPr>
    </w:p>
    <w:p>
      <w:pPr>
        <w:ind w:left="1060" w:hanging="393"/>
        <w:spacing w:after="0" w:line="244"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and administrative expenses were relatively unchanged, driven by prior year charges associated with the closing of our Microsoft Store physical locations, offset in part by an increase in certain employee-related expenses and business taxes.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43" w:name="page44"/>
    <w:bookmarkEnd w:id="43"/>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7</w:t>
      </w:r>
    </w:p>
    <w:p>
      <w:pPr>
        <w:spacing w:after="0" w:line="362"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Operating income increased $17.0 billion or 32% driven by growth across each of our segments and the change in estimated useful lives of our server and network equipment.</w:t>
      </w:r>
    </w:p>
    <w:p>
      <w:pPr>
        <w:spacing w:after="0" w:line="144"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Current year net income and diluted EPS were positively impacted by the tax benefit related to the India Supreme Court decision on withholding taxes, which resulted in an increase to net income and diluted EPS of $620 million and $0.08,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Revenue, gross margin, and operating income included a favorable foreign currency impact of 3%, 3%, and 4%, respectively.</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SEGMENT RESULTS OF OPERATIONS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1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78"/>
        </w:trPr>
        <w:tc>
          <w:tcPr>
            <w:tcW w:w="4340" w:type="dxa"/>
            <w:vAlign w:val="bottom"/>
            <w:gridSpan w:val="2"/>
          </w:tcPr>
          <w:p>
            <w:pPr>
              <w:spacing w:after="0"/>
              <w:rPr>
                <w:sz w:val="20"/>
                <w:szCs w:val="20"/>
                <w:color w:val="auto"/>
              </w:rPr>
            </w:pPr>
            <w:r>
              <w:rPr>
                <w:rFonts w:ascii="Arial" w:cs="Arial" w:eastAsia="Arial" w:hAnsi="Arial"/>
                <w:sz w:val="13"/>
                <w:szCs w:val="13"/>
                <w:b w:val="1"/>
                <w:bCs w:val="1"/>
                <w:color w:val="auto"/>
              </w:rPr>
              <w:t>(In millions, except percentages)</w:t>
            </w:r>
          </w:p>
        </w:tc>
        <w:tc>
          <w:tcPr>
            <w:tcW w:w="1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2021</w:t>
            </w:r>
          </w:p>
        </w:tc>
        <w:tc>
          <w:tcPr>
            <w:tcW w:w="4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21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68"/>
        </w:trPr>
        <w:tc>
          <w:tcPr>
            <w:tcW w:w="4340" w:type="dxa"/>
            <w:vAlign w:val="bottom"/>
            <w:tcBorders>
              <w:bottom w:val="single" w:sz="8" w:color="auto"/>
            </w:tcBorders>
            <w:gridSpan w:val="2"/>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9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4340" w:type="dxa"/>
            <w:vAlign w:val="bottom"/>
            <w:gridSpan w:val="2"/>
          </w:tcPr>
          <w:p>
            <w:pPr>
              <w:spacing w:after="0"/>
              <w:rPr>
                <w:sz w:val="20"/>
                <w:szCs w:val="20"/>
                <w:color w:val="auto"/>
              </w:rPr>
            </w:pPr>
            <w:r>
              <w:rPr>
                <w:rFonts w:ascii="Arial" w:cs="Arial" w:eastAsia="Arial" w:hAnsi="Arial"/>
                <w:sz w:val="13"/>
                <w:szCs w:val="13"/>
                <w:b w:val="1"/>
                <w:bCs w:val="1"/>
                <w:color w:val="auto"/>
              </w:rPr>
              <w:t>Revenue</w:t>
            </w:r>
          </w:p>
        </w:tc>
        <w:tc>
          <w:tcPr>
            <w:tcW w:w="1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43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3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Productivity and Business Processes</w:t>
            </w:r>
          </w:p>
        </w:tc>
        <w:tc>
          <w:tcPr>
            <w:tcW w:w="186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b w:val="1"/>
                <w:bCs w:val="1"/>
                <w:color w:val="auto"/>
              </w:rPr>
              <w:t>$</w:t>
            </w:r>
          </w:p>
        </w:tc>
        <w:tc>
          <w:tcPr>
            <w:tcW w:w="1440" w:type="dxa"/>
            <w:vAlign w:val="bottom"/>
            <w:gridSpan w:val="2"/>
            <w:shd w:val="clear" w:color="auto" w:fill="E5E5E5"/>
          </w:tcPr>
          <w:p>
            <w:pPr>
              <w:jc w:val="right"/>
              <w:ind w:right="440"/>
              <w:spacing w:after="0" w:line="189" w:lineRule="exact"/>
              <w:rPr>
                <w:sz w:val="20"/>
                <w:szCs w:val="20"/>
                <w:color w:val="auto"/>
              </w:rPr>
            </w:pPr>
            <w:r>
              <w:rPr>
                <w:rFonts w:ascii="Arial" w:cs="Arial" w:eastAsia="Arial" w:hAnsi="Arial"/>
                <w:sz w:val="18"/>
                <w:szCs w:val="18"/>
                <w:b w:val="1"/>
                <w:bCs w:val="1"/>
                <w:color w:val="auto"/>
              </w:rPr>
              <w:t>53,915</w:t>
            </w:r>
          </w:p>
        </w:tc>
        <w:tc>
          <w:tcPr>
            <w:tcW w:w="460" w:type="dxa"/>
            <w:vAlign w:val="bottom"/>
            <w:shd w:val="clear" w:color="auto" w:fill="E5E5E5"/>
          </w:tcPr>
          <w:p>
            <w:pPr>
              <w:jc w:val="right"/>
              <w:ind w:right="270"/>
              <w:spacing w:after="0" w:line="189"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46,398</w:t>
            </w:r>
          </w:p>
        </w:tc>
        <w:tc>
          <w:tcPr>
            <w:tcW w:w="21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320" w:type="dxa"/>
            <w:vAlign w:val="bottom"/>
          </w:tcPr>
          <w:p>
            <w:pPr>
              <w:spacing w:after="0" w:line="189" w:lineRule="exact"/>
              <w:rPr>
                <w:sz w:val="20"/>
                <w:szCs w:val="20"/>
                <w:color w:val="auto"/>
              </w:rPr>
            </w:pPr>
            <w:r>
              <w:rPr>
                <w:rFonts w:ascii="Arial" w:cs="Arial" w:eastAsia="Arial" w:hAnsi="Arial"/>
                <w:sz w:val="18"/>
                <w:szCs w:val="18"/>
                <w:color w:val="auto"/>
              </w:rPr>
              <w:t>Intelligent Cloud</w:t>
            </w:r>
          </w:p>
        </w:tc>
        <w:tc>
          <w:tcPr>
            <w:tcW w:w="1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40" w:type="dxa"/>
            <w:vAlign w:val="bottom"/>
            <w:gridSpan w:val="2"/>
          </w:tcPr>
          <w:p>
            <w:pPr>
              <w:jc w:val="right"/>
              <w:ind w:right="440"/>
              <w:spacing w:after="0" w:line="189" w:lineRule="exact"/>
              <w:rPr>
                <w:sz w:val="20"/>
                <w:szCs w:val="20"/>
                <w:color w:val="auto"/>
              </w:rPr>
            </w:pPr>
            <w:r>
              <w:rPr>
                <w:rFonts w:ascii="Arial" w:cs="Arial" w:eastAsia="Arial" w:hAnsi="Arial"/>
                <w:sz w:val="18"/>
                <w:szCs w:val="18"/>
                <w:b w:val="1"/>
                <w:bCs w:val="1"/>
                <w:color w:val="auto"/>
              </w:rPr>
              <w:t>60,080</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48,366</w:t>
            </w:r>
          </w:p>
        </w:tc>
        <w:tc>
          <w:tcPr>
            <w:tcW w:w="212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3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138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1440" w:type="dxa"/>
            <w:vAlign w:val="bottom"/>
            <w:gridSpan w:val="2"/>
            <w:shd w:val="clear" w:color="auto" w:fill="E5E5E5"/>
          </w:tcPr>
          <w:p>
            <w:pPr>
              <w:jc w:val="right"/>
              <w:ind w:right="440"/>
              <w:spacing w:after="0" w:line="189" w:lineRule="exact"/>
              <w:rPr>
                <w:sz w:val="20"/>
                <w:szCs w:val="20"/>
                <w:color w:val="auto"/>
              </w:rPr>
            </w:pPr>
            <w:r>
              <w:rPr>
                <w:rFonts w:ascii="Arial" w:cs="Arial" w:eastAsia="Arial" w:hAnsi="Arial"/>
                <w:sz w:val="18"/>
                <w:szCs w:val="18"/>
                <w:b w:val="1"/>
                <w:bCs w:val="1"/>
                <w:color w:val="auto"/>
              </w:rPr>
              <w:t>54,093</w:t>
            </w:r>
          </w:p>
        </w:tc>
        <w:tc>
          <w:tcPr>
            <w:tcW w:w="460" w:type="dxa"/>
            <w:vAlign w:val="bottom"/>
            <w:shd w:val="clear" w:color="auto" w:fill="E5E5E5"/>
          </w:tcPr>
          <w:p>
            <w:pPr>
              <w:spacing w:after="0"/>
              <w:rPr>
                <w:sz w:val="16"/>
                <w:szCs w:val="16"/>
                <w:color w:val="auto"/>
              </w:rPr>
            </w:pPr>
          </w:p>
        </w:tc>
        <w:tc>
          <w:tcPr>
            <w:tcW w:w="10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48,251</w:t>
            </w:r>
          </w:p>
        </w:tc>
        <w:tc>
          <w:tcPr>
            <w:tcW w:w="21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4320" w:type="dxa"/>
            <w:vAlign w:val="bottom"/>
            <w:tcBorders>
              <w:bottom w:val="single" w:sz="8" w:color="auto"/>
            </w:tcBorders>
          </w:tcPr>
          <w:p>
            <w:pPr>
              <w:spacing w:after="0"/>
              <w:rPr>
                <w:sz w:val="5"/>
                <w:szCs w:val="5"/>
                <w:color w:val="auto"/>
              </w:rPr>
            </w:pPr>
          </w:p>
        </w:tc>
        <w:tc>
          <w:tcPr>
            <w:tcW w:w="1860" w:type="dxa"/>
            <w:vAlign w:val="bottom"/>
            <w:tcBorders>
              <w:bottom w:val="single" w:sz="8" w:color="auto"/>
            </w:tcBorders>
            <w:gridSpan w:val="2"/>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320" w:type="dxa"/>
            <w:vAlign w:val="bottom"/>
          </w:tcPr>
          <w:p>
            <w:pPr>
              <w:ind w:left="200"/>
              <w:spacing w:after="0"/>
              <w:rPr>
                <w:sz w:val="20"/>
                <w:szCs w:val="20"/>
                <w:color w:val="auto"/>
              </w:rPr>
            </w:pPr>
            <w:r>
              <w:rPr>
                <w:rFonts w:ascii="Arial" w:cs="Arial" w:eastAsia="Arial" w:hAnsi="Arial"/>
                <w:sz w:val="18"/>
                <w:szCs w:val="18"/>
                <w:color w:val="auto"/>
              </w:rPr>
              <w:t>Total</w:t>
            </w:r>
          </w:p>
        </w:tc>
        <w:tc>
          <w:tcPr>
            <w:tcW w:w="18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168,088</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143,015</w:t>
            </w:r>
          </w:p>
        </w:tc>
        <w:tc>
          <w:tcPr>
            <w:tcW w:w="212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61"/>
        </w:trPr>
        <w:tc>
          <w:tcPr>
            <w:tcW w:w="43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Operating Income</w:t>
            </w:r>
          </w:p>
        </w:tc>
        <w:tc>
          <w:tcPr>
            <w:tcW w:w="138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4340" w:type="dxa"/>
            <w:vAlign w:val="bottom"/>
            <w:gridSpan w:val="2"/>
            <w:vMerge w:val="continue"/>
          </w:tcPr>
          <w:p>
            <w:pPr>
              <w:spacing w:after="0"/>
              <w:rPr>
                <w:sz w:val="19"/>
                <w:szCs w:val="19"/>
                <w:color w:val="auto"/>
              </w:rPr>
            </w:pPr>
          </w:p>
        </w:tc>
        <w:tc>
          <w:tcPr>
            <w:tcW w:w="1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43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3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Productivity and Business Processes</w:t>
            </w:r>
          </w:p>
        </w:tc>
        <w:tc>
          <w:tcPr>
            <w:tcW w:w="186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b w:val="1"/>
                <w:bCs w:val="1"/>
                <w:color w:val="auto"/>
              </w:rPr>
              <w:t>$</w:t>
            </w:r>
          </w:p>
        </w:tc>
        <w:tc>
          <w:tcPr>
            <w:tcW w:w="1440" w:type="dxa"/>
            <w:vAlign w:val="bottom"/>
            <w:gridSpan w:val="2"/>
            <w:shd w:val="clear" w:color="auto" w:fill="E5E5E5"/>
          </w:tcPr>
          <w:p>
            <w:pPr>
              <w:jc w:val="right"/>
              <w:ind w:right="440"/>
              <w:spacing w:after="0" w:line="189" w:lineRule="exact"/>
              <w:rPr>
                <w:sz w:val="20"/>
                <w:szCs w:val="20"/>
                <w:color w:val="auto"/>
              </w:rPr>
            </w:pPr>
            <w:r>
              <w:rPr>
                <w:rFonts w:ascii="Arial" w:cs="Arial" w:eastAsia="Arial" w:hAnsi="Arial"/>
                <w:sz w:val="18"/>
                <w:szCs w:val="18"/>
                <w:b w:val="1"/>
                <w:bCs w:val="1"/>
                <w:color w:val="auto"/>
              </w:rPr>
              <w:t>24,351</w:t>
            </w:r>
          </w:p>
        </w:tc>
        <w:tc>
          <w:tcPr>
            <w:tcW w:w="460" w:type="dxa"/>
            <w:vAlign w:val="bottom"/>
            <w:shd w:val="clear" w:color="auto" w:fill="E5E5E5"/>
          </w:tcPr>
          <w:p>
            <w:pPr>
              <w:jc w:val="right"/>
              <w:ind w:right="270"/>
              <w:spacing w:after="0" w:line="189"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18,724</w:t>
            </w:r>
          </w:p>
        </w:tc>
        <w:tc>
          <w:tcPr>
            <w:tcW w:w="21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320" w:type="dxa"/>
            <w:vAlign w:val="bottom"/>
          </w:tcPr>
          <w:p>
            <w:pPr>
              <w:spacing w:after="0" w:line="189" w:lineRule="exact"/>
              <w:rPr>
                <w:sz w:val="20"/>
                <w:szCs w:val="20"/>
                <w:color w:val="auto"/>
              </w:rPr>
            </w:pPr>
            <w:r>
              <w:rPr>
                <w:rFonts w:ascii="Arial" w:cs="Arial" w:eastAsia="Arial" w:hAnsi="Arial"/>
                <w:sz w:val="18"/>
                <w:szCs w:val="18"/>
                <w:color w:val="auto"/>
              </w:rPr>
              <w:t>Intelligent Cloud</w:t>
            </w:r>
          </w:p>
        </w:tc>
        <w:tc>
          <w:tcPr>
            <w:tcW w:w="1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40" w:type="dxa"/>
            <w:vAlign w:val="bottom"/>
            <w:gridSpan w:val="2"/>
          </w:tcPr>
          <w:p>
            <w:pPr>
              <w:jc w:val="right"/>
              <w:ind w:right="440"/>
              <w:spacing w:after="0" w:line="189" w:lineRule="exact"/>
              <w:rPr>
                <w:sz w:val="20"/>
                <w:szCs w:val="20"/>
                <w:color w:val="auto"/>
              </w:rPr>
            </w:pPr>
            <w:r>
              <w:rPr>
                <w:rFonts w:ascii="Arial" w:cs="Arial" w:eastAsia="Arial" w:hAnsi="Arial"/>
                <w:sz w:val="18"/>
                <w:szCs w:val="18"/>
                <w:b w:val="1"/>
                <w:bCs w:val="1"/>
                <w:color w:val="auto"/>
              </w:rPr>
              <w:t>26,126</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18,324</w:t>
            </w:r>
          </w:p>
        </w:tc>
        <w:tc>
          <w:tcPr>
            <w:tcW w:w="212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3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138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1440" w:type="dxa"/>
            <w:vAlign w:val="bottom"/>
            <w:gridSpan w:val="2"/>
            <w:shd w:val="clear" w:color="auto" w:fill="E5E5E5"/>
          </w:tcPr>
          <w:p>
            <w:pPr>
              <w:jc w:val="right"/>
              <w:ind w:right="440"/>
              <w:spacing w:after="0" w:line="189" w:lineRule="exact"/>
              <w:rPr>
                <w:sz w:val="20"/>
                <w:szCs w:val="20"/>
                <w:color w:val="auto"/>
              </w:rPr>
            </w:pPr>
            <w:r>
              <w:rPr>
                <w:rFonts w:ascii="Arial" w:cs="Arial" w:eastAsia="Arial" w:hAnsi="Arial"/>
                <w:sz w:val="18"/>
                <w:szCs w:val="18"/>
                <w:b w:val="1"/>
                <w:bCs w:val="1"/>
                <w:color w:val="auto"/>
              </w:rPr>
              <w:t>19,439</w:t>
            </w:r>
          </w:p>
        </w:tc>
        <w:tc>
          <w:tcPr>
            <w:tcW w:w="460" w:type="dxa"/>
            <w:vAlign w:val="bottom"/>
            <w:shd w:val="clear" w:color="auto" w:fill="E5E5E5"/>
          </w:tcPr>
          <w:p>
            <w:pPr>
              <w:spacing w:after="0"/>
              <w:rPr>
                <w:sz w:val="16"/>
                <w:szCs w:val="16"/>
                <w:color w:val="auto"/>
              </w:rPr>
            </w:pPr>
          </w:p>
        </w:tc>
        <w:tc>
          <w:tcPr>
            <w:tcW w:w="10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15,911</w:t>
            </w:r>
          </w:p>
        </w:tc>
        <w:tc>
          <w:tcPr>
            <w:tcW w:w="21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4320" w:type="dxa"/>
            <w:vAlign w:val="bottom"/>
            <w:tcBorders>
              <w:bottom w:val="single" w:sz="8" w:color="auto"/>
            </w:tcBorders>
          </w:tcPr>
          <w:p>
            <w:pPr>
              <w:spacing w:after="0"/>
              <w:rPr>
                <w:sz w:val="5"/>
                <w:szCs w:val="5"/>
                <w:color w:val="auto"/>
              </w:rPr>
            </w:pPr>
          </w:p>
        </w:tc>
        <w:tc>
          <w:tcPr>
            <w:tcW w:w="1860" w:type="dxa"/>
            <w:vAlign w:val="bottom"/>
            <w:tcBorders>
              <w:bottom w:val="single" w:sz="8" w:color="auto"/>
            </w:tcBorders>
            <w:gridSpan w:val="2"/>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320" w:type="dxa"/>
            <w:vAlign w:val="bottom"/>
          </w:tcPr>
          <w:p>
            <w:pPr>
              <w:ind w:left="200"/>
              <w:spacing w:after="0"/>
              <w:rPr>
                <w:sz w:val="20"/>
                <w:szCs w:val="20"/>
                <w:color w:val="auto"/>
              </w:rPr>
            </w:pPr>
            <w:r>
              <w:rPr>
                <w:rFonts w:ascii="Arial" w:cs="Arial" w:eastAsia="Arial" w:hAnsi="Arial"/>
                <w:sz w:val="18"/>
                <w:szCs w:val="18"/>
                <w:color w:val="auto"/>
              </w:rPr>
              <w:t>Total</w:t>
            </w:r>
          </w:p>
        </w:tc>
        <w:tc>
          <w:tcPr>
            <w:tcW w:w="18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69,916</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52,959</w:t>
            </w:r>
          </w:p>
        </w:tc>
        <w:tc>
          <w:tcPr>
            <w:tcW w:w="212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Productivity and Business Processes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$7.5 billion or 16%.</w:t>
      </w:r>
    </w:p>
    <w:p>
      <w:pPr>
        <w:spacing w:after="0" w:line="62" w:lineRule="exact"/>
        <w:rPr>
          <w:sz w:val="20"/>
          <w:szCs w:val="20"/>
          <w:color w:val="auto"/>
        </w:rPr>
      </w:pPr>
    </w:p>
    <w:p>
      <w:pPr>
        <w:jc w:val="both"/>
        <w:ind w:left="1060" w:hanging="393"/>
        <w:spacing w:after="0" w:line="239"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Office Commercial products and cloud services revenue increased $4.0 billion or 13%. Office 365 Commercial revenue grew 22% driven by seat growth of 17% and higher revenue per user. Office Commercial products revenue declined 23% driven by continued customer shift to cloud offerings and transactional weakness.</w:t>
      </w:r>
    </w:p>
    <w:p>
      <w:pPr>
        <w:spacing w:after="0" w:line="54" w:lineRule="exact"/>
        <w:rPr>
          <w:rFonts w:ascii="Arial" w:cs="Arial" w:eastAsia="Arial" w:hAnsi="Arial"/>
          <w:sz w:val="18"/>
          <w:szCs w:val="18"/>
          <w:color w:val="auto"/>
        </w:rPr>
      </w:pPr>
    </w:p>
    <w:p>
      <w:pPr>
        <w:jc w:val="both"/>
        <w:ind w:left="1060" w:hanging="393"/>
        <w:spacing w:after="0" w:line="239"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Office Consumer products and cloud services revenue increased $474 million or 10% driven by Microsoft 365 Consumer subscription revenue, on a strong prior year comparable that benefited from transactional strength in Japan. Microsoft 365 Consumer subscribers increased 22% to 51.9 million.</w:t>
      </w:r>
    </w:p>
    <w:p>
      <w:pPr>
        <w:spacing w:after="0" w:line="54" w:lineRule="exact"/>
        <w:rPr>
          <w:rFonts w:ascii="Arial" w:cs="Arial" w:eastAsia="Arial" w:hAnsi="Arial"/>
          <w:sz w:val="18"/>
          <w:szCs w:val="18"/>
          <w:color w:val="auto"/>
        </w:rPr>
      </w:pPr>
    </w:p>
    <w:p>
      <w:pPr>
        <w:ind w:left="1060" w:hanging="393"/>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LinkedIn revenue increased $2.2 billion or 27% driven by advertising demand in our Marketing Solutions business.</w:t>
      </w:r>
    </w:p>
    <w:p>
      <w:pPr>
        <w:spacing w:after="0" w:line="62" w:lineRule="exact"/>
        <w:rPr>
          <w:rFonts w:ascii="Arial" w:cs="Arial" w:eastAsia="Arial" w:hAnsi="Arial"/>
          <w:sz w:val="18"/>
          <w:szCs w:val="18"/>
          <w:color w:val="auto"/>
        </w:rPr>
      </w:pPr>
    </w:p>
    <w:p>
      <w:pPr>
        <w:ind w:left="1060" w:hanging="393"/>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Dynamics products and cloud services revenue increased 25% driven by Dynamics 365 growth of 43%.</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$5.6 billion or 30%.</w:t>
      </w:r>
    </w:p>
    <w:p>
      <w:pPr>
        <w:spacing w:after="0" w:line="62" w:lineRule="exact"/>
        <w:rPr>
          <w:sz w:val="20"/>
          <w:szCs w:val="20"/>
          <w:color w:val="auto"/>
        </w:rPr>
      </w:pPr>
    </w:p>
    <w:p>
      <w:pPr>
        <w:jc w:val="both"/>
        <w:ind w:left="1060" w:hanging="393"/>
        <w:spacing w:after="0" w:line="238"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Gross margin increased $6.5 billion or 18% driven by growth in Office 365 Commercial and LinkedIn, and the change in estimated useful lives of our server and network equipment. Gross margin percentage increased with the change in estimated useful lives of our server and network equipment. Excluding this impact, gross margin percentage decreased slightly driven by a sales mix shift to cloud offerings, on a low prior year comparable impacted by increased usage.</w:t>
      </w:r>
    </w:p>
    <w:p>
      <w:pPr>
        <w:spacing w:after="0" w:line="53" w:lineRule="exact"/>
        <w:rPr>
          <w:rFonts w:ascii="Arial" w:cs="Arial" w:eastAsia="Arial" w:hAnsi="Arial"/>
          <w:sz w:val="18"/>
          <w:szCs w:val="18"/>
          <w:color w:val="auto"/>
        </w:rPr>
      </w:pPr>
    </w:p>
    <w:p>
      <w:pPr>
        <w:ind w:left="1060" w:hanging="393"/>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Operating expenses increased $839 million or 5% driven by investments in commercial sales, cloud engineering, and LinkedIn.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Revenue, gross margin, and operating income included a favorable foreign currency impact of 2%, 3%, and 4%, respectively.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44" w:name="page45"/>
    <w:bookmarkEnd w:id="44"/>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7</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Intelligent Cloud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$11.7 billion or 24%.</w:t>
      </w:r>
    </w:p>
    <w:p>
      <w:pPr>
        <w:spacing w:after="0" w:line="76" w:lineRule="exact"/>
        <w:rPr>
          <w:sz w:val="20"/>
          <w:szCs w:val="20"/>
          <w:color w:val="auto"/>
        </w:rPr>
      </w:pPr>
    </w:p>
    <w:p>
      <w:pPr>
        <w:jc w:val="both"/>
        <w:ind w:left="1060" w:hanging="393"/>
        <w:spacing w:after="0" w:line="260" w:lineRule="auto"/>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Server products and cloud services revenue increased $11.2 billion or 27% driven by Azure. Azure revenue grew 50% due to growth in our consumption-based services. Server products revenue increased 6% driven by hybrid and premium solutions, on a strong prior year comparable that benefited from demand related to SQL Server 2008 and Windows Server 2008 end of support.</w:t>
      </w:r>
    </w:p>
    <w:p>
      <w:pPr>
        <w:spacing w:after="0" w:line="37" w:lineRule="exact"/>
        <w:rPr>
          <w:rFonts w:ascii="Arial" w:cs="Arial" w:eastAsia="Arial" w:hAnsi="Arial"/>
          <w:sz w:val="17"/>
          <w:szCs w:val="17"/>
          <w:color w:val="auto"/>
        </w:rPr>
      </w:pPr>
    </w:p>
    <w:p>
      <w:pPr>
        <w:ind w:left="1060" w:hanging="393"/>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Enterprise Services revenue increased $534 million or 8% driven by growth in Premier Support Services.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$7.8 billion or 43%.</w:t>
      </w:r>
    </w:p>
    <w:p>
      <w:pPr>
        <w:spacing w:after="0" w:line="76" w:lineRule="exact"/>
        <w:rPr>
          <w:sz w:val="20"/>
          <w:szCs w:val="20"/>
          <w:color w:val="auto"/>
        </w:rPr>
      </w:pPr>
    </w:p>
    <w:p>
      <w:pPr>
        <w:jc w:val="both"/>
        <w:ind w:left="1060" w:hanging="393"/>
        <w:spacing w:after="0" w:line="238"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Gross margin increased $9.7 billion or 29% driven by growth in Azure and the change in estimated useful lives of our server and network equipment. Gross margin percentage increased with the change in estimated useful lives of our server and network equipment. Excluding this impact, gross margin percentage was relatively unchanged driven by gross margin percentage improvement in Azure, offset in part by sales mix shift to Azure.</w:t>
      </w:r>
    </w:p>
    <w:p>
      <w:pPr>
        <w:spacing w:after="0" w:line="53" w:lineRule="exact"/>
        <w:rPr>
          <w:rFonts w:ascii="Arial" w:cs="Arial" w:eastAsia="Arial" w:hAnsi="Arial"/>
          <w:sz w:val="18"/>
          <w:szCs w:val="18"/>
          <w:color w:val="auto"/>
        </w:rPr>
      </w:pPr>
    </w:p>
    <w:p>
      <w:pPr>
        <w:ind w:left="1060" w:hanging="393"/>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Operating expenses increased $1.9 billion or 12% driven by investments in Azure.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Revenue, gross margin, and operating income included a favorable foreign currency impact of 2%, 3%, and 4%,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More Personal Computing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$5.8 billion or 12%.</w:t>
      </w:r>
    </w:p>
    <w:p>
      <w:pPr>
        <w:spacing w:after="0" w:line="62" w:lineRule="exact"/>
        <w:rPr>
          <w:sz w:val="20"/>
          <w:szCs w:val="20"/>
          <w:color w:val="auto"/>
        </w:rPr>
      </w:pPr>
    </w:p>
    <w:p>
      <w:pPr>
        <w:jc w:val="both"/>
        <w:ind w:left="1060" w:hanging="393"/>
        <w:spacing w:after="0" w:line="238"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Windows revenue increased $933 million or 4% driven by growth in Windows Commercial. Windows Commercial products and cloud services revenue increased 14% driven by demand for Microsoft 365. Windows OEM revenue increased slightly driven by consumer PC demand, on a strong prior year OEM Pro comparable that benefited from Windows 7 end of support. Windows OEM Pro revenue decreased 9% and Windows OEM non-Pro revenue grew 21%.</w:t>
      </w:r>
    </w:p>
    <w:p>
      <w:pPr>
        <w:spacing w:after="0" w:line="53" w:lineRule="exact"/>
        <w:rPr>
          <w:rFonts w:ascii="Arial" w:cs="Arial" w:eastAsia="Arial" w:hAnsi="Arial"/>
          <w:sz w:val="18"/>
          <w:szCs w:val="18"/>
          <w:color w:val="auto"/>
        </w:rPr>
      </w:pPr>
    </w:p>
    <w:p>
      <w:pPr>
        <w:jc w:val="both"/>
        <w:ind w:left="1060" w:hanging="393"/>
        <w:spacing w:after="0" w:line="238"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Gaming revenue increased $3.8 billion or 33% driven by growth in Xbox content and services and Xbox hardware. Xbox content and services revenue increased $2.3 billion or 23% driven by growth in third-party titles, Xbox Game Pass subscriptions, and first-party titles. Xbox hardware revenue increased 92% driven by higher price of consoles sold due to the Xbox Series X|S launches.</w:t>
      </w:r>
    </w:p>
    <w:p>
      <w:pPr>
        <w:spacing w:after="0" w:line="53" w:lineRule="exact"/>
        <w:rPr>
          <w:rFonts w:ascii="Arial" w:cs="Arial" w:eastAsia="Arial" w:hAnsi="Arial"/>
          <w:sz w:val="18"/>
          <w:szCs w:val="18"/>
          <w:color w:val="auto"/>
        </w:rPr>
      </w:pPr>
    </w:p>
    <w:p>
      <w:pPr>
        <w:ind w:left="1060" w:hanging="393"/>
        <w:spacing w:after="0" w:line="244"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Search advertising revenue increased $788 million or 10%. Search advertising revenue excluding traffic acquisition costs increased 13% driven by higher revenue per search and search volume.</w:t>
      </w:r>
    </w:p>
    <w:p>
      <w:pPr>
        <w:spacing w:after="0" w:line="49" w:lineRule="exact"/>
        <w:rPr>
          <w:rFonts w:ascii="Arial" w:cs="Arial" w:eastAsia="Arial" w:hAnsi="Arial"/>
          <w:sz w:val="18"/>
          <w:szCs w:val="18"/>
          <w:color w:val="auto"/>
        </w:rPr>
      </w:pPr>
    </w:p>
    <w:p>
      <w:pPr>
        <w:ind w:left="1060" w:hanging="393"/>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Surface revenue increased $302 million or 5%.</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$3.5 billion or 22%.</w:t>
      </w:r>
    </w:p>
    <w:p>
      <w:pPr>
        <w:spacing w:after="0" w:line="62" w:lineRule="exact"/>
        <w:rPr>
          <w:sz w:val="20"/>
          <w:szCs w:val="20"/>
          <w:color w:val="auto"/>
        </w:rPr>
      </w:pPr>
    </w:p>
    <w:p>
      <w:pPr>
        <w:ind w:left="1060" w:hanging="393"/>
        <w:spacing w:after="0" w:line="244"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Gross margin increased $2.8 billion or 10% driven by growth in Windows, Gaming, and Search advertising. Gross margin percentage decreased driven by sales mix shift to Gaming hardware.</w:t>
      </w:r>
    </w:p>
    <w:p>
      <w:pPr>
        <w:spacing w:after="0" w:line="49" w:lineRule="exact"/>
        <w:rPr>
          <w:rFonts w:ascii="Arial" w:cs="Arial" w:eastAsia="Arial" w:hAnsi="Arial"/>
          <w:sz w:val="18"/>
          <w:szCs w:val="18"/>
          <w:color w:val="auto"/>
        </w:rPr>
      </w:pPr>
    </w:p>
    <w:p>
      <w:pPr>
        <w:ind w:left="1060" w:hanging="393"/>
        <w:spacing w:after="0" w:line="244"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Operating expenses decreased $752 million or 6% driven by prior year charges associated with the closing of our Microsoft Store physical locations and reductions in retail store expenses and marketing, offset in part by investments in Gaming.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Gross margin and operating income included a favorable foreign currency impact of 2% and 3%, respectively.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45" w:name="page46"/>
    <w:bookmarkEnd w:id="45"/>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7</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OPERATING EXPENSES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78"/>
        </w:trPr>
        <w:tc>
          <w:tcPr>
            <w:tcW w:w="4260" w:type="dxa"/>
            <w:vAlign w:val="bottom"/>
            <w:gridSpan w:val="2"/>
          </w:tcPr>
          <w:p>
            <w:pPr>
              <w:spacing w:after="0"/>
              <w:rPr>
                <w:sz w:val="20"/>
                <w:szCs w:val="20"/>
                <w:color w:val="auto"/>
              </w:rPr>
            </w:pPr>
            <w:r>
              <w:rPr>
                <w:rFonts w:ascii="Arial" w:cs="Arial" w:eastAsia="Arial" w:hAnsi="Arial"/>
                <w:sz w:val="13"/>
                <w:szCs w:val="13"/>
                <w:b w:val="1"/>
                <w:bCs w:val="1"/>
                <w:color w:val="auto"/>
              </w:rPr>
              <w:t>(In millions, except percentages)</w:t>
            </w:r>
          </w:p>
        </w:tc>
        <w:tc>
          <w:tcPr>
            <w:tcW w:w="2560" w:type="dxa"/>
            <w:vAlign w:val="bottom"/>
          </w:tcPr>
          <w:p>
            <w:pPr>
              <w:spacing w:after="0"/>
              <w:rPr>
                <w:sz w:val="15"/>
                <w:szCs w:val="15"/>
                <w:color w:val="auto"/>
              </w:rPr>
            </w:pPr>
          </w:p>
        </w:tc>
        <w:tc>
          <w:tcPr>
            <w:tcW w:w="1060" w:type="dxa"/>
            <w:vAlign w:val="bottom"/>
          </w:tcPr>
          <w:p>
            <w:pPr>
              <w:jc w:val="right"/>
              <w:ind w:right="38"/>
              <w:spacing w:after="0"/>
              <w:rPr>
                <w:sz w:val="20"/>
                <w:szCs w:val="20"/>
                <w:color w:val="auto"/>
              </w:rPr>
            </w:pPr>
            <w:r>
              <w:rPr>
                <w:rFonts w:ascii="Arial" w:cs="Arial" w:eastAsia="Arial" w:hAnsi="Arial"/>
                <w:sz w:val="13"/>
                <w:szCs w:val="13"/>
                <w:b w:val="1"/>
                <w:bCs w:val="1"/>
                <w:color w:val="auto"/>
              </w:rPr>
              <w:t>2021</w:t>
            </w:r>
          </w:p>
        </w:tc>
        <w:tc>
          <w:tcPr>
            <w:tcW w:w="600" w:type="dxa"/>
            <w:vAlign w:val="bottom"/>
          </w:tcPr>
          <w:p>
            <w:pPr>
              <w:spacing w:after="0"/>
              <w:rPr>
                <w:sz w:val="15"/>
                <w:szCs w:val="15"/>
                <w:color w:val="auto"/>
              </w:rPr>
            </w:pPr>
          </w:p>
        </w:tc>
        <w:tc>
          <w:tcPr>
            <w:tcW w:w="1440" w:type="dxa"/>
            <w:vAlign w:val="bottom"/>
          </w:tcPr>
          <w:p>
            <w:pPr>
              <w:jc w:val="right"/>
              <w:ind w:right="398"/>
              <w:spacing w:after="0"/>
              <w:rPr>
                <w:sz w:val="20"/>
                <w:szCs w:val="20"/>
                <w:color w:val="auto"/>
              </w:rPr>
            </w:pPr>
            <w:r>
              <w:rPr>
                <w:rFonts w:ascii="Arial" w:cs="Arial" w:eastAsia="Arial" w:hAnsi="Arial"/>
                <w:sz w:val="13"/>
                <w:szCs w:val="13"/>
                <w:b w:val="1"/>
                <w:bCs w:val="1"/>
                <w:color w:val="auto"/>
              </w:rPr>
              <w:t>2020</w:t>
            </w:r>
          </w:p>
        </w:tc>
        <w:tc>
          <w:tcPr>
            <w:tcW w:w="13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25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24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2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Research and development</w:t>
            </w:r>
          </w:p>
        </w:tc>
        <w:tc>
          <w:tcPr>
            <w:tcW w:w="2560" w:type="dxa"/>
            <w:vAlign w:val="bottom"/>
            <w:shd w:val="clear" w:color="auto" w:fill="E5E5E5"/>
          </w:tcPr>
          <w:p>
            <w:pPr>
              <w:jc w:val="right"/>
              <w:ind w:right="310"/>
              <w:spacing w:after="0" w:line="189" w:lineRule="exact"/>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E5E5E5"/>
          </w:tcPr>
          <w:p>
            <w:pPr>
              <w:jc w:val="right"/>
              <w:ind w:right="38"/>
              <w:spacing w:after="0" w:line="189" w:lineRule="exact"/>
              <w:rPr>
                <w:sz w:val="20"/>
                <w:szCs w:val="20"/>
                <w:color w:val="auto"/>
              </w:rPr>
            </w:pPr>
            <w:r>
              <w:rPr>
                <w:rFonts w:ascii="Arial" w:cs="Arial" w:eastAsia="Arial" w:hAnsi="Arial"/>
                <w:sz w:val="18"/>
                <w:szCs w:val="18"/>
                <w:b w:val="1"/>
                <w:bCs w:val="1"/>
                <w:color w:val="auto"/>
              </w:rPr>
              <w:t>20,716</w:t>
            </w:r>
          </w:p>
        </w:tc>
        <w:tc>
          <w:tcPr>
            <w:tcW w:w="600" w:type="dxa"/>
            <w:vAlign w:val="bottom"/>
            <w:shd w:val="clear" w:color="auto" w:fill="E5E5E5"/>
          </w:tcPr>
          <w:p>
            <w:pPr>
              <w:jc w:val="right"/>
              <w:ind w:right="310"/>
              <w:spacing w:after="0" w:line="189" w:lineRule="exact"/>
              <w:rPr>
                <w:sz w:val="20"/>
                <w:szCs w:val="20"/>
                <w:color w:val="auto"/>
              </w:rPr>
            </w:pPr>
            <w:r>
              <w:rPr>
                <w:rFonts w:ascii="Arial" w:cs="Arial" w:eastAsia="Arial" w:hAnsi="Arial"/>
                <w:sz w:val="18"/>
                <w:szCs w:val="18"/>
                <w:color w:val="auto"/>
              </w:rPr>
              <w:t>$</w:t>
            </w:r>
          </w:p>
        </w:tc>
        <w:tc>
          <w:tcPr>
            <w:tcW w:w="1440" w:type="dxa"/>
            <w:vAlign w:val="bottom"/>
            <w:shd w:val="clear" w:color="auto" w:fill="E5E5E5"/>
          </w:tcPr>
          <w:p>
            <w:pPr>
              <w:jc w:val="right"/>
              <w:ind w:right="398"/>
              <w:spacing w:after="0" w:line="189" w:lineRule="exact"/>
              <w:rPr>
                <w:sz w:val="20"/>
                <w:szCs w:val="20"/>
                <w:color w:val="auto"/>
              </w:rPr>
            </w:pPr>
            <w:r>
              <w:rPr>
                <w:rFonts w:ascii="Arial" w:cs="Arial" w:eastAsia="Arial" w:hAnsi="Arial"/>
                <w:sz w:val="18"/>
                <w:szCs w:val="18"/>
                <w:color w:val="auto"/>
              </w:rPr>
              <w:t>19,269</w:t>
            </w:r>
          </w:p>
        </w:tc>
        <w:tc>
          <w:tcPr>
            <w:tcW w:w="12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8%</w:t>
            </w: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 w:type="dxa"/>
            <w:vAlign w:val="bottom"/>
            <w:tcBorders>
              <w:bottom w:val="single" w:sz="8" w:color="auto"/>
            </w:tcBorders>
          </w:tcPr>
          <w:p>
            <w:pPr>
              <w:spacing w:after="0"/>
              <w:rPr>
                <w:sz w:val="21"/>
                <w:szCs w:val="21"/>
                <w:color w:val="auto"/>
              </w:rPr>
            </w:pPr>
          </w:p>
        </w:tc>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 a percent of revenue</w:t>
            </w:r>
          </w:p>
        </w:tc>
        <w:tc>
          <w:tcPr>
            <w:tcW w:w="25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12%</w:t>
            </w:r>
          </w:p>
        </w:tc>
        <w:tc>
          <w:tcPr>
            <w:tcW w:w="6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98"/>
              <w:spacing w:after="0"/>
              <w:rPr>
                <w:sz w:val="20"/>
                <w:szCs w:val="20"/>
                <w:color w:val="auto"/>
              </w:rPr>
            </w:pPr>
            <w:r>
              <w:rPr>
                <w:rFonts w:ascii="Arial" w:cs="Arial" w:eastAsia="Arial" w:hAnsi="Arial"/>
                <w:sz w:val="18"/>
                <w:szCs w:val="18"/>
                <w:color w:val="auto"/>
              </w:rPr>
              <w:t>13%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(1)ppt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Research and development expenses include payroll, employee benefits, stock-based compensation expense, and other headcount-related expenses associated with product development. Research and development expenses also include third-party development and programming costs, localization costs incurred to translate software for international markets, and the amortization of purchased software code and services content.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increased $1.4 billion or 8% driven by investments in cloud engineering.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78"/>
        </w:trPr>
        <w:tc>
          <w:tcPr>
            <w:tcW w:w="4200" w:type="dxa"/>
            <w:vAlign w:val="bottom"/>
            <w:gridSpan w:val="2"/>
          </w:tcPr>
          <w:p>
            <w:pPr>
              <w:spacing w:after="0"/>
              <w:rPr>
                <w:sz w:val="20"/>
                <w:szCs w:val="20"/>
                <w:color w:val="auto"/>
              </w:rPr>
            </w:pPr>
            <w:r>
              <w:rPr>
                <w:rFonts w:ascii="Arial" w:cs="Arial" w:eastAsia="Arial" w:hAnsi="Arial"/>
                <w:sz w:val="13"/>
                <w:szCs w:val="13"/>
                <w:b w:val="1"/>
                <w:bCs w:val="1"/>
                <w:color w:val="auto"/>
              </w:rPr>
              <w:t>(In millions, except percentages)</w:t>
            </w:r>
          </w:p>
        </w:tc>
        <w:tc>
          <w:tcPr>
            <w:tcW w:w="2620" w:type="dxa"/>
            <w:vAlign w:val="bottom"/>
          </w:tcPr>
          <w:p>
            <w:pPr>
              <w:spacing w:after="0"/>
              <w:rPr>
                <w:sz w:val="15"/>
                <w:szCs w:val="15"/>
                <w:color w:val="auto"/>
              </w:rPr>
            </w:pPr>
          </w:p>
        </w:tc>
        <w:tc>
          <w:tcPr>
            <w:tcW w:w="1060" w:type="dxa"/>
            <w:vAlign w:val="bottom"/>
          </w:tcPr>
          <w:p>
            <w:pPr>
              <w:jc w:val="right"/>
              <w:ind w:right="18"/>
              <w:spacing w:after="0"/>
              <w:rPr>
                <w:sz w:val="20"/>
                <w:szCs w:val="20"/>
                <w:color w:val="auto"/>
              </w:rPr>
            </w:pPr>
            <w:r>
              <w:rPr>
                <w:rFonts w:ascii="Arial" w:cs="Arial" w:eastAsia="Arial" w:hAnsi="Arial"/>
                <w:sz w:val="13"/>
                <w:szCs w:val="13"/>
                <w:b w:val="1"/>
                <w:bCs w:val="1"/>
                <w:color w:val="auto"/>
              </w:rPr>
              <w:t>2021</w:t>
            </w:r>
          </w:p>
        </w:tc>
        <w:tc>
          <w:tcPr>
            <w:tcW w:w="600" w:type="dxa"/>
            <w:vAlign w:val="bottom"/>
          </w:tcPr>
          <w:p>
            <w:pPr>
              <w:spacing w:after="0"/>
              <w:rPr>
                <w:sz w:val="15"/>
                <w:szCs w:val="15"/>
                <w:color w:val="auto"/>
              </w:rPr>
            </w:pPr>
          </w:p>
        </w:tc>
        <w:tc>
          <w:tcPr>
            <w:tcW w:w="1420" w:type="dxa"/>
            <w:vAlign w:val="bottom"/>
          </w:tcPr>
          <w:p>
            <w:pPr>
              <w:jc w:val="right"/>
              <w:ind w:right="378"/>
              <w:spacing w:after="0"/>
              <w:rPr>
                <w:sz w:val="20"/>
                <w:szCs w:val="20"/>
                <w:color w:val="auto"/>
              </w:rPr>
            </w:pPr>
            <w:r>
              <w:rPr>
                <w:rFonts w:ascii="Arial" w:cs="Arial" w:eastAsia="Arial" w:hAnsi="Arial"/>
                <w:sz w:val="13"/>
                <w:szCs w:val="13"/>
                <w:b w:val="1"/>
                <w:bCs w:val="1"/>
                <w:color w:val="auto"/>
              </w:rPr>
              <w:t>2020</w:t>
            </w:r>
          </w:p>
        </w:tc>
        <w:tc>
          <w:tcPr>
            <w:tcW w:w="13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180" w:type="dxa"/>
            <w:vAlign w:val="bottom"/>
            <w:tcBorders>
              <w:bottom w:val="single" w:sz="8" w:color="auto"/>
            </w:tcBorders>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18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180" w:type="dxa"/>
            <w:vAlign w:val="bottom"/>
            <w:shd w:val="clear" w:color="auto" w:fill="E5E5E5"/>
          </w:tcPr>
          <w:p>
            <w:pPr>
              <w:spacing w:after="0"/>
              <w:rPr>
                <w:sz w:val="20"/>
                <w:szCs w:val="20"/>
                <w:color w:val="auto"/>
              </w:rPr>
            </w:pPr>
            <w:r>
              <w:rPr>
                <w:rFonts w:ascii="Arial" w:cs="Arial" w:eastAsia="Arial" w:hAnsi="Arial"/>
                <w:sz w:val="18"/>
                <w:szCs w:val="18"/>
                <w:color w:val="auto"/>
              </w:rPr>
              <w:t>Sales and marketing</w:t>
            </w:r>
          </w:p>
        </w:tc>
        <w:tc>
          <w:tcPr>
            <w:tcW w:w="2620" w:type="dxa"/>
            <w:vAlign w:val="bottom"/>
            <w:shd w:val="clear" w:color="auto" w:fill="E5E5E5"/>
          </w:tcPr>
          <w:p>
            <w:pPr>
              <w:jc w:val="right"/>
              <w:ind w:right="3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E5E5E5"/>
          </w:tcPr>
          <w:p>
            <w:pPr>
              <w:jc w:val="right"/>
              <w:ind w:right="18"/>
              <w:spacing w:after="0"/>
              <w:rPr>
                <w:sz w:val="20"/>
                <w:szCs w:val="20"/>
                <w:color w:val="auto"/>
              </w:rPr>
            </w:pPr>
            <w:r>
              <w:rPr>
                <w:rFonts w:ascii="Arial" w:cs="Arial" w:eastAsia="Arial" w:hAnsi="Arial"/>
                <w:sz w:val="18"/>
                <w:szCs w:val="18"/>
                <w:b w:val="1"/>
                <w:bCs w:val="1"/>
                <w:color w:val="auto"/>
              </w:rPr>
              <w:t>20,117</w:t>
            </w:r>
          </w:p>
        </w:tc>
        <w:tc>
          <w:tcPr>
            <w:tcW w:w="600" w:type="dxa"/>
            <w:vAlign w:val="bottom"/>
            <w:shd w:val="clear" w:color="auto" w:fill="E5E5E5"/>
          </w:tcPr>
          <w:p>
            <w:pPr>
              <w:jc w:val="right"/>
              <w:ind w:right="3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E5E5E5"/>
          </w:tcPr>
          <w:p>
            <w:pPr>
              <w:jc w:val="right"/>
              <w:ind w:right="378"/>
              <w:spacing w:after="0"/>
              <w:rPr>
                <w:sz w:val="20"/>
                <w:szCs w:val="20"/>
                <w:color w:val="auto"/>
              </w:rPr>
            </w:pPr>
            <w:r>
              <w:rPr>
                <w:rFonts w:ascii="Arial" w:cs="Arial" w:eastAsia="Arial" w:hAnsi="Arial"/>
                <w:sz w:val="18"/>
                <w:szCs w:val="18"/>
                <w:color w:val="auto"/>
              </w:rPr>
              <w:t>19,598</w:t>
            </w:r>
          </w:p>
        </w:tc>
        <w:tc>
          <w:tcPr>
            <w:tcW w:w="12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Borders>
              <w:bottom w:val="single" w:sz="8" w:color="auto"/>
            </w:tcBorders>
          </w:tcPr>
          <w:p>
            <w:pPr>
              <w:spacing w:after="0"/>
              <w:rPr>
                <w:sz w:val="21"/>
                <w:szCs w:val="21"/>
                <w:color w:val="auto"/>
              </w:rPr>
            </w:pPr>
          </w:p>
        </w:tc>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 a percent of revenue</w:t>
            </w:r>
          </w:p>
        </w:tc>
        <w:tc>
          <w:tcPr>
            <w:tcW w:w="26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12%</w:t>
            </w:r>
          </w:p>
        </w:tc>
        <w:tc>
          <w:tcPr>
            <w:tcW w:w="6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78"/>
              <w:spacing w:after="0"/>
              <w:rPr>
                <w:sz w:val="20"/>
                <w:szCs w:val="20"/>
                <w:color w:val="auto"/>
              </w:rPr>
            </w:pPr>
            <w:r>
              <w:rPr>
                <w:rFonts w:ascii="Arial" w:cs="Arial" w:eastAsia="Arial" w:hAnsi="Arial"/>
                <w:sz w:val="18"/>
                <w:szCs w:val="18"/>
                <w:color w:val="auto"/>
              </w:rPr>
              <w:t>14%</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(2)ppt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Sales and marketing expenses include payroll, employee benefits, stock-based compensation expense, and other headcount-related expenses associated with sales and marketing personnel, and the costs of advertising, promotions, trade shows, seminars, and other programs.</w:t>
      </w:r>
    </w:p>
    <w:p>
      <w:pPr>
        <w:spacing w:after="0" w:line="14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Sales and marketing expenses increased $519 million or 3% driven by investments in commercial sales, offset in part by a reduction in bad debt expense. Sales and marketing included an unfavorable foreign currency impact of 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78"/>
        </w:trPr>
        <w:tc>
          <w:tcPr>
            <w:tcW w:w="4240" w:type="dxa"/>
            <w:vAlign w:val="bottom"/>
            <w:gridSpan w:val="2"/>
          </w:tcPr>
          <w:p>
            <w:pPr>
              <w:spacing w:after="0"/>
              <w:rPr>
                <w:sz w:val="20"/>
                <w:szCs w:val="20"/>
                <w:color w:val="auto"/>
              </w:rPr>
            </w:pPr>
            <w:r>
              <w:rPr>
                <w:rFonts w:ascii="Arial" w:cs="Arial" w:eastAsia="Arial" w:hAnsi="Arial"/>
                <w:sz w:val="13"/>
                <w:szCs w:val="13"/>
                <w:b w:val="1"/>
                <w:bCs w:val="1"/>
                <w:color w:val="auto"/>
              </w:rPr>
              <w:t>(In millions, except percentages)</w:t>
            </w:r>
          </w:p>
        </w:tc>
        <w:tc>
          <w:tcPr>
            <w:tcW w:w="2640" w:type="dxa"/>
            <w:vAlign w:val="bottom"/>
          </w:tcPr>
          <w:p>
            <w:pPr>
              <w:spacing w:after="0"/>
              <w:rPr>
                <w:sz w:val="15"/>
                <w:szCs w:val="15"/>
                <w:color w:val="auto"/>
              </w:rPr>
            </w:pPr>
          </w:p>
        </w:tc>
        <w:tc>
          <w:tcPr>
            <w:tcW w:w="1000" w:type="dxa"/>
            <w:vAlign w:val="bottom"/>
          </w:tcPr>
          <w:p>
            <w:pPr>
              <w:jc w:val="right"/>
              <w:ind w:right="18"/>
              <w:spacing w:after="0"/>
              <w:rPr>
                <w:sz w:val="20"/>
                <w:szCs w:val="20"/>
                <w:color w:val="auto"/>
              </w:rPr>
            </w:pPr>
            <w:r>
              <w:rPr>
                <w:rFonts w:ascii="Arial" w:cs="Arial" w:eastAsia="Arial" w:hAnsi="Arial"/>
                <w:sz w:val="13"/>
                <w:szCs w:val="13"/>
                <w:b w:val="1"/>
                <w:bCs w:val="1"/>
                <w:color w:val="auto"/>
              </w:rPr>
              <w:t>2021</w:t>
            </w:r>
          </w:p>
        </w:tc>
        <w:tc>
          <w:tcPr>
            <w:tcW w:w="660" w:type="dxa"/>
            <w:vAlign w:val="bottom"/>
          </w:tcPr>
          <w:p>
            <w:pPr>
              <w:spacing w:after="0"/>
              <w:rPr>
                <w:sz w:val="15"/>
                <w:szCs w:val="15"/>
                <w:color w:val="auto"/>
              </w:rPr>
            </w:pPr>
          </w:p>
        </w:tc>
        <w:tc>
          <w:tcPr>
            <w:tcW w:w="1360" w:type="dxa"/>
            <w:vAlign w:val="bottom"/>
          </w:tcPr>
          <w:p>
            <w:pPr>
              <w:jc w:val="right"/>
              <w:ind w:right="378"/>
              <w:spacing w:after="0"/>
              <w:rPr>
                <w:sz w:val="20"/>
                <w:szCs w:val="20"/>
                <w:color w:val="auto"/>
              </w:rPr>
            </w:pPr>
            <w:r>
              <w:rPr>
                <w:rFonts w:ascii="Arial" w:cs="Arial" w:eastAsia="Arial" w:hAnsi="Arial"/>
                <w:sz w:val="13"/>
                <w:szCs w:val="13"/>
                <w:b w:val="1"/>
                <w:bCs w:val="1"/>
                <w:color w:val="auto"/>
              </w:rPr>
              <w:t>2020</w:t>
            </w:r>
          </w:p>
        </w:tc>
        <w:tc>
          <w:tcPr>
            <w:tcW w:w="13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220" w:type="dxa"/>
            <w:vAlign w:val="bottom"/>
            <w:tcBorders>
              <w:bottom w:val="single" w:sz="8" w:color="auto"/>
            </w:tcBorders>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22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2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General and administrative</w:t>
            </w:r>
          </w:p>
        </w:tc>
        <w:tc>
          <w:tcPr>
            <w:tcW w:w="2640" w:type="dxa"/>
            <w:vAlign w:val="bottom"/>
            <w:shd w:val="clear" w:color="auto" w:fill="E5E5E5"/>
          </w:tcPr>
          <w:p>
            <w:pPr>
              <w:jc w:val="right"/>
              <w:ind w:right="370"/>
              <w:spacing w:after="0" w:line="189"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E5E5E5"/>
          </w:tcPr>
          <w:p>
            <w:pPr>
              <w:jc w:val="right"/>
              <w:ind w:right="18"/>
              <w:spacing w:after="0" w:line="189" w:lineRule="exact"/>
              <w:rPr>
                <w:sz w:val="20"/>
                <w:szCs w:val="20"/>
                <w:color w:val="auto"/>
              </w:rPr>
            </w:pPr>
            <w:r>
              <w:rPr>
                <w:rFonts w:ascii="Arial" w:cs="Arial" w:eastAsia="Arial" w:hAnsi="Arial"/>
                <w:sz w:val="18"/>
                <w:szCs w:val="18"/>
                <w:b w:val="1"/>
                <w:bCs w:val="1"/>
                <w:color w:val="auto"/>
              </w:rPr>
              <w:t>5,107</w:t>
            </w:r>
          </w:p>
        </w:tc>
        <w:tc>
          <w:tcPr>
            <w:tcW w:w="660" w:type="dxa"/>
            <w:vAlign w:val="bottom"/>
            <w:shd w:val="clear" w:color="auto" w:fill="E5E5E5"/>
          </w:tcPr>
          <w:p>
            <w:pPr>
              <w:jc w:val="right"/>
              <w:ind w:right="370"/>
              <w:spacing w:after="0" w:line="189" w:lineRule="exact"/>
              <w:rPr>
                <w:sz w:val="20"/>
                <w:szCs w:val="20"/>
                <w:color w:val="auto"/>
              </w:rPr>
            </w:pPr>
            <w:r>
              <w:rPr>
                <w:rFonts w:ascii="Arial" w:cs="Arial" w:eastAsia="Arial" w:hAnsi="Arial"/>
                <w:sz w:val="18"/>
                <w:szCs w:val="18"/>
                <w:color w:val="auto"/>
              </w:rPr>
              <w:t>$</w:t>
            </w:r>
          </w:p>
        </w:tc>
        <w:tc>
          <w:tcPr>
            <w:tcW w:w="1360" w:type="dxa"/>
            <w:vAlign w:val="bottom"/>
            <w:shd w:val="clear" w:color="auto" w:fill="E5E5E5"/>
          </w:tcPr>
          <w:p>
            <w:pPr>
              <w:jc w:val="right"/>
              <w:ind w:right="378"/>
              <w:spacing w:after="0" w:line="189" w:lineRule="exact"/>
              <w:rPr>
                <w:sz w:val="20"/>
                <w:szCs w:val="20"/>
                <w:color w:val="auto"/>
              </w:rPr>
            </w:pPr>
            <w:r>
              <w:rPr>
                <w:rFonts w:ascii="Arial" w:cs="Arial" w:eastAsia="Arial" w:hAnsi="Arial"/>
                <w:sz w:val="18"/>
                <w:szCs w:val="18"/>
                <w:color w:val="auto"/>
              </w:rPr>
              <w:t>5,111</w:t>
            </w:r>
          </w:p>
        </w:tc>
        <w:tc>
          <w:tcPr>
            <w:tcW w:w="12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 w:type="dxa"/>
            <w:vAlign w:val="bottom"/>
            <w:tcBorders>
              <w:bottom w:val="single" w:sz="8" w:color="auto"/>
            </w:tcBorders>
          </w:tcPr>
          <w:p>
            <w:pPr>
              <w:spacing w:after="0"/>
              <w:rPr>
                <w:sz w:val="21"/>
                <w:szCs w:val="21"/>
                <w:color w:val="auto"/>
              </w:rPr>
            </w:pP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 a percent of revenue</w:t>
            </w:r>
          </w:p>
        </w:tc>
        <w:tc>
          <w:tcPr>
            <w:tcW w:w="26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3%</w:t>
            </w:r>
          </w:p>
        </w:tc>
        <w:tc>
          <w:tcPr>
            <w:tcW w:w="6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78"/>
              <w:spacing w:after="0"/>
              <w:rPr>
                <w:sz w:val="20"/>
                <w:szCs w:val="20"/>
                <w:color w:val="auto"/>
              </w:rPr>
            </w:pPr>
            <w:r>
              <w:rPr>
                <w:rFonts w:ascii="Arial" w:cs="Arial" w:eastAsia="Arial" w:hAnsi="Arial"/>
                <w:sz w:val="18"/>
                <w:szCs w:val="18"/>
                <w:color w:val="auto"/>
              </w:rPr>
              <w:t>4%</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(1)ppt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General and administrative expenses include payroll, employee benefits, stock-based compensation expense, severance expense, and other headcount-related expenses associated with finance, legal, facilities, certain human resources and other administrative personnel, certain taxes, and legal and other administrative fees.</w:t>
      </w:r>
    </w:p>
    <w:p>
      <w:pPr>
        <w:spacing w:after="0" w:line="14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General and administrative expenses were relatively unchanged, driven by prior year charges associated with the closing of our Microsoft Store physical locations, offset in part by an increase in certain employee-related expenses and business taxes.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46" w:name="page47"/>
    <w:bookmarkEnd w:id="46"/>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7</w:t>
      </w:r>
    </w:p>
    <w:p>
      <w:pPr>
        <w:spacing w:after="0" w:line="200" w:lineRule="exact"/>
        <w:rPr>
          <w:sz w:val="20"/>
          <w:szCs w:val="20"/>
          <w:color w:val="auto"/>
        </w:rPr>
      </w:pPr>
    </w:p>
    <w:p>
      <w:pPr>
        <w:spacing w:after="0" w:line="229" w:lineRule="exact"/>
        <w:rPr>
          <w:sz w:val="20"/>
          <w:szCs w:val="20"/>
          <w:color w:val="auto"/>
        </w:rPr>
      </w:pPr>
    </w:p>
    <w:p>
      <w:pPr>
        <w:ind w:left="4180"/>
        <w:spacing w:after="0"/>
        <w:rPr>
          <w:sz w:val="20"/>
          <w:szCs w:val="20"/>
          <w:color w:val="auto"/>
        </w:rPr>
      </w:pPr>
      <w:r>
        <w:rPr>
          <w:rFonts w:ascii="Arial" w:cs="Arial" w:eastAsia="Arial" w:hAnsi="Arial"/>
          <w:sz w:val="18"/>
          <w:szCs w:val="18"/>
          <w:u w:val="single" w:color="auto"/>
          <w:color w:val="auto"/>
        </w:rPr>
        <w:t>OTHER INCOME (EXPENSE), NET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income (expense), net were as follows:</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52070</wp:posOffset>
            </wp:positionV>
            <wp:extent cx="70472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47230" cy="8255"/>
                    </a:xfrm>
                    <a:prstGeom prst="rect">
                      <a:avLst/>
                    </a:prstGeom>
                    <a:noFill/>
                  </pic:spPr>
                </pic:pic>
              </a:graphicData>
            </a:graphic>
          </wp:anchor>
        </w:drawing>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5980" w:type="dxa"/>
            <w:vAlign w:val="bottom"/>
            <w:gridSpan w:val="2"/>
          </w:tcPr>
          <w:p>
            <w:pPr>
              <w:spacing w:after="0"/>
              <w:rPr>
                <w:sz w:val="20"/>
                <w:szCs w:val="20"/>
                <w:color w:val="auto"/>
              </w:rPr>
            </w:pPr>
            <w:r>
              <w:rPr>
                <w:rFonts w:ascii="Arial" w:cs="Arial" w:eastAsia="Arial" w:hAnsi="Arial"/>
                <w:sz w:val="13"/>
                <w:szCs w:val="13"/>
                <w:b w:val="1"/>
                <w:bCs w:val="1"/>
                <w:color w:val="auto"/>
              </w:rPr>
              <w:t>Year Ended June 30,</w:t>
            </w:r>
          </w:p>
        </w:tc>
        <w:tc>
          <w:tcPr>
            <w:tcW w:w="1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59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9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Interest and dividends income</w:t>
            </w:r>
          </w:p>
        </w:tc>
        <w:tc>
          <w:tcPr>
            <w:tcW w:w="2200" w:type="dxa"/>
            <w:vAlign w:val="bottom"/>
            <w:gridSpan w:val="2"/>
            <w:shd w:val="clear" w:color="auto" w:fill="E5E5E5"/>
          </w:tcPr>
          <w:p>
            <w:pPr>
              <w:jc w:val="right"/>
              <w:ind w:right="540"/>
              <w:spacing w:after="0" w:line="189" w:lineRule="exact"/>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2,131</w:t>
            </w:r>
          </w:p>
        </w:tc>
        <w:tc>
          <w:tcPr>
            <w:tcW w:w="700" w:type="dxa"/>
            <w:vAlign w:val="bottom"/>
            <w:gridSpan w:val="2"/>
            <w:shd w:val="clear" w:color="auto" w:fill="E5E5E5"/>
          </w:tcPr>
          <w:p>
            <w:pPr>
              <w:jc w:val="right"/>
              <w:ind w:right="520"/>
              <w:spacing w:after="0" w:line="189"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2,680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6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1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8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(2,346)</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4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(2,591)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recognized gains on investments</w:t>
            </w:r>
          </w:p>
        </w:tc>
        <w:tc>
          <w:tcPr>
            <w:tcW w:w="1560" w:type="dxa"/>
            <w:vAlign w:val="bottom"/>
            <w:shd w:val="clear" w:color="auto" w:fill="E5E5E5"/>
          </w:tcPr>
          <w:p>
            <w:pPr>
              <w:spacing w:after="0"/>
              <w:rPr>
                <w:sz w:val="16"/>
                <w:szCs w:val="16"/>
                <w:color w:val="auto"/>
              </w:rPr>
            </w:pPr>
          </w:p>
        </w:tc>
        <w:tc>
          <w:tcPr>
            <w:tcW w:w="640" w:type="dxa"/>
            <w:vAlign w:val="bottom"/>
            <w:shd w:val="clear" w:color="auto" w:fill="E5E5E5"/>
          </w:tcPr>
          <w:p>
            <w:pPr>
              <w:spacing w:after="0"/>
              <w:rPr>
                <w:sz w:val="16"/>
                <w:szCs w:val="16"/>
                <w:color w:val="auto"/>
              </w:rPr>
            </w:pPr>
          </w:p>
        </w:tc>
        <w:tc>
          <w:tcPr>
            <w:tcW w:w="11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1,232</w:t>
            </w:r>
          </w:p>
        </w:tc>
        <w:tc>
          <w:tcPr>
            <w:tcW w:w="80" w:type="dxa"/>
            <w:vAlign w:val="bottom"/>
            <w:shd w:val="clear" w:color="auto" w:fill="E5E5E5"/>
          </w:tcPr>
          <w:p>
            <w:pPr>
              <w:spacing w:after="0"/>
              <w:rPr>
                <w:sz w:val="16"/>
                <w:szCs w:val="16"/>
                <w:color w:val="auto"/>
              </w:rPr>
            </w:pPr>
          </w:p>
        </w:tc>
        <w:tc>
          <w:tcPr>
            <w:tcW w:w="62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60" w:type="dxa"/>
            <w:vAlign w:val="bottom"/>
          </w:tcPr>
          <w:p>
            <w:pPr>
              <w:spacing w:after="0" w:line="189" w:lineRule="exact"/>
              <w:rPr>
                <w:sz w:val="20"/>
                <w:szCs w:val="20"/>
                <w:color w:val="auto"/>
              </w:rPr>
            </w:pPr>
            <w:r>
              <w:rPr>
                <w:rFonts w:ascii="Arial" w:cs="Arial" w:eastAsia="Arial" w:hAnsi="Arial"/>
                <w:sz w:val="18"/>
                <w:szCs w:val="18"/>
                <w:color w:val="auto"/>
              </w:rPr>
              <w:t>Net gains on derivatives</w:t>
            </w:r>
          </w:p>
        </w:tc>
        <w:tc>
          <w:tcPr>
            <w:tcW w:w="1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8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17</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gains (losses) on foreign currency remeasurements</w:t>
            </w:r>
          </w:p>
        </w:tc>
        <w:tc>
          <w:tcPr>
            <w:tcW w:w="1560" w:type="dxa"/>
            <w:vAlign w:val="bottom"/>
            <w:shd w:val="clear" w:color="auto" w:fill="E5E5E5"/>
          </w:tcPr>
          <w:p>
            <w:pPr>
              <w:spacing w:after="0"/>
              <w:rPr>
                <w:sz w:val="16"/>
                <w:szCs w:val="16"/>
                <w:color w:val="auto"/>
              </w:rPr>
            </w:pPr>
          </w:p>
        </w:tc>
        <w:tc>
          <w:tcPr>
            <w:tcW w:w="640" w:type="dxa"/>
            <w:vAlign w:val="bottom"/>
            <w:shd w:val="clear" w:color="auto" w:fill="E5E5E5"/>
          </w:tcPr>
          <w:p>
            <w:pPr>
              <w:spacing w:after="0"/>
              <w:rPr>
                <w:sz w:val="16"/>
                <w:szCs w:val="16"/>
                <w:color w:val="auto"/>
              </w:rPr>
            </w:pPr>
          </w:p>
        </w:tc>
        <w:tc>
          <w:tcPr>
            <w:tcW w:w="11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54</w:t>
            </w:r>
          </w:p>
        </w:tc>
        <w:tc>
          <w:tcPr>
            <w:tcW w:w="80" w:type="dxa"/>
            <w:vAlign w:val="bottom"/>
            <w:shd w:val="clear" w:color="auto" w:fill="E5E5E5"/>
          </w:tcPr>
          <w:p>
            <w:pPr>
              <w:spacing w:after="0"/>
              <w:rPr>
                <w:sz w:val="16"/>
                <w:szCs w:val="16"/>
                <w:color w:val="auto"/>
              </w:rPr>
            </w:pPr>
          </w:p>
        </w:tc>
        <w:tc>
          <w:tcPr>
            <w:tcW w:w="62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Other, net</w:t>
            </w:r>
          </w:p>
        </w:tc>
        <w:tc>
          <w:tcPr>
            <w:tcW w:w="1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98</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5960" w:type="dxa"/>
            <w:vAlign w:val="bottom"/>
            <w:tcBorders>
              <w:top w:val="single" w:sz="8" w:color="auto"/>
            </w:tcBorders>
          </w:tcPr>
          <w:p>
            <w:pPr>
              <w:spacing w:after="0"/>
              <w:rPr>
                <w:sz w:val="5"/>
                <w:szCs w:val="5"/>
                <w:color w:val="auto"/>
              </w:rPr>
            </w:pPr>
          </w:p>
        </w:tc>
        <w:tc>
          <w:tcPr>
            <w:tcW w:w="156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104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10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2200" w:type="dxa"/>
            <w:vAlign w:val="bottom"/>
            <w:gridSpan w:val="2"/>
            <w:shd w:val="clear" w:color="auto" w:fill="E5E5E5"/>
          </w:tcPr>
          <w:p>
            <w:pPr>
              <w:jc w:val="right"/>
              <w:ind w:right="540"/>
              <w:spacing w:after="0" w:line="189" w:lineRule="exact"/>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1,186</w:t>
            </w:r>
          </w:p>
        </w:tc>
        <w:tc>
          <w:tcPr>
            <w:tcW w:w="700" w:type="dxa"/>
            <w:vAlign w:val="bottom"/>
            <w:gridSpan w:val="2"/>
            <w:shd w:val="clear" w:color="auto" w:fill="E5E5E5"/>
          </w:tcPr>
          <w:p>
            <w:pPr>
              <w:jc w:val="right"/>
              <w:ind w:right="520"/>
              <w:spacing w:after="0" w:line="189"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5960" w:type="dxa"/>
            <w:vAlign w:val="bottom"/>
          </w:tcPr>
          <w:p>
            <w:pPr>
              <w:spacing w:after="0"/>
              <w:rPr>
                <w:sz w:val="6"/>
                <w:szCs w:val="6"/>
                <w:color w:val="auto"/>
              </w:rPr>
            </w:pPr>
          </w:p>
        </w:tc>
        <w:tc>
          <w:tcPr>
            <w:tcW w:w="1560" w:type="dxa"/>
            <w:vAlign w:val="bottom"/>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use derivative instruments to manage risks related to foreign currencies, equity prices, interest rates, and credit; enhance investment returns; and facilitate portfolio diversification. Gains and losses from changes in fair values of derivatives that are not designated as hedging instruments are primarily recognized in other income (expense), net.</w:t>
      </w:r>
    </w:p>
    <w:p>
      <w:pPr>
        <w:spacing w:after="0" w:line="14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Interest and dividends income decreased due to lower yields on fixed-income securities. Interest expense decreased due to a decrease in outstanding long-term debt due to debt maturities. Net recognized gains on investments increased due to higher gains on equity securities. Net gains on derivatives decreased due to lower gains on foreign currency contracts.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INCOME TAXES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Tax Rate</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effective tax rate for fiscal years 2021 and 2020 was 14% and 17%, respectively. The decrease in our effective tax rate was primarily due to tax benefits from a decision by the India Supreme Court on withholding taxes in the case of Engineering Analysis Centre of Excellence Private Limited vs The Commissioner of Income Tax, an agreement between the U.S. and India tax authorities related to transfer pricing, final Tax Cuts and Jobs Act (“TCJA”) regulations, and an increase in tax benefits relating to stock-based compensation.</w:t>
      </w:r>
    </w:p>
    <w:p>
      <w:pPr>
        <w:spacing w:after="0" w:line="14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historically paid India withholding taxes on software sales through distributor withholding and tax audit assessments in India. In March 2021, the India Supreme Court ruled favorably for companies in 86 separate appeals, some dating back to 2012, holding that software sales are not subject to India withholding taxes. Although we were not a party to the appeals, our software sales in India were determined to be not subject to withholding taxes. Therefore, we recorded a net income tax benefit of $ 620 million in the third quarter of fiscal year 2021 to reflect the results of the India Supreme Court decision impacting fiscal year 1996 through fiscal year 2016.</w:t>
      </w:r>
    </w:p>
    <w:p>
      <w:pPr>
        <w:spacing w:after="0" w:line="14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effective tax rate was lower than the U.S. federal statutory rate, primarily due to earnings taxed at lower rates in foreign jurisdictions resulting from producing and distributing our products and services through our foreign regional operations centers in Ireland and Puerto Rico, tax benefits relating to stock-based compensation, and tax benefits from the India Supreme Court decision on withholding taxes.</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mix of income before income taxes between the U.S. and foreign countries impacted our effective tax rate as a result of the geographic distribution of, and customer demand for, our products and services. In fiscal year 2021, our U.S. income before income taxes was $35.0 billion and our foreign income before income taxes was $36.1 billion. In fiscal year 2020, our U.S. income before income taxes was $24.1 billion and our foreign income before income taxes was $28.9 billion.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7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settled a portion of the Internal Revenue Service (“IRS”) audit for tax years 2004 to 2006 in fiscal year 2011. In February 2012, the IRS withdrew its 2011 Revenue Agents Report related to unresolved issues for tax years 2004 to 2006 and reopened the audit phase of the examination. We also settled a portion of the IRS audit for tax years 2007 to 2009 in fiscal year 2016, and a portion of the IRS audit for tax years 2010 to 2013 in fiscal year 2018. In the second quarter of fiscal year 2021, we settled an additional portion of the IRS audits for tax years 2004 to 2013 and made a payment of $1.7 billion, including tax and interest. We remain under audit for tax years 2004 to 2017.</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47" w:name="page48"/>
    <w:bookmarkEnd w:id="47"/>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7</w:t>
      </w:r>
    </w:p>
    <w:p>
      <w:pPr>
        <w:spacing w:after="0" w:line="36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of June 30, 2021, the primary unresolved issues for the IRS audits relate to transfer pricing, which could have a material impact in our consolidated financial statements when the matters are resolved. We believe our allowances for income tax contingencies are adequate. We have not received a proposed assessment for the unresolved key transfer pricing issues and do not expect a final resolution of these issues in the next 12 months. Based on the information currently available, we do not anticipate a significant increase or decrease to our tax contingencies for these issues within the next 12 months.</w:t>
      </w:r>
    </w:p>
    <w:p>
      <w:pPr>
        <w:spacing w:after="0" w:line="14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are subject to income tax in many jurisdictions outside the U.S. Our operations in certain jurisdictions remain subject to examination for tax years 1996 to 2020, some of which are currently under audit by local tax authorities. The resolution of each of these audits is not expected to be material to our consolidated financial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NON-GAAP FINANCIAL MEASURES</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Adjusted net income and adjusted diluted EPS are non-GAAP financial measures which exclude the tax benefits related to the India Supreme Court decision on withholding taxes in fiscal year 2021. We believe these non-GAAP measures aid investors by providing additional insight into our operational performance and help clarify trends affecting our business. For comparability of reporting, management considers non-GAAP measures in conjunction with GAAP financial results in evaluating business performance. These non-GAAP financial measures presented should not be considered a substitute for, or superior to, the measures of financial performance prepared in accordance with GAAP.</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our financial results reported in accordance with GAAP to non-GAAP financial results: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78"/>
        </w:trPr>
        <w:tc>
          <w:tcPr>
            <w:tcW w:w="6260" w:type="dxa"/>
            <w:vAlign w:val="bottom"/>
            <w:gridSpan w:val="3"/>
          </w:tcPr>
          <w:p>
            <w:pPr>
              <w:spacing w:after="0"/>
              <w:rPr>
                <w:sz w:val="20"/>
                <w:szCs w:val="20"/>
                <w:color w:val="auto"/>
              </w:rPr>
            </w:pPr>
            <w:r>
              <w:rPr>
                <w:rFonts w:ascii="Arial" w:cs="Arial" w:eastAsia="Arial" w:hAnsi="Arial"/>
                <w:sz w:val="13"/>
                <w:szCs w:val="13"/>
                <w:b w:val="1"/>
                <w:bCs w:val="1"/>
                <w:color w:val="auto"/>
              </w:rPr>
              <w:t>(In millions, except percentages and per share amounts)</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2021</w:t>
            </w:r>
          </w:p>
        </w:tc>
        <w:tc>
          <w:tcPr>
            <w:tcW w:w="5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460" w:type="dxa"/>
            <w:vAlign w:val="bottom"/>
          </w:tcPr>
          <w:p>
            <w:pPr>
              <w:spacing w:after="0"/>
              <w:rPr>
                <w:sz w:val="15"/>
                <w:szCs w:val="15"/>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624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6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9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240" w:type="dxa"/>
            <w:vAlign w:val="bottom"/>
            <w:gridSpan w:val="2"/>
            <w:shd w:val="clear" w:color="auto" w:fill="E5E5E5"/>
          </w:tcPr>
          <w:p>
            <w:pPr>
              <w:spacing w:after="0" w:line="189" w:lineRule="exact"/>
              <w:rPr>
                <w:sz w:val="20"/>
                <w:szCs w:val="20"/>
                <w:color w:val="auto"/>
              </w:rPr>
            </w:pPr>
            <w:r>
              <w:rPr>
                <w:rFonts w:ascii="Arial" w:cs="Arial" w:eastAsia="Arial" w:hAnsi="Arial"/>
                <w:sz w:val="18"/>
                <w:szCs w:val="18"/>
                <w:color w:val="auto"/>
              </w:rPr>
              <w:t>Net income</w:t>
            </w:r>
          </w:p>
        </w:tc>
        <w:tc>
          <w:tcPr>
            <w:tcW w:w="580" w:type="dxa"/>
            <w:vAlign w:val="bottom"/>
            <w:gridSpan w:val="2"/>
            <w:shd w:val="clear" w:color="auto" w:fill="E5E5E5"/>
          </w:tcPr>
          <w:p>
            <w:pPr>
              <w:jc w:val="right"/>
              <w:ind w:right="400"/>
              <w:spacing w:after="0" w:line="189" w:lineRule="exact"/>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61,271</w:t>
            </w:r>
          </w:p>
        </w:tc>
        <w:tc>
          <w:tcPr>
            <w:tcW w:w="500" w:type="dxa"/>
            <w:vAlign w:val="bottom"/>
            <w:shd w:val="clear" w:color="auto" w:fill="E5E5E5"/>
          </w:tcPr>
          <w:p>
            <w:pPr>
              <w:jc w:val="right"/>
              <w:ind w:right="310"/>
              <w:spacing w:after="0" w:line="189"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E5E5E5"/>
          </w:tcPr>
          <w:p>
            <w:pPr>
              <w:jc w:val="right"/>
              <w:ind w:right="460"/>
              <w:spacing w:after="0" w:line="189" w:lineRule="exact"/>
              <w:rPr>
                <w:sz w:val="20"/>
                <w:szCs w:val="20"/>
                <w:color w:val="auto"/>
              </w:rPr>
            </w:pPr>
            <w:r>
              <w:rPr>
                <w:rFonts w:ascii="Arial" w:cs="Arial" w:eastAsia="Arial" w:hAnsi="Arial"/>
                <w:sz w:val="18"/>
                <w:szCs w:val="18"/>
                <w:color w:val="auto"/>
              </w:rPr>
              <w:t>44,281</w:t>
            </w:r>
          </w:p>
        </w:tc>
        <w:tc>
          <w:tcPr>
            <w:tcW w:w="13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40" w:type="dxa"/>
            <w:vAlign w:val="bottom"/>
            <w:gridSpan w:val="2"/>
          </w:tcPr>
          <w:p>
            <w:pPr>
              <w:spacing w:after="0" w:line="174" w:lineRule="exact"/>
              <w:rPr>
                <w:sz w:val="20"/>
                <w:szCs w:val="20"/>
                <w:color w:val="auto"/>
              </w:rPr>
            </w:pPr>
            <w:r>
              <w:rPr>
                <w:rFonts w:ascii="Arial" w:cs="Arial" w:eastAsia="Arial" w:hAnsi="Arial"/>
                <w:sz w:val="18"/>
                <w:szCs w:val="18"/>
                <w:color w:val="auto"/>
              </w:rPr>
              <w:t>Net income tax benefit related to India Supreme Court decision on withholding</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(620)</w:t>
            </w: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100" w:type="dxa"/>
            <w:vAlign w:val="bottom"/>
          </w:tcPr>
          <w:p>
            <w:pPr>
              <w:ind w:left="60"/>
              <w:spacing w:after="0"/>
              <w:rPr>
                <w:sz w:val="20"/>
                <w:szCs w:val="20"/>
                <w:color w:val="auto"/>
              </w:rPr>
            </w:pPr>
            <w:r>
              <w:rPr>
                <w:rFonts w:ascii="Arial" w:cs="Arial" w:eastAsia="Arial" w:hAnsi="Arial"/>
                <w:sz w:val="18"/>
                <w:szCs w:val="18"/>
                <w:color w:val="auto"/>
              </w:rPr>
              <w:t>taxes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9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6100" w:type="dxa"/>
            <w:vAlign w:val="bottom"/>
            <w:shd w:val="clear" w:color="auto" w:fill="E5E5E5"/>
          </w:tcPr>
          <w:p>
            <w:pPr>
              <w:ind w:left="60"/>
              <w:spacing w:after="0" w:line="189" w:lineRule="exact"/>
              <w:rPr>
                <w:sz w:val="20"/>
                <w:szCs w:val="20"/>
                <w:color w:val="auto"/>
              </w:rPr>
            </w:pPr>
            <w:r>
              <w:rPr>
                <w:rFonts w:ascii="Arial" w:cs="Arial" w:eastAsia="Arial" w:hAnsi="Arial"/>
                <w:sz w:val="18"/>
                <w:szCs w:val="18"/>
                <w:color w:val="auto"/>
              </w:rPr>
              <w:t>Adjusted net income (non-GAAP)</w:t>
            </w:r>
          </w:p>
        </w:tc>
        <w:tc>
          <w:tcPr>
            <w:tcW w:w="580" w:type="dxa"/>
            <w:vAlign w:val="bottom"/>
            <w:gridSpan w:val="2"/>
            <w:shd w:val="clear" w:color="auto" w:fill="E5E5E5"/>
          </w:tcPr>
          <w:p>
            <w:pPr>
              <w:jc w:val="right"/>
              <w:ind w:right="400"/>
              <w:spacing w:after="0" w:line="189" w:lineRule="exact"/>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60,651</w:t>
            </w:r>
          </w:p>
        </w:tc>
        <w:tc>
          <w:tcPr>
            <w:tcW w:w="500" w:type="dxa"/>
            <w:vAlign w:val="bottom"/>
            <w:shd w:val="clear" w:color="auto" w:fill="E5E5E5"/>
          </w:tcPr>
          <w:p>
            <w:pPr>
              <w:jc w:val="right"/>
              <w:ind w:right="310"/>
              <w:spacing w:after="0" w:line="189"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E5E5E5"/>
          </w:tcPr>
          <w:p>
            <w:pPr>
              <w:jc w:val="right"/>
              <w:ind w:right="460"/>
              <w:spacing w:after="0" w:line="189" w:lineRule="exact"/>
              <w:rPr>
                <w:sz w:val="20"/>
                <w:szCs w:val="20"/>
                <w:color w:val="auto"/>
              </w:rPr>
            </w:pPr>
            <w:r>
              <w:rPr>
                <w:rFonts w:ascii="Arial" w:cs="Arial" w:eastAsia="Arial" w:hAnsi="Arial"/>
                <w:sz w:val="18"/>
                <w:szCs w:val="18"/>
                <w:color w:val="auto"/>
              </w:rPr>
              <w:t>44,281</w:t>
            </w:r>
          </w:p>
        </w:tc>
        <w:tc>
          <w:tcPr>
            <w:tcW w:w="13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74"/>
        </w:trPr>
        <w:tc>
          <w:tcPr>
            <w:tcW w:w="6260" w:type="dxa"/>
            <w:vAlign w:val="bottom"/>
            <w:gridSpan w:val="3"/>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6260" w:type="dxa"/>
            <w:vAlign w:val="bottom"/>
            <w:gridSpan w:val="3"/>
          </w:tcPr>
          <w:p>
            <w:pPr>
              <w:spacing w:after="0"/>
              <w:rPr>
                <w:sz w:val="20"/>
                <w:szCs w:val="20"/>
                <w:color w:val="auto"/>
              </w:rPr>
            </w:pPr>
            <w:r>
              <w:rPr>
                <w:rFonts w:ascii="Arial" w:cs="Arial" w:eastAsia="Arial" w:hAnsi="Arial"/>
                <w:sz w:val="18"/>
                <w:szCs w:val="18"/>
                <w:color w:val="auto"/>
              </w:rPr>
              <w:t>Diluted earnings per share</w:t>
            </w:r>
          </w:p>
        </w:tc>
        <w:tc>
          <w:tcPr>
            <w:tcW w:w="5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8.05</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5.76</w:t>
            </w:r>
          </w:p>
        </w:tc>
        <w:tc>
          <w:tcPr>
            <w:tcW w:w="460" w:type="dxa"/>
            <w:vAlign w:val="bottom"/>
          </w:tcPr>
          <w:p>
            <w:pPr>
              <w:spacing w:after="0"/>
              <w:rPr>
                <w:sz w:val="22"/>
                <w:szCs w:val="22"/>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40" w:type="dxa"/>
            <w:vAlign w:val="bottom"/>
            <w:gridSpan w:val="2"/>
            <w:shd w:val="clear" w:color="auto" w:fill="E5E5E5"/>
          </w:tcPr>
          <w:p>
            <w:pPr>
              <w:spacing w:after="0" w:line="174" w:lineRule="exact"/>
              <w:rPr>
                <w:sz w:val="20"/>
                <w:szCs w:val="20"/>
                <w:color w:val="auto"/>
              </w:rPr>
            </w:pPr>
            <w:r>
              <w:rPr>
                <w:rFonts w:ascii="Arial" w:cs="Arial" w:eastAsia="Arial" w:hAnsi="Arial"/>
                <w:sz w:val="18"/>
                <w:szCs w:val="18"/>
                <w:color w:val="auto"/>
              </w:rPr>
              <w:t>Net income tax benefit related to India Supreme Court decision on withholding</w:t>
            </w:r>
          </w:p>
        </w:tc>
        <w:tc>
          <w:tcPr>
            <w:tcW w:w="80" w:type="dxa"/>
            <w:vAlign w:val="bottom"/>
            <w:shd w:val="clear" w:color="auto" w:fill="E5E5E5"/>
          </w:tcPr>
          <w:p>
            <w:pPr>
              <w:spacing w:after="0"/>
              <w:rPr>
                <w:sz w:val="15"/>
                <w:szCs w:val="15"/>
                <w:color w:val="auto"/>
              </w:rPr>
            </w:pPr>
          </w:p>
        </w:tc>
        <w:tc>
          <w:tcPr>
            <w:tcW w:w="500" w:type="dxa"/>
            <w:vAlign w:val="bottom"/>
            <w:shd w:val="clear" w:color="auto" w:fill="E5E5E5"/>
          </w:tcPr>
          <w:p>
            <w:pPr>
              <w:spacing w:after="0"/>
              <w:rPr>
                <w:sz w:val="15"/>
                <w:szCs w:val="15"/>
                <w:color w:val="auto"/>
              </w:rPr>
            </w:pPr>
          </w:p>
        </w:tc>
        <w:tc>
          <w:tcPr>
            <w:tcW w:w="1160" w:type="dxa"/>
            <w:vAlign w:val="bottom"/>
            <w:gridSpan w:val="2"/>
            <w:vMerge w:val="restart"/>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(0.08)</w:t>
            </w:r>
          </w:p>
        </w:tc>
        <w:tc>
          <w:tcPr>
            <w:tcW w:w="500" w:type="dxa"/>
            <w:vAlign w:val="bottom"/>
            <w:shd w:val="clear" w:color="auto" w:fill="E5E5E5"/>
          </w:tcPr>
          <w:p>
            <w:pPr>
              <w:spacing w:after="0"/>
              <w:rPr>
                <w:sz w:val="15"/>
                <w:szCs w:val="15"/>
                <w:color w:val="auto"/>
              </w:rPr>
            </w:pPr>
          </w:p>
        </w:tc>
        <w:tc>
          <w:tcPr>
            <w:tcW w:w="960" w:type="dxa"/>
            <w:vAlign w:val="bottom"/>
            <w:shd w:val="clear" w:color="auto" w:fill="E5E5E5"/>
          </w:tcPr>
          <w:p>
            <w:pPr>
              <w:spacing w:after="0"/>
              <w:rPr>
                <w:sz w:val="15"/>
                <w:szCs w:val="15"/>
                <w:color w:val="auto"/>
              </w:rPr>
            </w:pPr>
          </w:p>
        </w:tc>
        <w:tc>
          <w:tcPr>
            <w:tcW w:w="460" w:type="dxa"/>
            <w:vAlign w:val="bottom"/>
            <w:shd w:val="clear" w:color="auto" w:fill="E5E5E5"/>
          </w:tcPr>
          <w:p>
            <w:pPr>
              <w:spacing w:after="0"/>
              <w:rPr>
                <w:sz w:val="15"/>
                <w:szCs w:val="15"/>
                <w:color w:val="auto"/>
              </w:rPr>
            </w:pPr>
          </w:p>
        </w:tc>
        <w:tc>
          <w:tcPr>
            <w:tcW w:w="122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610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taxes</w:t>
            </w:r>
          </w:p>
        </w:tc>
        <w:tc>
          <w:tcPr>
            <w:tcW w:w="8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1160" w:type="dxa"/>
            <w:vAlign w:val="bottom"/>
            <w:gridSpan w:val="2"/>
            <w:vMerge w:val="continue"/>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0</w:t>
            </w:r>
          </w:p>
        </w:tc>
        <w:tc>
          <w:tcPr>
            <w:tcW w:w="460" w:type="dxa"/>
            <w:vAlign w:val="bottom"/>
            <w:shd w:val="clear" w:color="auto" w:fill="E5E5E5"/>
          </w:tcPr>
          <w:p>
            <w:pPr>
              <w:spacing w:after="0"/>
              <w:rPr>
                <w:sz w:val="17"/>
                <w:szCs w:val="17"/>
                <w:color w:val="auto"/>
              </w:rPr>
            </w:pPr>
          </w:p>
        </w:tc>
        <w:tc>
          <w:tcPr>
            <w:tcW w:w="13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gridSpan w:val="2"/>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100" w:type="dxa"/>
            <w:vAlign w:val="bottom"/>
          </w:tcPr>
          <w:p>
            <w:pPr>
              <w:ind w:left="60"/>
              <w:spacing w:after="0"/>
              <w:rPr>
                <w:sz w:val="20"/>
                <w:szCs w:val="20"/>
                <w:color w:val="auto"/>
              </w:rPr>
            </w:pPr>
            <w:r>
              <w:rPr>
                <w:rFonts w:ascii="Arial" w:cs="Arial" w:eastAsia="Arial" w:hAnsi="Arial"/>
                <w:sz w:val="18"/>
                <w:szCs w:val="18"/>
                <w:color w:val="auto"/>
              </w:rPr>
              <w:t>Adjusted diluted earnings per share (non-GAAP)</w:t>
            </w:r>
          </w:p>
        </w:tc>
        <w:tc>
          <w:tcPr>
            <w:tcW w:w="5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7.97</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5.76</w:t>
            </w:r>
          </w:p>
        </w:tc>
        <w:tc>
          <w:tcPr>
            <w:tcW w:w="460" w:type="dxa"/>
            <w:vAlign w:val="bottom"/>
          </w:tcPr>
          <w:p>
            <w:pPr>
              <w:spacing w:after="0"/>
              <w:rPr>
                <w:sz w:val="22"/>
                <w:szCs w:val="22"/>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61"/>
        </w:trPr>
        <w:tc>
          <w:tcPr>
            <w:tcW w:w="16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6100" w:type="dxa"/>
            <w:vAlign w:val="bottom"/>
            <w:vMerge w:val="restart"/>
          </w:tcPr>
          <w:p>
            <w:pPr>
              <w:ind w:left="380"/>
              <w:spacing w:after="0"/>
              <w:rPr>
                <w:sz w:val="20"/>
                <w:szCs w:val="20"/>
                <w:color w:val="auto"/>
              </w:rPr>
            </w:pPr>
            <w:r>
              <w:rPr>
                <w:rFonts w:ascii="Arial" w:cs="Arial" w:eastAsia="Arial" w:hAnsi="Arial"/>
                <w:sz w:val="18"/>
                <w:szCs w:val="18"/>
                <w:i w:val="1"/>
                <w:iCs w:val="1"/>
                <w:color w:val="auto"/>
              </w:rPr>
              <w:t>Not meaningful.</w:t>
            </w:r>
          </w:p>
        </w:tc>
        <w:tc>
          <w:tcPr>
            <w:tcW w:w="8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6"/>
        </w:trPr>
        <w:tc>
          <w:tcPr>
            <w:tcW w:w="160" w:type="dxa"/>
            <w:vAlign w:val="bottom"/>
            <w:gridSpan w:val="2"/>
            <w:vMerge w:val="continue"/>
          </w:tcPr>
          <w:p>
            <w:pPr>
              <w:spacing w:after="0"/>
              <w:rPr>
                <w:sz w:val="24"/>
                <w:szCs w:val="24"/>
                <w:color w:val="auto"/>
              </w:rPr>
            </w:pPr>
          </w:p>
        </w:tc>
        <w:tc>
          <w:tcPr>
            <w:tcW w:w="61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48" w:name="page49"/>
    <w:bookmarkEnd w:id="48"/>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7</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FINANCIAL CONDITION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Investments</w:t>
      </w:r>
    </w:p>
    <w:p>
      <w:pPr>
        <w:spacing w:after="0" w:line="17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Cash, cash equivalents, and short-term investments totaled $130.3 billion and $136.5 billion as of June 30, 2021 and 2020. Equity investments were $ 6.0 billion and $3.0 billion as of June 30, 2021 and 2020, respectively. Our short-term investments are primarily intended to facilitate liquidity and capital preservation. They consist predominantly of highly liquid investment-grade fixed-income securities, diversified among industries and individual issuers. The investments are predominantly U.S. dollar-denominated securities, but also include foreign currency-denominated securities to diversify risk. Our fixed-income investments are exposed to interest rate risk and credit risk. The credit risk and average maturity of our fixed-income portfolio are managed to achieve economic returns that correlate to certain fixed-income indices. The settlement risk related to these investments is insignificant given that the short-term investments held are primarily highly liquid investment-grade fixed-income securities.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w:t>
      </w:r>
    </w:p>
    <w:p>
      <w:pPr>
        <w:spacing w:after="0" w:line="17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general, and where applicable, we use quoted prices in active markets for identical assets or liabilities to determine the fair value of our financial instruments. This pricing methodology applies to our Level 1 investments, such as U.S. government securities, common and preferred stock, and mutual funds. If quoted prices in active markets for identical assets or liabilities are not available to determine fair value, then we use quoted prices for similar assets and liabilities or inputs other than the quoted prices that are observable either directly or indirectly. This pricing methodology applies to our Level 2 investments, such as commercial paper, certificates of deposit, U.S. agency securities, foreign government bonds, mortgage- and asset-backed securities, corporate notes and bonds, and municipal securities. Level 3 investments are valued using internally-developed models with unobservable inputs. Assets and liabilities measured at fair value on a recurring basis using unobservable inputs are an immaterial portion of our portfolio.</w:t>
      </w:r>
    </w:p>
    <w:p>
      <w:pPr>
        <w:spacing w:after="0" w:line="14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 majority of our investments are priced by pricing vendors and are generally Level 1 or Level 2 investments as these vendors either provide a quoted market price in an active market or use observable inputs for their pricing without applying significant adjustments. Broker pricing is used mainly when a quoted price is not available, the investment is not priced by our pricing vendors, or when a broker price is more reflective of fair values in the market in which the investment trades. Our broker-priced investments are generally classified as Level 2 investments because the broker prices these investments based on similar assets without applying significant adjustments. In addition, all our broker-priced investments have a sufficient level of trading volume to demonstrate that the fair values used are appropriate for these investments. Our fair value processes include controls that are designed to ensure appropriate fair values are recorded. These controls include model validation, review of key model inputs, analysis of period-over-period fluctuations, and independent recalculation of prices where appropriate.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7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Cash from operations increased $16.1 billion to $76.7 billion for fiscal year 2021, mainly due to an increase in cash received from customers, offset in part by an increase in cash paid to suppliers and employees. Cash used in financing increased $2.5 billion to $48.5 billion for fiscal year 2021, mainly due to a $4.4 billion increase in common stock repurchases and a $1.4 billion increase in dividends paid, offset in part by a $1.8 billion decrease in repayments of debt and a $1.7 billion decrease in cash premium paid on debt exchange. Cash used in investing increased $15.4 billion to $27.6 billion for fiscal year 2021, mainly due to a $6.4 billion increase in cash used for acquisitions of companies, net of cash acquired, and purchases of intangible and other assets, a $5.2 billion increase in additions to property and equipment, and a $4.1 billion decrease in cash from net investment purchases, sales, and maturities.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17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issue debt to take advantage of favorable pricing and liquidity in the debt markets, reflecting our credit rating and the low interest rate environment. The proceeds of these issuances were or will be used for general corporate purposes, which may include, among other things, funding for working capital, capital expenditures, repurchases of capital stock, acquisitions, and repayment of existing debt. In March 2021 and June 2020, we exchanged a portion of our existing debt at a premium for cash and new debt with longer maturities to take advantage of favorable financing rates in the debt markets, reflecting our credit rating and the low interest rate environment. Refer to Note 11 – Debt of the Notes to Financial Statements (Part II, Item 8 of this Form 10-K) for further discussion.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49" w:name="page50"/>
    <w:bookmarkEnd w:id="49"/>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7</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Unearned Revenue</w:t>
      </w:r>
    </w:p>
    <w:p>
      <w:pPr>
        <w:spacing w:after="0" w:line="17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Unearned revenue comprises mainly unearned revenue related to volume licensing programs, which may include Software Assurance (“SA”) and cloud services. Unearned revenue is generally invoiced annually at the beginning of each contract period for multi-year agreements and recognized ratably over the coverage period. Unearned revenue also includes payments for other offerings for which we have been paid in advance and earn the revenue when we transfer control of the product or service. Refer to Note 1 – Accounting Policies of the Notes to Financial Statements (Part II, Item 8 of this Form 10-K) for further discussion.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the expected future recognition of unearned revenue as of June 30, 2021:</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0643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680" w:type="dxa"/>
            <w:vAlign w:val="bottom"/>
            <w:gridSpan w:val="2"/>
          </w:tcPr>
          <w:p>
            <w:pPr>
              <w:spacing w:after="0"/>
              <w:rPr>
                <w:sz w:val="20"/>
                <w:szCs w:val="20"/>
                <w:color w:val="auto"/>
              </w:rPr>
            </w:pPr>
            <w:r>
              <w:rPr>
                <w:rFonts w:ascii="Arial" w:cs="Arial" w:eastAsia="Arial" w:hAnsi="Arial"/>
                <w:sz w:val="13"/>
                <w:szCs w:val="13"/>
                <w:b w:val="1"/>
                <w:bCs w:val="1"/>
                <w:color w:val="auto"/>
              </w:rPr>
              <w:t>Three Months Ending</w:t>
            </w: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9660" w:type="dxa"/>
            <w:vAlign w:val="bottom"/>
          </w:tcPr>
          <w:p>
            <w:pPr>
              <w:spacing w:after="0"/>
              <w:rPr>
                <w:sz w:val="4"/>
                <w:szCs w:val="4"/>
                <w:color w:val="auto"/>
              </w:rPr>
            </w:pPr>
          </w:p>
        </w:tc>
        <w:tc>
          <w:tcPr>
            <w:tcW w:w="5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96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September 30, 2021</w:t>
            </w:r>
          </w:p>
        </w:tc>
        <w:tc>
          <w:tcPr>
            <w:tcW w:w="500" w:type="dxa"/>
            <w:vAlign w:val="bottom"/>
            <w:shd w:val="clear" w:color="auto" w:fill="E5E5E5"/>
          </w:tcPr>
          <w:p>
            <w:pPr>
              <w:jc w:val="right"/>
              <w:ind w:right="310"/>
              <w:spacing w:after="0" w:line="189" w:lineRule="exact"/>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15,922</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660" w:type="dxa"/>
            <w:vAlign w:val="bottom"/>
          </w:tcPr>
          <w:p>
            <w:pPr>
              <w:spacing w:after="0" w:line="189" w:lineRule="exact"/>
              <w:rPr>
                <w:sz w:val="20"/>
                <w:szCs w:val="20"/>
                <w:color w:val="auto"/>
              </w:rPr>
            </w:pPr>
            <w:r>
              <w:rPr>
                <w:rFonts w:ascii="Arial" w:cs="Arial" w:eastAsia="Arial" w:hAnsi="Arial"/>
                <w:sz w:val="18"/>
                <w:szCs w:val="18"/>
                <w:color w:val="auto"/>
              </w:rPr>
              <w:t>December 31, 2021</w:t>
            </w:r>
          </w:p>
        </w:tc>
        <w:tc>
          <w:tcPr>
            <w:tcW w:w="50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12,646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6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March 31, 2022</w:t>
            </w:r>
          </w:p>
        </w:tc>
        <w:tc>
          <w:tcPr>
            <w:tcW w:w="500" w:type="dxa"/>
            <w:vAlign w:val="bottom"/>
            <w:shd w:val="clear" w:color="auto" w:fill="E5E5E5"/>
          </w:tcPr>
          <w:p>
            <w:pPr>
              <w:spacing w:after="0"/>
              <w:rPr>
                <w:sz w:val="16"/>
                <w:szCs w:val="16"/>
                <w:color w:val="auto"/>
              </w:rPr>
            </w:pPr>
          </w:p>
        </w:tc>
        <w:tc>
          <w:tcPr>
            <w:tcW w:w="9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8,786</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660" w:type="dxa"/>
            <w:vAlign w:val="bottom"/>
          </w:tcPr>
          <w:p>
            <w:pPr>
              <w:spacing w:after="0" w:line="189" w:lineRule="exact"/>
              <w:rPr>
                <w:sz w:val="20"/>
                <w:szCs w:val="20"/>
                <w:color w:val="auto"/>
              </w:rPr>
            </w:pPr>
            <w:r>
              <w:rPr>
                <w:rFonts w:ascii="Arial" w:cs="Arial" w:eastAsia="Arial" w:hAnsi="Arial"/>
                <w:sz w:val="18"/>
                <w:szCs w:val="18"/>
                <w:color w:val="auto"/>
              </w:rPr>
              <w:t>June 30, 2022</w:t>
            </w:r>
          </w:p>
        </w:tc>
        <w:tc>
          <w:tcPr>
            <w:tcW w:w="50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4,171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6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Thereafter</w:t>
            </w:r>
          </w:p>
        </w:tc>
        <w:tc>
          <w:tcPr>
            <w:tcW w:w="500" w:type="dxa"/>
            <w:vAlign w:val="bottom"/>
            <w:shd w:val="clear" w:color="auto" w:fill="E5E5E5"/>
          </w:tcPr>
          <w:p>
            <w:pPr>
              <w:spacing w:after="0"/>
              <w:rPr>
                <w:sz w:val="16"/>
                <w:szCs w:val="16"/>
                <w:color w:val="auto"/>
              </w:rPr>
            </w:pPr>
          </w:p>
        </w:tc>
        <w:tc>
          <w:tcPr>
            <w:tcW w:w="9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2,616</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96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Total</w:t>
            </w:r>
          </w:p>
        </w:tc>
        <w:tc>
          <w:tcPr>
            <w:tcW w:w="500" w:type="dxa"/>
            <w:vAlign w:val="bottom"/>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44,141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966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If our customers choose to license cloud-based versions of our products and services rather than licensing transaction-based products and services, the associated revenue will shift from being recognized at the time of the transaction to being recognized over the subscription period or upon consumption, as applicable.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7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During fiscal years 2021 and 2020, we repurchased 101 million shares and 126 million shares of our common stock for $23.0 billion and $19.7 billion, respectively, through our share repurchase programs. All repurchases were made using cash resources. Refer to Note 16 – Stockholders’ Equity of the Notes to Financial Statements (Part II, Item 8 of this Form 10-K) for further discussion.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16 – Stockholders’ Equity of the Notes to Financial Statements (Part II, Item 8 of this Form 10-K) for further discussion.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provide indemnifications of varying scope and size to certain customers against claims of intellectual property infringement made by third parties arising from the use of our products and certain other matters. Additionally, we have agreed to cover damages resulting from breaches of certain security and privacy commitments in our cloud business. In evaluating estimated losses on these obligations, we consider factors such as the degree of probability of an unfavorable outcome and our ability to make a reasonable estimate of the amount of loss. These obligations did not have a material impact in our consolidated financial statements during the periods presented.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50" w:name="page51"/>
    <w:bookmarkEnd w:id="50"/>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7</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payments due by fiscal year for our outstanding contractual obligations as of June 30, 2021:</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gridSpan w:val="2"/>
          </w:tcPr>
          <w:p>
            <w:pPr>
              <w:spacing w:after="0"/>
              <w:rPr>
                <w:sz w:val="20"/>
                <w:szCs w:val="20"/>
                <w:color w:val="auto"/>
              </w:rPr>
            </w:pPr>
            <w:r>
              <w:rPr>
                <w:rFonts w:ascii="Arial" w:cs="Arial" w:eastAsia="Arial" w:hAnsi="Arial"/>
                <w:sz w:val="13"/>
                <w:szCs w:val="13"/>
                <w:b w:val="1"/>
                <w:bCs w:val="1"/>
                <w:color w:val="auto"/>
              </w:rPr>
              <w:t>(In millions)</w:t>
            </w:r>
          </w:p>
        </w:tc>
        <w:tc>
          <w:tcPr>
            <w:tcW w:w="80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2023-2024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2025-2026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Thereafter</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gridSpan w:val="2"/>
          </w:tcPr>
          <w:p>
            <w:pPr>
              <w:ind w:left="5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1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15"/>
                <w:szCs w:val="15"/>
                <w:color w:val="auto"/>
              </w:rPr>
              <w:t>(a)</w:t>
            </w:r>
          </w:p>
        </w:tc>
        <w:tc>
          <w:tcPr>
            <w:tcW w:w="800" w:type="dxa"/>
            <w:vAlign w:val="bottom"/>
            <w:shd w:val="clear" w:color="auto" w:fill="E5E5E5"/>
          </w:tcPr>
          <w:p>
            <w:pPr>
              <w:spacing w:after="0"/>
              <w:rPr>
                <w:sz w:val="16"/>
                <w:szCs w:val="16"/>
                <w:color w:val="auto"/>
              </w:rPr>
            </w:pPr>
          </w:p>
        </w:tc>
        <w:tc>
          <w:tcPr>
            <w:tcW w:w="8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8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160" w:type="dxa"/>
            <w:vAlign w:val="bottom"/>
          </w:tcPr>
          <w:p>
            <w:pPr>
              <w:ind w:left="200"/>
              <w:spacing w:after="0" w:line="189" w:lineRule="exact"/>
              <w:rPr>
                <w:sz w:val="20"/>
                <w:szCs w:val="20"/>
                <w:color w:val="auto"/>
              </w:rPr>
            </w:pPr>
            <w:r>
              <w:rPr>
                <w:rFonts w:ascii="Arial" w:cs="Arial" w:eastAsia="Arial" w:hAnsi="Arial"/>
                <w:sz w:val="18"/>
                <w:szCs w:val="18"/>
                <w:color w:val="auto"/>
              </w:rPr>
              <w:t>Principal payments</w:t>
            </w:r>
          </w:p>
        </w:tc>
        <w:tc>
          <w:tcPr>
            <w:tcW w:w="800" w:type="dxa"/>
            <w:vAlign w:val="bottom"/>
          </w:tcPr>
          <w:p>
            <w:pPr>
              <w:jc w:val="right"/>
              <w:ind w:right="150"/>
              <w:spacing w:after="0" w:line="189"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8,075</w:t>
            </w:r>
          </w:p>
        </w:tc>
        <w:tc>
          <w:tcPr>
            <w:tcW w:w="400" w:type="dxa"/>
            <w:vAlign w:val="bottom"/>
            <w:gridSpan w:val="2"/>
          </w:tcPr>
          <w:p>
            <w:pPr>
              <w:jc w:val="right"/>
              <w:ind w:right="180"/>
              <w:spacing w:after="0" w:line="189" w:lineRule="exact"/>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8,000</w:t>
            </w:r>
          </w:p>
        </w:tc>
        <w:tc>
          <w:tcPr>
            <w:tcW w:w="400" w:type="dxa"/>
            <w:vAlign w:val="bottom"/>
            <w:gridSpan w:val="2"/>
          </w:tcPr>
          <w:p>
            <w:pPr>
              <w:jc w:val="right"/>
              <w:ind w:right="180"/>
              <w:spacing w:after="0" w:line="189" w:lineRule="exact"/>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5,250</w:t>
            </w:r>
          </w:p>
        </w:tc>
        <w:tc>
          <w:tcPr>
            <w:tcW w:w="380" w:type="dxa"/>
            <w:vAlign w:val="bottom"/>
            <w:gridSpan w:val="2"/>
          </w:tcPr>
          <w:p>
            <w:pPr>
              <w:jc w:val="right"/>
              <w:ind w:right="180"/>
              <w:spacing w:after="0" w:line="189" w:lineRule="exact"/>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42,585</w:t>
            </w:r>
          </w:p>
        </w:tc>
        <w:tc>
          <w:tcPr>
            <w:tcW w:w="400" w:type="dxa"/>
            <w:vAlign w:val="bottom"/>
            <w:gridSpan w:val="2"/>
          </w:tcPr>
          <w:p>
            <w:pPr>
              <w:jc w:val="right"/>
              <w:ind w:right="180"/>
              <w:spacing w:after="0" w:line="189" w:lineRule="exact"/>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63,910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1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Interest payments</w:t>
            </w:r>
          </w:p>
        </w:tc>
        <w:tc>
          <w:tcPr>
            <w:tcW w:w="8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1,628</w:t>
            </w:r>
          </w:p>
        </w:tc>
        <w:tc>
          <w:tcPr>
            <w:tcW w:w="12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2,847</w:t>
            </w:r>
          </w:p>
        </w:tc>
        <w:tc>
          <w:tcPr>
            <w:tcW w:w="12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2,438</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17,320</w:t>
            </w:r>
          </w:p>
        </w:tc>
        <w:tc>
          <w:tcPr>
            <w:tcW w:w="12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24,233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160" w:type="dxa"/>
            <w:vAlign w:val="bottom"/>
          </w:tcPr>
          <w:p>
            <w:pPr>
              <w:spacing w:after="0" w:line="189" w:lineRule="exact"/>
              <w:rPr>
                <w:sz w:val="20"/>
                <w:szCs w:val="20"/>
                <w:color w:val="auto"/>
              </w:rPr>
            </w:pPr>
            <w:r>
              <w:rPr>
                <w:rFonts w:ascii="Arial" w:cs="Arial" w:eastAsia="Arial" w:hAnsi="Arial"/>
                <w:sz w:val="18"/>
                <w:szCs w:val="18"/>
                <w:color w:val="auto"/>
              </w:rPr>
              <w:t xml:space="preserve">Construction commitments </w:t>
            </w:r>
            <w:r>
              <w:rPr>
                <w:rFonts w:ascii="Arial" w:cs="Arial" w:eastAsia="Arial" w:hAnsi="Arial"/>
                <w:sz w:val="15"/>
                <w:szCs w:val="15"/>
                <w:color w:val="auto"/>
              </w:rPr>
              <w:t>(b)</w:t>
            </w:r>
          </w:p>
        </w:tc>
        <w:tc>
          <w:tcPr>
            <w:tcW w:w="800" w:type="dxa"/>
            <w:vAlign w:val="bottom"/>
          </w:tcPr>
          <w:p>
            <w:pPr>
              <w:spacing w:after="0"/>
              <w:rPr>
                <w:sz w:val="16"/>
                <w:szCs w:val="16"/>
                <w:color w:val="auto"/>
              </w:rPr>
            </w:pPr>
          </w:p>
        </w:tc>
        <w:tc>
          <w:tcPr>
            <w:tcW w:w="92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8,927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529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9,456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Operating leases, including imputed interest </w:t>
            </w:r>
            <w:r>
              <w:rPr>
                <w:rFonts w:ascii="Arial" w:cs="Arial" w:eastAsia="Arial" w:hAnsi="Arial"/>
                <w:sz w:val="15"/>
                <w:szCs w:val="15"/>
                <w:color w:val="auto"/>
              </w:rPr>
              <w:t>(c)</w:t>
            </w:r>
          </w:p>
        </w:tc>
        <w:tc>
          <w:tcPr>
            <w:tcW w:w="8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2,801</w:t>
            </w:r>
          </w:p>
        </w:tc>
        <w:tc>
          <w:tcPr>
            <w:tcW w:w="12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4,956</w:t>
            </w:r>
          </w:p>
        </w:tc>
        <w:tc>
          <w:tcPr>
            <w:tcW w:w="12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3,469</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6,747</w:t>
            </w:r>
          </w:p>
        </w:tc>
        <w:tc>
          <w:tcPr>
            <w:tcW w:w="12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17,973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160" w:type="dxa"/>
            <w:vAlign w:val="bottom"/>
          </w:tcPr>
          <w:p>
            <w:pPr>
              <w:spacing w:after="0" w:line="189" w:lineRule="exact"/>
              <w:rPr>
                <w:sz w:val="20"/>
                <w:szCs w:val="20"/>
                <w:color w:val="auto"/>
              </w:rPr>
            </w:pPr>
            <w:r>
              <w:rPr>
                <w:rFonts w:ascii="Arial" w:cs="Arial" w:eastAsia="Arial" w:hAnsi="Arial"/>
                <w:sz w:val="18"/>
                <w:szCs w:val="18"/>
                <w:color w:val="auto"/>
              </w:rPr>
              <w:t xml:space="preserve">Finance leases, including imputed interest </w:t>
            </w:r>
            <w:r>
              <w:rPr>
                <w:rFonts w:ascii="Arial" w:cs="Arial" w:eastAsia="Arial" w:hAnsi="Arial"/>
                <w:sz w:val="15"/>
                <w:szCs w:val="15"/>
                <w:color w:val="auto"/>
              </w:rPr>
              <w:t>(c)</w:t>
            </w:r>
          </w:p>
        </w:tc>
        <w:tc>
          <w:tcPr>
            <w:tcW w:w="800" w:type="dxa"/>
            <w:vAlign w:val="bottom"/>
          </w:tcPr>
          <w:p>
            <w:pPr>
              <w:spacing w:after="0"/>
              <w:rPr>
                <w:sz w:val="16"/>
                <w:szCs w:val="16"/>
                <w:color w:val="auto"/>
              </w:rPr>
            </w:pPr>
          </w:p>
        </w:tc>
        <w:tc>
          <w:tcPr>
            <w:tcW w:w="92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1,341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3,256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3,774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14,096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22,467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Transition tax </w:t>
            </w:r>
            <w:r>
              <w:rPr>
                <w:rFonts w:ascii="Arial" w:cs="Arial" w:eastAsia="Arial" w:hAnsi="Arial"/>
                <w:sz w:val="15"/>
                <w:szCs w:val="15"/>
                <w:color w:val="auto"/>
              </w:rPr>
              <w:t>(d)</w:t>
            </w:r>
          </w:p>
        </w:tc>
        <w:tc>
          <w:tcPr>
            <w:tcW w:w="8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1,427</w:t>
            </w:r>
          </w:p>
        </w:tc>
        <w:tc>
          <w:tcPr>
            <w:tcW w:w="12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4,105</w:t>
            </w:r>
          </w:p>
        </w:tc>
        <w:tc>
          <w:tcPr>
            <w:tcW w:w="12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8,030</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0</w:t>
            </w:r>
          </w:p>
        </w:tc>
        <w:tc>
          <w:tcPr>
            <w:tcW w:w="12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13,562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160" w:type="dxa"/>
            <w:vAlign w:val="bottom"/>
          </w:tcPr>
          <w:p>
            <w:pPr>
              <w:spacing w:after="0" w:line="189" w:lineRule="exact"/>
              <w:rPr>
                <w:sz w:val="20"/>
                <w:szCs w:val="20"/>
                <w:color w:val="auto"/>
              </w:rPr>
            </w:pPr>
            <w:r>
              <w:rPr>
                <w:rFonts w:ascii="Arial" w:cs="Arial" w:eastAsia="Arial" w:hAnsi="Arial"/>
                <w:sz w:val="18"/>
                <w:szCs w:val="18"/>
                <w:color w:val="auto"/>
              </w:rPr>
              <w:t xml:space="preserve">Purchase commitments </w:t>
            </w:r>
            <w:r>
              <w:rPr>
                <w:rFonts w:ascii="Arial" w:cs="Arial" w:eastAsia="Arial" w:hAnsi="Arial"/>
                <w:sz w:val="15"/>
                <w:szCs w:val="15"/>
                <w:color w:val="auto"/>
              </w:rPr>
              <w:t>(e)</w:t>
            </w:r>
          </w:p>
        </w:tc>
        <w:tc>
          <w:tcPr>
            <w:tcW w:w="800" w:type="dxa"/>
            <w:vAlign w:val="bottom"/>
          </w:tcPr>
          <w:p>
            <w:pPr>
              <w:spacing w:after="0"/>
              <w:rPr>
                <w:sz w:val="16"/>
                <w:szCs w:val="16"/>
                <w:color w:val="auto"/>
              </w:rPr>
            </w:pPr>
          </w:p>
        </w:tc>
        <w:tc>
          <w:tcPr>
            <w:tcW w:w="92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29,129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1,708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446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270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31,553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Other long-term liabilities </w:t>
            </w:r>
            <w:r>
              <w:rPr>
                <w:rFonts w:ascii="Arial" w:cs="Arial" w:eastAsia="Arial" w:hAnsi="Arial"/>
                <w:sz w:val="15"/>
                <w:szCs w:val="15"/>
                <w:color w:val="auto"/>
              </w:rPr>
              <w:t>(f)</w:t>
            </w:r>
          </w:p>
        </w:tc>
        <w:tc>
          <w:tcPr>
            <w:tcW w:w="8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0</w:t>
            </w:r>
          </w:p>
        </w:tc>
        <w:tc>
          <w:tcPr>
            <w:tcW w:w="12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365</w:t>
            </w:r>
          </w:p>
        </w:tc>
        <w:tc>
          <w:tcPr>
            <w:tcW w:w="12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68</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263</w:t>
            </w:r>
          </w:p>
        </w:tc>
        <w:tc>
          <w:tcPr>
            <w:tcW w:w="12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696</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41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Total</w:t>
            </w:r>
          </w:p>
        </w:tc>
        <w:tc>
          <w:tcPr>
            <w:tcW w:w="80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53,328</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25,766</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23,475</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81,281</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183,850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2943225</wp:posOffset>
            </wp:positionH>
            <wp:positionV relativeFrom="paragraph">
              <wp:posOffset>34290</wp:posOffset>
            </wp:positionV>
            <wp:extent cx="412623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126230" cy="17145"/>
                    </a:xfrm>
                    <a:prstGeom prst="rect">
                      <a:avLst/>
                    </a:prstGeom>
                    <a:noFill/>
                  </pic:spPr>
                </pic:pic>
              </a:graphicData>
            </a:graphic>
          </wp:anchor>
        </w:drawing>
      </w:r>
    </w:p>
    <w:p>
      <w:pPr>
        <w:spacing w:after="0" w:line="122" w:lineRule="exact"/>
        <w:rPr>
          <w:sz w:val="20"/>
          <w:szCs w:val="20"/>
          <w:color w:val="auto"/>
        </w:rPr>
      </w:pPr>
    </w:p>
    <w:p>
      <w:pPr>
        <w:ind w:left="540" w:hanging="532"/>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Refer to Note 11 – Debt of the Notes to Financial Statements (Part II, Item 8 of this Form 10-K).</w:t>
      </w:r>
    </w:p>
    <w:p>
      <w:pPr>
        <w:spacing w:after="0" w:line="12" w:lineRule="exact"/>
        <w:rPr>
          <w:rFonts w:ascii="Arial" w:cs="Arial" w:eastAsia="Arial" w:hAnsi="Arial"/>
          <w:sz w:val="18"/>
          <w:szCs w:val="18"/>
          <w:color w:val="auto"/>
        </w:rPr>
      </w:pPr>
    </w:p>
    <w:p>
      <w:pPr>
        <w:ind w:left="540" w:hanging="532"/>
        <w:spacing w:after="0" w:line="233"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Refer to Note 7 – Property and Equipment of the Notes to Financial Statements (Part II, Item 8 of this Form 10-K).</w:t>
      </w:r>
    </w:p>
    <w:p>
      <w:pPr>
        <w:ind w:left="540" w:hanging="532"/>
        <w:spacing w:after="0" w:line="233"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Refer to Note 14 – Leases of the Notes to Financial Statements (Part II, Item 8 of this Form 10-K).</w:t>
      </w:r>
    </w:p>
    <w:p>
      <w:pPr>
        <w:ind w:left="540" w:hanging="532"/>
        <w:spacing w:after="0" w:line="233"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Refer to Note 12 – Income Taxes of the Notes to Financial Statements (Part II, Item 8 of this Form 10-K).</w:t>
      </w:r>
    </w:p>
    <w:p>
      <w:pPr>
        <w:ind w:left="540" w:hanging="532"/>
        <w:spacing w:after="0" w:line="233"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Amounts represent purchase commitments, including open purchase orders and take-or-pay contracts that are not presented as construction commitments above.</w:t>
      </w:r>
    </w:p>
    <w:p>
      <w:pPr>
        <w:spacing w:after="0" w:line="1" w:lineRule="exact"/>
        <w:rPr>
          <w:rFonts w:ascii="Arial" w:cs="Arial" w:eastAsia="Arial" w:hAnsi="Arial"/>
          <w:sz w:val="18"/>
          <w:szCs w:val="18"/>
          <w:color w:val="auto"/>
        </w:rPr>
      </w:pPr>
    </w:p>
    <w:p>
      <w:pPr>
        <w:ind w:left="540" w:hanging="532"/>
        <w:spacing w:after="0" w:line="244"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We have excluded long-term tax contingencies, other tax liabilities, and deferred income taxes of $14.6 billion from the amounts presented as the timing of these obligations is uncertain. We have also excluded unearned revenue and non-cash items.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Planned Uses of Capital</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April 11, 2021, we entered into a definitive agreement to acquire Nuance Communications, Inc. (“Nuance”) for $56.00 per share in an all-cash transaction valued at $19.7 billion, inclusive of Nuance’s net debt. The acquisition has been approved by Nuance’s shareholders, and we expect it to close by the end of calendar year 2021, subject to the satisfaction of certain regulatory approvals and other customary closing conditions.</w:t>
      </w:r>
    </w:p>
    <w:p>
      <w:pPr>
        <w:spacing w:after="0" w:line="14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will continue to invest in sales, marketing, product support infrastructure, and existing and advanced areas of technology, as well as continue making acquisitions that align with our business strategy. Additions to property and equipment will continue, including new facilities, datacenters, and computer systems for research and development, sales and marketing, support, and administrative staff. We expect capital expenditures to increase in coming years to support growth in our cloud offerings. We have operating and finance leases for datacenters, corporate offices, research and development facilities, Microsoft Experience Centers, and certain equipment. We have not engaged in any related party transactions or arrangements with unconsolidated entities or other persons that are reasonably likely to materially affect liquidity or the availability of capital resources.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a result of the TCJA, we are required to pay a one-time transition tax on deferred foreign income not previously subject to U.S. income tax. Under the TCJA, the transition tax is payable in interest-free installments over eight years, with 8% due in each of the first five years, 15% in year six, 20% in year seven, and 25% in year eight. We have paid transition tax of $4.7 billion, which included $1.5 billion for fiscal year 2021. The remaining transition tax of $13.6 billion is payable over the next five years with a final payment in fiscal year 2026.</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expect existing cash, cash equivalents, short-term investments, cash flows from operations, and access to capital markets to continue to be sufficient to fund our operating activities and cash commitments for investing and financing activities, such as dividends, share repurchases, debt maturities, material capital expenditures, and the transition tax related to the TCJA, for at least the next 12 months and thereafter for the foreseeable future.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51" w:name="page52"/>
    <w:bookmarkEnd w:id="51"/>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7</w:t>
      </w:r>
    </w:p>
    <w:p>
      <w:pPr>
        <w:spacing w:after="0" w:line="200" w:lineRule="exact"/>
        <w:rPr>
          <w:sz w:val="20"/>
          <w:szCs w:val="20"/>
          <w:color w:val="auto"/>
        </w:rPr>
      </w:pPr>
    </w:p>
    <w:p>
      <w:pPr>
        <w:spacing w:after="0" w:line="229" w:lineRule="exact"/>
        <w:rPr>
          <w:sz w:val="20"/>
          <w:szCs w:val="20"/>
          <w:color w:val="auto"/>
        </w:rPr>
      </w:pPr>
    </w:p>
    <w:p>
      <w:pPr>
        <w:ind w:left="4120"/>
        <w:spacing w:after="0"/>
        <w:rPr>
          <w:sz w:val="20"/>
          <w:szCs w:val="20"/>
          <w:color w:val="auto"/>
        </w:rPr>
      </w:pPr>
      <w:r>
        <w:rPr>
          <w:rFonts w:ascii="Arial" w:cs="Arial" w:eastAsia="Arial" w:hAnsi="Arial"/>
          <w:sz w:val="18"/>
          <w:szCs w:val="18"/>
          <w:u w:val="single" w:color="auto"/>
          <w:color w:val="auto"/>
        </w:rPr>
        <w:t>RECENT ACCOUNTING GUIDANCE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 – Accounting Policies of the Notes to Financial Statements (Part II, Item 8 of this Form 10-K) for further discussion.</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APPLICATION OF CRITICAL ACCOUNTING POLICIES</w:t>
      </w:r>
    </w:p>
    <w:p>
      <w:pPr>
        <w:spacing w:after="0" w:line="15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consolidated financial statements and accompanying notes are prepared in accordance with GAAP. Preparing consolidated financial statements requires management to make estimates and assumptions that affect the reported amounts of assets, liabilities, revenue, and expenses. These estimates and assumptions are affected by management’s application of accounting policies, as well as uncertainty in the current economic environment due to COVID-19. Critical accounting policies for us include revenue recognition, impairment of investment securities, goodwill, research and development costs, contingencies, income taxes, and inventories.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7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When a cloud-based service includes both on-premises software licenses and cloud services, judgment is required to determine whether the software license is considered distinct and accounted for separately, or not distinct and accounted for together with the cloud service and recognized over time. Certain cloud services, primarily Office 365, depend on a significant level of integration, interdependency, and interrelation between the desktop applications and cloud services, and are accounted for together as one performance obligation. Revenue from Office 365 is recognized ratably over the period in which the cloud services are provided.</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Judgment is required to determine the stand-alone selling price (“SSP") for each distinct performance obligation. We use a single amount to estimate SSP for items that are not sold separately, including on-premises licenses sold with SA or software updates provided at no additional charge. We use a range of amounts to estimate SSP when we sell each of the products and services separately and need to determine whether there is a discount to be allocated based on the relative SSP of the various products and services.</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instances where SSP is not directly observable, such as when we do not sell the product or service separately, we determine the SSP using information that may include market conditions and other observable inputs. We typically have more than one SSP for individual products and services due to the stratification of those products and services by customers and circumstances. In these instances, we may use information such as the size of the customer and geographic region in determining the SSP.</w:t>
      </w:r>
    </w:p>
    <w:p>
      <w:pPr>
        <w:spacing w:after="0" w:line="14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Due to the various benefits from and the nature of our SA program, judgment is required to assess the pattern of delivery, including the exercise pattern of certain benefits across our portfolio of customers.</w:t>
      </w:r>
    </w:p>
    <w:p>
      <w:pPr>
        <w:spacing w:after="0" w:line="14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products are generally sold with a right of return, we may provide other credits or incentives, and in certain instances we estimate customer usage of our products and services, which are accounted for as variable consideration when determining the amount of revenue to recognize. Returns and credits are estimated at contract inception and updated at the end of each reporting period if additional information becomes available. Changes to our estimated variable consideration were not material for the periods presented.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Investment Securities</w:t>
      </w:r>
    </w:p>
    <w:p>
      <w:pPr>
        <w:spacing w:after="0" w:line="17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review debt investments quarterly for credit losses and impairment. If the cost of an investment exceeds its fair value, we evaluate, among other factors, general market conditions, credit quality of debt instrument issuers, and the extent to which the fair value is less than cost. This determination requires significant judgment. In making this judgment, we employ a systematic methodology that considers available quantitative and qualitative evidence in evaluating potential impairment of our investments. In addition, we consider specific adverse conditions related to the financial health of, and business outlook for, the investee. If we have plans to sell the security or it is more likely than not that we will be required to sell the security before recovery, then a decline in fair value below cost is recorded as an impairment charge in other income (expense), net and a new cost basis in the investment is established. If market, industry, and/or investee conditions deteriorate, we may incur future impairments.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52" w:name="page53"/>
    <w:bookmarkEnd w:id="52"/>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7</w:t>
      </w:r>
    </w:p>
    <w:p>
      <w:pPr>
        <w:spacing w:after="0" w:line="3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Equity investments without readily determinable fair values are written down to fair value if a qualitative assessment indicates that the investment is impaired and the fair value of the investment is less than carrying value. We perform a qualitative assessment on a periodic basis. We are required to estimate the fair value of the investment to determine the amount of the impairment loss. Once an investment is determined to be impaired, an impairment charge is recorded in other income (expense), net.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7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allocate goodwill to reporting units based on the reporting unit expected to benefit from the business combination. We evaluate our reporting units on an annual basis and, if necessary, reassign goodwill using a relative fair value allocation approach. Goodwill is tested for impairment at the reporting unit level (operating segment or one level below an operating segment) on an annual basis (May 1 for us) and between annual tests if an event occurs or circumstances change that would more likely than not reduce the fair value of a reporting unit below its carrying value. These events or circumstances could include a significant change in the business climate, legal factors, operating performance indicators, competition, or sale or disposition of a significant portion of a reporting unit.</w:t>
      </w:r>
    </w:p>
    <w:p>
      <w:pPr>
        <w:spacing w:after="0" w:line="15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Application of the goodwill impairment test requires judgment, including the identification of reporting units, assignment of assets and liabilities to reporting units, assignment of goodwill to reporting units, and determination of the fair value of each reporting unit. The fair value of each reporting unit is estimated primarily through the use of a discounted cash flow methodology. This analysis requires significant judgments, including estimation of future cash flows, which is dependent on internal forecasts, estimation of the long-term rate of growth for our business, estimation of the useful life over which cash flows will occur, and determination of our weighted average cost of capital.</w:t>
      </w:r>
    </w:p>
    <w:p>
      <w:pPr>
        <w:spacing w:after="0" w:line="14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estimates used to calculate the fair value of a reporting unit change from year to year based on operating results, market conditions, and other factors. Changes in these estimates and assumptions could materially affect the determination of fair value and goodwill impairment for each reporting unit.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7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Costs incurred internally in researching and developing a computer software product are charged to expense until technological feasibility has been established for the product. Once technological feasibility is established, software costs are capitalized until the product is available for general release to customers. Judgment is required in determining when technological feasibility of a product is established. We have determined that technological feasibility for our software products is reached after all high-risk development issues have been resolved through coding and testing. Generally, this occurs shortly before the products are released to production. The amortization of these costs is included in cost of revenue over the estimated life of the products.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Other Contingencies</w:t>
      </w:r>
    </w:p>
    <w:p>
      <w:pPr>
        <w:spacing w:after="0" w:line="17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outcomes of legal proceedings and claims brought against us are subject to significant uncertainty. An estimated loss from a loss contingency such as a legal proceeding or claim is accrued by a charge to income if it is probable that an asset has been impaired or a liability has been incurred and the amount of the loss can be reasonably estimated. In determining whether a loss should be accrued we evaluate, among other factors, the degree of probability of an unfavorable outcome and the ability to make a reasonable estimate of the amount of loss. Changes in these factors could materially impact our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7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objectives of accounting for income taxes are to recognize the amount of taxes payable or refundable for the current year, and deferred tax liabilities and assets for the future tax consequences of events that have been recognized in an entity’s financial statements or tax returns. 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likelihood of being realized upon ultimate settlement. Accounting literature also provides guidance on derecognition of income tax assets and liabilities, classification of deferred income tax assets and liabilities, accounting for interest and penalties associated with tax positions, and income tax disclosures. Judgment is required in assessing the future tax consequences of events that have been recognized in our consolidated financial statements or tax returns. Variations in the actual outcome of these future tax consequences could materially impact our consolidated financial statements.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53" w:name="page54"/>
    <w:bookmarkEnd w:id="53"/>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7</w:t>
      </w:r>
    </w:p>
    <w:p>
      <w:pPr>
        <w:spacing w:after="0" w:line="36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TCJA significantly changes existing U.S. tax law and includes numerous provisions that affect our business. Refer to Note 12 – Income Taxes of the Notes to Financial Statements (Part II, Item 8 of this Form 10-K) for further discussion.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7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Inventories are stated at average cost, subject to the lower of cost or net realizable value. Cost includes materials, labor, and manufacturing overhead related to the purchase and production of inventories. Net realizable value is the estimated selling price less estimated costs of completion, disposal, and transportation. We regularly review inventory quantities on hand, future purchase commitments with our suppliers, and the estimated utility of our inventory. These reviews include analysis of demand forecasts, product life cycle status, product development plans, current sales levels, pricing strategy, and component cost trends. If our review indicates a reduction in utility below carrying value, we reduce our inventory to a new cost basis through a charge to cost of revenue.</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54" w:name="page55"/>
    <w:bookmarkEnd w:id="54"/>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MANAGEMENT’S RESPONSIBILITY FOR FINANCIAL STATEMENTS</w:t>
      </w:r>
    </w:p>
    <w:p>
      <w:pPr>
        <w:spacing w:after="0" w:line="17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Management is responsible for the preparation of the consolidated financial statements and related information that are presented in this report. The consolidated financial statements, which include amounts based on management’s estimates and judgments, have been prepared in conformity with accounting principles generally accepted in the United States of America.</w:t>
      </w:r>
    </w:p>
    <w:p>
      <w:pPr>
        <w:spacing w:after="0" w:line="14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designs and maintains accounting and internal control systems to provide reasonable assurance at reasonable cost that assets are safeguarded against loss from unauthorized use or disposition, and that the financial records are reliable for preparing consolidated financial statements and maintaining accountability for assets. These systems are augmented by written policies, an organizational structure providing division of responsibilities, careful selection and training of qualified personnel, and a program of internal audits.</w:t>
      </w:r>
    </w:p>
    <w:p>
      <w:pPr>
        <w:spacing w:after="0" w:line="14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Company engaged Deloitte &amp; Touche LLP, an independent registered public accounting firm, to audit and render an opinion on the consolidated financial statements and internal control over financial reporting in accordance with the standards of the Public Company Accounting Oversight Board (United States).</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Board of Directors, through its Audit Committee, consisting solely of independent directors of the Company, meets periodically with management, internal auditors, and our independent registered public accounting firm to ensure that each is meeting its responsibilities and to discuss matters concerning internal controls and financial reporting. Deloitte &amp; Touche LLP and the internal auditors each have full and free access to the Audit Committee.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Satya Nadella</w:t>
      </w:r>
    </w:p>
    <w:p>
      <w:pPr>
        <w:spacing w:after="0"/>
        <w:rPr>
          <w:sz w:val="20"/>
          <w:szCs w:val="20"/>
          <w:color w:val="auto"/>
        </w:rPr>
      </w:pPr>
      <w:r>
        <w:rPr>
          <w:rFonts w:ascii="Arial" w:cs="Arial" w:eastAsia="Arial" w:hAnsi="Arial"/>
          <w:sz w:val="18"/>
          <w:szCs w:val="18"/>
          <w:color w:val="auto"/>
        </w:rPr>
        <w:t>Chief Executive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Amy E. Hood</w:t>
      </w: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Alice L. Jolla</w:t>
      </w:r>
    </w:p>
    <w:p>
      <w:pPr>
        <w:spacing w:after="0"/>
        <w:rPr>
          <w:sz w:val="20"/>
          <w:szCs w:val="20"/>
          <w:color w:val="auto"/>
        </w:rPr>
      </w:pPr>
      <w:r>
        <w:rPr>
          <w:rFonts w:ascii="Arial" w:cs="Arial" w:eastAsia="Arial" w:hAnsi="Arial"/>
          <w:sz w:val="18"/>
          <w:szCs w:val="18"/>
          <w:color w:val="auto"/>
        </w:rPr>
        <w:t>Corporate Vice President and Chief Accounting Officer</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55" w:name="page56"/>
    <w:bookmarkEnd w:id="55"/>
    <w:p>
      <w:pPr>
        <w:ind w:left="5400"/>
        <w:spacing w:after="0"/>
        <w:rPr>
          <w:sz w:val="20"/>
          <w:szCs w:val="20"/>
          <w:color w:val="auto"/>
        </w:rPr>
      </w:pPr>
      <w:r>
        <w:rPr>
          <w:rFonts w:ascii="Arial" w:cs="Arial" w:eastAsia="Arial" w:hAnsi="Arial"/>
          <w:sz w:val="13"/>
          <w:szCs w:val="13"/>
          <w:u w:val="single" w:color="auto"/>
          <w:color w:val="auto"/>
        </w:rPr>
        <w:t>PART II</w:t>
      </w:r>
    </w:p>
    <w:p>
      <w:pPr>
        <w:ind w:left="5400"/>
        <w:spacing w:after="0"/>
        <w:rPr>
          <w:sz w:val="20"/>
          <w:szCs w:val="20"/>
          <w:color w:val="auto"/>
        </w:rPr>
      </w:pPr>
      <w:r>
        <w:rPr>
          <w:rFonts w:ascii="Arial" w:cs="Arial" w:eastAsia="Arial" w:hAnsi="Arial"/>
          <w:sz w:val="13"/>
          <w:szCs w:val="13"/>
          <w:color w:val="auto"/>
        </w:rPr>
        <w:t>Item 7A</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7A. QUANTITATIVE AND QUALITATIVE DISCLOSURES ABOUT MARKET RISK</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RISKS</w:t>
      </w:r>
    </w:p>
    <w:p>
      <w:pPr>
        <w:spacing w:after="0" w:line="15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are exposed to economic risk from foreign exchange rates, interest rates, credit risk, and equity prices. We use derivatives instruments to manage these risks, however, they may still impact our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Currencies</w:t>
      </w:r>
    </w:p>
    <w:p>
      <w:pPr>
        <w:spacing w:after="0" w:line="17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Certain forecasted transactions, assets, and liabilities are exposed to foreign currency risk. We monitor our foreign currency exposures daily to maximize the economic effectiveness of our foreign currency positions, including hedges. Principal currency exposures include the Euro, Japanese yen, British pound, Canadian dollar, and Australian dollar.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78"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Securities held in our fixed-income portfolio are subject to different interest rate risks based on their maturities. We manage the average maturity of the fixed-income portfolio to achieve economic returns that correlate to certain global fixed-income indices.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w:t>
      </w:r>
    </w:p>
    <w:p>
      <w:pPr>
        <w:spacing w:after="0" w:line="178"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Our fixed-income portfolio is diversified and consists primarily of investment-grade securities. We manage credit exposures relative to broad-based indices and to facilitate portfolio diversification.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Securities held in our equity investments portfolio are subject to price risk.</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SENSITIVITY ANALYSIS</w:t>
      </w:r>
    </w:p>
    <w:p>
      <w:pPr>
        <w:spacing w:after="0" w:line="15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following table sets forth the potential loss in future earnings or fair values, including associated derivatives, resulting from hypothetical changes in relevant market rates or prices: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0561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56120" cy="8255"/>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tcPr>
          <w:p>
            <w:pPr>
              <w:jc w:val="right"/>
              <w:ind w:right="97"/>
              <w:spacing w:after="0"/>
              <w:rPr>
                <w:sz w:val="20"/>
                <w:szCs w:val="20"/>
                <w:color w:val="auto"/>
              </w:rPr>
            </w:pPr>
            <w:r>
              <w:rPr>
                <w:rFonts w:ascii="Arial" w:cs="Arial" w:eastAsia="Arial" w:hAnsi="Arial"/>
                <w:sz w:val="13"/>
                <w:szCs w:val="13"/>
                <w:b w:val="1"/>
                <w:bCs w:val="1"/>
                <w:color w:val="auto"/>
              </w:rPr>
              <w:t>June 30,</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900" w:type="dxa"/>
            <w:vAlign w:val="bottom"/>
            <w:gridSpan w:val="2"/>
          </w:tcPr>
          <w:p>
            <w:pPr>
              <w:spacing w:after="0"/>
              <w:rPr>
                <w:sz w:val="20"/>
                <w:szCs w:val="20"/>
                <w:color w:val="auto"/>
              </w:rPr>
            </w:pPr>
            <w:r>
              <w:rPr>
                <w:rFonts w:ascii="Arial" w:cs="Arial" w:eastAsia="Arial" w:hAnsi="Arial"/>
                <w:sz w:val="13"/>
                <w:szCs w:val="13"/>
                <w:b w:val="1"/>
                <w:bCs w:val="1"/>
                <w:color w:val="auto"/>
              </w:rPr>
              <w:t>Risk Categories</w:t>
            </w:r>
          </w:p>
        </w:tc>
        <w:tc>
          <w:tcPr>
            <w:tcW w:w="5260" w:type="dxa"/>
            <w:vAlign w:val="bottom"/>
          </w:tcPr>
          <w:p>
            <w:pPr>
              <w:ind w:left="480"/>
              <w:spacing w:after="0"/>
              <w:rPr>
                <w:sz w:val="20"/>
                <w:szCs w:val="20"/>
                <w:color w:val="auto"/>
              </w:rPr>
            </w:pPr>
            <w:r>
              <w:rPr>
                <w:rFonts w:ascii="Arial" w:cs="Arial" w:eastAsia="Arial" w:hAnsi="Arial"/>
                <w:sz w:val="13"/>
                <w:szCs w:val="13"/>
                <w:b w:val="1"/>
                <w:bCs w:val="1"/>
                <w:color w:val="auto"/>
              </w:rPr>
              <w:t>Hypothetical Change</w:t>
            </w:r>
          </w:p>
        </w:tc>
        <w:tc>
          <w:tcPr>
            <w:tcW w:w="840" w:type="dxa"/>
            <w:vAlign w:val="bottom"/>
          </w:tcPr>
          <w:p>
            <w:pPr>
              <w:spacing w:after="0"/>
              <w:rPr>
                <w:sz w:val="15"/>
                <w:szCs w:val="15"/>
                <w:color w:val="auto"/>
              </w:rPr>
            </w:pPr>
          </w:p>
        </w:tc>
        <w:tc>
          <w:tcPr>
            <w:tcW w:w="960" w:type="dxa"/>
            <w:vAlign w:val="bottom"/>
          </w:tcPr>
          <w:p>
            <w:pPr>
              <w:jc w:val="right"/>
              <w:ind w:right="97"/>
              <w:spacing w:after="0"/>
              <w:rPr>
                <w:sz w:val="20"/>
                <w:szCs w:val="20"/>
                <w:color w:val="auto"/>
              </w:rPr>
            </w:pPr>
            <w:r>
              <w:rPr>
                <w:rFonts w:ascii="Arial" w:cs="Arial" w:eastAsia="Arial" w:hAnsi="Arial"/>
                <w:sz w:val="13"/>
                <w:szCs w:val="13"/>
                <w:b w:val="1"/>
                <w:bCs w:val="1"/>
                <w:color w:val="auto"/>
              </w:rPr>
              <w:t>2021</w:t>
            </w:r>
          </w:p>
        </w:tc>
        <w:tc>
          <w:tcPr>
            <w:tcW w:w="1280" w:type="dxa"/>
            <w:vAlign w:val="bottom"/>
            <w:gridSpan w:val="2"/>
          </w:tcPr>
          <w:p>
            <w:pPr>
              <w:ind w:left="140"/>
              <w:spacing w:after="0"/>
              <w:rPr>
                <w:sz w:val="20"/>
                <w:szCs w:val="20"/>
                <w:color w:val="auto"/>
              </w:rPr>
            </w:pPr>
            <w:r>
              <w:rPr>
                <w:rFonts w:ascii="Arial" w:cs="Arial" w:eastAsia="Arial" w:hAnsi="Arial"/>
                <w:sz w:val="13"/>
                <w:szCs w:val="13"/>
                <w:b w:val="1"/>
                <w:bCs w:val="1"/>
                <w:color w:val="auto"/>
              </w:rPr>
              <w:t>Impact</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2880" w:type="dxa"/>
            <w:vAlign w:val="bottom"/>
          </w:tcPr>
          <w:p>
            <w:pPr>
              <w:spacing w:after="0"/>
              <w:rPr>
                <w:sz w:val="4"/>
                <w:szCs w:val="4"/>
                <w:color w:val="auto"/>
              </w:rPr>
            </w:pPr>
          </w:p>
        </w:tc>
        <w:tc>
          <w:tcPr>
            <w:tcW w:w="5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28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currency–Revenue</w:t>
            </w:r>
          </w:p>
        </w:tc>
        <w:tc>
          <w:tcPr>
            <w:tcW w:w="5260" w:type="dxa"/>
            <w:vAlign w:val="bottom"/>
            <w:shd w:val="clear" w:color="auto" w:fill="E5E5E5"/>
          </w:tcPr>
          <w:p>
            <w:pPr>
              <w:ind w:left="480"/>
              <w:spacing w:after="0" w:line="189" w:lineRule="exact"/>
              <w:rPr>
                <w:sz w:val="20"/>
                <w:szCs w:val="20"/>
                <w:color w:val="auto"/>
              </w:rPr>
            </w:pPr>
            <w:r>
              <w:rPr>
                <w:rFonts w:ascii="Arial" w:cs="Arial" w:eastAsia="Arial" w:hAnsi="Arial"/>
                <w:sz w:val="18"/>
                <w:szCs w:val="18"/>
                <w:color w:val="auto"/>
              </w:rPr>
              <w:t>10% decrease in foreign exchange rates</w:t>
            </w:r>
          </w:p>
        </w:tc>
        <w:tc>
          <w:tcPr>
            <w:tcW w:w="8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E5E5E5"/>
          </w:tcPr>
          <w:p>
            <w:pPr>
              <w:jc w:val="right"/>
              <w:ind w:right="37"/>
              <w:spacing w:after="0" w:line="189" w:lineRule="exact"/>
              <w:rPr>
                <w:sz w:val="20"/>
                <w:szCs w:val="20"/>
                <w:color w:val="auto"/>
              </w:rPr>
            </w:pPr>
            <w:r>
              <w:rPr>
                <w:rFonts w:ascii="Arial" w:cs="Arial" w:eastAsia="Arial" w:hAnsi="Arial"/>
                <w:sz w:val="18"/>
                <w:szCs w:val="18"/>
                <w:b w:val="1"/>
                <w:bCs w:val="1"/>
                <w:color w:val="auto"/>
              </w:rPr>
              <w:t>(6,756)</w:t>
            </w:r>
          </w:p>
        </w:tc>
        <w:tc>
          <w:tcPr>
            <w:tcW w:w="1280" w:type="dxa"/>
            <w:vAlign w:val="bottom"/>
            <w:gridSpan w:val="2"/>
            <w:shd w:val="clear" w:color="auto" w:fill="E5E5E5"/>
          </w:tcPr>
          <w:p>
            <w:pPr>
              <w:ind w:left="140"/>
              <w:spacing w:after="0" w:line="189" w:lineRule="exact"/>
              <w:rPr>
                <w:sz w:val="20"/>
                <w:szCs w:val="20"/>
                <w:color w:val="auto"/>
              </w:rPr>
            </w:pPr>
            <w:r>
              <w:rPr>
                <w:rFonts w:ascii="Arial" w:cs="Arial" w:eastAsia="Arial" w:hAnsi="Arial"/>
                <w:sz w:val="18"/>
                <w:szCs w:val="18"/>
                <w:color w:val="auto"/>
              </w:rPr>
              <w:t>Earnings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880" w:type="dxa"/>
            <w:vAlign w:val="bottom"/>
          </w:tcPr>
          <w:p>
            <w:pPr>
              <w:spacing w:after="0" w:line="189" w:lineRule="exact"/>
              <w:rPr>
                <w:sz w:val="20"/>
                <w:szCs w:val="20"/>
                <w:color w:val="auto"/>
              </w:rPr>
            </w:pPr>
            <w:r>
              <w:rPr>
                <w:rFonts w:ascii="Arial" w:cs="Arial" w:eastAsia="Arial" w:hAnsi="Arial"/>
                <w:sz w:val="18"/>
                <w:szCs w:val="18"/>
                <w:color w:val="auto"/>
              </w:rPr>
              <w:t>Foreign currency–Investments</w:t>
            </w:r>
          </w:p>
        </w:tc>
        <w:tc>
          <w:tcPr>
            <w:tcW w:w="5260" w:type="dxa"/>
            <w:vAlign w:val="bottom"/>
          </w:tcPr>
          <w:p>
            <w:pPr>
              <w:ind w:left="480"/>
              <w:spacing w:after="0" w:line="189" w:lineRule="exact"/>
              <w:rPr>
                <w:sz w:val="20"/>
                <w:szCs w:val="20"/>
                <w:color w:val="auto"/>
              </w:rPr>
            </w:pPr>
            <w:r>
              <w:rPr>
                <w:rFonts w:ascii="Arial" w:cs="Arial" w:eastAsia="Arial" w:hAnsi="Arial"/>
                <w:sz w:val="18"/>
                <w:szCs w:val="18"/>
                <w:color w:val="auto"/>
              </w:rPr>
              <w:t>10% decrease in foreign exchange rates</w:t>
            </w:r>
          </w:p>
        </w:tc>
        <w:tc>
          <w:tcPr>
            <w:tcW w:w="840" w:type="dxa"/>
            <w:vAlign w:val="bottom"/>
          </w:tcPr>
          <w:p>
            <w:pPr>
              <w:spacing w:after="0"/>
              <w:rPr>
                <w:sz w:val="16"/>
                <w:szCs w:val="16"/>
                <w:color w:val="auto"/>
              </w:rPr>
            </w:pPr>
          </w:p>
        </w:tc>
        <w:tc>
          <w:tcPr>
            <w:tcW w:w="960" w:type="dxa"/>
            <w:vAlign w:val="bottom"/>
          </w:tcPr>
          <w:p>
            <w:pPr>
              <w:jc w:val="right"/>
              <w:ind w:right="37"/>
              <w:spacing w:after="0" w:line="189" w:lineRule="exact"/>
              <w:rPr>
                <w:sz w:val="20"/>
                <w:szCs w:val="20"/>
                <w:color w:val="auto"/>
              </w:rPr>
            </w:pPr>
            <w:r>
              <w:rPr>
                <w:rFonts w:ascii="Arial" w:cs="Arial" w:eastAsia="Arial" w:hAnsi="Arial"/>
                <w:sz w:val="18"/>
                <w:szCs w:val="18"/>
                <w:b w:val="1"/>
                <w:bCs w:val="1"/>
                <w:color w:val="auto"/>
              </w:rPr>
              <w:t>(136)</w:t>
            </w:r>
          </w:p>
        </w:tc>
        <w:tc>
          <w:tcPr>
            <w:tcW w:w="128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8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Interest rate</w:t>
            </w:r>
          </w:p>
        </w:tc>
        <w:tc>
          <w:tcPr>
            <w:tcW w:w="5260" w:type="dxa"/>
            <w:vAlign w:val="bottom"/>
            <w:shd w:val="clear" w:color="auto" w:fill="E5E5E5"/>
          </w:tcPr>
          <w:p>
            <w:pPr>
              <w:ind w:left="480"/>
              <w:spacing w:after="0" w:line="189" w:lineRule="exact"/>
              <w:rPr>
                <w:sz w:val="20"/>
                <w:szCs w:val="20"/>
                <w:color w:val="auto"/>
              </w:rPr>
            </w:pPr>
            <w:r>
              <w:rPr>
                <w:rFonts w:ascii="Arial" w:cs="Arial" w:eastAsia="Arial" w:hAnsi="Arial"/>
                <w:sz w:val="18"/>
                <w:szCs w:val="18"/>
                <w:color w:val="auto"/>
              </w:rPr>
              <w:t>100 basis point increase in U.S. treasury interest rates</w:t>
            </w:r>
          </w:p>
        </w:tc>
        <w:tc>
          <w:tcPr>
            <w:tcW w:w="840" w:type="dxa"/>
            <w:vAlign w:val="bottom"/>
            <w:shd w:val="clear" w:color="auto" w:fill="E5E5E5"/>
          </w:tcPr>
          <w:p>
            <w:pPr>
              <w:spacing w:after="0"/>
              <w:rPr>
                <w:sz w:val="16"/>
                <w:szCs w:val="16"/>
                <w:color w:val="auto"/>
              </w:rPr>
            </w:pPr>
          </w:p>
        </w:tc>
        <w:tc>
          <w:tcPr>
            <w:tcW w:w="960" w:type="dxa"/>
            <w:vAlign w:val="bottom"/>
            <w:shd w:val="clear" w:color="auto" w:fill="E5E5E5"/>
          </w:tcPr>
          <w:p>
            <w:pPr>
              <w:jc w:val="right"/>
              <w:ind w:right="37"/>
              <w:spacing w:after="0" w:line="189" w:lineRule="exact"/>
              <w:rPr>
                <w:sz w:val="20"/>
                <w:szCs w:val="20"/>
                <w:color w:val="auto"/>
              </w:rPr>
            </w:pPr>
            <w:r>
              <w:rPr>
                <w:rFonts w:ascii="Arial" w:cs="Arial" w:eastAsia="Arial" w:hAnsi="Arial"/>
                <w:sz w:val="18"/>
                <w:szCs w:val="18"/>
                <w:b w:val="1"/>
                <w:bCs w:val="1"/>
                <w:color w:val="auto"/>
              </w:rPr>
              <w:t>(3,511)</w:t>
            </w:r>
          </w:p>
        </w:tc>
        <w:tc>
          <w:tcPr>
            <w:tcW w:w="1280" w:type="dxa"/>
            <w:vAlign w:val="bottom"/>
            <w:gridSpan w:val="2"/>
            <w:shd w:val="clear" w:color="auto" w:fill="E5E5E5"/>
          </w:tcPr>
          <w:p>
            <w:pPr>
              <w:ind w:left="140"/>
              <w:spacing w:after="0" w:line="189" w:lineRule="exact"/>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880" w:type="dxa"/>
            <w:vAlign w:val="bottom"/>
          </w:tcPr>
          <w:p>
            <w:pPr>
              <w:spacing w:after="0" w:line="189" w:lineRule="exact"/>
              <w:rPr>
                <w:sz w:val="20"/>
                <w:szCs w:val="20"/>
                <w:color w:val="auto"/>
              </w:rPr>
            </w:pPr>
            <w:r>
              <w:rPr>
                <w:rFonts w:ascii="Arial" w:cs="Arial" w:eastAsia="Arial" w:hAnsi="Arial"/>
                <w:sz w:val="18"/>
                <w:szCs w:val="18"/>
                <w:color w:val="auto"/>
              </w:rPr>
              <w:t>Credit</w:t>
            </w:r>
          </w:p>
        </w:tc>
        <w:tc>
          <w:tcPr>
            <w:tcW w:w="5260" w:type="dxa"/>
            <w:vAlign w:val="bottom"/>
          </w:tcPr>
          <w:p>
            <w:pPr>
              <w:ind w:left="480"/>
              <w:spacing w:after="0" w:line="189" w:lineRule="exact"/>
              <w:rPr>
                <w:sz w:val="20"/>
                <w:szCs w:val="20"/>
                <w:color w:val="auto"/>
              </w:rPr>
            </w:pPr>
            <w:r>
              <w:rPr>
                <w:rFonts w:ascii="Arial" w:cs="Arial" w:eastAsia="Arial" w:hAnsi="Arial"/>
                <w:sz w:val="18"/>
                <w:szCs w:val="18"/>
                <w:color w:val="auto"/>
              </w:rPr>
              <w:t>100 basis point increase in credit spreads</w:t>
            </w:r>
          </w:p>
        </w:tc>
        <w:tc>
          <w:tcPr>
            <w:tcW w:w="840" w:type="dxa"/>
            <w:vAlign w:val="bottom"/>
          </w:tcPr>
          <w:p>
            <w:pPr>
              <w:spacing w:after="0"/>
              <w:rPr>
                <w:sz w:val="16"/>
                <w:szCs w:val="16"/>
                <w:color w:val="auto"/>
              </w:rPr>
            </w:pPr>
          </w:p>
        </w:tc>
        <w:tc>
          <w:tcPr>
            <w:tcW w:w="960" w:type="dxa"/>
            <w:vAlign w:val="bottom"/>
          </w:tcPr>
          <w:p>
            <w:pPr>
              <w:jc w:val="right"/>
              <w:ind w:right="37"/>
              <w:spacing w:after="0" w:line="189" w:lineRule="exact"/>
              <w:rPr>
                <w:sz w:val="20"/>
                <w:szCs w:val="20"/>
                <w:color w:val="auto"/>
              </w:rPr>
            </w:pPr>
            <w:r>
              <w:rPr>
                <w:rFonts w:ascii="Arial" w:cs="Arial" w:eastAsia="Arial" w:hAnsi="Arial"/>
                <w:sz w:val="18"/>
                <w:szCs w:val="18"/>
                <w:b w:val="1"/>
                <w:bCs w:val="1"/>
                <w:color w:val="auto"/>
              </w:rPr>
              <w:t>(309)</w:t>
            </w:r>
          </w:p>
        </w:tc>
        <w:tc>
          <w:tcPr>
            <w:tcW w:w="128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8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Equity</w:t>
            </w:r>
          </w:p>
        </w:tc>
        <w:tc>
          <w:tcPr>
            <w:tcW w:w="5260" w:type="dxa"/>
            <w:vAlign w:val="bottom"/>
            <w:shd w:val="clear" w:color="auto" w:fill="E5E5E5"/>
          </w:tcPr>
          <w:p>
            <w:pPr>
              <w:ind w:left="480"/>
              <w:spacing w:after="0" w:line="189" w:lineRule="exact"/>
              <w:rPr>
                <w:sz w:val="20"/>
                <w:szCs w:val="20"/>
                <w:color w:val="auto"/>
              </w:rPr>
            </w:pPr>
            <w:r>
              <w:rPr>
                <w:rFonts w:ascii="Arial" w:cs="Arial" w:eastAsia="Arial" w:hAnsi="Arial"/>
                <w:sz w:val="18"/>
                <w:szCs w:val="18"/>
                <w:color w:val="auto"/>
              </w:rPr>
              <w:t>10% decrease in equity market prices</w:t>
            </w:r>
          </w:p>
        </w:tc>
        <w:tc>
          <w:tcPr>
            <w:tcW w:w="840" w:type="dxa"/>
            <w:vAlign w:val="bottom"/>
            <w:shd w:val="clear" w:color="auto" w:fill="E5E5E5"/>
          </w:tcPr>
          <w:p>
            <w:pPr>
              <w:spacing w:after="0"/>
              <w:rPr>
                <w:sz w:val="16"/>
                <w:szCs w:val="16"/>
                <w:color w:val="auto"/>
              </w:rPr>
            </w:pPr>
          </w:p>
        </w:tc>
        <w:tc>
          <w:tcPr>
            <w:tcW w:w="960" w:type="dxa"/>
            <w:vAlign w:val="bottom"/>
            <w:shd w:val="clear" w:color="auto" w:fill="E5E5E5"/>
          </w:tcPr>
          <w:p>
            <w:pPr>
              <w:jc w:val="right"/>
              <w:ind w:right="37"/>
              <w:spacing w:after="0" w:line="189" w:lineRule="exact"/>
              <w:rPr>
                <w:sz w:val="20"/>
                <w:szCs w:val="20"/>
                <w:color w:val="auto"/>
              </w:rPr>
            </w:pPr>
            <w:r>
              <w:rPr>
                <w:rFonts w:ascii="Arial" w:cs="Arial" w:eastAsia="Arial" w:hAnsi="Arial"/>
                <w:sz w:val="18"/>
                <w:szCs w:val="18"/>
                <w:b w:val="1"/>
                <w:bCs w:val="1"/>
                <w:color w:val="auto"/>
              </w:rPr>
              <w:t>(602)</w:t>
            </w:r>
          </w:p>
        </w:tc>
        <w:tc>
          <w:tcPr>
            <w:tcW w:w="1280" w:type="dxa"/>
            <w:vAlign w:val="bottom"/>
            <w:gridSpan w:val="2"/>
            <w:shd w:val="clear" w:color="auto" w:fill="E5E5E5"/>
          </w:tcPr>
          <w:p>
            <w:pPr>
              <w:ind w:left="140"/>
              <w:spacing w:after="0" w:line="189" w:lineRule="exact"/>
              <w:rPr>
                <w:sz w:val="20"/>
                <w:szCs w:val="20"/>
                <w:color w:val="auto"/>
              </w:rPr>
            </w:pPr>
            <w:r>
              <w:rPr>
                <w:rFonts w:ascii="Arial" w:cs="Arial" w:eastAsia="Arial" w:hAnsi="Arial"/>
                <w:sz w:val="18"/>
                <w:szCs w:val="18"/>
                <w:color w:val="auto"/>
              </w:rPr>
              <w:t>Earnings</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880" w:type="dxa"/>
            <w:vAlign w:val="bottom"/>
            <w:tcBorders>
              <w:bottom w:val="single" w:sz="8" w:color="auto"/>
            </w:tcBorders>
          </w:tcPr>
          <w:p>
            <w:pPr>
              <w:spacing w:after="0"/>
              <w:rPr>
                <w:sz w:val="5"/>
                <w:szCs w:val="5"/>
                <w:color w:val="auto"/>
              </w:rPr>
            </w:pPr>
          </w:p>
        </w:tc>
        <w:tc>
          <w:tcPr>
            <w:tcW w:w="52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56" w:name="page57"/>
    <w:bookmarkEnd w:id="56"/>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8. FINANCIAL STATEMENTS AND SUPPLEMENTARY DATA</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06437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360" w:type="dxa"/>
            <w:vAlign w:val="bottom"/>
            <w:gridSpan w:val="2"/>
          </w:tcPr>
          <w:p>
            <w:pPr>
              <w:spacing w:after="0"/>
              <w:rPr>
                <w:sz w:val="20"/>
                <w:szCs w:val="20"/>
                <w:color w:val="auto"/>
              </w:rPr>
            </w:pPr>
            <w:r>
              <w:rPr>
                <w:rFonts w:ascii="Arial" w:cs="Arial" w:eastAsia="Arial" w:hAnsi="Arial"/>
                <w:sz w:val="13"/>
                <w:szCs w:val="13"/>
                <w:b w:val="1"/>
                <w:bCs w:val="1"/>
                <w:color w:val="auto"/>
              </w:rPr>
              <w:t>Year Ended June 30,</w:t>
            </w:r>
          </w:p>
        </w:tc>
        <w:tc>
          <w:tcPr>
            <w:tcW w:w="2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5340" w:type="dxa"/>
            <w:vAlign w:val="bottom"/>
          </w:tcPr>
          <w:p>
            <w:pPr>
              <w:spacing w:after="0"/>
              <w:rPr>
                <w:sz w:val="4"/>
                <w:szCs w:val="4"/>
                <w:color w:val="auto"/>
              </w:rPr>
            </w:pPr>
          </w:p>
        </w:tc>
        <w:tc>
          <w:tcPr>
            <w:tcW w:w="2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3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Revenue:</w:t>
            </w:r>
          </w:p>
        </w:tc>
        <w:tc>
          <w:tcPr>
            <w:tcW w:w="23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340" w:type="dxa"/>
            <w:vAlign w:val="bottom"/>
          </w:tcPr>
          <w:p>
            <w:pPr>
              <w:ind w:left="200"/>
              <w:spacing w:after="0" w:line="189" w:lineRule="exact"/>
              <w:rPr>
                <w:sz w:val="20"/>
                <w:szCs w:val="20"/>
                <w:color w:val="auto"/>
              </w:rPr>
            </w:pPr>
            <w:r>
              <w:rPr>
                <w:rFonts w:ascii="Arial" w:cs="Arial" w:eastAsia="Arial" w:hAnsi="Arial"/>
                <w:sz w:val="18"/>
                <w:szCs w:val="18"/>
                <w:color w:val="auto"/>
              </w:rPr>
              <w:t>Product</w:t>
            </w:r>
          </w:p>
        </w:tc>
        <w:tc>
          <w:tcPr>
            <w:tcW w:w="254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71,074</w:t>
            </w:r>
          </w:p>
        </w:tc>
        <w:tc>
          <w:tcPr>
            <w:tcW w:w="240" w:type="dxa"/>
            <w:vAlign w:val="bottom"/>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68,041</w:t>
            </w:r>
          </w:p>
        </w:tc>
        <w:tc>
          <w:tcPr>
            <w:tcW w:w="34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66,069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34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Service and other</w:t>
            </w:r>
          </w:p>
        </w:tc>
        <w:tc>
          <w:tcPr>
            <w:tcW w:w="23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97,014</w:t>
            </w:r>
          </w:p>
        </w:tc>
        <w:tc>
          <w:tcPr>
            <w:tcW w:w="2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74,974</w:t>
            </w: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59,774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5340" w:type="dxa"/>
            <w:vAlign w:val="bottom"/>
            <w:tcBorders>
              <w:bottom w:val="single" w:sz="8" w:color="auto"/>
            </w:tcBorders>
          </w:tcPr>
          <w:p>
            <w:pPr>
              <w:spacing w:after="0"/>
              <w:rPr>
                <w:sz w:val="5"/>
                <w:szCs w:val="5"/>
                <w:color w:val="auto"/>
              </w:rPr>
            </w:pPr>
          </w:p>
        </w:tc>
        <w:tc>
          <w:tcPr>
            <w:tcW w:w="23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Total revenue</w:t>
            </w:r>
          </w:p>
        </w:tc>
        <w:tc>
          <w:tcPr>
            <w:tcW w:w="2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168,088</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143,015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125,843</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534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5340" w:type="dxa"/>
            <w:vAlign w:val="bottom"/>
          </w:tcPr>
          <w:p>
            <w:pPr>
              <w:spacing w:after="0"/>
              <w:rPr>
                <w:sz w:val="5"/>
                <w:szCs w:val="5"/>
                <w:color w:val="auto"/>
              </w:rPr>
            </w:pPr>
          </w:p>
        </w:tc>
        <w:tc>
          <w:tcPr>
            <w:tcW w:w="2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3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Cost of revenue:</w:t>
            </w:r>
          </w:p>
        </w:tc>
        <w:tc>
          <w:tcPr>
            <w:tcW w:w="23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340" w:type="dxa"/>
            <w:vAlign w:val="bottom"/>
          </w:tcPr>
          <w:p>
            <w:pPr>
              <w:ind w:left="200"/>
              <w:spacing w:after="0" w:line="189" w:lineRule="exact"/>
              <w:rPr>
                <w:sz w:val="20"/>
                <w:szCs w:val="20"/>
                <w:color w:val="auto"/>
              </w:rPr>
            </w:pPr>
            <w:r>
              <w:rPr>
                <w:rFonts w:ascii="Arial" w:cs="Arial" w:eastAsia="Arial" w:hAnsi="Arial"/>
                <w:sz w:val="18"/>
                <w:szCs w:val="18"/>
                <w:color w:val="auto"/>
              </w:rPr>
              <w:t>Product</w:t>
            </w:r>
          </w:p>
        </w:tc>
        <w:tc>
          <w:tcPr>
            <w:tcW w:w="2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18,219</w:t>
            </w:r>
          </w:p>
        </w:tc>
        <w:tc>
          <w:tcPr>
            <w:tcW w:w="240" w:type="dxa"/>
            <w:vAlign w:val="bottom"/>
          </w:tcPr>
          <w:p>
            <w:pPr>
              <w:spacing w:after="0"/>
              <w:rPr>
                <w:sz w:val="16"/>
                <w:szCs w:val="16"/>
                <w:color w:val="auto"/>
              </w:rPr>
            </w:pPr>
          </w:p>
        </w:tc>
        <w:tc>
          <w:tcPr>
            <w:tcW w:w="8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16,017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16,273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34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Service and other</w:t>
            </w:r>
          </w:p>
        </w:tc>
        <w:tc>
          <w:tcPr>
            <w:tcW w:w="23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34,013</w:t>
            </w:r>
          </w:p>
        </w:tc>
        <w:tc>
          <w:tcPr>
            <w:tcW w:w="2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30,061</w:t>
            </w: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26,637</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5340" w:type="dxa"/>
            <w:vAlign w:val="bottom"/>
            <w:tcBorders>
              <w:bottom w:val="single" w:sz="8" w:color="auto"/>
            </w:tcBorders>
          </w:tcPr>
          <w:p>
            <w:pPr>
              <w:spacing w:after="0"/>
              <w:rPr>
                <w:sz w:val="5"/>
                <w:szCs w:val="5"/>
                <w:color w:val="auto"/>
              </w:rPr>
            </w:pPr>
          </w:p>
        </w:tc>
        <w:tc>
          <w:tcPr>
            <w:tcW w:w="23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Total cost of revenue</w:t>
            </w:r>
          </w:p>
        </w:tc>
        <w:tc>
          <w:tcPr>
            <w:tcW w:w="2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52,232</w:t>
            </w:r>
          </w:p>
        </w:tc>
        <w:tc>
          <w:tcPr>
            <w:tcW w:w="240" w:type="dxa"/>
            <w:vAlign w:val="bottom"/>
          </w:tcPr>
          <w:p>
            <w:pPr>
              <w:spacing w:after="0"/>
              <w:rPr>
                <w:sz w:val="22"/>
                <w:szCs w:val="2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46,078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42,910</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534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40" w:type="dxa"/>
            <w:vAlign w:val="bottom"/>
          </w:tcPr>
          <w:p>
            <w:pPr>
              <w:spacing w:after="0"/>
              <w:rPr>
                <w:sz w:val="5"/>
                <w:szCs w:val="5"/>
                <w:color w:val="auto"/>
              </w:rPr>
            </w:pPr>
          </w:p>
        </w:tc>
        <w:tc>
          <w:tcPr>
            <w:tcW w:w="2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340" w:type="dxa"/>
            <w:vAlign w:val="bottom"/>
            <w:shd w:val="clear" w:color="auto" w:fill="E5E5E5"/>
          </w:tcPr>
          <w:p>
            <w:pPr>
              <w:ind w:left="420"/>
              <w:spacing w:after="0" w:line="189" w:lineRule="exact"/>
              <w:rPr>
                <w:sz w:val="20"/>
                <w:szCs w:val="20"/>
                <w:color w:val="auto"/>
              </w:rPr>
            </w:pPr>
            <w:r>
              <w:rPr>
                <w:rFonts w:ascii="Arial" w:cs="Arial" w:eastAsia="Arial" w:hAnsi="Arial"/>
                <w:sz w:val="18"/>
                <w:szCs w:val="18"/>
                <w:color w:val="auto"/>
              </w:rPr>
              <w:t>Gross margin</w:t>
            </w:r>
          </w:p>
        </w:tc>
        <w:tc>
          <w:tcPr>
            <w:tcW w:w="23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115,856</w:t>
            </w:r>
          </w:p>
        </w:tc>
        <w:tc>
          <w:tcPr>
            <w:tcW w:w="24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96,937</w:t>
            </w: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82,933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340" w:type="dxa"/>
            <w:vAlign w:val="bottom"/>
          </w:tcPr>
          <w:p>
            <w:pPr>
              <w:spacing w:after="0" w:line="189" w:lineRule="exact"/>
              <w:rPr>
                <w:sz w:val="20"/>
                <w:szCs w:val="20"/>
                <w:color w:val="auto"/>
              </w:rPr>
            </w:pPr>
            <w:r>
              <w:rPr>
                <w:rFonts w:ascii="Arial" w:cs="Arial" w:eastAsia="Arial" w:hAnsi="Arial"/>
                <w:sz w:val="18"/>
                <w:szCs w:val="18"/>
                <w:color w:val="auto"/>
              </w:rPr>
              <w:t>Research and development</w:t>
            </w:r>
          </w:p>
        </w:tc>
        <w:tc>
          <w:tcPr>
            <w:tcW w:w="2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20,716</w:t>
            </w:r>
          </w:p>
        </w:tc>
        <w:tc>
          <w:tcPr>
            <w:tcW w:w="240" w:type="dxa"/>
            <w:vAlign w:val="bottom"/>
          </w:tcPr>
          <w:p>
            <w:pPr>
              <w:spacing w:after="0"/>
              <w:rPr>
                <w:sz w:val="16"/>
                <w:szCs w:val="16"/>
                <w:color w:val="auto"/>
              </w:rPr>
            </w:pPr>
          </w:p>
        </w:tc>
        <w:tc>
          <w:tcPr>
            <w:tcW w:w="8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19,269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16,876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3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Sales and marketing</w:t>
            </w:r>
          </w:p>
        </w:tc>
        <w:tc>
          <w:tcPr>
            <w:tcW w:w="23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20,117</w:t>
            </w:r>
          </w:p>
        </w:tc>
        <w:tc>
          <w:tcPr>
            <w:tcW w:w="2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19,598</w:t>
            </w: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18,213</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5,107</w:t>
            </w:r>
          </w:p>
        </w:tc>
        <w:tc>
          <w:tcPr>
            <w:tcW w:w="24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5,111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4,885</w:t>
            </w: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5340" w:type="dxa"/>
            <w:vAlign w:val="bottom"/>
            <w:tcBorders>
              <w:top w:val="single" w:sz="8" w:color="auto"/>
            </w:tcBorders>
          </w:tcPr>
          <w:p>
            <w:pPr>
              <w:spacing w:after="0"/>
              <w:rPr>
                <w:sz w:val="5"/>
                <w:szCs w:val="5"/>
                <w:color w:val="auto"/>
              </w:rPr>
            </w:pPr>
          </w:p>
        </w:tc>
        <w:tc>
          <w:tcPr>
            <w:tcW w:w="230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3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income</w:t>
            </w:r>
          </w:p>
        </w:tc>
        <w:tc>
          <w:tcPr>
            <w:tcW w:w="23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69,916</w:t>
            </w:r>
          </w:p>
        </w:tc>
        <w:tc>
          <w:tcPr>
            <w:tcW w:w="2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52,959</w:t>
            </w: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42,959</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Other income, net</w:t>
            </w:r>
          </w:p>
        </w:tc>
        <w:tc>
          <w:tcPr>
            <w:tcW w:w="2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1,186</w:t>
            </w:r>
          </w:p>
        </w:tc>
        <w:tc>
          <w:tcPr>
            <w:tcW w:w="24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5340" w:type="dxa"/>
            <w:vAlign w:val="bottom"/>
            <w:tcBorders>
              <w:top w:val="single" w:sz="8" w:color="auto"/>
            </w:tcBorders>
          </w:tcPr>
          <w:p>
            <w:pPr>
              <w:spacing w:after="0"/>
              <w:rPr>
                <w:sz w:val="5"/>
                <w:szCs w:val="5"/>
                <w:color w:val="auto"/>
              </w:rPr>
            </w:pPr>
          </w:p>
        </w:tc>
        <w:tc>
          <w:tcPr>
            <w:tcW w:w="230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3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Income before income taxes</w:t>
            </w:r>
          </w:p>
        </w:tc>
        <w:tc>
          <w:tcPr>
            <w:tcW w:w="23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71,102</w:t>
            </w:r>
          </w:p>
        </w:tc>
        <w:tc>
          <w:tcPr>
            <w:tcW w:w="2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53,036</w:t>
            </w: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43,688</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9,831</w:t>
            </w:r>
          </w:p>
        </w:tc>
        <w:tc>
          <w:tcPr>
            <w:tcW w:w="24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8,755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4,448</w:t>
            </w: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5340" w:type="dxa"/>
            <w:vAlign w:val="bottom"/>
            <w:tcBorders>
              <w:top w:val="single" w:sz="8" w:color="auto"/>
            </w:tcBorders>
          </w:tcPr>
          <w:p>
            <w:pPr>
              <w:spacing w:after="0"/>
              <w:rPr>
                <w:sz w:val="5"/>
                <w:szCs w:val="5"/>
                <w:color w:val="auto"/>
              </w:rPr>
            </w:pPr>
          </w:p>
        </w:tc>
        <w:tc>
          <w:tcPr>
            <w:tcW w:w="230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3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income</w:t>
            </w:r>
          </w:p>
        </w:tc>
        <w:tc>
          <w:tcPr>
            <w:tcW w:w="25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61,271</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44,281</w:t>
            </w:r>
          </w:p>
        </w:tc>
        <w:tc>
          <w:tcPr>
            <w:tcW w:w="3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39,240</w:t>
            </w:r>
          </w:p>
        </w:tc>
        <w:tc>
          <w:tcPr>
            <w:tcW w:w="0" w:type="dxa"/>
            <w:vAlign w:val="bottom"/>
          </w:tcPr>
          <w:p>
            <w:pPr>
              <w:spacing w:after="0"/>
              <w:rPr>
                <w:sz w:val="1"/>
                <w:szCs w:val="1"/>
                <w:color w:val="auto"/>
              </w:rPr>
            </w:pPr>
          </w:p>
        </w:tc>
      </w:tr>
      <w:tr>
        <w:trPr>
          <w:trHeight w:val="74"/>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23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5360" w:type="dxa"/>
            <w:vAlign w:val="bottom"/>
            <w:gridSpan w:val="2"/>
            <w:vMerge w:val="continue"/>
          </w:tcPr>
          <w:p>
            <w:pPr>
              <w:spacing w:after="0"/>
              <w:rPr>
                <w:sz w:val="22"/>
                <w:szCs w:val="22"/>
                <w:color w:val="auto"/>
              </w:rPr>
            </w:pPr>
          </w:p>
        </w:tc>
        <w:tc>
          <w:tcPr>
            <w:tcW w:w="2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34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Basic</w:t>
            </w:r>
          </w:p>
        </w:tc>
        <w:tc>
          <w:tcPr>
            <w:tcW w:w="25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8.12</w:t>
            </w:r>
          </w:p>
        </w:tc>
        <w:tc>
          <w:tcPr>
            <w:tcW w:w="240" w:type="dxa"/>
            <w:vAlign w:val="bottom"/>
            <w:shd w:val="clear" w:color="auto" w:fill="E5E5E5"/>
          </w:tcPr>
          <w:p>
            <w:pPr>
              <w:spacing w:after="0"/>
              <w:rPr>
                <w:sz w:val="16"/>
                <w:szCs w:val="16"/>
                <w:color w:val="auto"/>
              </w:rPr>
            </w:pP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5.82</w:t>
            </w:r>
          </w:p>
        </w:tc>
        <w:tc>
          <w:tcPr>
            <w:tcW w:w="100" w:type="dxa"/>
            <w:vAlign w:val="bottom"/>
            <w:shd w:val="clear" w:color="auto" w:fill="E5E5E5"/>
          </w:tcPr>
          <w:p>
            <w:pPr>
              <w:spacing w:after="0"/>
              <w:rPr>
                <w:sz w:val="16"/>
                <w:szCs w:val="16"/>
                <w:color w:val="auto"/>
              </w:rPr>
            </w:pPr>
          </w:p>
        </w:tc>
        <w:tc>
          <w:tcPr>
            <w:tcW w:w="3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Diluted</w:t>
            </w:r>
          </w:p>
        </w:tc>
        <w:tc>
          <w:tcPr>
            <w:tcW w:w="25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8.05</w:t>
            </w:r>
          </w:p>
        </w:tc>
        <w:tc>
          <w:tcPr>
            <w:tcW w:w="2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0"/>
                <w:szCs w:val="20"/>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340" w:type="dxa"/>
            <w:vAlign w:val="bottom"/>
            <w:shd w:val="clear" w:color="auto" w:fill="E5E5E5"/>
          </w:tcPr>
          <w:p>
            <w:pPr>
              <w:spacing w:after="0" w:line="206" w:lineRule="exact"/>
              <w:rPr>
                <w:sz w:val="20"/>
                <w:szCs w:val="20"/>
                <w:color w:val="auto"/>
              </w:rPr>
            </w:pPr>
            <w:r>
              <w:rPr>
                <w:rFonts w:ascii="Arial" w:cs="Arial" w:eastAsia="Arial" w:hAnsi="Arial"/>
                <w:sz w:val="18"/>
                <w:szCs w:val="18"/>
                <w:color w:val="auto"/>
              </w:rPr>
              <w:t>Weighted average shares outstanding:</w:t>
            </w:r>
          </w:p>
        </w:tc>
        <w:tc>
          <w:tcPr>
            <w:tcW w:w="230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78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7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340" w:type="dxa"/>
            <w:vAlign w:val="bottom"/>
          </w:tcPr>
          <w:p>
            <w:pPr>
              <w:ind w:left="200"/>
              <w:spacing w:after="0" w:line="189" w:lineRule="exact"/>
              <w:rPr>
                <w:sz w:val="20"/>
                <w:szCs w:val="20"/>
                <w:color w:val="auto"/>
              </w:rPr>
            </w:pPr>
            <w:r>
              <w:rPr>
                <w:rFonts w:ascii="Arial" w:cs="Arial" w:eastAsia="Arial" w:hAnsi="Arial"/>
                <w:sz w:val="18"/>
                <w:szCs w:val="18"/>
                <w:color w:val="auto"/>
              </w:rPr>
              <w:t>Basic</w:t>
            </w:r>
          </w:p>
        </w:tc>
        <w:tc>
          <w:tcPr>
            <w:tcW w:w="2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7,547</w:t>
            </w:r>
          </w:p>
        </w:tc>
        <w:tc>
          <w:tcPr>
            <w:tcW w:w="240" w:type="dxa"/>
            <w:vAlign w:val="bottom"/>
          </w:tcPr>
          <w:p>
            <w:pPr>
              <w:spacing w:after="0"/>
              <w:rPr>
                <w:sz w:val="16"/>
                <w:szCs w:val="16"/>
                <w:color w:val="auto"/>
              </w:rPr>
            </w:pPr>
          </w:p>
        </w:tc>
        <w:tc>
          <w:tcPr>
            <w:tcW w:w="8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7,610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7,673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34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Diluted</w:t>
            </w:r>
          </w:p>
        </w:tc>
        <w:tc>
          <w:tcPr>
            <w:tcW w:w="23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7,608</w:t>
            </w:r>
          </w:p>
        </w:tc>
        <w:tc>
          <w:tcPr>
            <w:tcW w:w="2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7,683</w:t>
            </w: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7,753</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5340" w:type="dxa"/>
            <w:vAlign w:val="bottom"/>
            <w:tcBorders>
              <w:bottom w:val="single" w:sz="8" w:color="auto"/>
            </w:tcBorders>
          </w:tcPr>
          <w:p>
            <w:pPr>
              <w:spacing w:after="0"/>
              <w:rPr>
                <w:sz w:val="5"/>
                <w:szCs w:val="5"/>
                <w:color w:val="auto"/>
              </w:rPr>
            </w:pPr>
          </w:p>
        </w:tc>
        <w:tc>
          <w:tcPr>
            <w:tcW w:w="23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57" w:name="page58"/>
    <w:bookmarkEnd w:id="57"/>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69875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87540" cy="8255"/>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420" w:type="dxa"/>
            <w:vAlign w:val="bottom"/>
            <w:gridSpan w:val="2"/>
          </w:tcPr>
          <w:p>
            <w:pPr>
              <w:spacing w:after="0"/>
              <w:rPr>
                <w:sz w:val="20"/>
                <w:szCs w:val="20"/>
                <w:color w:val="auto"/>
              </w:rPr>
            </w:pPr>
            <w:r>
              <w:rPr>
                <w:rFonts w:ascii="Arial" w:cs="Arial" w:eastAsia="Arial" w:hAnsi="Arial"/>
                <w:sz w:val="13"/>
                <w:szCs w:val="13"/>
                <w:b w:val="1"/>
                <w:bCs w:val="1"/>
                <w:color w:val="auto"/>
              </w:rPr>
              <w:t>Year Ended June 30,</w:t>
            </w:r>
          </w:p>
        </w:tc>
        <w:tc>
          <w:tcPr>
            <w:tcW w:w="1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2021</w:t>
            </w:r>
          </w:p>
        </w:tc>
        <w:tc>
          <w:tcPr>
            <w:tcW w:w="280" w:type="dxa"/>
            <w:vAlign w:val="bottom"/>
          </w:tcPr>
          <w:p>
            <w:pPr>
              <w:spacing w:after="0"/>
              <w:rPr>
                <w:sz w:val="15"/>
                <w:szCs w:val="15"/>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54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4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income</w:t>
            </w:r>
          </w:p>
        </w:tc>
        <w:tc>
          <w:tcPr>
            <w:tcW w:w="19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E5E5E5"/>
          </w:tcPr>
          <w:p>
            <w:pPr>
              <w:jc w:val="right"/>
              <w:ind w:right="460"/>
              <w:spacing w:after="0" w:line="189" w:lineRule="exact"/>
              <w:rPr>
                <w:sz w:val="20"/>
                <w:szCs w:val="20"/>
                <w:color w:val="auto"/>
              </w:rPr>
            </w:pPr>
            <w:r>
              <w:rPr>
                <w:rFonts w:ascii="Arial" w:cs="Arial" w:eastAsia="Arial" w:hAnsi="Arial"/>
                <w:sz w:val="18"/>
                <w:szCs w:val="18"/>
                <w:b w:val="1"/>
                <w:bCs w:val="1"/>
                <w:color w:val="auto"/>
              </w:rPr>
              <w:t>61,271</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44,281</w:t>
            </w:r>
          </w:p>
        </w:tc>
        <w:tc>
          <w:tcPr>
            <w:tcW w:w="4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39,240</w:t>
            </w:r>
          </w:p>
        </w:tc>
        <w:tc>
          <w:tcPr>
            <w:tcW w:w="0" w:type="dxa"/>
            <w:vAlign w:val="bottom"/>
          </w:tcPr>
          <w:p>
            <w:pPr>
              <w:spacing w:after="0"/>
              <w:rPr>
                <w:sz w:val="1"/>
                <w:szCs w:val="1"/>
                <w:color w:val="auto"/>
              </w:rPr>
            </w:pPr>
          </w:p>
        </w:tc>
      </w:tr>
      <w:tr>
        <w:trPr>
          <w:trHeight w:val="67"/>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income (loss), net of tax:</w:t>
            </w:r>
          </w:p>
        </w:tc>
        <w:tc>
          <w:tcPr>
            <w:tcW w:w="17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5420" w:type="dxa"/>
            <w:vAlign w:val="bottom"/>
            <w:gridSpan w:val="2"/>
            <w:vMerge w:val="continue"/>
          </w:tcPr>
          <w:p>
            <w:pPr>
              <w:spacing w:after="0"/>
              <w:rPr>
                <w:sz w:val="21"/>
                <w:szCs w:val="21"/>
                <w:color w:val="auto"/>
              </w:rPr>
            </w:pP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40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Net change related to derivatives</w:t>
            </w:r>
          </w:p>
        </w:tc>
        <w:tc>
          <w:tcPr>
            <w:tcW w:w="17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180" w:type="dxa"/>
            <w:vAlign w:val="bottom"/>
            <w:gridSpan w:val="2"/>
            <w:shd w:val="clear" w:color="auto" w:fill="E5E5E5"/>
          </w:tcPr>
          <w:p>
            <w:pPr>
              <w:jc w:val="right"/>
              <w:ind w:right="460"/>
              <w:spacing w:after="0" w:line="189" w:lineRule="exact"/>
              <w:rPr>
                <w:sz w:val="20"/>
                <w:szCs w:val="20"/>
                <w:color w:val="auto"/>
              </w:rPr>
            </w:pPr>
            <w:r>
              <w:rPr>
                <w:rFonts w:ascii="Arial" w:cs="Arial" w:eastAsia="Arial" w:hAnsi="Arial"/>
                <w:sz w:val="18"/>
                <w:szCs w:val="18"/>
                <w:b w:val="1"/>
                <w:bCs w:val="1"/>
                <w:color w:val="auto"/>
              </w:rPr>
              <w:t>19</w:t>
            </w:r>
          </w:p>
        </w:tc>
        <w:tc>
          <w:tcPr>
            <w:tcW w:w="28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(38)</w:t>
            </w:r>
          </w:p>
        </w:tc>
        <w:tc>
          <w:tcPr>
            <w:tcW w:w="2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400" w:type="dxa"/>
            <w:vAlign w:val="bottom"/>
          </w:tcPr>
          <w:p>
            <w:pPr>
              <w:ind w:left="200"/>
              <w:spacing w:after="0" w:line="189" w:lineRule="exact"/>
              <w:rPr>
                <w:sz w:val="20"/>
                <w:szCs w:val="20"/>
                <w:color w:val="auto"/>
              </w:rPr>
            </w:pPr>
            <w:r>
              <w:rPr>
                <w:rFonts w:ascii="Arial" w:cs="Arial" w:eastAsia="Arial" w:hAnsi="Arial"/>
                <w:sz w:val="18"/>
                <w:szCs w:val="18"/>
                <w:color w:val="auto"/>
              </w:rPr>
              <w:t>Net change related to investments</w:t>
            </w:r>
          </w:p>
        </w:tc>
        <w:tc>
          <w:tcPr>
            <w:tcW w:w="1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jc w:val="right"/>
              <w:ind w:right="400"/>
              <w:spacing w:after="0" w:line="189" w:lineRule="exact"/>
              <w:rPr>
                <w:sz w:val="20"/>
                <w:szCs w:val="20"/>
                <w:color w:val="auto"/>
              </w:rPr>
            </w:pPr>
            <w:r>
              <w:rPr>
                <w:rFonts w:ascii="Arial" w:cs="Arial" w:eastAsia="Arial" w:hAnsi="Arial"/>
                <w:sz w:val="18"/>
                <w:szCs w:val="18"/>
                <w:b w:val="1"/>
                <w:bCs w:val="1"/>
                <w:color w:val="auto"/>
              </w:rPr>
              <w:t>(2,266)</w:t>
            </w:r>
          </w:p>
        </w:tc>
        <w:tc>
          <w:tcPr>
            <w:tcW w:w="280" w:type="dxa"/>
            <w:vAlign w:val="bottom"/>
          </w:tcPr>
          <w:p>
            <w:pPr>
              <w:spacing w:after="0"/>
              <w:rPr>
                <w:sz w:val="16"/>
                <w:szCs w:val="16"/>
                <w:color w:val="auto"/>
              </w:rPr>
            </w:pPr>
          </w:p>
        </w:tc>
        <w:tc>
          <w:tcPr>
            <w:tcW w:w="980" w:type="dxa"/>
            <w:vAlign w:val="bottom"/>
            <w:gridSpan w:val="2"/>
          </w:tcPr>
          <w:p>
            <w:pPr>
              <w:jc w:val="right"/>
              <w:ind w:right="260"/>
              <w:spacing w:after="0" w:line="189" w:lineRule="exact"/>
              <w:rPr>
                <w:sz w:val="20"/>
                <w:szCs w:val="20"/>
                <w:color w:val="auto"/>
              </w:rPr>
            </w:pPr>
            <w:r>
              <w:rPr>
                <w:rFonts w:ascii="Arial" w:cs="Arial" w:eastAsia="Arial" w:hAnsi="Arial"/>
                <w:sz w:val="18"/>
                <w:szCs w:val="18"/>
                <w:color w:val="auto"/>
              </w:rPr>
              <w:t>3,990</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40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Translation adjustments and other</w:t>
            </w:r>
          </w:p>
        </w:tc>
        <w:tc>
          <w:tcPr>
            <w:tcW w:w="17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180" w:type="dxa"/>
            <w:vAlign w:val="bottom"/>
            <w:gridSpan w:val="2"/>
            <w:shd w:val="clear" w:color="auto" w:fill="E5E5E5"/>
          </w:tcPr>
          <w:p>
            <w:pPr>
              <w:jc w:val="right"/>
              <w:ind w:right="460"/>
              <w:spacing w:after="0" w:line="189" w:lineRule="exact"/>
              <w:rPr>
                <w:sz w:val="20"/>
                <w:szCs w:val="20"/>
                <w:color w:val="auto"/>
              </w:rPr>
            </w:pPr>
            <w:r>
              <w:rPr>
                <w:rFonts w:ascii="Arial" w:cs="Arial" w:eastAsia="Arial" w:hAnsi="Arial"/>
                <w:sz w:val="18"/>
                <w:szCs w:val="18"/>
                <w:b w:val="1"/>
                <w:bCs w:val="1"/>
                <w:color w:val="auto"/>
              </w:rPr>
              <w:t>873</w:t>
            </w:r>
          </w:p>
        </w:tc>
        <w:tc>
          <w:tcPr>
            <w:tcW w:w="28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(426)</w:t>
            </w:r>
          </w:p>
        </w:tc>
        <w:tc>
          <w:tcPr>
            <w:tcW w:w="2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540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Other comprehensive income (loss)</w:t>
            </w:r>
          </w:p>
        </w:tc>
        <w:tc>
          <w:tcPr>
            <w:tcW w:w="1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(1,374)</w:t>
            </w:r>
          </w:p>
        </w:tc>
        <w:tc>
          <w:tcPr>
            <w:tcW w:w="280" w:type="dxa"/>
            <w:vAlign w:val="bottom"/>
          </w:tcPr>
          <w:p>
            <w:pPr>
              <w:spacing w:after="0"/>
              <w:rPr>
                <w:sz w:val="22"/>
                <w:szCs w:val="22"/>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3,526</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540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54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4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Comprehensive income</w:t>
            </w:r>
          </w:p>
        </w:tc>
        <w:tc>
          <w:tcPr>
            <w:tcW w:w="19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E5E5E5"/>
          </w:tcPr>
          <w:p>
            <w:pPr>
              <w:jc w:val="right"/>
              <w:ind w:right="460"/>
              <w:spacing w:after="0" w:line="189" w:lineRule="exact"/>
              <w:rPr>
                <w:sz w:val="20"/>
                <w:szCs w:val="20"/>
                <w:color w:val="auto"/>
              </w:rPr>
            </w:pPr>
            <w:r>
              <w:rPr>
                <w:rFonts w:ascii="Arial" w:cs="Arial" w:eastAsia="Arial" w:hAnsi="Arial"/>
                <w:sz w:val="18"/>
                <w:szCs w:val="18"/>
                <w:b w:val="1"/>
                <w:bCs w:val="1"/>
                <w:color w:val="auto"/>
              </w:rPr>
              <w:t>59,897</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47,807</w:t>
            </w:r>
          </w:p>
        </w:tc>
        <w:tc>
          <w:tcPr>
            <w:tcW w:w="4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41,154</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54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58" w:name="page59"/>
    <w:bookmarkEnd w:id="58"/>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0561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56120" cy="8255"/>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580" w:type="dxa"/>
            <w:vAlign w:val="bottom"/>
            <w:gridSpan w:val="2"/>
          </w:tcPr>
          <w:p>
            <w:pPr>
              <w:spacing w:after="0"/>
              <w:rPr>
                <w:sz w:val="20"/>
                <w:szCs w:val="20"/>
                <w:color w:val="auto"/>
              </w:rPr>
            </w:pPr>
            <w:r>
              <w:rPr>
                <w:rFonts w:ascii="Arial" w:cs="Arial" w:eastAsia="Arial" w:hAnsi="Arial"/>
                <w:sz w:val="13"/>
                <w:szCs w:val="13"/>
                <w:b w:val="1"/>
                <w:bCs w:val="1"/>
                <w:color w:val="auto"/>
              </w:rPr>
              <w:t>June 30,</w:t>
            </w: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2021</w:t>
            </w:r>
          </w:p>
        </w:tc>
        <w:tc>
          <w:tcPr>
            <w:tcW w:w="56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756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756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Assets</w:t>
            </w:r>
          </w:p>
        </w:tc>
        <w:tc>
          <w:tcPr>
            <w:tcW w:w="40" w:type="dxa"/>
            <w:vAlign w:val="bottom"/>
            <w:shd w:val="clear" w:color="auto" w:fill="E5E5E5"/>
          </w:tcPr>
          <w:p>
            <w:pPr>
              <w:spacing w:after="0"/>
              <w:rPr>
                <w:sz w:val="16"/>
                <w:szCs w:val="16"/>
                <w:color w:val="auto"/>
              </w:rPr>
            </w:pPr>
          </w:p>
        </w:tc>
        <w:tc>
          <w:tcPr>
            <w:tcW w:w="580" w:type="dxa"/>
            <w:vAlign w:val="bottom"/>
            <w:shd w:val="clear" w:color="auto" w:fill="E5E5E5"/>
          </w:tcPr>
          <w:p>
            <w:pPr>
              <w:spacing w:after="0"/>
              <w:rPr>
                <w:sz w:val="16"/>
                <w:szCs w:val="16"/>
                <w:color w:val="auto"/>
              </w:rPr>
            </w:pPr>
          </w:p>
        </w:tc>
        <w:tc>
          <w:tcPr>
            <w:tcW w:w="11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11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60" w:type="dxa"/>
            <w:vAlign w:val="bottom"/>
          </w:tcPr>
          <w:p>
            <w:pPr>
              <w:spacing w:after="0" w:line="189" w:lineRule="exact"/>
              <w:rPr>
                <w:sz w:val="20"/>
                <w:szCs w:val="20"/>
                <w:color w:val="auto"/>
              </w:rPr>
            </w:pPr>
            <w:r>
              <w:rPr>
                <w:rFonts w:ascii="Arial" w:cs="Arial" w:eastAsia="Arial" w:hAnsi="Arial"/>
                <w:sz w:val="18"/>
                <w:szCs w:val="18"/>
                <w:color w:val="auto"/>
              </w:rPr>
              <w:t>Current assets:</w:t>
            </w: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Cash and cash equivalents</w:t>
            </w:r>
          </w:p>
        </w:tc>
        <w:tc>
          <w:tcPr>
            <w:tcW w:w="620" w:type="dxa"/>
            <w:vAlign w:val="bottom"/>
            <w:gridSpan w:val="2"/>
            <w:shd w:val="clear" w:color="auto" w:fill="E5E5E5"/>
          </w:tcPr>
          <w:p>
            <w:pPr>
              <w:jc w:val="right"/>
              <w:ind w:right="480"/>
              <w:spacing w:after="0" w:line="189" w:lineRule="exact"/>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14,224</w:t>
            </w:r>
          </w:p>
        </w:tc>
        <w:tc>
          <w:tcPr>
            <w:tcW w:w="560" w:type="dxa"/>
            <w:vAlign w:val="bottom"/>
            <w:shd w:val="clear" w:color="auto" w:fill="E5E5E5"/>
          </w:tcPr>
          <w:p>
            <w:pPr>
              <w:jc w:val="right"/>
              <w:ind w:right="370"/>
              <w:spacing w:after="0" w:line="189"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13,576</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56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116,110</w:t>
            </w:r>
          </w:p>
        </w:tc>
        <w:tc>
          <w:tcPr>
            <w:tcW w:w="56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122,951</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56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11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60" w:type="dxa"/>
            <w:vAlign w:val="bottom"/>
            <w:shd w:val="clear" w:color="auto" w:fill="E5E5E5"/>
          </w:tcPr>
          <w:p>
            <w:pPr>
              <w:ind w:left="420"/>
              <w:spacing w:after="0" w:line="189" w:lineRule="exact"/>
              <w:rPr>
                <w:sz w:val="20"/>
                <w:szCs w:val="20"/>
                <w:color w:val="auto"/>
              </w:rPr>
            </w:pPr>
            <w:r>
              <w:rPr>
                <w:rFonts w:ascii="Arial" w:cs="Arial" w:eastAsia="Arial" w:hAnsi="Arial"/>
                <w:sz w:val="18"/>
                <w:szCs w:val="18"/>
                <w:color w:val="auto"/>
              </w:rPr>
              <w:t>Total cash, cash equivalents, and short-term investments</w:t>
            </w:r>
          </w:p>
        </w:tc>
        <w:tc>
          <w:tcPr>
            <w:tcW w:w="40" w:type="dxa"/>
            <w:vAlign w:val="bottom"/>
            <w:shd w:val="clear" w:color="auto" w:fill="E5E5E5"/>
          </w:tcPr>
          <w:p>
            <w:pPr>
              <w:spacing w:after="0"/>
              <w:rPr>
                <w:sz w:val="16"/>
                <w:szCs w:val="16"/>
                <w:color w:val="auto"/>
              </w:rPr>
            </w:pPr>
          </w:p>
        </w:tc>
        <w:tc>
          <w:tcPr>
            <w:tcW w:w="58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130,334</w:t>
            </w:r>
          </w:p>
        </w:tc>
        <w:tc>
          <w:tcPr>
            <w:tcW w:w="56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136,527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60" w:type="dxa"/>
            <w:vAlign w:val="bottom"/>
          </w:tcPr>
          <w:p>
            <w:pPr>
              <w:ind w:left="200"/>
              <w:spacing w:after="0" w:line="189" w:lineRule="exact"/>
              <w:rPr>
                <w:sz w:val="20"/>
                <w:szCs w:val="20"/>
                <w:color w:val="auto"/>
              </w:rPr>
            </w:pPr>
            <w:r>
              <w:rPr>
                <w:rFonts w:ascii="Arial" w:cs="Arial" w:eastAsia="Arial" w:hAnsi="Arial"/>
                <w:sz w:val="18"/>
                <w:szCs w:val="18"/>
                <w:color w:val="auto"/>
              </w:rPr>
              <w:t xml:space="preserve">Accounts receivable, net of allowance for doubtful accounts of </w:t>
            </w:r>
            <w:r>
              <w:rPr>
                <w:rFonts w:ascii="Arial" w:cs="Arial" w:eastAsia="Arial" w:hAnsi="Arial"/>
                <w:sz w:val="18"/>
                <w:szCs w:val="18"/>
                <w:b w:val="1"/>
                <w:bCs w:val="1"/>
                <w:color w:val="auto"/>
              </w:rPr>
              <w:t>$751</w:t>
            </w:r>
            <w:r>
              <w:rPr>
                <w:rFonts w:ascii="Arial" w:cs="Arial" w:eastAsia="Arial" w:hAnsi="Arial"/>
                <w:sz w:val="18"/>
                <w:szCs w:val="18"/>
                <w:color w:val="auto"/>
              </w:rPr>
              <w:t xml:space="preserve"> and $788</w:t>
            </w: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4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38,043</w:t>
            </w:r>
          </w:p>
        </w:tc>
        <w:tc>
          <w:tcPr>
            <w:tcW w:w="560" w:type="dxa"/>
            <w:vAlign w:val="bottom"/>
          </w:tcPr>
          <w:p>
            <w:pPr>
              <w:spacing w:after="0"/>
              <w:rPr>
                <w:sz w:val="16"/>
                <w:szCs w:val="16"/>
                <w:color w:val="auto"/>
              </w:rPr>
            </w:pPr>
          </w:p>
        </w:tc>
        <w:tc>
          <w:tcPr>
            <w:tcW w:w="124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32,011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Inventories</w:t>
            </w:r>
          </w:p>
        </w:tc>
        <w:tc>
          <w:tcPr>
            <w:tcW w:w="40" w:type="dxa"/>
            <w:vAlign w:val="bottom"/>
            <w:shd w:val="clear" w:color="auto" w:fill="E5E5E5"/>
          </w:tcPr>
          <w:p>
            <w:pPr>
              <w:spacing w:after="0"/>
              <w:rPr>
                <w:sz w:val="16"/>
                <w:szCs w:val="16"/>
                <w:color w:val="auto"/>
              </w:rPr>
            </w:pPr>
          </w:p>
        </w:tc>
        <w:tc>
          <w:tcPr>
            <w:tcW w:w="58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2,636</w:t>
            </w:r>
          </w:p>
        </w:tc>
        <w:tc>
          <w:tcPr>
            <w:tcW w:w="56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560" w:type="dxa"/>
            <w:vAlign w:val="bottom"/>
          </w:tcPr>
          <w:p>
            <w:pPr>
              <w:ind w:left="200"/>
              <w:spacing w:after="0"/>
              <w:rPr>
                <w:sz w:val="20"/>
                <w:szCs w:val="20"/>
                <w:color w:val="auto"/>
              </w:rPr>
            </w:pPr>
            <w:r>
              <w:rPr>
                <w:rFonts w:ascii="Arial" w:cs="Arial" w:eastAsia="Arial" w:hAnsi="Arial"/>
                <w:sz w:val="18"/>
                <w:szCs w:val="18"/>
                <w:color w:val="auto"/>
              </w:rPr>
              <w:t>Other current assets</w:t>
            </w: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13,393</w:t>
            </w:r>
          </w:p>
        </w:tc>
        <w:tc>
          <w:tcPr>
            <w:tcW w:w="56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11,482</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56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11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60" w:type="dxa"/>
            <w:vAlign w:val="bottom"/>
            <w:shd w:val="clear" w:color="auto" w:fill="E5E5E5"/>
          </w:tcPr>
          <w:p>
            <w:pPr>
              <w:ind w:left="420"/>
              <w:spacing w:after="0" w:line="189" w:lineRule="exact"/>
              <w:rPr>
                <w:sz w:val="20"/>
                <w:szCs w:val="20"/>
                <w:color w:val="auto"/>
              </w:rPr>
            </w:pPr>
            <w:r>
              <w:rPr>
                <w:rFonts w:ascii="Arial" w:cs="Arial" w:eastAsia="Arial" w:hAnsi="Arial"/>
                <w:sz w:val="18"/>
                <w:szCs w:val="18"/>
                <w:color w:val="auto"/>
              </w:rPr>
              <w:t>Total current assets</w:t>
            </w:r>
          </w:p>
        </w:tc>
        <w:tc>
          <w:tcPr>
            <w:tcW w:w="40" w:type="dxa"/>
            <w:vAlign w:val="bottom"/>
            <w:shd w:val="clear" w:color="auto" w:fill="E5E5E5"/>
          </w:tcPr>
          <w:p>
            <w:pPr>
              <w:spacing w:after="0"/>
              <w:rPr>
                <w:sz w:val="16"/>
                <w:szCs w:val="16"/>
                <w:color w:val="auto"/>
              </w:rPr>
            </w:pPr>
          </w:p>
        </w:tc>
        <w:tc>
          <w:tcPr>
            <w:tcW w:w="58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184,406</w:t>
            </w:r>
          </w:p>
        </w:tc>
        <w:tc>
          <w:tcPr>
            <w:tcW w:w="56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181,915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60" w:type="dxa"/>
            <w:vAlign w:val="bottom"/>
          </w:tcPr>
          <w:p>
            <w:pPr>
              <w:spacing w:after="0" w:line="189" w:lineRule="exact"/>
              <w:rPr>
                <w:sz w:val="20"/>
                <w:szCs w:val="20"/>
                <w:color w:val="auto"/>
              </w:rPr>
            </w:pPr>
            <w:r>
              <w:rPr>
                <w:rFonts w:ascii="Arial" w:cs="Arial" w:eastAsia="Arial" w:hAnsi="Arial"/>
                <w:sz w:val="18"/>
                <w:szCs w:val="18"/>
                <w:color w:val="auto"/>
              </w:rPr>
              <w:t xml:space="preserve">Property and equipment, net of accumulated depreciation of </w:t>
            </w:r>
            <w:r>
              <w:rPr>
                <w:rFonts w:ascii="Arial" w:cs="Arial" w:eastAsia="Arial" w:hAnsi="Arial"/>
                <w:sz w:val="18"/>
                <w:szCs w:val="18"/>
                <w:b w:val="1"/>
                <w:bCs w:val="1"/>
                <w:color w:val="auto"/>
              </w:rPr>
              <w:t>$51,351</w:t>
            </w:r>
            <w:r>
              <w:rPr>
                <w:rFonts w:ascii="Arial" w:cs="Arial" w:eastAsia="Arial" w:hAnsi="Arial"/>
                <w:sz w:val="18"/>
                <w:szCs w:val="18"/>
                <w:color w:val="auto"/>
              </w:rPr>
              <w:t xml:space="preserve"> and $43,197</w:t>
            </w: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4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59,715</w:t>
            </w:r>
          </w:p>
        </w:tc>
        <w:tc>
          <w:tcPr>
            <w:tcW w:w="560" w:type="dxa"/>
            <w:vAlign w:val="bottom"/>
          </w:tcPr>
          <w:p>
            <w:pPr>
              <w:spacing w:after="0"/>
              <w:rPr>
                <w:sz w:val="16"/>
                <w:szCs w:val="16"/>
                <w:color w:val="auto"/>
              </w:rPr>
            </w:pPr>
          </w:p>
        </w:tc>
        <w:tc>
          <w:tcPr>
            <w:tcW w:w="124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44,151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lease right-of-use assets</w:t>
            </w:r>
          </w:p>
        </w:tc>
        <w:tc>
          <w:tcPr>
            <w:tcW w:w="40" w:type="dxa"/>
            <w:vAlign w:val="bottom"/>
            <w:shd w:val="clear" w:color="auto" w:fill="E5E5E5"/>
          </w:tcPr>
          <w:p>
            <w:pPr>
              <w:spacing w:after="0"/>
              <w:rPr>
                <w:sz w:val="16"/>
                <w:szCs w:val="16"/>
                <w:color w:val="auto"/>
              </w:rPr>
            </w:pPr>
          </w:p>
        </w:tc>
        <w:tc>
          <w:tcPr>
            <w:tcW w:w="58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11,088</w:t>
            </w:r>
          </w:p>
        </w:tc>
        <w:tc>
          <w:tcPr>
            <w:tcW w:w="56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8,753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60" w:type="dxa"/>
            <w:vAlign w:val="bottom"/>
          </w:tcPr>
          <w:p>
            <w:pPr>
              <w:spacing w:after="0" w:line="189" w:lineRule="exact"/>
              <w:rPr>
                <w:sz w:val="20"/>
                <w:szCs w:val="20"/>
                <w:color w:val="auto"/>
              </w:rPr>
            </w:pPr>
            <w:r>
              <w:rPr>
                <w:rFonts w:ascii="Arial" w:cs="Arial" w:eastAsia="Arial" w:hAnsi="Arial"/>
                <w:sz w:val="18"/>
                <w:szCs w:val="18"/>
                <w:color w:val="auto"/>
              </w:rPr>
              <w:t>Equity investments</w:t>
            </w: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4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5,984</w:t>
            </w:r>
          </w:p>
        </w:tc>
        <w:tc>
          <w:tcPr>
            <w:tcW w:w="560" w:type="dxa"/>
            <w:vAlign w:val="bottom"/>
          </w:tcPr>
          <w:p>
            <w:pPr>
              <w:spacing w:after="0"/>
              <w:rPr>
                <w:sz w:val="16"/>
                <w:szCs w:val="16"/>
                <w:color w:val="auto"/>
              </w:rPr>
            </w:pPr>
          </w:p>
        </w:tc>
        <w:tc>
          <w:tcPr>
            <w:tcW w:w="124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2,965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Goodwill</w:t>
            </w:r>
          </w:p>
        </w:tc>
        <w:tc>
          <w:tcPr>
            <w:tcW w:w="40" w:type="dxa"/>
            <w:vAlign w:val="bottom"/>
            <w:shd w:val="clear" w:color="auto" w:fill="E5E5E5"/>
          </w:tcPr>
          <w:p>
            <w:pPr>
              <w:spacing w:after="0"/>
              <w:rPr>
                <w:sz w:val="16"/>
                <w:szCs w:val="16"/>
                <w:color w:val="auto"/>
              </w:rPr>
            </w:pPr>
          </w:p>
        </w:tc>
        <w:tc>
          <w:tcPr>
            <w:tcW w:w="58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49,711</w:t>
            </w:r>
          </w:p>
        </w:tc>
        <w:tc>
          <w:tcPr>
            <w:tcW w:w="56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43,351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60" w:type="dxa"/>
            <w:vAlign w:val="bottom"/>
          </w:tcPr>
          <w:p>
            <w:pPr>
              <w:spacing w:after="0" w:line="189" w:lineRule="exact"/>
              <w:rPr>
                <w:sz w:val="20"/>
                <w:szCs w:val="20"/>
                <w:color w:val="auto"/>
              </w:rPr>
            </w:pPr>
            <w:r>
              <w:rPr>
                <w:rFonts w:ascii="Arial" w:cs="Arial" w:eastAsia="Arial" w:hAnsi="Arial"/>
                <w:sz w:val="18"/>
                <w:szCs w:val="18"/>
                <w:color w:val="auto"/>
              </w:rPr>
              <w:t>Intangible assets, net</w:t>
            </w: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4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7,800</w:t>
            </w:r>
          </w:p>
        </w:tc>
        <w:tc>
          <w:tcPr>
            <w:tcW w:w="560" w:type="dxa"/>
            <w:vAlign w:val="bottom"/>
          </w:tcPr>
          <w:p>
            <w:pPr>
              <w:spacing w:after="0"/>
              <w:rPr>
                <w:sz w:val="16"/>
                <w:szCs w:val="16"/>
                <w:color w:val="auto"/>
              </w:rPr>
            </w:pPr>
          </w:p>
        </w:tc>
        <w:tc>
          <w:tcPr>
            <w:tcW w:w="124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7,038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long-term assets</w:t>
            </w:r>
          </w:p>
        </w:tc>
        <w:tc>
          <w:tcPr>
            <w:tcW w:w="40" w:type="dxa"/>
            <w:vAlign w:val="bottom"/>
            <w:shd w:val="clear" w:color="auto" w:fill="E5E5E5"/>
          </w:tcPr>
          <w:p>
            <w:pPr>
              <w:spacing w:after="0"/>
              <w:rPr>
                <w:sz w:val="16"/>
                <w:szCs w:val="16"/>
                <w:color w:val="auto"/>
              </w:rPr>
            </w:pPr>
          </w:p>
        </w:tc>
        <w:tc>
          <w:tcPr>
            <w:tcW w:w="58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15,075</w:t>
            </w:r>
          </w:p>
        </w:tc>
        <w:tc>
          <w:tcPr>
            <w:tcW w:w="56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13,138</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5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gridSpan w:val="2"/>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560" w:type="dxa"/>
            <w:vAlign w:val="bottom"/>
          </w:tcPr>
          <w:p>
            <w:pPr>
              <w:ind w:left="840"/>
              <w:spacing w:after="0"/>
              <w:rPr>
                <w:sz w:val="20"/>
                <w:szCs w:val="20"/>
                <w:color w:val="auto"/>
              </w:rPr>
            </w:pPr>
            <w:r>
              <w:rPr>
                <w:rFonts w:ascii="Arial" w:cs="Arial" w:eastAsia="Arial" w:hAnsi="Arial"/>
                <w:sz w:val="18"/>
                <w:szCs w:val="18"/>
                <w:color w:val="auto"/>
              </w:rPr>
              <w:t>Total assets</w:t>
            </w:r>
          </w:p>
        </w:tc>
        <w:tc>
          <w:tcPr>
            <w:tcW w:w="6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333,779</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301,311</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56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756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756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Liabilities and stockholders’ equity</w:t>
            </w:r>
          </w:p>
        </w:tc>
        <w:tc>
          <w:tcPr>
            <w:tcW w:w="40" w:type="dxa"/>
            <w:vAlign w:val="bottom"/>
            <w:shd w:val="clear" w:color="auto" w:fill="E5E5E5"/>
          </w:tcPr>
          <w:p>
            <w:pPr>
              <w:spacing w:after="0"/>
              <w:rPr>
                <w:sz w:val="16"/>
                <w:szCs w:val="16"/>
                <w:color w:val="auto"/>
              </w:rPr>
            </w:pPr>
          </w:p>
        </w:tc>
        <w:tc>
          <w:tcPr>
            <w:tcW w:w="580" w:type="dxa"/>
            <w:vAlign w:val="bottom"/>
            <w:shd w:val="clear" w:color="auto" w:fill="E5E5E5"/>
          </w:tcPr>
          <w:p>
            <w:pPr>
              <w:spacing w:after="0"/>
              <w:rPr>
                <w:sz w:val="16"/>
                <w:szCs w:val="16"/>
                <w:color w:val="auto"/>
              </w:rPr>
            </w:pPr>
          </w:p>
        </w:tc>
        <w:tc>
          <w:tcPr>
            <w:tcW w:w="11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11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60" w:type="dxa"/>
            <w:vAlign w:val="bottom"/>
          </w:tcPr>
          <w:p>
            <w:pPr>
              <w:spacing w:after="0" w:line="189" w:lineRule="exact"/>
              <w:rPr>
                <w:sz w:val="20"/>
                <w:szCs w:val="20"/>
                <w:color w:val="auto"/>
              </w:rPr>
            </w:pPr>
            <w:r>
              <w:rPr>
                <w:rFonts w:ascii="Arial" w:cs="Arial" w:eastAsia="Arial" w:hAnsi="Arial"/>
                <w:sz w:val="18"/>
                <w:szCs w:val="18"/>
                <w:color w:val="auto"/>
              </w:rPr>
              <w:t>Current liabilities:</w:t>
            </w: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Accounts payable</w:t>
            </w:r>
          </w:p>
        </w:tc>
        <w:tc>
          <w:tcPr>
            <w:tcW w:w="620" w:type="dxa"/>
            <w:vAlign w:val="bottom"/>
            <w:gridSpan w:val="2"/>
            <w:shd w:val="clear" w:color="auto" w:fill="E5E5E5"/>
          </w:tcPr>
          <w:p>
            <w:pPr>
              <w:jc w:val="right"/>
              <w:ind w:right="480"/>
              <w:spacing w:after="0" w:line="189" w:lineRule="exact"/>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15,163</w:t>
            </w:r>
          </w:p>
        </w:tc>
        <w:tc>
          <w:tcPr>
            <w:tcW w:w="560" w:type="dxa"/>
            <w:vAlign w:val="bottom"/>
            <w:shd w:val="clear" w:color="auto" w:fill="E5E5E5"/>
          </w:tcPr>
          <w:p>
            <w:pPr>
              <w:jc w:val="right"/>
              <w:ind w:right="370"/>
              <w:spacing w:after="0" w:line="189"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12,530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60" w:type="dxa"/>
            <w:vAlign w:val="bottom"/>
          </w:tcPr>
          <w:p>
            <w:pPr>
              <w:ind w:left="200"/>
              <w:spacing w:after="0" w:line="189" w:lineRule="exact"/>
              <w:rPr>
                <w:sz w:val="20"/>
                <w:szCs w:val="20"/>
                <w:color w:val="auto"/>
              </w:rPr>
            </w:pPr>
            <w:r>
              <w:rPr>
                <w:rFonts w:ascii="Arial" w:cs="Arial" w:eastAsia="Arial" w:hAnsi="Arial"/>
                <w:sz w:val="18"/>
                <w:szCs w:val="18"/>
                <w:color w:val="auto"/>
              </w:rPr>
              <w:t>Current portion of long-term debt</w:t>
            </w: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4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8,072</w:t>
            </w:r>
          </w:p>
        </w:tc>
        <w:tc>
          <w:tcPr>
            <w:tcW w:w="560" w:type="dxa"/>
            <w:vAlign w:val="bottom"/>
          </w:tcPr>
          <w:p>
            <w:pPr>
              <w:spacing w:after="0"/>
              <w:rPr>
                <w:sz w:val="16"/>
                <w:szCs w:val="16"/>
                <w:color w:val="auto"/>
              </w:rPr>
            </w:pPr>
          </w:p>
        </w:tc>
        <w:tc>
          <w:tcPr>
            <w:tcW w:w="124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3,749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Accrued compensation</w:t>
            </w:r>
          </w:p>
        </w:tc>
        <w:tc>
          <w:tcPr>
            <w:tcW w:w="40" w:type="dxa"/>
            <w:vAlign w:val="bottom"/>
            <w:shd w:val="clear" w:color="auto" w:fill="E5E5E5"/>
          </w:tcPr>
          <w:p>
            <w:pPr>
              <w:spacing w:after="0"/>
              <w:rPr>
                <w:sz w:val="16"/>
                <w:szCs w:val="16"/>
                <w:color w:val="auto"/>
              </w:rPr>
            </w:pPr>
          </w:p>
        </w:tc>
        <w:tc>
          <w:tcPr>
            <w:tcW w:w="58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10,057</w:t>
            </w:r>
          </w:p>
        </w:tc>
        <w:tc>
          <w:tcPr>
            <w:tcW w:w="56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7,874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60" w:type="dxa"/>
            <w:vAlign w:val="bottom"/>
          </w:tcPr>
          <w:p>
            <w:pPr>
              <w:ind w:left="200"/>
              <w:spacing w:after="0" w:line="189" w:lineRule="exact"/>
              <w:rPr>
                <w:sz w:val="20"/>
                <w:szCs w:val="20"/>
                <w:color w:val="auto"/>
              </w:rPr>
            </w:pPr>
            <w:r>
              <w:rPr>
                <w:rFonts w:ascii="Arial" w:cs="Arial" w:eastAsia="Arial" w:hAnsi="Arial"/>
                <w:sz w:val="18"/>
                <w:szCs w:val="18"/>
                <w:color w:val="auto"/>
              </w:rPr>
              <w:t>Short-term income taxes</w:t>
            </w: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4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2,174</w:t>
            </w:r>
          </w:p>
        </w:tc>
        <w:tc>
          <w:tcPr>
            <w:tcW w:w="560" w:type="dxa"/>
            <w:vAlign w:val="bottom"/>
          </w:tcPr>
          <w:p>
            <w:pPr>
              <w:spacing w:after="0"/>
              <w:rPr>
                <w:sz w:val="16"/>
                <w:szCs w:val="16"/>
                <w:color w:val="auto"/>
              </w:rPr>
            </w:pPr>
          </w:p>
        </w:tc>
        <w:tc>
          <w:tcPr>
            <w:tcW w:w="124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2,130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Short-term unearned revenue</w:t>
            </w:r>
          </w:p>
        </w:tc>
        <w:tc>
          <w:tcPr>
            <w:tcW w:w="40" w:type="dxa"/>
            <w:vAlign w:val="bottom"/>
            <w:shd w:val="clear" w:color="auto" w:fill="E5E5E5"/>
          </w:tcPr>
          <w:p>
            <w:pPr>
              <w:spacing w:after="0"/>
              <w:rPr>
                <w:sz w:val="16"/>
                <w:szCs w:val="16"/>
                <w:color w:val="auto"/>
              </w:rPr>
            </w:pPr>
          </w:p>
        </w:tc>
        <w:tc>
          <w:tcPr>
            <w:tcW w:w="58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41,525</w:t>
            </w:r>
          </w:p>
        </w:tc>
        <w:tc>
          <w:tcPr>
            <w:tcW w:w="56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36,000</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560" w:type="dxa"/>
            <w:vAlign w:val="bottom"/>
          </w:tcPr>
          <w:p>
            <w:pPr>
              <w:ind w:left="200"/>
              <w:spacing w:after="0"/>
              <w:rPr>
                <w:sz w:val="20"/>
                <w:szCs w:val="20"/>
                <w:color w:val="auto"/>
              </w:rPr>
            </w:pPr>
            <w:r>
              <w:rPr>
                <w:rFonts w:ascii="Arial" w:cs="Arial" w:eastAsia="Arial" w:hAnsi="Arial"/>
                <w:sz w:val="18"/>
                <w:szCs w:val="18"/>
                <w:color w:val="auto"/>
              </w:rPr>
              <w:t>Other current liabilities</w:t>
            </w: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11,666</w:t>
            </w:r>
          </w:p>
        </w:tc>
        <w:tc>
          <w:tcPr>
            <w:tcW w:w="56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10,027</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56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11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60" w:type="dxa"/>
            <w:vAlign w:val="bottom"/>
            <w:shd w:val="clear" w:color="auto" w:fill="E5E5E5"/>
          </w:tcPr>
          <w:p>
            <w:pPr>
              <w:ind w:left="420"/>
              <w:spacing w:after="0" w:line="189" w:lineRule="exact"/>
              <w:rPr>
                <w:sz w:val="20"/>
                <w:szCs w:val="20"/>
                <w:color w:val="auto"/>
              </w:rPr>
            </w:pPr>
            <w:r>
              <w:rPr>
                <w:rFonts w:ascii="Arial" w:cs="Arial" w:eastAsia="Arial" w:hAnsi="Arial"/>
                <w:sz w:val="18"/>
                <w:szCs w:val="18"/>
                <w:color w:val="auto"/>
              </w:rPr>
              <w:t>Total current liabilities</w:t>
            </w:r>
          </w:p>
        </w:tc>
        <w:tc>
          <w:tcPr>
            <w:tcW w:w="40" w:type="dxa"/>
            <w:vAlign w:val="bottom"/>
            <w:shd w:val="clear" w:color="auto" w:fill="E5E5E5"/>
          </w:tcPr>
          <w:p>
            <w:pPr>
              <w:spacing w:after="0"/>
              <w:rPr>
                <w:sz w:val="16"/>
                <w:szCs w:val="16"/>
                <w:color w:val="auto"/>
              </w:rPr>
            </w:pPr>
          </w:p>
        </w:tc>
        <w:tc>
          <w:tcPr>
            <w:tcW w:w="58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88,657</w:t>
            </w:r>
          </w:p>
        </w:tc>
        <w:tc>
          <w:tcPr>
            <w:tcW w:w="56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72,310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60" w:type="dxa"/>
            <w:vAlign w:val="bottom"/>
          </w:tcPr>
          <w:p>
            <w:pPr>
              <w:spacing w:after="0" w:line="189" w:lineRule="exact"/>
              <w:rPr>
                <w:sz w:val="20"/>
                <w:szCs w:val="20"/>
                <w:color w:val="auto"/>
              </w:rPr>
            </w:pPr>
            <w:r>
              <w:rPr>
                <w:rFonts w:ascii="Arial" w:cs="Arial" w:eastAsia="Arial" w:hAnsi="Arial"/>
                <w:sz w:val="18"/>
                <w:szCs w:val="18"/>
                <w:color w:val="auto"/>
              </w:rPr>
              <w:t>Long-term debt</w:t>
            </w: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4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50,074</w:t>
            </w:r>
          </w:p>
        </w:tc>
        <w:tc>
          <w:tcPr>
            <w:tcW w:w="560" w:type="dxa"/>
            <w:vAlign w:val="bottom"/>
          </w:tcPr>
          <w:p>
            <w:pPr>
              <w:spacing w:after="0"/>
              <w:rPr>
                <w:sz w:val="16"/>
                <w:szCs w:val="16"/>
                <w:color w:val="auto"/>
              </w:rPr>
            </w:pPr>
          </w:p>
        </w:tc>
        <w:tc>
          <w:tcPr>
            <w:tcW w:w="124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59,578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Long-term income taxes</w:t>
            </w:r>
          </w:p>
        </w:tc>
        <w:tc>
          <w:tcPr>
            <w:tcW w:w="40" w:type="dxa"/>
            <w:vAlign w:val="bottom"/>
            <w:shd w:val="clear" w:color="auto" w:fill="E5E5E5"/>
          </w:tcPr>
          <w:p>
            <w:pPr>
              <w:spacing w:after="0"/>
              <w:rPr>
                <w:sz w:val="16"/>
                <w:szCs w:val="16"/>
                <w:color w:val="auto"/>
              </w:rPr>
            </w:pPr>
          </w:p>
        </w:tc>
        <w:tc>
          <w:tcPr>
            <w:tcW w:w="58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27,190</w:t>
            </w:r>
          </w:p>
        </w:tc>
        <w:tc>
          <w:tcPr>
            <w:tcW w:w="56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29,432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60" w:type="dxa"/>
            <w:vAlign w:val="bottom"/>
          </w:tcPr>
          <w:p>
            <w:pPr>
              <w:spacing w:after="0" w:line="189" w:lineRule="exact"/>
              <w:rPr>
                <w:sz w:val="20"/>
                <w:szCs w:val="20"/>
                <w:color w:val="auto"/>
              </w:rPr>
            </w:pPr>
            <w:r>
              <w:rPr>
                <w:rFonts w:ascii="Arial" w:cs="Arial" w:eastAsia="Arial" w:hAnsi="Arial"/>
                <w:sz w:val="18"/>
                <w:szCs w:val="18"/>
                <w:color w:val="auto"/>
              </w:rPr>
              <w:t>Long-term unearned revenue</w:t>
            </w: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4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2,616</w:t>
            </w:r>
          </w:p>
        </w:tc>
        <w:tc>
          <w:tcPr>
            <w:tcW w:w="560" w:type="dxa"/>
            <w:vAlign w:val="bottom"/>
          </w:tcPr>
          <w:p>
            <w:pPr>
              <w:spacing w:after="0"/>
              <w:rPr>
                <w:sz w:val="16"/>
                <w:szCs w:val="16"/>
                <w:color w:val="auto"/>
              </w:rPr>
            </w:pPr>
          </w:p>
        </w:tc>
        <w:tc>
          <w:tcPr>
            <w:tcW w:w="124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3,180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Deferred income taxes</w:t>
            </w:r>
          </w:p>
        </w:tc>
        <w:tc>
          <w:tcPr>
            <w:tcW w:w="40" w:type="dxa"/>
            <w:vAlign w:val="bottom"/>
            <w:shd w:val="clear" w:color="auto" w:fill="E5E5E5"/>
          </w:tcPr>
          <w:p>
            <w:pPr>
              <w:spacing w:after="0"/>
              <w:rPr>
                <w:sz w:val="16"/>
                <w:szCs w:val="16"/>
                <w:color w:val="auto"/>
              </w:rPr>
            </w:pPr>
          </w:p>
        </w:tc>
        <w:tc>
          <w:tcPr>
            <w:tcW w:w="58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198</w:t>
            </w:r>
          </w:p>
        </w:tc>
        <w:tc>
          <w:tcPr>
            <w:tcW w:w="56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60" w:type="dxa"/>
            <w:vAlign w:val="bottom"/>
          </w:tcPr>
          <w:p>
            <w:pPr>
              <w:spacing w:after="0" w:line="189" w:lineRule="exact"/>
              <w:rPr>
                <w:sz w:val="20"/>
                <w:szCs w:val="20"/>
                <w:color w:val="auto"/>
              </w:rPr>
            </w:pPr>
            <w:r>
              <w:rPr>
                <w:rFonts w:ascii="Arial" w:cs="Arial" w:eastAsia="Arial" w:hAnsi="Arial"/>
                <w:sz w:val="18"/>
                <w:szCs w:val="18"/>
                <w:color w:val="auto"/>
              </w:rPr>
              <w:t>Operating lease liabilities</w:t>
            </w: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4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9,629</w:t>
            </w:r>
          </w:p>
        </w:tc>
        <w:tc>
          <w:tcPr>
            <w:tcW w:w="560" w:type="dxa"/>
            <w:vAlign w:val="bottom"/>
          </w:tcPr>
          <w:p>
            <w:pPr>
              <w:spacing w:after="0"/>
              <w:rPr>
                <w:sz w:val="16"/>
                <w:szCs w:val="16"/>
                <w:color w:val="auto"/>
              </w:rPr>
            </w:pPr>
          </w:p>
        </w:tc>
        <w:tc>
          <w:tcPr>
            <w:tcW w:w="124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7,671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long-term liabilities</w:t>
            </w:r>
          </w:p>
        </w:tc>
        <w:tc>
          <w:tcPr>
            <w:tcW w:w="40" w:type="dxa"/>
            <w:vAlign w:val="bottom"/>
            <w:shd w:val="clear" w:color="auto" w:fill="E5E5E5"/>
          </w:tcPr>
          <w:p>
            <w:pPr>
              <w:spacing w:after="0"/>
              <w:rPr>
                <w:sz w:val="16"/>
                <w:szCs w:val="16"/>
                <w:color w:val="auto"/>
              </w:rPr>
            </w:pPr>
          </w:p>
        </w:tc>
        <w:tc>
          <w:tcPr>
            <w:tcW w:w="58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13,427</w:t>
            </w:r>
          </w:p>
        </w:tc>
        <w:tc>
          <w:tcPr>
            <w:tcW w:w="56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10,632</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5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560" w:type="dxa"/>
            <w:vAlign w:val="bottom"/>
          </w:tcPr>
          <w:p>
            <w:pPr>
              <w:ind w:left="640"/>
              <w:spacing w:after="0"/>
              <w:rPr>
                <w:sz w:val="20"/>
                <w:szCs w:val="20"/>
                <w:color w:val="auto"/>
              </w:rPr>
            </w:pPr>
            <w:r>
              <w:rPr>
                <w:rFonts w:ascii="Arial" w:cs="Arial" w:eastAsia="Arial" w:hAnsi="Arial"/>
                <w:sz w:val="18"/>
                <w:szCs w:val="18"/>
                <w:color w:val="auto"/>
              </w:rPr>
              <w:t>Total liabilities</w:t>
            </w:r>
          </w:p>
        </w:tc>
        <w:tc>
          <w:tcPr>
            <w:tcW w:w="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191,791</w:t>
            </w:r>
          </w:p>
        </w:tc>
        <w:tc>
          <w:tcPr>
            <w:tcW w:w="560" w:type="dxa"/>
            <w:vAlign w:val="bottom"/>
          </w:tcPr>
          <w:p>
            <w:pPr>
              <w:spacing w:after="0"/>
              <w:rPr>
                <w:sz w:val="22"/>
                <w:szCs w:val="2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183,007</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5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756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7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Commitments and contingencies</w:t>
            </w:r>
          </w:p>
        </w:tc>
        <w:tc>
          <w:tcPr>
            <w:tcW w:w="40" w:type="dxa"/>
            <w:vAlign w:val="bottom"/>
            <w:shd w:val="clear" w:color="auto" w:fill="E5E5E5"/>
          </w:tcPr>
          <w:p>
            <w:pPr>
              <w:spacing w:after="0"/>
              <w:rPr>
                <w:sz w:val="16"/>
                <w:szCs w:val="16"/>
                <w:color w:val="auto"/>
              </w:rPr>
            </w:pPr>
          </w:p>
        </w:tc>
        <w:tc>
          <w:tcPr>
            <w:tcW w:w="580" w:type="dxa"/>
            <w:vAlign w:val="bottom"/>
            <w:shd w:val="clear" w:color="auto" w:fill="E5E5E5"/>
          </w:tcPr>
          <w:p>
            <w:pPr>
              <w:spacing w:after="0"/>
              <w:rPr>
                <w:sz w:val="16"/>
                <w:szCs w:val="16"/>
                <w:color w:val="auto"/>
              </w:rPr>
            </w:pPr>
          </w:p>
        </w:tc>
        <w:tc>
          <w:tcPr>
            <w:tcW w:w="11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11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60" w:type="dxa"/>
            <w:vAlign w:val="bottom"/>
          </w:tcPr>
          <w:p>
            <w:pPr>
              <w:spacing w:after="0" w:line="189" w:lineRule="exact"/>
              <w:rPr>
                <w:sz w:val="20"/>
                <w:szCs w:val="20"/>
                <w:color w:val="auto"/>
              </w:rPr>
            </w:pPr>
            <w:r>
              <w:rPr>
                <w:rFonts w:ascii="Arial" w:cs="Arial" w:eastAsia="Arial" w:hAnsi="Arial"/>
                <w:sz w:val="18"/>
                <w:szCs w:val="18"/>
                <w:color w:val="auto"/>
              </w:rPr>
              <w:t>Stockholders’ equity:</w:t>
            </w: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 xml:space="preserve">Common stock and paid-in capital – shares authorized 24,000; outstanding </w:t>
            </w:r>
            <w:r>
              <w:rPr>
                <w:rFonts w:ascii="Arial" w:cs="Arial" w:eastAsia="Arial" w:hAnsi="Arial"/>
                <w:sz w:val="18"/>
                <w:szCs w:val="18"/>
                <w:b w:val="1"/>
                <w:bCs w:val="1"/>
                <w:color w:val="auto"/>
              </w:rPr>
              <w:t>7,519</w:t>
            </w:r>
            <w:r>
              <w:rPr>
                <w:rFonts w:ascii="Arial" w:cs="Arial" w:eastAsia="Arial" w:hAnsi="Arial"/>
                <w:sz w:val="18"/>
                <w:szCs w:val="18"/>
                <w:color w:val="auto"/>
              </w:rPr>
              <w:t xml:space="preserve"> and 7,571</w:t>
            </w:r>
          </w:p>
        </w:tc>
        <w:tc>
          <w:tcPr>
            <w:tcW w:w="40" w:type="dxa"/>
            <w:vAlign w:val="bottom"/>
            <w:shd w:val="clear" w:color="auto" w:fill="E5E5E5"/>
          </w:tcPr>
          <w:p>
            <w:pPr>
              <w:spacing w:after="0"/>
              <w:rPr>
                <w:sz w:val="16"/>
                <w:szCs w:val="16"/>
                <w:color w:val="auto"/>
              </w:rPr>
            </w:pPr>
          </w:p>
        </w:tc>
        <w:tc>
          <w:tcPr>
            <w:tcW w:w="58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83,111</w:t>
            </w:r>
          </w:p>
        </w:tc>
        <w:tc>
          <w:tcPr>
            <w:tcW w:w="56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80,552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60" w:type="dxa"/>
            <w:vAlign w:val="bottom"/>
          </w:tcPr>
          <w:p>
            <w:pPr>
              <w:ind w:left="200"/>
              <w:spacing w:after="0" w:line="189" w:lineRule="exact"/>
              <w:rPr>
                <w:sz w:val="20"/>
                <w:szCs w:val="20"/>
                <w:color w:val="auto"/>
              </w:rPr>
            </w:pPr>
            <w:r>
              <w:rPr>
                <w:rFonts w:ascii="Arial" w:cs="Arial" w:eastAsia="Arial" w:hAnsi="Arial"/>
                <w:sz w:val="18"/>
                <w:szCs w:val="18"/>
                <w:color w:val="auto"/>
              </w:rPr>
              <w:t>Retained earnings</w:t>
            </w: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4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57,055</w:t>
            </w:r>
          </w:p>
        </w:tc>
        <w:tc>
          <w:tcPr>
            <w:tcW w:w="560" w:type="dxa"/>
            <w:vAlign w:val="bottom"/>
          </w:tcPr>
          <w:p>
            <w:pPr>
              <w:spacing w:after="0"/>
              <w:rPr>
                <w:sz w:val="16"/>
                <w:szCs w:val="16"/>
                <w:color w:val="auto"/>
              </w:rPr>
            </w:pPr>
          </w:p>
        </w:tc>
        <w:tc>
          <w:tcPr>
            <w:tcW w:w="124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34,566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Accumulated other comprehensive income</w:t>
            </w:r>
          </w:p>
        </w:tc>
        <w:tc>
          <w:tcPr>
            <w:tcW w:w="40" w:type="dxa"/>
            <w:vAlign w:val="bottom"/>
            <w:shd w:val="clear" w:color="auto" w:fill="E5E5E5"/>
          </w:tcPr>
          <w:p>
            <w:pPr>
              <w:spacing w:after="0"/>
              <w:rPr>
                <w:sz w:val="16"/>
                <w:szCs w:val="16"/>
                <w:color w:val="auto"/>
              </w:rPr>
            </w:pPr>
          </w:p>
        </w:tc>
        <w:tc>
          <w:tcPr>
            <w:tcW w:w="58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1,822</w:t>
            </w:r>
          </w:p>
        </w:tc>
        <w:tc>
          <w:tcPr>
            <w:tcW w:w="56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3,186</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5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560" w:type="dxa"/>
            <w:vAlign w:val="bottom"/>
          </w:tcPr>
          <w:p>
            <w:pPr>
              <w:ind w:left="640"/>
              <w:spacing w:after="0"/>
              <w:rPr>
                <w:sz w:val="20"/>
                <w:szCs w:val="20"/>
                <w:color w:val="auto"/>
              </w:rPr>
            </w:pPr>
            <w:r>
              <w:rPr>
                <w:rFonts w:ascii="Arial" w:cs="Arial" w:eastAsia="Arial" w:hAnsi="Arial"/>
                <w:sz w:val="18"/>
                <w:szCs w:val="18"/>
                <w:color w:val="auto"/>
              </w:rPr>
              <w:t>Total stockholders’ equity</w:t>
            </w:r>
          </w:p>
        </w:tc>
        <w:tc>
          <w:tcPr>
            <w:tcW w:w="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141,988</w:t>
            </w:r>
          </w:p>
        </w:tc>
        <w:tc>
          <w:tcPr>
            <w:tcW w:w="560" w:type="dxa"/>
            <w:vAlign w:val="bottom"/>
          </w:tcPr>
          <w:p>
            <w:pPr>
              <w:spacing w:after="0"/>
              <w:rPr>
                <w:sz w:val="22"/>
                <w:szCs w:val="2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118,304</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5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56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60" w:type="dxa"/>
            <w:vAlign w:val="bottom"/>
            <w:shd w:val="clear" w:color="auto" w:fill="E5E5E5"/>
          </w:tcPr>
          <w:p>
            <w:pPr>
              <w:ind w:left="840"/>
              <w:spacing w:after="0" w:line="189" w:lineRule="exact"/>
              <w:rPr>
                <w:sz w:val="20"/>
                <w:szCs w:val="20"/>
                <w:color w:val="auto"/>
              </w:rPr>
            </w:pPr>
            <w:r>
              <w:rPr>
                <w:rFonts w:ascii="Arial" w:cs="Arial" w:eastAsia="Arial" w:hAnsi="Arial"/>
                <w:sz w:val="18"/>
                <w:szCs w:val="18"/>
                <w:color w:val="auto"/>
              </w:rPr>
              <w:t>Total liabilities and stockholders’ equity</w:t>
            </w:r>
          </w:p>
        </w:tc>
        <w:tc>
          <w:tcPr>
            <w:tcW w:w="620" w:type="dxa"/>
            <w:vAlign w:val="bottom"/>
            <w:gridSpan w:val="2"/>
            <w:shd w:val="clear" w:color="auto" w:fill="E5E5E5"/>
          </w:tcPr>
          <w:p>
            <w:pPr>
              <w:jc w:val="right"/>
              <w:ind w:right="480"/>
              <w:spacing w:after="0" w:line="189" w:lineRule="exact"/>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333,779</w:t>
            </w:r>
          </w:p>
        </w:tc>
        <w:tc>
          <w:tcPr>
            <w:tcW w:w="560" w:type="dxa"/>
            <w:vAlign w:val="bottom"/>
            <w:shd w:val="clear" w:color="auto" w:fill="E5E5E5"/>
          </w:tcPr>
          <w:p>
            <w:pPr>
              <w:jc w:val="right"/>
              <w:ind w:right="370"/>
              <w:spacing w:after="0" w:line="189"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301,311</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56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59" w:name="page60"/>
    <w:bookmarkEnd w:id="59"/>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CASH FLOWS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4121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520" w:type="dxa"/>
            <w:vAlign w:val="bottom"/>
            <w:gridSpan w:val="2"/>
          </w:tcPr>
          <w:p>
            <w:pPr>
              <w:spacing w:after="0"/>
              <w:rPr>
                <w:sz w:val="20"/>
                <w:szCs w:val="20"/>
                <w:color w:val="auto"/>
              </w:rPr>
            </w:pPr>
            <w:r>
              <w:rPr>
                <w:rFonts w:ascii="Arial" w:cs="Arial" w:eastAsia="Arial" w:hAnsi="Arial"/>
                <w:sz w:val="13"/>
                <w:szCs w:val="13"/>
                <w:b w:val="1"/>
                <w:bCs w:val="1"/>
                <w:color w:val="auto"/>
              </w:rPr>
              <w:t>Year Ended June 30,</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2020</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7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750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Operations</w:t>
            </w:r>
          </w:p>
        </w:tc>
        <w:tc>
          <w:tcPr>
            <w:tcW w:w="16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00" w:type="dxa"/>
            <w:vAlign w:val="bottom"/>
          </w:tcPr>
          <w:p>
            <w:pPr>
              <w:spacing w:after="0" w:line="189" w:lineRule="exact"/>
              <w:rPr>
                <w:sz w:val="20"/>
                <w:szCs w:val="20"/>
                <w:color w:val="auto"/>
              </w:rPr>
            </w:pPr>
            <w:r>
              <w:rPr>
                <w:rFonts w:ascii="Arial" w:cs="Arial" w:eastAsia="Arial" w:hAnsi="Arial"/>
                <w:sz w:val="18"/>
                <w:szCs w:val="18"/>
                <w:color w:val="auto"/>
              </w:rPr>
              <w:t>Net income</w:t>
            </w:r>
          </w:p>
        </w:tc>
        <w:tc>
          <w:tcPr>
            <w:tcW w:w="42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61,271</w:t>
            </w:r>
          </w:p>
        </w:tc>
        <w:tc>
          <w:tcPr>
            <w:tcW w:w="34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44,281</w:t>
            </w:r>
          </w:p>
        </w:tc>
        <w:tc>
          <w:tcPr>
            <w:tcW w:w="240" w:type="dxa"/>
            <w:vAlign w:val="bottom"/>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39,240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Adjustments to reconcile net income to net cash from operations:</w:t>
            </w:r>
          </w:p>
        </w:tc>
        <w:tc>
          <w:tcPr>
            <w:tcW w:w="16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00" w:type="dxa"/>
            <w:vAlign w:val="bottom"/>
          </w:tcPr>
          <w:p>
            <w:pPr>
              <w:ind w:left="200"/>
              <w:spacing w:after="0" w:line="189" w:lineRule="exact"/>
              <w:rPr>
                <w:sz w:val="20"/>
                <w:szCs w:val="20"/>
                <w:color w:val="auto"/>
              </w:rPr>
            </w:pPr>
            <w:r>
              <w:rPr>
                <w:rFonts w:ascii="Arial" w:cs="Arial" w:eastAsia="Arial" w:hAnsi="Arial"/>
                <w:sz w:val="18"/>
                <w:szCs w:val="18"/>
                <w:color w:val="auto"/>
              </w:rPr>
              <w:t>Depreciation, amortization, and other</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11,686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12,796</w:t>
            </w:r>
          </w:p>
        </w:tc>
        <w:tc>
          <w:tcPr>
            <w:tcW w:w="240" w:type="dxa"/>
            <w:vAlign w:val="bottom"/>
          </w:tcPr>
          <w:p>
            <w:pPr>
              <w:spacing w:after="0"/>
              <w:rPr>
                <w:sz w:val="16"/>
                <w:szCs w:val="16"/>
                <w:color w:val="auto"/>
              </w:rPr>
            </w:pPr>
          </w:p>
        </w:tc>
        <w:tc>
          <w:tcPr>
            <w:tcW w:w="76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11,682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0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Stock-based compensation expense</w:t>
            </w:r>
          </w:p>
        </w:tc>
        <w:tc>
          <w:tcPr>
            <w:tcW w:w="16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6,118</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5,289</w:t>
            </w:r>
          </w:p>
        </w:tc>
        <w:tc>
          <w:tcPr>
            <w:tcW w:w="240" w:type="dxa"/>
            <w:vAlign w:val="bottom"/>
            <w:shd w:val="clear" w:color="auto" w:fill="E5E5E5"/>
          </w:tcPr>
          <w:p>
            <w:pPr>
              <w:spacing w:after="0"/>
              <w:rPr>
                <w:sz w:val="16"/>
                <w:szCs w:val="16"/>
                <w:color w:val="auto"/>
              </w:rPr>
            </w:pPr>
          </w:p>
        </w:tc>
        <w:tc>
          <w:tcPr>
            <w:tcW w:w="7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4,652</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00" w:type="dxa"/>
            <w:vAlign w:val="bottom"/>
          </w:tcPr>
          <w:p>
            <w:pPr>
              <w:ind w:left="200"/>
              <w:spacing w:after="0" w:line="189" w:lineRule="exact"/>
              <w:rPr>
                <w:sz w:val="20"/>
                <w:szCs w:val="20"/>
                <w:color w:val="auto"/>
              </w:rPr>
            </w:pPr>
            <w:r>
              <w:rPr>
                <w:rFonts w:ascii="Arial" w:cs="Arial" w:eastAsia="Arial" w:hAnsi="Arial"/>
                <w:sz w:val="18"/>
                <w:szCs w:val="18"/>
                <w:color w:val="auto"/>
              </w:rPr>
              <w:t>Net recognized gains on investments and derivatives</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(1,249)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(219)</w:t>
            </w:r>
          </w:p>
        </w:tc>
        <w:tc>
          <w:tcPr>
            <w:tcW w:w="240" w:type="dxa"/>
            <w:vAlign w:val="bottom"/>
          </w:tcPr>
          <w:p>
            <w:pPr>
              <w:spacing w:after="0"/>
              <w:rPr>
                <w:sz w:val="16"/>
                <w:szCs w:val="16"/>
                <w:color w:val="auto"/>
              </w:rPr>
            </w:pPr>
          </w:p>
        </w:tc>
        <w:tc>
          <w:tcPr>
            <w:tcW w:w="860" w:type="dxa"/>
            <w:vAlign w:val="bottom"/>
            <w:gridSpan w:val="3"/>
          </w:tcPr>
          <w:p>
            <w:pPr>
              <w:jc w:val="right"/>
              <w:ind w:right="60"/>
              <w:spacing w:after="0" w:line="189" w:lineRule="exact"/>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0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(150)</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11</w:t>
            </w:r>
          </w:p>
        </w:tc>
        <w:tc>
          <w:tcPr>
            <w:tcW w:w="240" w:type="dxa"/>
            <w:vAlign w:val="bottom"/>
            <w:shd w:val="clear" w:color="auto" w:fill="E5E5E5"/>
          </w:tcPr>
          <w:p>
            <w:pPr>
              <w:spacing w:after="0"/>
              <w:rPr>
                <w:sz w:val="16"/>
                <w:szCs w:val="16"/>
                <w:color w:val="auto"/>
              </w:rPr>
            </w:pPr>
          </w:p>
        </w:tc>
        <w:tc>
          <w:tcPr>
            <w:tcW w:w="860" w:type="dxa"/>
            <w:vAlign w:val="bottom"/>
            <w:gridSpan w:val="3"/>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(6,463)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00" w:type="dxa"/>
            <w:vAlign w:val="bottom"/>
          </w:tcPr>
          <w:p>
            <w:pPr>
              <w:ind w:left="200"/>
              <w:spacing w:after="0" w:line="189" w:lineRule="exact"/>
              <w:rPr>
                <w:sz w:val="20"/>
                <w:szCs w:val="20"/>
                <w:color w:val="auto"/>
              </w:rPr>
            </w:pPr>
            <w:r>
              <w:rPr>
                <w:rFonts w:ascii="Arial" w:cs="Arial" w:eastAsia="Arial" w:hAnsi="Arial"/>
                <w:sz w:val="18"/>
                <w:szCs w:val="18"/>
                <w:color w:val="auto"/>
              </w:rPr>
              <w:t>Changes in operating assets and liabilities:</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00" w:type="dxa"/>
            <w:vAlign w:val="bottom"/>
            <w:shd w:val="clear" w:color="auto" w:fill="E5E5E5"/>
          </w:tcPr>
          <w:p>
            <w:pPr>
              <w:ind w:left="420"/>
              <w:spacing w:after="0" w:line="189" w:lineRule="exact"/>
              <w:rPr>
                <w:sz w:val="20"/>
                <w:szCs w:val="20"/>
                <w:color w:val="auto"/>
              </w:rPr>
            </w:pPr>
            <w:r>
              <w:rPr>
                <w:rFonts w:ascii="Arial" w:cs="Arial" w:eastAsia="Arial" w:hAnsi="Arial"/>
                <w:sz w:val="18"/>
                <w:szCs w:val="18"/>
                <w:color w:val="auto"/>
              </w:rPr>
              <w:t>Accounts receivable</w:t>
            </w:r>
          </w:p>
        </w:tc>
        <w:tc>
          <w:tcPr>
            <w:tcW w:w="16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(6,481)</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(2,577)</w:t>
            </w:r>
          </w:p>
        </w:tc>
        <w:tc>
          <w:tcPr>
            <w:tcW w:w="240" w:type="dxa"/>
            <w:vAlign w:val="bottom"/>
            <w:shd w:val="clear" w:color="auto" w:fill="E5E5E5"/>
          </w:tcPr>
          <w:p>
            <w:pPr>
              <w:spacing w:after="0"/>
              <w:rPr>
                <w:sz w:val="16"/>
                <w:szCs w:val="16"/>
                <w:color w:val="auto"/>
              </w:rPr>
            </w:pPr>
          </w:p>
        </w:tc>
        <w:tc>
          <w:tcPr>
            <w:tcW w:w="860" w:type="dxa"/>
            <w:vAlign w:val="bottom"/>
            <w:gridSpan w:val="3"/>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(2,812)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00" w:type="dxa"/>
            <w:vAlign w:val="bottom"/>
          </w:tcPr>
          <w:p>
            <w:pPr>
              <w:ind w:left="420"/>
              <w:spacing w:after="0" w:line="189" w:lineRule="exact"/>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(737)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168</w:t>
            </w:r>
          </w:p>
        </w:tc>
        <w:tc>
          <w:tcPr>
            <w:tcW w:w="24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597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00" w:type="dxa"/>
            <w:vAlign w:val="bottom"/>
            <w:shd w:val="clear" w:color="auto" w:fill="E5E5E5"/>
          </w:tcPr>
          <w:p>
            <w:pPr>
              <w:ind w:left="420"/>
              <w:spacing w:after="0" w:line="189" w:lineRule="exact"/>
              <w:rPr>
                <w:sz w:val="20"/>
                <w:szCs w:val="20"/>
                <w:color w:val="auto"/>
              </w:rPr>
            </w:pPr>
            <w:r>
              <w:rPr>
                <w:rFonts w:ascii="Arial" w:cs="Arial" w:eastAsia="Arial" w:hAnsi="Arial"/>
                <w:sz w:val="18"/>
                <w:szCs w:val="18"/>
                <w:color w:val="auto"/>
              </w:rPr>
              <w:t>Other current assets</w:t>
            </w:r>
          </w:p>
        </w:tc>
        <w:tc>
          <w:tcPr>
            <w:tcW w:w="16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(932)</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(2,330)</w:t>
            </w:r>
          </w:p>
        </w:tc>
        <w:tc>
          <w:tcPr>
            <w:tcW w:w="240" w:type="dxa"/>
            <w:vAlign w:val="bottom"/>
            <w:shd w:val="clear" w:color="auto" w:fill="E5E5E5"/>
          </w:tcPr>
          <w:p>
            <w:pPr>
              <w:spacing w:after="0"/>
              <w:rPr>
                <w:sz w:val="16"/>
                <w:szCs w:val="16"/>
                <w:color w:val="auto"/>
              </w:rPr>
            </w:pPr>
          </w:p>
        </w:tc>
        <w:tc>
          <w:tcPr>
            <w:tcW w:w="860" w:type="dxa"/>
            <w:vAlign w:val="bottom"/>
            <w:gridSpan w:val="3"/>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00" w:type="dxa"/>
            <w:vAlign w:val="bottom"/>
          </w:tcPr>
          <w:p>
            <w:pPr>
              <w:ind w:left="420"/>
              <w:spacing w:after="0" w:line="189" w:lineRule="exact"/>
              <w:rPr>
                <w:sz w:val="20"/>
                <w:szCs w:val="20"/>
                <w:color w:val="auto"/>
              </w:rPr>
            </w:pPr>
            <w:r>
              <w:rPr>
                <w:rFonts w:ascii="Arial" w:cs="Arial" w:eastAsia="Arial" w:hAnsi="Arial"/>
                <w:sz w:val="18"/>
                <w:szCs w:val="18"/>
                <w:color w:val="auto"/>
              </w:rPr>
              <w:t>Other long-term assets</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(3,459)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(1,037)</w:t>
            </w:r>
          </w:p>
        </w:tc>
        <w:tc>
          <w:tcPr>
            <w:tcW w:w="240" w:type="dxa"/>
            <w:vAlign w:val="bottom"/>
          </w:tcPr>
          <w:p>
            <w:pPr>
              <w:spacing w:after="0"/>
              <w:rPr>
                <w:sz w:val="16"/>
                <w:szCs w:val="16"/>
                <w:color w:val="auto"/>
              </w:rPr>
            </w:pPr>
          </w:p>
        </w:tc>
        <w:tc>
          <w:tcPr>
            <w:tcW w:w="860" w:type="dxa"/>
            <w:vAlign w:val="bottom"/>
            <w:gridSpan w:val="3"/>
          </w:tcPr>
          <w:p>
            <w:pPr>
              <w:jc w:val="right"/>
              <w:ind w:right="60"/>
              <w:spacing w:after="0" w:line="189" w:lineRule="exact"/>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00" w:type="dxa"/>
            <w:vAlign w:val="bottom"/>
            <w:shd w:val="clear" w:color="auto" w:fill="E5E5E5"/>
          </w:tcPr>
          <w:p>
            <w:pPr>
              <w:ind w:left="420"/>
              <w:spacing w:after="0" w:line="189" w:lineRule="exact"/>
              <w:rPr>
                <w:sz w:val="20"/>
                <w:szCs w:val="20"/>
                <w:color w:val="auto"/>
              </w:rPr>
            </w:pPr>
            <w:r>
              <w:rPr>
                <w:rFonts w:ascii="Arial" w:cs="Arial" w:eastAsia="Arial" w:hAnsi="Arial"/>
                <w:sz w:val="18"/>
                <w:szCs w:val="18"/>
                <w:color w:val="auto"/>
              </w:rPr>
              <w:t>Accounts payable</w:t>
            </w:r>
          </w:p>
        </w:tc>
        <w:tc>
          <w:tcPr>
            <w:tcW w:w="16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2,798</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3,018</w:t>
            </w:r>
          </w:p>
        </w:tc>
        <w:tc>
          <w:tcPr>
            <w:tcW w:w="240" w:type="dxa"/>
            <w:vAlign w:val="bottom"/>
            <w:shd w:val="clear" w:color="auto" w:fill="E5E5E5"/>
          </w:tcPr>
          <w:p>
            <w:pPr>
              <w:spacing w:after="0"/>
              <w:rPr>
                <w:sz w:val="16"/>
                <w:szCs w:val="16"/>
                <w:color w:val="auto"/>
              </w:rPr>
            </w:pPr>
          </w:p>
        </w:tc>
        <w:tc>
          <w:tcPr>
            <w:tcW w:w="7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232</w:t>
            </w:r>
          </w:p>
        </w:tc>
        <w:tc>
          <w:tcPr>
            <w:tcW w:w="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00" w:type="dxa"/>
            <w:vAlign w:val="bottom"/>
          </w:tcPr>
          <w:p>
            <w:pPr>
              <w:ind w:left="420"/>
              <w:spacing w:after="0" w:line="189" w:lineRule="exact"/>
              <w:rPr>
                <w:sz w:val="20"/>
                <w:szCs w:val="20"/>
                <w:color w:val="auto"/>
              </w:rPr>
            </w:pPr>
            <w:r>
              <w:rPr>
                <w:rFonts w:ascii="Arial" w:cs="Arial" w:eastAsia="Arial" w:hAnsi="Arial"/>
                <w:sz w:val="18"/>
                <w:szCs w:val="18"/>
                <w:color w:val="auto"/>
              </w:rPr>
              <w:t>Unearned revenue</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4,633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2,212</w:t>
            </w:r>
          </w:p>
        </w:tc>
        <w:tc>
          <w:tcPr>
            <w:tcW w:w="240" w:type="dxa"/>
            <w:vAlign w:val="bottom"/>
          </w:tcPr>
          <w:p>
            <w:pPr>
              <w:spacing w:after="0"/>
              <w:rPr>
                <w:sz w:val="16"/>
                <w:szCs w:val="16"/>
                <w:color w:val="auto"/>
              </w:rPr>
            </w:pPr>
          </w:p>
        </w:tc>
        <w:tc>
          <w:tcPr>
            <w:tcW w:w="76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4,462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00" w:type="dxa"/>
            <w:vAlign w:val="bottom"/>
            <w:shd w:val="clear" w:color="auto" w:fill="E5E5E5"/>
          </w:tcPr>
          <w:p>
            <w:pPr>
              <w:ind w:left="420"/>
              <w:spacing w:after="0" w:line="189" w:lineRule="exact"/>
              <w:rPr>
                <w:sz w:val="20"/>
                <w:szCs w:val="20"/>
                <w:color w:val="auto"/>
              </w:rPr>
            </w:pPr>
            <w:r>
              <w:rPr>
                <w:rFonts w:ascii="Arial" w:cs="Arial" w:eastAsia="Arial" w:hAnsi="Arial"/>
                <w:sz w:val="18"/>
                <w:szCs w:val="18"/>
                <w:color w:val="auto"/>
              </w:rPr>
              <w:t>Income taxes</w:t>
            </w:r>
          </w:p>
        </w:tc>
        <w:tc>
          <w:tcPr>
            <w:tcW w:w="16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(2,309)</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(3,631)</w:t>
            </w:r>
          </w:p>
        </w:tc>
        <w:tc>
          <w:tcPr>
            <w:tcW w:w="240" w:type="dxa"/>
            <w:vAlign w:val="bottom"/>
            <w:shd w:val="clear" w:color="auto" w:fill="E5E5E5"/>
          </w:tcPr>
          <w:p>
            <w:pPr>
              <w:spacing w:after="0"/>
              <w:rPr>
                <w:sz w:val="16"/>
                <w:szCs w:val="16"/>
                <w:color w:val="auto"/>
              </w:rPr>
            </w:pPr>
          </w:p>
        </w:tc>
        <w:tc>
          <w:tcPr>
            <w:tcW w:w="7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2,929</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00" w:type="dxa"/>
            <w:vAlign w:val="bottom"/>
          </w:tcPr>
          <w:p>
            <w:pPr>
              <w:ind w:left="420"/>
              <w:spacing w:after="0" w:line="189" w:lineRule="exact"/>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4,149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1,346</w:t>
            </w:r>
          </w:p>
        </w:tc>
        <w:tc>
          <w:tcPr>
            <w:tcW w:w="240" w:type="dxa"/>
            <w:vAlign w:val="bottom"/>
          </w:tcPr>
          <w:p>
            <w:pPr>
              <w:spacing w:after="0"/>
              <w:rPr>
                <w:sz w:val="16"/>
                <w:szCs w:val="16"/>
                <w:color w:val="auto"/>
              </w:rPr>
            </w:pPr>
          </w:p>
        </w:tc>
        <w:tc>
          <w:tcPr>
            <w:tcW w:w="76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1,419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00" w:type="dxa"/>
            <w:vAlign w:val="bottom"/>
            <w:shd w:val="clear" w:color="auto" w:fill="E5E5E5"/>
          </w:tcPr>
          <w:p>
            <w:pPr>
              <w:ind w:left="420"/>
              <w:spacing w:after="0" w:line="189" w:lineRule="exact"/>
              <w:rPr>
                <w:sz w:val="20"/>
                <w:szCs w:val="20"/>
                <w:color w:val="auto"/>
              </w:rPr>
            </w:pPr>
            <w:r>
              <w:rPr>
                <w:rFonts w:ascii="Arial" w:cs="Arial" w:eastAsia="Arial" w:hAnsi="Arial"/>
                <w:sz w:val="18"/>
                <w:szCs w:val="18"/>
                <w:color w:val="auto"/>
              </w:rPr>
              <w:t>Other long-term liabilities</w:t>
            </w:r>
          </w:p>
        </w:tc>
        <w:tc>
          <w:tcPr>
            <w:tcW w:w="16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1,402</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1,348</w:t>
            </w:r>
          </w:p>
        </w:tc>
        <w:tc>
          <w:tcPr>
            <w:tcW w:w="240" w:type="dxa"/>
            <w:vAlign w:val="bottom"/>
            <w:shd w:val="clear" w:color="auto" w:fill="E5E5E5"/>
          </w:tcPr>
          <w:p>
            <w:pPr>
              <w:spacing w:after="0"/>
              <w:rPr>
                <w:sz w:val="16"/>
                <w:szCs w:val="16"/>
                <w:color w:val="auto"/>
              </w:rPr>
            </w:pPr>
          </w:p>
        </w:tc>
        <w:tc>
          <w:tcPr>
            <w:tcW w:w="7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591</w:t>
            </w:r>
          </w:p>
        </w:tc>
        <w:tc>
          <w:tcPr>
            <w:tcW w:w="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5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500" w:type="dxa"/>
            <w:vAlign w:val="bottom"/>
          </w:tcPr>
          <w:p>
            <w:pPr>
              <w:ind w:left="640"/>
              <w:spacing w:after="0"/>
              <w:rPr>
                <w:sz w:val="20"/>
                <w:szCs w:val="20"/>
                <w:color w:val="auto"/>
              </w:rPr>
            </w:pPr>
            <w:r>
              <w:rPr>
                <w:rFonts w:ascii="Arial" w:cs="Arial" w:eastAsia="Arial" w:hAnsi="Arial"/>
                <w:sz w:val="18"/>
                <w:szCs w:val="18"/>
                <w:color w:val="auto"/>
              </w:rPr>
              <w:t>Net cash from operations</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76,740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60,675</w:t>
            </w:r>
          </w:p>
        </w:tc>
        <w:tc>
          <w:tcPr>
            <w:tcW w:w="240" w:type="dxa"/>
            <w:vAlign w:val="bottom"/>
          </w:tcPr>
          <w:p>
            <w:pPr>
              <w:spacing w:after="0"/>
              <w:rPr>
                <w:sz w:val="22"/>
                <w:szCs w:val="22"/>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52,185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5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7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750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Financing</w:t>
            </w:r>
          </w:p>
        </w:tc>
        <w:tc>
          <w:tcPr>
            <w:tcW w:w="16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00" w:type="dxa"/>
            <w:vAlign w:val="bottom"/>
          </w:tcPr>
          <w:p>
            <w:pPr>
              <w:spacing w:after="0" w:line="189" w:lineRule="exact"/>
              <w:rPr>
                <w:sz w:val="20"/>
                <w:szCs w:val="20"/>
                <w:color w:val="auto"/>
              </w:rPr>
            </w:pPr>
            <w:r>
              <w:rPr>
                <w:rFonts w:ascii="Arial" w:cs="Arial" w:eastAsia="Arial" w:hAnsi="Arial"/>
                <w:sz w:val="18"/>
                <w:szCs w:val="18"/>
                <w:color w:val="auto"/>
              </w:rPr>
              <w:t>Cash premium on debt exchange</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(1,754)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(3,417)</w:t>
            </w:r>
          </w:p>
        </w:tc>
        <w:tc>
          <w:tcPr>
            <w:tcW w:w="24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Repayments of debt</w:t>
            </w:r>
          </w:p>
        </w:tc>
        <w:tc>
          <w:tcPr>
            <w:tcW w:w="16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(3,750)</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(5,518)</w:t>
            </w:r>
          </w:p>
        </w:tc>
        <w:tc>
          <w:tcPr>
            <w:tcW w:w="240" w:type="dxa"/>
            <w:vAlign w:val="bottom"/>
            <w:shd w:val="clear" w:color="auto" w:fill="E5E5E5"/>
          </w:tcPr>
          <w:p>
            <w:pPr>
              <w:spacing w:after="0"/>
              <w:rPr>
                <w:sz w:val="16"/>
                <w:szCs w:val="16"/>
                <w:color w:val="auto"/>
              </w:rPr>
            </w:pPr>
          </w:p>
        </w:tc>
        <w:tc>
          <w:tcPr>
            <w:tcW w:w="860" w:type="dxa"/>
            <w:vAlign w:val="bottom"/>
            <w:gridSpan w:val="3"/>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00" w:type="dxa"/>
            <w:vAlign w:val="bottom"/>
          </w:tcPr>
          <w:p>
            <w:pPr>
              <w:spacing w:after="0" w:line="189" w:lineRule="exact"/>
              <w:rPr>
                <w:sz w:val="20"/>
                <w:szCs w:val="20"/>
                <w:color w:val="auto"/>
              </w:rPr>
            </w:pPr>
            <w:r>
              <w:rPr>
                <w:rFonts w:ascii="Arial" w:cs="Arial" w:eastAsia="Arial" w:hAnsi="Arial"/>
                <w:sz w:val="18"/>
                <w:szCs w:val="18"/>
                <w:color w:val="auto"/>
              </w:rPr>
              <w:t>Common stock issued</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1,693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1,343</w:t>
            </w:r>
          </w:p>
        </w:tc>
        <w:tc>
          <w:tcPr>
            <w:tcW w:w="240" w:type="dxa"/>
            <w:vAlign w:val="bottom"/>
          </w:tcPr>
          <w:p>
            <w:pPr>
              <w:spacing w:after="0"/>
              <w:rPr>
                <w:sz w:val="16"/>
                <w:szCs w:val="16"/>
                <w:color w:val="auto"/>
              </w:rPr>
            </w:pPr>
          </w:p>
        </w:tc>
        <w:tc>
          <w:tcPr>
            <w:tcW w:w="76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1,142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Common stock repurchased</w:t>
            </w:r>
          </w:p>
        </w:tc>
        <w:tc>
          <w:tcPr>
            <w:tcW w:w="16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(27,385)</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(22,968)</w:t>
            </w:r>
          </w:p>
        </w:tc>
        <w:tc>
          <w:tcPr>
            <w:tcW w:w="240" w:type="dxa"/>
            <w:vAlign w:val="bottom"/>
            <w:shd w:val="clear" w:color="auto" w:fill="E5E5E5"/>
          </w:tcPr>
          <w:p>
            <w:pPr>
              <w:spacing w:after="0"/>
              <w:rPr>
                <w:sz w:val="16"/>
                <w:szCs w:val="16"/>
                <w:color w:val="auto"/>
              </w:rPr>
            </w:pPr>
          </w:p>
        </w:tc>
        <w:tc>
          <w:tcPr>
            <w:tcW w:w="860" w:type="dxa"/>
            <w:vAlign w:val="bottom"/>
            <w:gridSpan w:val="3"/>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(19,543)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00" w:type="dxa"/>
            <w:vAlign w:val="bottom"/>
          </w:tcPr>
          <w:p>
            <w:pPr>
              <w:spacing w:after="0" w:line="189" w:lineRule="exact"/>
              <w:rPr>
                <w:sz w:val="20"/>
                <w:szCs w:val="20"/>
                <w:color w:val="auto"/>
              </w:rPr>
            </w:pPr>
            <w:r>
              <w:rPr>
                <w:rFonts w:ascii="Arial" w:cs="Arial" w:eastAsia="Arial" w:hAnsi="Arial"/>
                <w:sz w:val="18"/>
                <w:szCs w:val="18"/>
                <w:color w:val="auto"/>
              </w:rPr>
              <w:t>Common stock cash dividends paid</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(16,521)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(15,137)</w:t>
            </w:r>
          </w:p>
        </w:tc>
        <w:tc>
          <w:tcPr>
            <w:tcW w:w="240" w:type="dxa"/>
            <w:vAlign w:val="bottom"/>
          </w:tcPr>
          <w:p>
            <w:pPr>
              <w:spacing w:after="0"/>
              <w:rPr>
                <w:sz w:val="16"/>
                <w:szCs w:val="16"/>
                <w:color w:val="auto"/>
              </w:rPr>
            </w:pPr>
          </w:p>
        </w:tc>
        <w:tc>
          <w:tcPr>
            <w:tcW w:w="860" w:type="dxa"/>
            <w:vAlign w:val="bottom"/>
            <w:gridSpan w:val="3"/>
          </w:tcPr>
          <w:p>
            <w:pPr>
              <w:jc w:val="right"/>
              <w:ind w:right="60"/>
              <w:spacing w:after="0" w:line="189" w:lineRule="exact"/>
              <w:rPr>
                <w:sz w:val="20"/>
                <w:szCs w:val="20"/>
                <w:color w:val="auto"/>
              </w:rPr>
            </w:pPr>
            <w:r>
              <w:rPr>
                <w:rFonts w:ascii="Arial" w:cs="Arial" w:eastAsia="Arial" w:hAnsi="Arial"/>
                <w:sz w:val="18"/>
                <w:szCs w:val="18"/>
                <w:color w:val="auto"/>
              </w:rPr>
              <w:t>(13,811)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net</w:t>
            </w:r>
          </w:p>
        </w:tc>
        <w:tc>
          <w:tcPr>
            <w:tcW w:w="16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(769)</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(334)</w:t>
            </w:r>
          </w:p>
        </w:tc>
        <w:tc>
          <w:tcPr>
            <w:tcW w:w="240" w:type="dxa"/>
            <w:vAlign w:val="bottom"/>
            <w:shd w:val="clear" w:color="auto" w:fill="E5E5E5"/>
          </w:tcPr>
          <w:p>
            <w:pPr>
              <w:spacing w:after="0"/>
              <w:rPr>
                <w:sz w:val="16"/>
                <w:szCs w:val="16"/>
                <w:color w:val="auto"/>
              </w:rPr>
            </w:pPr>
          </w:p>
        </w:tc>
        <w:tc>
          <w:tcPr>
            <w:tcW w:w="860" w:type="dxa"/>
            <w:vAlign w:val="bottom"/>
            <w:gridSpan w:val="3"/>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5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500" w:type="dxa"/>
            <w:vAlign w:val="bottom"/>
          </w:tcPr>
          <w:p>
            <w:pPr>
              <w:ind w:left="640"/>
              <w:spacing w:after="0"/>
              <w:rPr>
                <w:sz w:val="20"/>
                <w:szCs w:val="20"/>
                <w:color w:val="auto"/>
              </w:rPr>
            </w:pPr>
            <w:r>
              <w:rPr>
                <w:rFonts w:ascii="Arial" w:cs="Arial" w:eastAsia="Arial" w:hAnsi="Arial"/>
                <w:sz w:val="18"/>
                <w:szCs w:val="18"/>
                <w:color w:val="auto"/>
              </w:rPr>
              <w:t>Net cash used in financing</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(48,486)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(46,031)</w:t>
            </w:r>
          </w:p>
        </w:tc>
        <w:tc>
          <w:tcPr>
            <w:tcW w:w="240" w:type="dxa"/>
            <w:vAlign w:val="bottom"/>
          </w:tcPr>
          <w:p>
            <w:pPr>
              <w:spacing w:after="0"/>
              <w:rPr>
                <w:sz w:val="22"/>
                <w:szCs w:val="22"/>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(36,887)</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5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7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750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Investing</w:t>
            </w:r>
          </w:p>
        </w:tc>
        <w:tc>
          <w:tcPr>
            <w:tcW w:w="16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00" w:type="dxa"/>
            <w:vAlign w:val="bottom"/>
          </w:tcPr>
          <w:p>
            <w:pPr>
              <w:spacing w:after="0" w:line="189" w:lineRule="exact"/>
              <w:rPr>
                <w:sz w:val="20"/>
                <w:szCs w:val="20"/>
                <w:color w:val="auto"/>
              </w:rPr>
            </w:pPr>
            <w:r>
              <w:rPr>
                <w:rFonts w:ascii="Arial" w:cs="Arial" w:eastAsia="Arial" w:hAnsi="Arial"/>
                <w:sz w:val="18"/>
                <w:szCs w:val="18"/>
                <w:color w:val="auto"/>
              </w:rPr>
              <w:t>Additions to property and equipment</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(20,622)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(15,441)</w:t>
            </w:r>
          </w:p>
        </w:tc>
        <w:tc>
          <w:tcPr>
            <w:tcW w:w="240" w:type="dxa"/>
            <w:vAlign w:val="bottom"/>
          </w:tcPr>
          <w:p>
            <w:pPr>
              <w:spacing w:after="0"/>
              <w:rPr>
                <w:sz w:val="16"/>
                <w:szCs w:val="16"/>
                <w:color w:val="auto"/>
              </w:rPr>
            </w:pPr>
          </w:p>
        </w:tc>
        <w:tc>
          <w:tcPr>
            <w:tcW w:w="860" w:type="dxa"/>
            <w:vAlign w:val="bottom"/>
            <w:gridSpan w:val="3"/>
          </w:tcPr>
          <w:p>
            <w:pPr>
              <w:jc w:val="right"/>
              <w:ind w:right="60"/>
              <w:spacing w:after="0" w:line="189" w:lineRule="exact"/>
              <w:rPr>
                <w:sz w:val="20"/>
                <w:szCs w:val="20"/>
                <w:color w:val="auto"/>
              </w:rPr>
            </w:pPr>
            <w:r>
              <w:rPr>
                <w:rFonts w:ascii="Arial" w:cs="Arial" w:eastAsia="Arial" w:hAnsi="Arial"/>
                <w:sz w:val="18"/>
                <w:szCs w:val="18"/>
                <w:color w:val="auto"/>
              </w:rPr>
              <w:t>(13,925)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Acquisition of companies, net of cash acquired, and purchases of intangible and other assets</w:t>
            </w:r>
          </w:p>
        </w:tc>
        <w:tc>
          <w:tcPr>
            <w:tcW w:w="16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(8,909)</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(2,521)</w:t>
            </w:r>
          </w:p>
        </w:tc>
        <w:tc>
          <w:tcPr>
            <w:tcW w:w="240" w:type="dxa"/>
            <w:vAlign w:val="bottom"/>
            <w:shd w:val="clear" w:color="auto" w:fill="E5E5E5"/>
          </w:tcPr>
          <w:p>
            <w:pPr>
              <w:spacing w:after="0"/>
              <w:rPr>
                <w:sz w:val="16"/>
                <w:szCs w:val="16"/>
                <w:color w:val="auto"/>
              </w:rPr>
            </w:pPr>
          </w:p>
        </w:tc>
        <w:tc>
          <w:tcPr>
            <w:tcW w:w="860" w:type="dxa"/>
            <w:vAlign w:val="bottom"/>
            <w:gridSpan w:val="3"/>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(2,388)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00" w:type="dxa"/>
            <w:vAlign w:val="bottom"/>
          </w:tcPr>
          <w:p>
            <w:pPr>
              <w:spacing w:after="0" w:line="189" w:lineRule="exact"/>
              <w:rPr>
                <w:sz w:val="20"/>
                <w:szCs w:val="20"/>
                <w:color w:val="auto"/>
              </w:rPr>
            </w:pPr>
            <w:r>
              <w:rPr>
                <w:rFonts w:ascii="Arial" w:cs="Arial" w:eastAsia="Arial" w:hAnsi="Arial"/>
                <w:sz w:val="18"/>
                <w:szCs w:val="18"/>
                <w:color w:val="auto"/>
              </w:rPr>
              <w:t>Purchases of investments</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(62,924)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(77,190)</w:t>
            </w:r>
          </w:p>
        </w:tc>
        <w:tc>
          <w:tcPr>
            <w:tcW w:w="240" w:type="dxa"/>
            <w:vAlign w:val="bottom"/>
          </w:tcPr>
          <w:p>
            <w:pPr>
              <w:spacing w:after="0"/>
              <w:rPr>
                <w:sz w:val="16"/>
                <w:szCs w:val="16"/>
                <w:color w:val="auto"/>
              </w:rPr>
            </w:pPr>
          </w:p>
        </w:tc>
        <w:tc>
          <w:tcPr>
            <w:tcW w:w="860" w:type="dxa"/>
            <w:vAlign w:val="bottom"/>
            <w:gridSpan w:val="3"/>
          </w:tcPr>
          <w:p>
            <w:pPr>
              <w:jc w:val="right"/>
              <w:ind w:right="60"/>
              <w:spacing w:after="0" w:line="189" w:lineRule="exact"/>
              <w:rPr>
                <w:sz w:val="20"/>
                <w:szCs w:val="20"/>
                <w:color w:val="auto"/>
              </w:rPr>
            </w:pPr>
            <w:r>
              <w:rPr>
                <w:rFonts w:ascii="Arial" w:cs="Arial" w:eastAsia="Arial" w:hAnsi="Arial"/>
                <w:sz w:val="18"/>
                <w:szCs w:val="18"/>
                <w:color w:val="auto"/>
              </w:rPr>
              <w:t>(57,697)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Maturities of investments</w:t>
            </w:r>
          </w:p>
        </w:tc>
        <w:tc>
          <w:tcPr>
            <w:tcW w:w="16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51,792</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66,449</w:t>
            </w:r>
          </w:p>
        </w:tc>
        <w:tc>
          <w:tcPr>
            <w:tcW w:w="240" w:type="dxa"/>
            <w:vAlign w:val="bottom"/>
            <w:shd w:val="clear" w:color="auto" w:fill="E5E5E5"/>
          </w:tcPr>
          <w:p>
            <w:pPr>
              <w:spacing w:after="0"/>
              <w:rPr>
                <w:sz w:val="16"/>
                <w:szCs w:val="16"/>
                <w:color w:val="auto"/>
              </w:rPr>
            </w:pPr>
          </w:p>
        </w:tc>
        <w:tc>
          <w:tcPr>
            <w:tcW w:w="7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20,043</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00" w:type="dxa"/>
            <w:vAlign w:val="bottom"/>
          </w:tcPr>
          <w:p>
            <w:pPr>
              <w:spacing w:after="0" w:line="189" w:lineRule="exact"/>
              <w:rPr>
                <w:sz w:val="20"/>
                <w:szCs w:val="20"/>
                <w:color w:val="auto"/>
              </w:rPr>
            </w:pPr>
            <w:r>
              <w:rPr>
                <w:rFonts w:ascii="Arial" w:cs="Arial" w:eastAsia="Arial" w:hAnsi="Arial"/>
                <w:sz w:val="18"/>
                <w:szCs w:val="18"/>
                <w:color w:val="auto"/>
              </w:rPr>
              <w:t>Sales of investments</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14,008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17,721</w:t>
            </w:r>
          </w:p>
        </w:tc>
        <w:tc>
          <w:tcPr>
            <w:tcW w:w="240" w:type="dxa"/>
            <w:vAlign w:val="bottom"/>
          </w:tcPr>
          <w:p>
            <w:pPr>
              <w:spacing w:after="0"/>
              <w:rPr>
                <w:sz w:val="16"/>
                <w:szCs w:val="16"/>
                <w:color w:val="auto"/>
              </w:rPr>
            </w:pPr>
          </w:p>
        </w:tc>
        <w:tc>
          <w:tcPr>
            <w:tcW w:w="76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38,194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net</w:t>
            </w:r>
          </w:p>
        </w:tc>
        <w:tc>
          <w:tcPr>
            <w:tcW w:w="16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(922)</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(1,241)</w:t>
            </w:r>
          </w:p>
        </w:tc>
        <w:tc>
          <w:tcPr>
            <w:tcW w:w="240" w:type="dxa"/>
            <w:vAlign w:val="bottom"/>
            <w:shd w:val="clear" w:color="auto" w:fill="E5E5E5"/>
          </w:tcPr>
          <w:p>
            <w:pPr>
              <w:spacing w:after="0"/>
              <w:rPr>
                <w:sz w:val="16"/>
                <w:szCs w:val="16"/>
                <w:color w:val="auto"/>
              </w:rPr>
            </w:pPr>
          </w:p>
        </w:tc>
        <w:tc>
          <w:tcPr>
            <w:tcW w:w="7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5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500" w:type="dxa"/>
            <w:vAlign w:val="bottom"/>
          </w:tcPr>
          <w:p>
            <w:pPr>
              <w:ind w:left="640"/>
              <w:spacing w:after="0"/>
              <w:rPr>
                <w:sz w:val="20"/>
                <w:szCs w:val="20"/>
                <w:color w:val="auto"/>
              </w:rPr>
            </w:pPr>
            <w:r>
              <w:rPr>
                <w:rFonts w:ascii="Arial" w:cs="Arial" w:eastAsia="Arial" w:hAnsi="Arial"/>
                <w:sz w:val="18"/>
                <w:szCs w:val="18"/>
                <w:color w:val="auto"/>
              </w:rPr>
              <w:t>Net cash used in investing</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(27,577)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(12,223)</w:t>
            </w:r>
          </w:p>
        </w:tc>
        <w:tc>
          <w:tcPr>
            <w:tcW w:w="240" w:type="dxa"/>
            <w:vAlign w:val="bottom"/>
          </w:tcPr>
          <w:p>
            <w:pPr>
              <w:spacing w:after="0"/>
              <w:rPr>
                <w:sz w:val="22"/>
                <w:szCs w:val="22"/>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(15,773)</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5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7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75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Effect of foreign exchange rates on cash and cash equivalents</w:t>
            </w:r>
          </w:p>
        </w:tc>
        <w:tc>
          <w:tcPr>
            <w:tcW w:w="16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(29)</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(201)</w:t>
            </w:r>
          </w:p>
        </w:tc>
        <w:tc>
          <w:tcPr>
            <w:tcW w:w="240" w:type="dxa"/>
            <w:vAlign w:val="bottom"/>
            <w:shd w:val="clear" w:color="auto" w:fill="E5E5E5"/>
          </w:tcPr>
          <w:p>
            <w:pPr>
              <w:spacing w:after="0"/>
              <w:rPr>
                <w:sz w:val="16"/>
                <w:szCs w:val="16"/>
                <w:color w:val="auto"/>
              </w:rPr>
            </w:pPr>
          </w:p>
        </w:tc>
        <w:tc>
          <w:tcPr>
            <w:tcW w:w="860" w:type="dxa"/>
            <w:vAlign w:val="bottom"/>
            <w:gridSpan w:val="3"/>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5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7520" w:type="dxa"/>
            <w:vAlign w:val="bottom"/>
            <w:gridSpan w:val="2"/>
          </w:tcPr>
          <w:p>
            <w:pPr>
              <w:spacing w:after="0"/>
              <w:rPr>
                <w:sz w:val="20"/>
                <w:szCs w:val="20"/>
                <w:color w:val="auto"/>
              </w:rPr>
            </w:pPr>
            <w:r>
              <w:rPr>
                <w:rFonts w:ascii="Arial" w:cs="Arial" w:eastAsia="Arial" w:hAnsi="Arial"/>
                <w:sz w:val="18"/>
                <w:szCs w:val="18"/>
                <w:color w:val="auto"/>
              </w:rPr>
              <w:t>Net change in cash and cash equivalents</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2,220</w:t>
            </w:r>
          </w:p>
        </w:tc>
        <w:tc>
          <w:tcPr>
            <w:tcW w:w="240" w:type="dxa"/>
            <w:vAlign w:val="bottom"/>
          </w:tcPr>
          <w:p>
            <w:pPr>
              <w:spacing w:after="0"/>
              <w:rPr>
                <w:sz w:val="21"/>
                <w:szCs w:val="21"/>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Cash and cash equivalents, beginning of period</w:t>
            </w:r>
          </w:p>
        </w:tc>
        <w:tc>
          <w:tcPr>
            <w:tcW w:w="16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13,576</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11,356</w:t>
            </w:r>
          </w:p>
        </w:tc>
        <w:tc>
          <w:tcPr>
            <w:tcW w:w="240" w:type="dxa"/>
            <w:vAlign w:val="bottom"/>
            <w:shd w:val="clear" w:color="auto" w:fill="E5E5E5"/>
          </w:tcPr>
          <w:p>
            <w:pPr>
              <w:spacing w:after="0"/>
              <w:rPr>
                <w:sz w:val="16"/>
                <w:szCs w:val="16"/>
                <w:color w:val="auto"/>
              </w:rPr>
            </w:pPr>
          </w:p>
        </w:tc>
        <w:tc>
          <w:tcPr>
            <w:tcW w:w="7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11,946</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5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gridSpan w:val="2"/>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752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14,224</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13,576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11,356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60"/>
          </w:cols>
          <w:pgMar w:left="320" w:top="137" w:right="319" w:bottom="1440" w:gutter="0" w:footer="0" w:header="0"/>
        </w:sectPr>
      </w:pPr>
    </w:p>
    <w:bookmarkStart w:id="60" w:name="page61"/>
    <w:bookmarkEnd w:id="60"/>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06437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880" w:type="dxa"/>
            <w:vAlign w:val="bottom"/>
            <w:gridSpan w:val="2"/>
          </w:tcPr>
          <w:p>
            <w:pPr>
              <w:spacing w:after="0"/>
              <w:rPr>
                <w:sz w:val="20"/>
                <w:szCs w:val="20"/>
                <w:color w:val="auto"/>
              </w:rPr>
            </w:pPr>
            <w:r>
              <w:rPr>
                <w:rFonts w:ascii="Arial" w:cs="Arial" w:eastAsia="Arial" w:hAnsi="Arial"/>
                <w:sz w:val="13"/>
                <w:szCs w:val="13"/>
                <w:b w:val="1"/>
                <w:bCs w:val="1"/>
                <w:color w:val="auto"/>
              </w:rPr>
              <w:t>Year Ended June 30,</w:t>
            </w:r>
          </w:p>
        </w:tc>
        <w:tc>
          <w:tcPr>
            <w:tcW w:w="2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2020</w:t>
            </w:r>
          </w:p>
        </w:tc>
        <w:tc>
          <w:tcPr>
            <w:tcW w:w="22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270"/>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Common stock and paid-in capital</w:t>
            </w:r>
          </w:p>
        </w:tc>
        <w:tc>
          <w:tcPr>
            <w:tcW w:w="2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4860" w:type="dxa"/>
            <w:vAlign w:val="bottom"/>
          </w:tcPr>
          <w:p>
            <w:pPr>
              <w:spacing w:after="0"/>
              <w:rPr>
                <w:sz w:val="4"/>
                <w:szCs w:val="4"/>
                <w:color w:val="auto"/>
              </w:rPr>
            </w:pPr>
          </w:p>
        </w:tc>
        <w:tc>
          <w:tcPr>
            <w:tcW w:w="2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8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28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80,552</w:t>
            </w:r>
          </w:p>
        </w:tc>
        <w:tc>
          <w:tcPr>
            <w:tcW w:w="3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E5E5E5"/>
          </w:tcPr>
          <w:p>
            <w:pPr>
              <w:jc w:val="right"/>
              <w:ind w:right="300"/>
              <w:spacing w:after="0" w:line="189" w:lineRule="exact"/>
              <w:rPr>
                <w:sz w:val="20"/>
                <w:szCs w:val="20"/>
                <w:color w:val="auto"/>
              </w:rPr>
            </w:pPr>
            <w:r>
              <w:rPr>
                <w:rFonts w:ascii="Arial" w:cs="Arial" w:eastAsia="Arial" w:hAnsi="Arial"/>
                <w:sz w:val="18"/>
                <w:szCs w:val="18"/>
                <w:color w:val="auto"/>
              </w:rPr>
              <w:t>78,520</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71,223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60" w:type="dxa"/>
            <w:vAlign w:val="bottom"/>
          </w:tcPr>
          <w:p>
            <w:pPr>
              <w:spacing w:after="0" w:line="201" w:lineRule="exact"/>
              <w:rPr>
                <w:sz w:val="20"/>
                <w:szCs w:val="20"/>
                <w:color w:val="auto"/>
              </w:rPr>
            </w:pPr>
            <w:r>
              <w:rPr>
                <w:rFonts w:ascii="Arial" w:cs="Arial" w:eastAsia="Arial" w:hAnsi="Arial"/>
                <w:sz w:val="18"/>
                <w:szCs w:val="18"/>
                <w:color w:val="auto"/>
              </w:rPr>
              <w:t>Common stock issued</w:t>
            </w:r>
          </w:p>
        </w:tc>
        <w:tc>
          <w:tcPr>
            <w:tcW w:w="2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ind w:right="160"/>
              <w:spacing w:after="0" w:line="201" w:lineRule="exact"/>
              <w:rPr>
                <w:sz w:val="20"/>
                <w:szCs w:val="20"/>
                <w:color w:val="auto"/>
              </w:rPr>
            </w:pPr>
            <w:r>
              <w:rPr>
                <w:rFonts w:ascii="Arial" w:cs="Arial" w:eastAsia="Arial" w:hAnsi="Arial"/>
                <w:sz w:val="18"/>
                <w:szCs w:val="18"/>
                <w:b w:val="1"/>
                <w:bCs w:val="1"/>
                <w:color w:val="auto"/>
              </w:rPr>
              <w:t>1,963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1,343</w:t>
            </w:r>
          </w:p>
        </w:tc>
        <w:tc>
          <w:tcPr>
            <w:tcW w:w="220" w:type="dxa"/>
            <w:vAlign w:val="bottom"/>
          </w:tcPr>
          <w:p>
            <w:pPr>
              <w:spacing w:after="0"/>
              <w:rPr>
                <w:sz w:val="17"/>
                <w:szCs w:val="17"/>
                <w:color w:val="auto"/>
              </w:rPr>
            </w:pPr>
          </w:p>
        </w:tc>
        <w:tc>
          <w:tcPr>
            <w:tcW w:w="9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6,829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60" w:type="dxa"/>
            <w:vAlign w:val="bottom"/>
            <w:shd w:val="clear" w:color="auto" w:fill="E5E5E5"/>
          </w:tcPr>
          <w:p>
            <w:pPr>
              <w:spacing w:after="0" w:line="201" w:lineRule="exact"/>
              <w:rPr>
                <w:sz w:val="20"/>
                <w:szCs w:val="20"/>
                <w:color w:val="auto"/>
              </w:rPr>
            </w:pPr>
            <w:r>
              <w:rPr>
                <w:rFonts w:ascii="Arial" w:cs="Arial" w:eastAsia="Arial" w:hAnsi="Arial"/>
                <w:sz w:val="18"/>
                <w:szCs w:val="18"/>
                <w:color w:val="auto"/>
              </w:rPr>
              <w:t>Common stock repurchased</w:t>
            </w:r>
          </w:p>
        </w:tc>
        <w:tc>
          <w:tcPr>
            <w:tcW w:w="264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00"/>
              <w:spacing w:after="0" w:line="201" w:lineRule="exact"/>
              <w:rPr>
                <w:sz w:val="20"/>
                <w:szCs w:val="20"/>
                <w:color w:val="auto"/>
              </w:rPr>
            </w:pPr>
            <w:r>
              <w:rPr>
                <w:rFonts w:ascii="Arial" w:cs="Arial" w:eastAsia="Arial" w:hAnsi="Arial"/>
                <w:sz w:val="18"/>
                <w:szCs w:val="18"/>
                <w:b w:val="1"/>
                <w:bCs w:val="1"/>
                <w:color w:val="auto"/>
              </w:rPr>
              <w:t>(5,539)</w:t>
            </w:r>
          </w:p>
        </w:tc>
        <w:tc>
          <w:tcPr>
            <w:tcW w:w="10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240"/>
              <w:spacing w:after="0" w:line="201" w:lineRule="exact"/>
              <w:rPr>
                <w:sz w:val="20"/>
                <w:szCs w:val="20"/>
                <w:color w:val="auto"/>
              </w:rPr>
            </w:pPr>
            <w:r>
              <w:rPr>
                <w:rFonts w:ascii="Arial" w:cs="Arial" w:eastAsia="Arial" w:hAnsi="Arial"/>
                <w:sz w:val="18"/>
                <w:szCs w:val="18"/>
                <w:color w:val="auto"/>
              </w:rPr>
              <w:t>(4,599)</w:t>
            </w:r>
          </w:p>
        </w:tc>
        <w:tc>
          <w:tcPr>
            <w:tcW w:w="22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ind w:right="40"/>
              <w:spacing w:after="0" w:line="201" w:lineRule="exact"/>
              <w:rPr>
                <w:sz w:val="20"/>
                <w:szCs w:val="20"/>
                <w:color w:val="auto"/>
              </w:rPr>
            </w:pPr>
            <w:r>
              <w:rPr>
                <w:rFonts w:ascii="Arial" w:cs="Arial" w:eastAsia="Arial" w:hAnsi="Arial"/>
                <w:sz w:val="18"/>
                <w:szCs w:val="18"/>
                <w:color w:val="auto"/>
              </w:rPr>
              <w:t>(4,195)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60" w:type="dxa"/>
            <w:vAlign w:val="bottom"/>
          </w:tcPr>
          <w:p>
            <w:pPr>
              <w:spacing w:after="0" w:line="201" w:lineRule="exact"/>
              <w:rPr>
                <w:sz w:val="20"/>
                <w:szCs w:val="20"/>
                <w:color w:val="auto"/>
              </w:rPr>
            </w:pPr>
            <w:r>
              <w:rPr>
                <w:rFonts w:ascii="Arial" w:cs="Arial" w:eastAsia="Arial" w:hAnsi="Arial"/>
                <w:sz w:val="18"/>
                <w:szCs w:val="18"/>
                <w:color w:val="auto"/>
              </w:rPr>
              <w:t>Stock-based compensation expense</w:t>
            </w:r>
          </w:p>
        </w:tc>
        <w:tc>
          <w:tcPr>
            <w:tcW w:w="2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ind w:right="160"/>
              <w:spacing w:after="0" w:line="201" w:lineRule="exact"/>
              <w:rPr>
                <w:sz w:val="20"/>
                <w:szCs w:val="20"/>
                <w:color w:val="auto"/>
              </w:rPr>
            </w:pPr>
            <w:r>
              <w:rPr>
                <w:rFonts w:ascii="Arial" w:cs="Arial" w:eastAsia="Arial" w:hAnsi="Arial"/>
                <w:sz w:val="18"/>
                <w:szCs w:val="18"/>
                <w:b w:val="1"/>
                <w:bCs w:val="1"/>
                <w:color w:val="auto"/>
              </w:rPr>
              <w:t>6,118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5,289</w:t>
            </w:r>
          </w:p>
        </w:tc>
        <w:tc>
          <w:tcPr>
            <w:tcW w:w="220" w:type="dxa"/>
            <w:vAlign w:val="bottom"/>
          </w:tcPr>
          <w:p>
            <w:pPr>
              <w:spacing w:after="0"/>
              <w:rPr>
                <w:sz w:val="17"/>
                <w:szCs w:val="17"/>
                <w:color w:val="auto"/>
              </w:rPr>
            </w:pPr>
          </w:p>
        </w:tc>
        <w:tc>
          <w:tcPr>
            <w:tcW w:w="9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4,652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60" w:type="dxa"/>
            <w:vAlign w:val="bottom"/>
            <w:shd w:val="clear" w:color="auto" w:fill="E5E5E5"/>
          </w:tcPr>
          <w:p>
            <w:pPr>
              <w:spacing w:after="0" w:line="201" w:lineRule="exact"/>
              <w:rPr>
                <w:sz w:val="20"/>
                <w:szCs w:val="20"/>
                <w:color w:val="auto"/>
              </w:rPr>
            </w:pPr>
            <w:r>
              <w:rPr>
                <w:rFonts w:ascii="Arial" w:cs="Arial" w:eastAsia="Arial" w:hAnsi="Arial"/>
                <w:sz w:val="18"/>
                <w:szCs w:val="18"/>
                <w:color w:val="auto"/>
              </w:rPr>
              <w:t>Other, net</w:t>
            </w:r>
          </w:p>
        </w:tc>
        <w:tc>
          <w:tcPr>
            <w:tcW w:w="264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60"/>
              <w:spacing w:after="0" w:line="201" w:lineRule="exact"/>
              <w:rPr>
                <w:sz w:val="20"/>
                <w:szCs w:val="20"/>
                <w:color w:val="auto"/>
              </w:rPr>
            </w:pPr>
            <w:r>
              <w:rPr>
                <w:rFonts w:ascii="Arial" w:cs="Arial" w:eastAsia="Arial" w:hAnsi="Arial"/>
                <w:sz w:val="18"/>
                <w:szCs w:val="18"/>
                <w:b w:val="1"/>
                <w:bCs w:val="1"/>
                <w:color w:val="auto"/>
              </w:rPr>
              <w:t>17</w:t>
            </w:r>
          </w:p>
        </w:tc>
        <w:tc>
          <w:tcPr>
            <w:tcW w:w="10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240"/>
              <w:spacing w:after="0" w:line="201" w:lineRule="exact"/>
              <w:rPr>
                <w:sz w:val="20"/>
                <w:szCs w:val="20"/>
                <w:color w:val="auto"/>
              </w:rPr>
            </w:pPr>
            <w:r>
              <w:rPr>
                <w:rFonts w:ascii="Arial" w:cs="Arial" w:eastAsia="Arial" w:hAnsi="Arial"/>
                <w:sz w:val="18"/>
                <w:szCs w:val="18"/>
                <w:color w:val="auto"/>
              </w:rPr>
              <w:t>(1)</w:t>
            </w:r>
          </w:p>
        </w:tc>
        <w:tc>
          <w:tcPr>
            <w:tcW w:w="22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ind w:right="100"/>
              <w:spacing w:after="0" w:line="201"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4860" w:type="dxa"/>
            <w:vAlign w:val="bottom"/>
            <w:tcBorders>
              <w:bottom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Balance, end of period</w:t>
            </w:r>
          </w:p>
        </w:tc>
        <w:tc>
          <w:tcPr>
            <w:tcW w:w="2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83,111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80,552</w:t>
            </w:r>
          </w:p>
        </w:tc>
        <w:tc>
          <w:tcPr>
            <w:tcW w:w="22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78,520</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860" w:type="dxa"/>
            <w:vAlign w:val="bottom"/>
            <w:tcBorders>
              <w:bottom w:val="single" w:sz="8" w:color="auto"/>
            </w:tcBorders>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Retained earnings</w:t>
            </w:r>
          </w:p>
        </w:tc>
        <w:tc>
          <w:tcPr>
            <w:tcW w:w="2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4860" w:type="dxa"/>
            <w:vAlign w:val="bottom"/>
          </w:tcPr>
          <w:p>
            <w:pPr>
              <w:spacing w:after="0"/>
              <w:rPr>
                <w:sz w:val="4"/>
                <w:szCs w:val="4"/>
                <w:color w:val="auto"/>
              </w:rPr>
            </w:pPr>
          </w:p>
        </w:tc>
        <w:tc>
          <w:tcPr>
            <w:tcW w:w="2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8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264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34,566</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300"/>
              <w:spacing w:after="0" w:line="189" w:lineRule="exact"/>
              <w:rPr>
                <w:sz w:val="20"/>
                <w:szCs w:val="20"/>
                <w:color w:val="auto"/>
              </w:rPr>
            </w:pPr>
            <w:r>
              <w:rPr>
                <w:rFonts w:ascii="Arial" w:cs="Arial" w:eastAsia="Arial" w:hAnsi="Arial"/>
                <w:sz w:val="18"/>
                <w:szCs w:val="18"/>
                <w:color w:val="auto"/>
              </w:rPr>
              <w:t>24,150</w:t>
            </w:r>
          </w:p>
        </w:tc>
        <w:tc>
          <w:tcPr>
            <w:tcW w:w="22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13,682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860" w:type="dxa"/>
            <w:vAlign w:val="bottom"/>
          </w:tcPr>
          <w:p>
            <w:pPr>
              <w:spacing w:after="0" w:line="189" w:lineRule="exact"/>
              <w:rPr>
                <w:sz w:val="20"/>
                <w:szCs w:val="20"/>
                <w:color w:val="auto"/>
              </w:rPr>
            </w:pPr>
            <w:r>
              <w:rPr>
                <w:rFonts w:ascii="Arial" w:cs="Arial" w:eastAsia="Arial" w:hAnsi="Arial"/>
                <w:sz w:val="18"/>
                <w:szCs w:val="18"/>
                <w:color w:val="auto"/>
              </w:rPr>
              <w:t>Net income</w:t>
            </w:r>
          </w:p>
        </w:tc>
        <w:tc>
          <w:tcPr>
            <w:tcW w:w="2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61,271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300"/>
              <w:spacing w:after="0" w:line="189" w:lineRule="exact"/>
              <w:rPr>
                <w:sz w:val="20"/>
                <w:szCs w:val="20"/>
                <w:color w:val="auto"/>
              </w:rPr>
            </w:pPr>
            <w:r>
              <w:rPr>
                <w:rFonts w:ascii="Arial" w:cs="Arial" w:eastAsia="Arial" w:hAnsi="Arial"/>
                <w:sz w:val="18"/>
                <w:szCs w:val="18"/>
                <w:color w:val="auto"/>
              </w:rPr>
              <w:t>44,281</w:t>
            </w:r>
          </w:p>
        </w:tc>
        <w:tc>
          <w:tcPr>
            <w:tcW w:w="220" w:type="dxa"/>
            <w:vAlign w:val="bottom"/>
          </w:tcPr>
          <w:p>
            <w:pPr>
              <w:spacing w:after="0"/>
              <w:rPr>
                <w:sz w:val="16"/>
                <w:szCs w:val="16"/>
                <w:color w:val="auto"/>
              </w:rPr>
            </w:pP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39,240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8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Common stock cash dividends</w:t>
            </w:r>
          </w:p>
        </w:tc>
        <w:tc>
          <w:tcPr>
            <w:tcW w:w="264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(16,871)</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(15,483)</w:t>
            </w:r>
          </w:p>
        </w:tc>
        <w:tc>
          <w:tcPr>
            <w:tcW w:w="22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(14,103)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860" w:type="dxa"/>
            <w:vAlign w:val="bottom"/>
          </w:tcPr>
          <w:p>
            <w:pPr>
              <w:spacing w:after="0" w:line="189" w:lineRule="exact"/>
              <w:rPr>
                <w:sz w:val="20"/>
                <w:szCs w:val="20"/>
                <w:color w:val="auto"/>
              </w:rPr>
            </w:pPr>
            <w:r>
              <w:rPr>
                <w:rFonts w:ascii="Arial" w:cs="Arial" w:eastAsia="Arial" w:hAnsi="Arial"/>
                <w:sz w:val="18"/>
                <w:szCs w:val="18"/>
                <w:color w:val="auto"/>
              </w:rPr>
              <w:t>Common stock repurchased</w:t>
            </w:r>
          </w:p>
        </w:tc>
        <w:tc>
          <w:tcPr>
            <w:tcW w:w="2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(21,879)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240"/>
              <w:spacing w:after="0" w:line="189" w:lineRule="exact"/>
              <w:rPr>
                <w:sz w:val="20"/>
                <w:szCs w:val="20"/>
                <w:color w:val="auto"/>
              </w:rPr>
            </w:pPr>
            <w:r>
              <w:rPr>
                <w:rFonts w:ascii="Arial" w:cs="Arial" w:eastAsia="Arial" w:hAnsi="Arial"/>
                <w:sz w:val="18"/>
                <w:szCs w:val="18"/>
                <w:color w:val="auto"/>
              </w:rPr>
              <w:t>(18,382)</w:t>
            </w:r>
          </w:p>
        </w:tc>
        <w:tc>
          <w:tcPr>
            <w:tcW w:w="220" w:type="dxa"/>
            <w:vAlign w:val="bottom"/>
          </w:tcPr>
          <w:p>
            <w:pPr>
              <w:spacing w:after="0"/>
              <w:rPr>
                <w:sz w:val="16"/>
                <w:szCs w:val="16"/>
                <w:color w:val="auto"/>
              </w:rPr>
            </w:pPr>
          </w:p>
        </w:tc>
        <w:tc>
          <w:tcPr>
            <w:tcW w:w="90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(15,346)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8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Cumulative effect of accounting changes</w:t>
            </w:r>
          </w:p>
        </w:tc>
        <w:tc>
          <w:tcPr>
            <w:tcW w:w="264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(32)</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300"/>
              <w:spacing w:after="0" w:line="189" w:lineRule="exact"/>
              <w:rPr>
                <w:sz w:val="20"/>
                <w:szCs w:val="20"/>
                <w:color w:val="auto"/>
              </w:rPr>
            </w:pPr>
            <w:r>
              <w:rPr>
                <w:rFonts w:ascii="Arial" w:cs="Arial" w:eastAsia="Arial" w:hAnsi="Arial"/>
                <w:sz w:val="18"/>
                <w:szCs w:val="18"/>
                <w:color w:val="auto"/>
              </w:rPr>
              <w:t>0</w:t>
            </w:r>
          </w:p>
        </w:tc>
        <w:tc>
          <w:tcPr>
            <w:tcW w:w="22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4860" w:type="dxa"/>
            <w:vAlign w:val="bottom"/>
            <w:tcBorders>
              <w:bottom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Balance, end of period</w:t>
            </w:r>
          </w:p>
        </w:tc>
        <w:tc>
          <w:tcPr>
            <w:tcW w:w="2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57,055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34,566</w:t>
            </w:r>
          </w:p>
        </w:tc>
        <w:tc>
          <w:tcPr>
            <w:tcW w:w="22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24,150</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860" w:type="dxa"/>
            <w:vAlign w:val="bottom"/>
            <w:tcBorders>
              <w:bottom w:val="single" w:sz="8" w:color="auto"/>
            </w:tcBorders>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Accumulated other comprehensive income (loss)</w:t>
            </w:r>
          </w:p>
        </w:tc>
        <w:tc>
          <w:tcPr>
            <w:tcW w:w="2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4860" w:type="dxa"/>
            <w:vAlign w:val="bottom"/>
          </w:tcPr>
          <w:p>
            <w:pPr>
              <w:spacing w:after="0"/>
              <w:rPr>
                <w:sz w:val="4"/>
                <w:szCs w:val="4"/>
                <w:color w:val="auto"/>
              </w:rPr>
            </w:pPr>
          </w:p>
        </w:tc>
        <w:tc>
          <w:tcPr>
            <w:tcW w:w="2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8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264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3,186</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(340)</w:t>
            </w:r>
          </w:p>
        </w:tc>
        <w:tc>
          <w:tcPr>
            <w:tcW w:w="22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860" w:type="dxa"/>
            <w:vAlign w:val="bottom"/>
          </w:tcPr>
          <w:p>
            <w:pPr>
              <w:spacing w:after="0" w:line="189" w:lineRule="exact"/>
              <w:rPr>
                <w:sz w:val="20"/>
                <w:szCs w:val="20"/>
                <w:color w:val="auto"/>
              </w:rPr>
            </w:pPr>
            <w:r>
              <w:rPr>
                <w:rFonts w:ascii="Arial" w:cs="Arial" w:eastAsia="Arial" w:hAnsi="Arial"/>
                <w:sz w:val="18"/>
                <w:szCs w:val="18"/>
                <w:color w:val="auto"/>
              </w:rPr>
              <w:t>Other comprehensive income (loss)</w:t>
            </w:r>
          </w:p>
        </w:tc>
        <w:tc>
          <w:tcPr>
            <w:tcW w:w="2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(1,374)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300"/>
              <w:spacing w:after="0" w:line="189" w:lineRule="exact"/>
              <w:rPr>
                <w:sz w:val="20"/>
                <w:szCs w:val="20"/>
                <w:color w:val="auto"/>
              </w:rPr>
            </w:pPr>
            <w:r>
              <w:rPr>
                <w:rFonts w:ascii="Arial" w:cs="Arial" w:eastAsia="Arial" w:hAnsi="Arial"/>
                <w:sz w:val="18"/>
                <w:szCs w:val="18"/>
                <w:color w:val="auto"/>
              </w:rPr>
              <w:t>3,526</w:t>
            </w:r>
          </w:p>
        </w:tc>
        <w:tc>
          <w:tcPr>
            <w:tcW w:w="220" w:type="dxa"/>
            <w:vAlign w:val="bottom"/>
          </w:tcPr>
          <w:p>
            <w:pPr>
              <w:spacing w:after="0"/>
              <w:rPr>
                <w:sz w:val="16"/>
                <w:szCs w:val="16"/>
                <w:color w:val="auto"/>
              </w:rPr>
            </w:pP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8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Cumulative effect of accounting changes</w:t>
            </w:r>
          </w:p>
        </w:tc>
        <w:tc>
          <w:tcPr>
            <w:tcW w:w="264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300"/>
              <w:spacing w:after="0" w:line="189" w:lineRule="exact"/>
              <w:rPr>
                <w:sz w:val="20"/>
                <w:szCs w:val="20"/>
                <w:color w:val="auto"/>
              </w:rPr>
            </w:pPr>
            <w:r>
              <w:rPr>
                <w:rFonts w:ascii="Arial" w:cs="Arial" w:eastAsia="Arial" w:hAnsi="Arial"/>
                <w:sz w:val="18"/>
                <w:szCs w:val="18"/>
                <w:color w:val="auto"/>
              </w:rPr>
              <w:t>0</w:t>
            </w:r>
          </w:p>
        </w:tc>
        <w:tc>
          <w:tcPr>
            <w:tcW w:w="22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4860" w:type="dxa"/>
            <w:vAlign w:val="bottom"/>
            <w:tcBorders>
              <w:bottom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Balance, end of period</w:t>
            </w:r>
          </w:p>
        </w:tc>
        <w:tc>
          <w:tcPr>
            <w:tcW w:w="2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1,822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3,186</w:t>
            </w:r>
          </w:p>
        </w:tc>
        <w:tc>
          <w:tcPr>
            <w:tcW w:w="220" w:type="dxa"/>
            <w:vAlign w:val="bottom"/>
          </w:tcPr>
          <w:p>
            <w:pPr>
              <w:spacing w:after="0"/>
              <w:rPr>
                <w:sz w:val="22"/>
                <w:szCs w:val="22"/>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860" w:type="dxa"/>
            <w:vAlign w:val="bottom"/>
            <w:tcBorders>
              <w:bottom w:val="single" w:sz="8" w:color="auto"/>
            </w:tcBorders>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860" w:type="dxa"/>
            <w:vAlign w:val="bottom"/>
          </w:tcPr>
          <w:p>
            <w:pPr>
              <w:spacing w:after="0"/>
              <w:rPr>
                <w:sz w:val="5"/>
                <w:szCs w:val="5"/>
                <w:color w:val="auto"/>
              </w:rPr>
            </w:pPr>
          </w:p>
        </w:tc>
        <w:tc>
          <w:tcPr>
            <w:tcW w:w="2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8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Total stockholders’ equity</w:t>
            </w:r>
          </w:p>
        </w:tc>
        <w:tc>
          <w:tcPr>
            <w:tcW w:w="28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141,988</w:t>
            </w:r>
          </w:p>
        </w:tc>
        <w:tc>
          <w:tcPr>
            <w:tcW w:w="3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E5E5E5"/>
          </w:tcPr>
          <w:p>
            <w:pPr>
              <w:jc w:val="right"/>
              <w:ind w:right="300"/>
              <w:spacing w:after="0" w:line="189" w:lineRule="exact"/>
              <w:rPr>
                <w:sz w:val="20"/>
                <w:szCs w:val="20"/>
                <w:color w:val="auto"/>
              </w:rPr>
            </w:pPr>
            <w:r>
              <w:rPr>
                <w:rFonts w:ascii="Arial" w:cs="Arial" w:eastAsia="Arial" w:hAnsi="Arial"/>
                <w:sz w:val="18"/>
                <w:szCs w:val="18"/>
                <w:color w:val="auto"/>
              </w:rPr>
              <w:t>118,304</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102,330</w:t>
            </w:r>
          </w:p>
        </w:tc>
        <w:tc>
          <w:tcPr>
            <w:tcW w:w="0" w:type="dxa"/>
            <w:vAlign w:val="bottom"/>
          </w:tcPr>
          <w:p>
            <w:pPr>
              <w:spacing w:after="0"/>
              <w:rPr>
                <w:sz w:val="1"/>
                <w:szCs w:val="1"/>
                <w:color w:val="auto"/>
              </w:rPr>
            </w:pPr>
          </w:p>
        </w:tc>
      </w:tr>
      <w:tr>
        <w:trPr>
          <w:trHeight w:val="74"/>
        </w:trPr>
        <w:tc>
          <w:tcPr>
            <w:tcW w:w="4880" w:type="dxa"/>
            <w:vAlign w:val="bottom"/>
            <w:gridSpan w:val="2"/>
          </w:tcPr>
          <w:p>
            <w:pPr>
              <w:spacing w:after="0"/>
              <w:rPr>
                <w:sz w:val="6"/>
                <w:szCs w:val="6"/>
                <w:color w:val="auto"/>
              </w:rPr>
            </w:pPr>
          </w:p>
        </w:tc>
        <w:tc>
          <w:tcPr>
            <w:tcW w:w="264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4880" w:type="dxa"/>
            <w:vAlign w:val="bottom"/>
            <w:gridSpan w:val="2"/>
          </w:tcPr>
          <w:p>
            <w:pPr>
              <w:spacing w:after="0"/>
              <w:rPr>
                <w:sz w:val="20"/>
                <w:szCs w:val="20"/>
                <w:color w:val="auto"/>
              </w:rPr>
            </w:pPr>
            <w:r>
              <w:rPr>
                <w:rFonts w:ascii="Arial" w:cs="Arial" w:eastAsia="Arial" w:hAnsi="Arial"/>
                <w:sz w:val="18"/>
                <w:szCs w:val="18"/>
                <w:color w:val="auto"/>
              </w:rPr>
              <w:t>Cash dividends declared per common share</w:t>
            </w:r>
          </w:p>
        </w:tc>
        <w:tc>
          <w:tcPr>
            <w:tcW w:w="28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2.24</w:t>
            </w:r>
          </w:p>
        </w:tc>
        <w:tc>
          <w:tcPr>
            <w:tcW w:w="160" w:type="dxa"/>
            <w:vAlign w:val="bottom"/>
          </w:tcPr>
          <w:p>
            <w:pPr>
              <w:spacing w:after="0"/>
              <w:rPr>
                <w:sz w:val="23"/>
                <w:szCs w:val="23"/>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2.04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54"/>
        </w:trPr>
        <w:tc>
          <w:tcPr>
            <w:tcW w:w="4880" w:type="dxa"/>
            <w:vAlign w:val="bottom"/>
            <w:tcBorders>
              <w:bottom w:val="single" w:sz="8" w:color="auto"/>
            </w:tcBorders>
            <w:gridSpan w:val="2"/>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1"/>
        </w:trPr>
        <w:tc>
          <w:tcPr>
            <w:tcW w:w="4880" w:type="dxa"/>
            <w:vAlign w:val="bottom"/>
            <w:gridSpan w:val="2"/>
          </w:tcPr>
          <w:p>
            <w:pPr>
              <w:spacing w:after="0"/>
              <w:rPr>
                <w:sz w:val="20"/>
                <w:szCs w:val="20"/>
                <w:color w:val="auto"/>
              </w:rPr>
            </w:pPr>
            <w:r>
              <w:rPr>
                <w:rFonts w:ascii="Arial" w:cs="Arial" w:eastAsia="Arial" w:hAnsi="Arial"/>
                <w:sz w:val="18"/>
                <w:szCs w:val="18"/>
                <w:color w:val="auto"/>
              </w:rPr>
              <w:t>Refer to accompanying notes.</w:t>
            </w:r>
          </w:p>
        </w:tc>
        <w:tc>
          <w:tcPr>
            <w:tcW w:w="2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7"/>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640" w:type="dxa"/>
            <w:vAlign w:val="bottom"/>
          </w:tcPr>
          <w:p>
            <w:pPr>
              <w:jc w:val="right"/>
              <w:ind w:right="1735"/>
              <w:spacing w:after="0"/>
              <w:rPr>
                <w:sz w:val="20"/>
                <w:szCs w:val="20"/>
                <w:color w:val="auto"/>
              </w:rPr>
            </w:pPr>
            <w:r>
              <w:rPr>
                <w:rFonts w:ascii="Arial" w:cs="Arial" w:eastAsia="Arial" w:hAnsi="Arial"/>
                <w:sz w:val="14"/>
                <w:szCs w:val="14"/>
                <w:color w:val="auto"/>
              </w:rPr>
              <w:t>61</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860" w:type="dxa"/>
            <w:vAlign w:val="bottom"/>
            <w:tcBorders>
              <w:bottom w:val="single" w:sz="8" w:color="9A9A9A"/>
            </w:tcBorders>
          </w:tcPr>
          <w:p>
            <w:pPr>
              <w:spacing w:after="0"/>
              <w:rPr>
                <w:sz w:val="8"/>
                <w:szCs w:val="8"/>
                <w:color w:val="auto"/>
              </w:rPr>
            </w:pPr>
          </w:p>
        </w:tc>
        <w:tc>
          <w:tcPr>
            <w:tcW w:w="26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61" w:name="page62"/>
    <w:bookmarkEnd w:id="61"/>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 — ACCOUNTING POLICIES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Principles</w:t>
      </w:r>
    </w:p>
    <w:p>
      <w:pPr>
        <w:spacing w:after="0" w:line="178"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Our consolidated financial statements and accompanying notes are prepared in accordance with accounting principles generally accepted in the United States of America (“GAAP”).</w:t>
      </w:r>
    </w:p>
    <w:p>
      <w:pPr>
        <w:spacing w:after="0" w:line="14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have recast certain prior period amounts to conform to the current period presentation. The recast of these prior period amounts had no impact on our consolidated balance sheets, consolidated income statements, or consolidated cash flows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7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consolidated financial statements include the accounts of Microsoft Corporation and its subsidiaries. Intercompany transactions and balances have been eliminated.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Assumptions</w:t>
      </w:r>
    </w:p>
    <w:p>
      <w:pPr>
        <w:spacing w:after="0" w:line="17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Preparing financial statements requires management to make estimates and assumptions that affect the reported amounts of assets, liabilities, revenue, and expenses. Examples of estimates and assumptions include: for revenue recognition, determining the nature and timing of satisfaction of performance obligations, and determining the standalone selling price (“SSP”) of performance obligations, variable consideration, and other obligations such as product returns and refunds; loss contingencies; product warranties; the fair value of and/or potential impairment of goodwill and intangible assets for our reporting units; product life cycles; useful lives of our tangible and intangible assets; allowances for doubtful accounts; the market value of, and demand for, our inventory; stock-based compensation forfeiture rates; when technological feasibility is achieved for our products; the potential outcome of uncertain tax positions that have been recognized in our consolidated financial statements or tax returns; and determining the timing and amount of impairments for investments. Actual results and outcomes may differ from management’s estimates and assumptions due to risks and uncertainties, including uncertainty in the current economic environment due to COVID-19.</w:t>
      </w:r>
    </w:p>
    <w:p>
      <w:pPr>
        <w:spacing w:after="0" w:line="15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July 2020, we completed an assessment of the useful lives of our server and network equipment and determined we should increase the estimated useful life of server equipment from three years to four years and increase the estimated useful life of network equipment from two years to four years. This change in accounting estimate was effective beginning fiscal year 2021. Based on the carrying amount of server and network equipment included in property and equipment, net as of June 30, 2020, the effect of this change in estimate for fiscal year 2021 was an increase in operating income of $2.7 billion and net income of $2.3 billion, or $0.30 per both basic and diluted share.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Currencies</w:t>
      </w:r>
    </w:p>
    <w:p>
      <w:pPr>
        <w:spacing w:after="0" w:line="17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Assets and liabilities recorded in foreign currencies are translated at the exchange rate on the balance sheet date. Revenue and expenses are translated at average rates of exchange prevailing during the year. Translation adjustments resulting from this process are recorded to other comprehensive income.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 and Service and Other Revenue</w:t>
      </w:r>
    </w:p>
    <w:p>
      <w:pPr>
        <w:spacing w:after="0" w:line="17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Product revenue includes sales from operating systems, cross-device productivity applications, server applications, business solution applications, desktop and server management tools, software development tools, video games, and hardware such as PCs, tablets, gaming and entertainment consoles, other intelligent devices, and related accessories.</w:t>
      </w:r>
    </w:p>
    <w:p>
      <w:pPr>
        <w:spacing w:after="0" w:line="14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Service and other revenue includes sales from cloud-based solutions that provide customers with software, services, platforms, and content such as Office 365, Azure, Dynamics 365, and Xbox; solution support; and consulting services. Service and other revenue also includes sales from online advertising and LinkedIn.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62" w:name="page63"/>
    <w:bookmarkEnd w:id="62"/>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Revenue is recognized upon transfer of control of promised products or services to customers in an amount that reflects the consideration we expect to receive in exchange for those products or services. We enter into contracts that can include various combinations of products and services, which are generally capable of being distinct and accounted for as separate performance obligations. Revenue is recognized net of allowances for returns and any taxes collected from customers, which are subsequently remitted to governmental authorities.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Products and Services</w:t>
      </w:r>
    </w:p>
    <w:p>
      <w:pPr>
        <w:spacing w:after="0" w:line="17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Licenses for on-premises software provide the customer with a right to use the software as it exists when made available to the customer. Customers may purchase perpetual licenses or subscribe to licenses, which provide customers with the same functionality and differ mainly in the duration over which the customer benefits from the software. Revenue from distinct on-premises licenses is recognized upfront at the point in time when the software is made available to the customer. In cases where we allocate revenue to software updates, primarily because the updates are provided at no additional charge, revenue is recognized as the updates are provided, which is generally ratably over the estimated life of the related device or license.</w:t>
      </w:r>
    </w:p>
    <w:p>
      <w:pPr>
        <w:spacing w:after="0" w:line="15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Certain volume licensing programs, including Enterprise Agreements, include on-premises licenses combined with Software Assurance (“SA”). SA conveys rights to new software and upgrades released over the contract period and provides support, tools, and training to help customers deploy and use products more efficiently. On-premises licenses are considered distinct performance obligations when sold with SA. Revenue allocated to SA is generally recognized ratably over the contract period as customers simultaneously consume and receive benefits, given that SA comprises distinct performance obligations that are satisfied over time.</w:t>
      </w:r>
    </w:p>
    <w:p>
      <w:pPr>
        <w:spacing w:after="0" w:line="14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Cloud services, which allow customers to use hosted software over the contract period without taking possession of the software, are provided on either a subscription or consumption basis. Revenue related to cloud services provided on a subscription basis is recognized ratably over the contract period. Revenue related to cloud services provided on a consumption basis, such as the amount of storage used in a period, is recognized based on the customer utilization of such resources. When cloud services require a significant level of integration and interdependency with software and the individual components are not considered distinct, all revenue is recognized over the period in which the cloud services are provided.</w:t>
      </w:r>
    </w:p>
    <w:p>
      <w:pPr>
        <w:spacing w:after="0" w:line="151"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Revenue from search advertising is recognized when the advertisement appears in the search results or when the action necessary to earn the revenue has been completed. Revenue from consulting services is recognized as services are provided.</w:t>
      </w:r>
    </w:p>
    <w:p>
      <w:pPr>
        <w:spacing w:after="0" w:line="14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hardware is generally highly dependent on, and interrelated with, the underlying operating system and cannot function without the operating system. In these cases, the hardware and software license are accounted for as a single performance obligation and revenue is recognized at the point in time when ownership is transferred to resellers or directly to end customers through retail stores and online marketplaces.</w:t>
      </w:r>
    </w:p>
    <w:p>
      <w:pPr>
        <w:spacing w:after="0" w:line="14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Refer to Note 19 – Segment Information and Geographic Data for further information, including revenue by significant product and service offering.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Judgments</w:t>
      </w:r>
    </w:p>
    <w:p>
      <w:pPr>
        <w:spacing w:after="0" w:line="17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When a cloud-based service includes both on-premises software licenses and cloud services, judgment is required to determine whether the software license is considered distinct and accounted for separately, or not distinct and accounted for together with the cloud service and recognized over time. Certain cloud services, primarily Office 365, depend on a significant level of integration, interdependency, and interrelation between the desktop applications and cloud services, and are accounted for together as one performance obligation. Revenue from Office 365 is recognized ratably over the period in which the cloud services are provided.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63" w:name="page64"/>
    <w:bookmarkEnd w:id="63"/>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3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Judgment is required to determine the SSP for each distinct performance obligation. We use a single amount to estimate SSP for items that are not sold separately, including on-premises licenses sold with SA or software updates provided at no additional charge. We use a range of amounts to estimate SSP when we sell each of the products and services separately and need to determine whether there is a discount to be allocated based on the relative SSP of the various products and services.</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instances where SSP is not directly observable, such as when we do not sell the product or service separately, we determine the SSP using information that may include market conditions and other observable inputs. We typically have more than one SSP for individual products and services due to the stratification of those products and services by customers and circumstances. In these instances, we may use information such as the size of the customer and geographic region in determining the SSP.</w:t>
      </w:r>
    </w:p>
    <w:p>
      <w:pPr>
        <w:spacing w:after="0" w:line="14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Due to the various benefits from and the nature of our SA program, judgment is required to assess the pattern of delivery, including the exercise pattern of certain benefits across our portfolio of customers.</w:t>
      </w:r>
    </w:p>
    <w:p>
      <w:pPr>
        <w:spacing w:after="0" w:line="14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products are generally sold with a right of return, we may provide other credits or incentives, and in certain instances we estimate customer usage of our products and services, which are accounted for as variable consideration when determining the amount of revenue to recognize. Returns and credits are estimated at contract inception and updated at the end of each reporting period if additional information becomes available. Changes to our estimated variable consideration were not material for the periods presented.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 and Other Receivables</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Timing of revenue recognition may differ from the timing of invoicing to customers. We record a receivable when revenue is recognized prior to invoicing, or unearned revenue when revenue is recognized subsequent to invoicing. For multi-year agreements, we generally invoice customers annually at the beginning of each annual coverage period. We record a receivable related to revenue recognized for multi-year on-premises licenses as we have an unconditional right to invoice and receive payment in the future related to those licenses.</w:t>
      </w:r>
    </w:p>
    <w:p>
      <w:pPr>
        <w:spacing w:after="0" w:line="14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Unearned revenue comprises mainly unearned revenue related to volume licensing programs, which may include SA and cloud services. Unearned revenue is generally invoiced annually at the beginning of each contract period for multi-year agreements and recognized ratably over the coverage period. Unearned revenue also includes payments for consulting services to be performed in the future, LinkedIn subscriptions, Office 365 subscriptions, Xbox subscriptions, Windows 10 post-delivery support, Dynamics business solutions, and other offerings for which we have been paid in advance and earn the revenue when we transfer control of the product or service.</w:t>
      </w:r>
    </w:p>
    <w:p>
      <w:pPr>
        <w:spacing w:after="0" w:line="14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Refer to Note 13 – Unearned Revenue for further information, including unearned revenue by segment and changes in unearned revenue during the period.</w:t>
      </w:r>
    </w:p>
    <w:p>
      <w:pPr>
        <w:spacing w:after="0" w:line="14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Payment terms and conditions vary by contract type, although terms generally include a requirement of payment within 30 to 60 days. In instances where the timing of revenue recognition differs from the timing of invoicing, we have determined our contracts generally do not include a significant financing component. The primary purpose of our invoicing terms is to provide customers with simplified and predictable ways of purchasing our products and services, not to receive financing from our customers or to provide customers with financing. Examples include invoicing at the beginning of a subscription term with revenue recognized ratably over the contract period, and multi-year on-premises licenses that are invoiced annually with revenue recognized upfront.</w:t>
      </w:r>
    </w:p>
    <w:p>
      <w:pPr>
        <w:spacing w:after="0" w:line="151"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As of June 30, 2021 and 2020, other receivables due from suppliers were $965 million and $442 million, respectively, and are included in accounts receivable, net in our consolidated balance sheets.</w:t>
      </w:r>
    </w:p>
    <w:p>
      <w:pPr>
        <w:spacing w:after="0" w:line="14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As of June 30, 2021 and 2020, long-term accounts receivable, net of allowance for doubtful accounts, was $3.4 billion and $2.7 billion, respectively, and is included in other long-term assets in our consolidated balance sheets.</w:t>
      </w:r>
    </w:p>
    <w:p>
      <w:pPr>
        <w:spacing w:after="0" w:line="144"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The allowance for doubtful accounts reflects our best estimate of probable losses inherent in the accounts receivable balance. We determine the allowance based on known troubled accounts, historical experience, and other currently available evidence.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64" w:name="page65"/>
    <w:bookmarkEnd w:id="64"/>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Activity in the allowance for doubtful accounts was as follows:</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52070</wp:posOffset>
            </wp:positionV>
            <wp:extent cx="70815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81520" cy="8255"/>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540" w:type="dxa"/>
            <w:vAlign w:val="bottom"/>
            <w:gridSpan w:val="2"/>
          </w:tcPr>
          <w:p>
            <w:pPr>
              <w:spacing w:after="0"/>
              <w:rPr>
                <w:sz w:val="20"/>
                <w:szCs w:val="20"/>
                <w:color w:val="auto"/>
              </w:rPr>
            </w:pPr>
            <w:r>
              <w:rPr>
                <w:rFonts w:ascii="Arial" w:cs="Arial" w:eastAsia="Arial" w:hAnsi="Arial"/>
                <w:sz w:val="13"/>
                <w:szCs w:val="13"/>
                <w:b w:val="1"/>
                <w:bCs w:val="1"/>
                <w:color w:val="auto"/>
              </w:rPr>
              <w:t>Year Ended June 30,</w:t>
            </w: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65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65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920" w:type="dxa"/>
            <w:vAlign w:val="bottom"/>
            <w:gridSpan w:val="2"/>
            <w:shd w:val="clear" w:color="auto" w:fill="E5E5E5"/>
          </w:tcPr>
          <w:p>
            <w:pPr>
              <w:jc w:val="right"/>
              <w:ind w:right="400"/>
              <w:spacing w:after="0" w:line="189" w:lineRule="exact"/>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816</w:t>
            </w:r>
          </w:p>
        </w:tc>
        <w:tc>
          <w:tcPr>
            <w:tcW w:w="200" w:type="dxa"/>
            <w:vAlign w:val="bottom"/>
            <w:shd w:val="clear" w:color="auto" w:fill="E5E5E5"/>
          </w:tcPr>
          <w:p>
            <w:pPr>
              <w:spacing w:after="0"/>
              <w:rPr>
                <w:sz w:val="16"/>
                <w:szCs w:val="16"/>
                <w:color w:val="auto"/>
              </w:rPr>
            </w:pPr>
          </w:p>
        </w:tc>
        <w:tc>
          <w:tcPr>
            <w:tcW w:w="480" w:type="dxa"/>
            <w:vAlign w:val="bottom"/>
            <w:shd w:val="clear" w:color="auto" w:fill="E5E5E5"/>
          </w:tcPr>
          <w:p>
            <w:pPr>
              <w:jc w:val="right"/>
              <w:ind w:right="290"/>
              <w:spacing w:after="0" w:line="189"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434</w:t>
            </w:r>
          </w:p>
        </w:tc>
        <w:tc>
          <w:tcPr>
            <w:tcW w:w="120" w:type="dxa"/>
            <w:vAlign w:val="bottom"/>
            <w:shd w:val="clear" w:color="auto" w:fill="E5E5E5"/>
          </w:tcPr>
          <w:p>
            <w:pPr>
              <w:spacing w:after="0"/>
              <w:rPr>
                <w:sz w:val="16"/>
                <w:szCs w:val="16"/>
                <w:color w:val="auto"/>
              </w:rPr>
            </w:pPr>
          </w:p>
        </w:tc>
        <w:tc>
          <w:tcPr>
            <w:tcW w:w="580" w:type="dxa"/>
            <w:vAlign w:val="bottom"/>
            <w:gridSpan w:val="2"/>
            <w:shd w:val="clear" w:color="auto" w:fill="E5E5E5"/>
          </w:tcPr>
          <w:p>
            <w:pPr>
              <w:jc w:val="right"/>
              <w:ind w:right="400"/>
              <w:spacing w:after="0" w:line="189"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397</w:t>
            </w:r>
          </w:p>
        </w:tc>
        <w:tc>
          <w:tcPr>
            <w:tcW w:w="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520" w:type="dxa"/>
            <w:vAlign w:val="bottom"/>
          </w:tcPr>
          <w:p>
            <w:pPr>
              <w:ind w:left="180"/>
              <w:spacing w:after="0" w:line="189" w:lineRule="exact"/>
              <w:rPr>
                <w:sz w:val="20"/>
                <w:szCs w:val="20"/>
                <w:color w:val="auto"/>
              </w:rPr>
            </w:pPr>
            <w:r>
              <w:rPr>
                <w:rFonts w:ascii="Arial" w:cs="Arial" w:eastAsia="Arial" w:hAnsi="Arial"/>
                <w:sz w:val="18"/>
                <w:szCs w:val="18"/>
                <w:color w:val="auto"/>
              </w:rPr>
              <w:t>Charged to costs and other</w:t>
            </w: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gridSpan w:val="2"/>
          </w:tcPr>
          <w:p>
            <w:pPr>
              <w:jc w:val="right"/>
              <w:ind w:right="20"/>
              <w:spacing w:after="0" w:line="189" w:lineRule="exact"/>
              <w:rPr>
                <w:sz w:val="20"/>
                <w:szCs w:val="20"/>
                <w:color w:val="auto"/>
              </w:rPr>
            </w:pPr>
            <w:r>
              <w:rPr>
                <w:rFonts w:ascii="Arial" w:cs="Arial" w:eastAsia="Arial" w:hAnsi="Arial"/>
                <w:sz w:val="18"/>
                <w:szCs w:val="18"/>
                <w:b w:val="1"/>
                <w:bCs w:val="1"/>
                <w:color w:val="auto"/>
              </w:rPr>
              <w:t>234</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560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153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520" w:type="dxa"/>
            <w:vAlign w:val="bottom"/>
            <w:shd w:val="clear" w:color="auto" w:fill="E5E5E5"/>
          </w:tcPr>
          <w:p>
            <w:pPr>
              <w:ind w:left="180"/>
              <w:spacing w:after="0" w:line="189" w:lineRule="exact"/>
              <w:rPr>
                <w:sz w:val="20"/>
                <w:szCs w:val="20"/>
                <w:color w:val="auto"/>
              </w:rPr>
            </w:pPr>
            <w:r>
              <w:rPr>
                <w:rFonts w:ascii="Arial" w:cs="Arial" w:eastAsia="Arial" w:hAnsi="Arial"/>
                <w:sz w:val="18"/>
                <w:szCs w:val="18"/>
                <w:color w:val="auto"/>
              </w:rPr>
              <w:t>Write-offs</w:t>
            </w:r>
          </w:p>
        </w:tc>
        <w:tc>
          <w:tcPr>
            <w:tcW w:w="42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980" w:type="dxa"/>
            <w:vAlign w:val="bottom"/>
            <w:gridSpan w:val="3"/>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(252)</w:t>
            </w:r>
          </w:p>
        </w:tc>
        <w:tc>
          <w:tcPr>
            <w:tcW w:w="48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(178)</w:t>
            </w:r>
          </w:p>
        </w:tc>
        <w:tc>
          <w:tcPr>
            <w:tcW w:w="8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840" w:type="dxa"/>
            <w:vAlign w:val="bottom"/>
            <w:gridSpan w:val="3"/>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5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gridSpan w:val="2"/>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Balance, end of period</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798</w:t>
            </w:r>
          </w:p>
        </w:tc>
        <w:tc>
          <w:tcPr>
            <w:tcW w:w="200" w:type="dxa"/>
            <w:vAlign w:val="bottom"/>
          </w:tcPr>
          <w:p>
            <w:pPr>
              <w:spacing w:after="0"/>
              <w:rPr>
                <w:sz w:val="22"/>
                <w:szCs w:val="22"/>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816</w:t>
            </w:r>
          </w:p>
        </w:tc>
        <w:tc>
          <w:tcPr>
            <w:tcW w:w="120" w:type="dxa"/>
            <w:vAlign w:val="bottom"/>
          </w:tcPr>
          <w:p>
            <w:pPr>
              <w:spacing w:after="0"/>
              <w:rPr>
                <w:sz w:val="22"/>
                <w:szCs w:val="22"/>
                <w:color w:val="auto"/>
              </w:rPr>
            </w:pPr>
          </w:p>
        </w:tc>
        <w:tc>
          <w:tcPr>
            <w:tcW w:w="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434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6560" w:type="dxa"/>
            <w:vAlign w:val="bottom"/>
            <w:gridSpan w:val="3"/>
            <w:vMerge w:val="restart"/>
          </w:tcPr>
          <w:p>
            <w:pPr>
              <w:spacing w:after="0"/>
              <w:rPr>
                <w:sz w:val="20"/>
                <w:szCs w:val="20"/>
                <w:color w:val="auto"/>
              </w:rPr>
            </w:pPr>
            <w:r>
              <w:rPr>
                <w:rFonts w:ascii="Arial" w:cs="Arial" w:eastAsia="Arial" w:hAnsi="Arial"/>
                <w:sz w:val="18"/>
                <w:szCs w:val="18"/>
                <w:color w:val="auto"/>
              </w:rPr>
              <w:t>Allowance for doubtful accounts included in our consolidated balance sheets:</w:t>
            </w:r>
          </w:p>
        </w:tc>
        <w:tc>
          <w:tcPr>
            <w:tcW w:w="42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7"/>
        </w:trPr>
        <w:tc>
          <w:tcPr>
            <w:tcW w:w="656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6560" w:type="dxa"/>
            <w:vAlign w:val="bottom"/>
            <w:gridSpan w:val="3"/>
          </w:tcPr>
          <w:p>
            <w:pPr>
              <w:spacing w:after="0"/>
              <w:rPr>
                <w:sz w:val="20"/>
                <w:szCs w:val="20"/>
                <w:color w:val="auto"/>
              </w:rPr>
            </w:pPr>
            <w:r>
              <w:rPr>
                <w:rFonts w:ascii="Arial" w:cs="Arial" w:eastAsia="Arial" w:hAnsi="Arial"/>
                <w:sz w:val="13"/>
                <w:szCs w:val="13"/>
                <w:b w:val="1"/>
                <w:bCs w:val="1"/>
                <w:color w:val="auto"/>
              </w:rPr>
              <w:t>(In millions)</w:t>
            </w: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560" w:type="dxa"/>
            <w:vAlign w:val="bottom"/>
            <w:tcBorders>
              <w:bottom w:val="single" w:sz="8" w:color="auto"/>
            </w:tcBorders>
            <w:gridSpan w:val="3"/>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6560" w:type="dxa"/>
            <w:vAlign w:val="bottom"/>
            <w:gridSpan w:val="3"/>
          </w:tcPr>
          <w:p>
            <w:pPr>
              <w:spacing w:after="0"/>
              <w:rPr>
                <w:sz w:val="20"/>
                <w:szCs w:val="20"/>
                <w:color w:val="auto"/>
              </w:rPr>
            </w:pPr>
            <w:r>
              <w:rPr>
                <w:rFonts w:ascii="Arial" w:cs="Arial" w:eastAsia="Arial" w:hAnsi="Arial"/>
                <w:sz w:val="13"/>
                <w:szCs w:val="13"/>
                <w:b w:val="1"/>
                <w:bCs w:val="1"/>
                <w:color w:val="auto"/>
              </w:rPr>
              <w:t>June 30,</w:t>
            </w: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6540" w:type="dxa"/>
            <w:vAlign w:val="bottom"/>
            <w:gridSpan w:val="2"/>
          </w:tcPr>
          <w:p>
            <w:pPr>
              <w:spacing w:after="0"/>
              <w:rPr>
                <w:sz w:val="4"/>
                <w:szCs w:val="4"/>
                <w:color w:val="auto"/>
              </w:rPr>
            </w:pPr>
          </w:p>
        </w:tc>
        <w:tc>
          <w:tcPr>
            <w:tcW w:w="920" w:type="dxa"/>
            <w:vAlign w:val="bottom"/>
            <w:gridSpan w:val="2"/>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80" w:type="dxa"/>
            <w:vAlign w:val="bottom"/>
            <w:gridSpan w:val="2"/>
          </w:tcPr>
          <w:p>
            <w:pPr>
              <w:spacing w:after="0"/>
              <w:rPr>
                <w:sz w:val="4"/>
                <w:szCs w:val="4"/>
                <w:color w:val="auto"/>
              </w:rPr>
            </w:pPr>
          </w:p>
        </w:tc>
        <w:tc>
          <w:tcPr>
            <w:tcW w:w="580" w:type="dxa"/>
            <w:vAlign w:val="bottom"/>
            <w:gridSpan w:val="2"/>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540" w:type="dxa"/>
            <w:vAlign w:val="bottom"/>
            <w:gridSpan w:val="2"/>
            <w:shd w:val="clear" w:color="auto" w:fill="E5E5E5"/>
          </w:tcPr>
          <w:p>
            <w:pPr>
              <w:spacing w:after="0" w:line="189" w:lineRule="exact"/>
              <w:rPr>
                <w:sz w:val="20"/>
                <w:szCs w:val="20"/>
                <w:color w:val="auto"/>
              </w:rPr>
            </w:pPr>
            <w:r>
              <w:rPr>
                <w:rFonts w:ascii="Arial" w:cs="Arial" w:eastAsia="Arial" w:hAnsi="Arial"/>
                <w:sz w:val="18"/>
                <w:szCs w:val="18"/>
                <w:color w:val="auto"/>
              </w:rPr>
              <w:t>Accounts receivable, net of allowance for doubtful accounts</w:t>
            </w:r>
          </w:p>
        </w:tc>
        <w:tc>
          <w:tcPr>
            <w:tcW w:w="920" w:type="dxa"/>
            <w:vAlign w:val="bottom"/>
            <w:gridSpan w:val="2"/>
            <w:shd w:val="clear" w:color="auto" w:fill="E5E5E5"/>
          </w:tcPr>
          <w:p>
            <w:pPr>
              <w:jc w:val="right"/>
              <w:ind w:right="400"/>
              <w:spacing w:after="0" w:line="189" w:lineRule="exact"/>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751</w:t>
            </w:r>
          </w:p>
        </w:tc>
        <w:tc>
          <w:tcPr>
            <w:tcW w:w="200" w:type="dxa"/>
            <w:vAlign w:val="bottom"/>
            <w:shd w:val="clear" w:color="auto" w:fill="E5E5E5"/>
          </w:tcPr>
          <w:p>
            <w:pPr>
              <w:spacing w:after="0"/>
              <w:rPr>
                <w:sz w:val="16"/>
                <w:szCs w:val="16"/>
                <w:color w:val="auto"/>
              </w:rPr>
            </w:pPr>
          </w:p>
        </w:tc>
        <w:tc>
          <w:tcPr>
            <w:tcW w:w="480" w:type="dxa"/>
            <w:vAlign w:val="bottom"/>
            <w:shd w:val="clear" w:color="auto" w:fill="E5E5E5"/>
          </w:tcPr>
          <w:p>
            <w:pPr>
              <w:jc w:val="right"/>
              <w:ind w:right="290"/>
              <w:spacing w:after="0" w:line="189"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788</w:t>
            </w:r>
          </w:p>
        </w:tc>
        <w:tc>
          <w:tcPr>
            <w:tcW w:w="580" w:type="dxa"/>
            <w:vAlign w:val="bottom"/>
            <w:gridSpan w:val="2"/>
            <w:shd w:val="clear" w:color="auto" w:fill="E5E5E5"/>
          </w:tcPr>
          <w:p>
            <w:pPr>
              <w:jc w:val="right"/>
              <w:ind w:right="400"/>
              <w:spacing w:after="0" w:line="189" w:lineRule="exact"/>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411</w:t>
            </w:r>
          </w:p>
        </w:tc>
        <w:tc>
          <w:tcPr>
            <w:tcW w:w="4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Other long-term assets</w:t>
            </w: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47</w:t>
            </w: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652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6520" w:type="dxa"/>
            <w:vAlign w:val="bottom"/>
            <w:shd w:val="clear" w:color="auto" w:fill="E5E5E5"/>
          </w:tcPr>
          <w:p>
            <w:pPr>
              <w:ind w:left="180"/>
              <w:spacing w:after="0" w:line="189" w:lineRule="exact"/>
              <w:rPr>
                <w:sz w:val="20"/>
                <w:szCs w:val="20"/>
                <w:color w:val="auto"/>
              </w:rPr>
            </w:pPr>
            <w:r>
              <w:rPr>
                <w:rFonts w:ascii="Arial" w:cs="Arial" w:eastAsia="Arial" w:hAnsi="Arial"/>
                <w:sz w:val="18"/>
                <w:szCs w:val="18"/>
                <w:color w:val="auto"/>
              </w:rPr>
              <w:t>Total</w:t>
            </w:r>
          </w:p>
        </w:tc>
        <w:tc>
          <w:tcPr>
            <w:tcW w:w="920" w:type="dxa"/>
            <w:vAlign w:val="bottom"/>
            <w:gridSpan w:val="2"/>
            <w:shd w:val="clear" w:color="auto" w:fill="E5E5E5"/>
          </w:tcPr>
          <w:p>
            <w:pPr>
              <w:jc w:val="right"/>
              <w:ind w:right="400"/>
              <w:spacing w:after="0" w:line="189" w:lineRule="exact"/>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798</w:t>
            </w:r>
          </w:p>
        </w:tc>
        <w:tc>
          <w:tcPr>
            <w:tcW w:w="200" w:type="dxa"/>
            <w:vAlign w:val="bottom"/>
            <w:shd w:val="clear" w:color="auto" w:fill="E5E5E5"/>
          </w:tcPr>
          <w:p>
            <w:pPr>
              <w:spacing w:after="0"/>
              <w:rPr>
                <w:sz w:val="16"/>
                <w:szCs w:val="16"/>
                <w:color w:val="auto"/>
              </w:rPr>
            </w:pPr>
          </w:p>
        </w:tc>
        <w:tc>
          <w:tcPr>
            <w:tcW w:w="480" w:type="dxa"/>
            <w:vAlign w:val="bottom"/>
            <w:shd w:val="clear" w:color="auto" w:fill="E5E5E5"/>
          </w:tcPr>
          <w:p>
            <w:pPr>
              <w:jc w:val="right"/>
              <w:ind w:right="290"/>
              <w:spacing w:after="0" w:line="189"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816</w:t>
            </w:r>
          </w:p>
        </w:tc>
        <w:tc>
          <w:tcPr>
            <w:tcW w:w="580" w:type="dxa"/>
            <w:vAlign w:val="bottom"/>
            <w:gridSpan w:val="2"/>
            <w:shd w:val="clear" w:color="auto" w:fill="E5E5E5"/>
          </w:tcPr>
          <w:p>
            <w:pPr>
              <w:jc w:val="right"/>
              <w:ind w:right="400"/>
              <w:spacing w:after="0" w:line="189" w:lineRule="exact"/>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434</w:t>
            </w:r>
          </w:p>
        </w:tc>
        <w:tc>
          <w:tcPr>
            <w:tcW w:w="4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5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record financing receivables when we offer certain of our customers the option to acquire our software products and services offerings through a financing program in a limited number of countries. As of June 30, 2021 and 2020, our financing receivables, net were $4.4 billion and $5.2 billion, respectively, for short-term and long-term financing receivables, which are included in other current assets and other long-term assets in our consolidated balance sheets. We record an allowance to cover expected losses based on troubled accounts, historical experience, and other currently available evidence.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Recognized from Costs to Obtain a Contract with a Customer</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recognize an asset for the incremental costs of obtaining a contract with a customer if we expect the benefit of those costs to be longer than one year. We have determined that certain sales incentive programs meet the requirements to be capitalized. Total capitalized costs to obtain a contract were immaterial during the periods presented and are included in other current and long-term assets in our consolidated balance sheets.</w:t>
      </w:r>
    </w:p>
    <w:p>
      <w:pPr>
        <w:spacing w:after="0" w:line="14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apply a practical expedient to expense costs as incurred for costs to obtain a contract with a customer when the amortization period would have been one year or less. These costs include our internal sales force compensation program and certain partner sales incentive programs as we have determined annual compensation is commensurate with annual sales activities.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17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Cost of revenue includes: manufacturing and distribution costs for products sold and programs licensed; operating costs related to product support service centers and product distribution centers; costs incurred to include software on PCs sold by original equipment manufacturers (“OEM”), to drive traffic to our websites, and to acquire online advertising space; costs incurred to support and maintain online products and services, including datacenter costs and royalties; warranty costs; inventory valuation adjustments; costs associated with the delivery of consulting services; and the amortization of capitalized software development costs. Capitalized software development costs are amortized over the estimated lives of the products.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Warranty</w:t>
      </w:r>
    </w:p>
    <w:p>
      <w:pPr>
        <w:spacing w:after="0" w:line="17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provide for the estimated costs of fulfilling our obligations under hardware and software warranties at the time the related revenue is recognized. For hardware warranties, we estimate the costs based on historical and projected product failure rates, historical and projected repair costs, and knowledge of specific product failures (if any). The specific hardware warranty terms and conditions vary depending upon the product sold and the country in which we do business, but generally include parts and labor over a period generally ranging from 90 days to three years. For software warranties, we estimate the costs to provide bug fixes, such as security patches, over the estimated life of the software. We regularly reevaluate our estimates to assess the adequacy of the recorded warranty liabilities and adjust the amounts as necessary.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65" w:name="page66"/>
    <w:bookmarkEnd w:id="65"/>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7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Research and development expenses include payroll, employee benefits, stock-based compensation expense, and other headcount-related expenses associated with product development. Research and development expenses also include third-party development and programming costs, localization costs incurred to translate software for international markets, and the amortization of purchased software code and services content. Such costs related to software development are included in research and development expense until the point that technological feasibility is reached, which for our software products, is generally shortly before the products are released to production. Once technological feasibility is reached, such costs are capitalized and amortized to cost of revenue over the estimated lives of the products.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Sales and marketing expenses include payroll, employee benefits, stock-based compensation expense, and other headcount-related expenses associated with sales and marketing personnel, and the costs of advertising, promotions, trade shows, seminars, and other programs. Advertising costs are expensed as incurred. Advertising expense was $1.5 billion, $1.6 billion, and $1.6 billion in fiscal years 2021, 2020, and 2019,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7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Compensation cost for stock awards, which include restricted stock units (“RSUs”) and performance stock units (“PSUs”), is measured at the fair value on the grant date and recognized as expense, net of estimated forfeitures, over the related service or performance period. The fair value of stock awards is based on the quoted price of our common stock on the grant date less the present value of expected dividends not received during the vesting period. We measure the fair value of PSUs using a Monte Carlo valuation model. Compensation cost for RSUs is recognized using the straight-line method and for PSUs is recognized using the accelerated method.</w:t>
      </w:r>
    </w:p>
    <w:p>
      <w:pPr>
        <w:spacing w:after="0" w:line="14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Compensation expense for the employee stock purchase plan (“ESPP”) is measured as the discount the employee is entitled to upon purchase and is recognized in the period of purchase.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Income tax expense includes U.S. and international income taxes, and interest and penalties on uncertain tax positions. Certain income and expenses are not reported in tax returns and financial statements in the same year. The tax effect of such temporary differences is reported as deferred income taxes. Deferred tax assets are reported net of a valuation allowance when it is more likely than not that a tax benefit will not be realized. All deferred income taxes are classified as long-term in our consolidated balance sheets.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7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consider all highly liquid interest-earning investments with a maturity of three months or less at the date of purchase to be cash equivalents. The fair values of these investments approximate their carrying values. In general, investments with original maturities of greater than three months and remaining maturities of less than one year are classified as short-term investments. Investments with maturities beyond one year may be classified as short-term based on their highly liquid nature and because such marketable securities represent the investment of cash that is available for current operations.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66" w:name="page67"/>
    <w:bookmarkEnd w:id="66"/>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36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Debt investments are classified as available-for-sale and realized gains and losses are recorded using the specific identification method. Changes in fair value, excluding credit losses and impairments, are recorded in other comprehensive income. Fair value is calculated based on publicly available market information or other estimates determined by management. If the cost of an investment exceeds its fair value, we evaluate, among other factors, general market conditions, credit quality of debt instrument issuers, and the extent to which the fair value is less than cost. To determine credit losses, we employ a systematic methodology that considers available quantitative and qualitative evidence. In addition, we consider specific adverse conditions related to the financial health of, and business outlook for, the investee. If we have plans to sell the security or it is more likely than not that we will be required to sell the security before recovery, then a decline in fair value below cost is recorded as an impairment charge in other income (expense), net and a new cost basis in the investment is established. If market, industry, and/or investee conditions deteriorate, we may incur future impairments.</w:t>
      </w:r>
    </w:p>
    <w:p>
      <w:pPr>
        <w:spacing w:after="0" w:line="15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Equity investments with readily determinable fair values are measured at fair value. Equity investments without readily determinable fair values are measured using the equity method or measured at cost with adjustments for observable changes in price or impairments (referred to as the measurement alternative). We perform a qualitative assessment on a periodic basis and recognize an impairment if there are sufficient indicators that the fair value of the investment is less than carrying value. Changes in value are recorded in other income (expense), net.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7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Derivative instruments are recognized as either assets or liabilities and measured at fair value. The accounting for changes in the fair value of a derivative depends on the intended use of the derivative and the resulting designation.</w:t>
      </w:r>
    </w:p>
    <w:p>
      <w:pPr>
        <w:spacing w:after="0" w:line="14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derivative instruments designated as fair value hedges, gains and losses are recognized in other income (expense), net with offsetting gains and losses on the hedged items. Gains and losses representing hedge components excluded from the assessment of effectiveness are recognized in other income (expense), net.</w:t>
      </w:r>
    </w:p>
    <w:p>
      <w:pPr>
        <w:spacing w:after="0" w:line="14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derivative instruments designated as cash flow hedges, gains and losses are initially reported as a component of other comprehensive income and subsequently recognized in earnings with the corresponding hedged item. Gains and losses representing hedge components excluded from the assessment of effectiveness are recognized in earnings.</w:t>
      </w:r>
    </w:p>
    <w:p>
      <w:pPr>
        <w:spacing w:after="0" w:line="14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For derivative instruments that are not designated as hedges, gains and losses from changes in fair values are primarily recognized in other income (expense), net.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7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account for certain assets and liabilities at fair value. The hierarchy below lists three levels of fair value based on the extent to which inputs used in measuring fair value are observable in the market. We categorize each of our fair value measurements in one of these three levels based on the lowest level input that is significant to the fair value measurement in its entirety. These levels are:</w:t>
      </w:r>
    </w:p>
    <w:p>
      <w:pPr>
        <w:spacing w:after="0" w:line="36" w:lineRule="exact"/>
        <w:rPr>
          <w:sz w:val="20"/>
          <w:szCs w:val="20"/>
          <w:color w:val="auto"/>
        </w:rPr>
      </w:pPr>
    </w:p>
    <w:p>
      <w:pPr>
        <w:jc w:val="both"/>
        <w:ind w:left="1060" w:hanging="393"/>
        <w:spacing w:after="0" w:line="249"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inputs are based upon unadjusted quoted prices for identical instruments in active markets. Our Level 1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U.S. government securities, common and preferred stock, and mutual funds. Our Level 1 derivative assets and liabilities include those actively traded on exchanges.</w:t>
      </w:r>
    </w:p>
    <w:p>
      <w:pPr>
        <w:spacing w:after="0" w:line="28" w:lineRule="exact"/>
        <w:rPr>
          <w:rFonts w:ascii="Arial" w:cs="Arial" w:eastAsia="Arial" w:hAnsi="Arial"/>
          <w:sz w:val="18"/>
          <w:szCs w:val="18"/>
          <w:color w:val="auto"/>
        </w:rPr>
      </w:pPr>
    </w:p>
    <w:p>
      <w:pPr>
        <w:jc w:val="both"/>
        <w:ind w:left="1060" w:hanging="393"/>
        <w:spacing w:after="0" w:line="238"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are based upon quoted prices for similar instruments in active markets, quoted prices for identical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in markets that are not active, and model-based valuation techniques (e.g. the Black-Scholes model) for which all significant inputs are observable in the market or can be corroborated by observable market data for substantially the full term of the assets or liabilities. Where applicable, these models project future cash flows and discount the future amounts to a present value using market-based observable inputs including interest rate curves, credit spreads, foreign exchange rates, and forward and spot prices for currencies. Our Level 2 investments include commercial paper, certificates of deposit, U.S. agency securities, foreign government bonds, mortgage- and asset-backed securities, corporate notes and bonds, and municipal securities. Our Level 2 derivative assets and liabilities primarily include certain over-the-counter option and swap contracts.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67" w:name="page68"/>
    <w:bookmarkEnd w:id="67"/>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249" w:lineRule="exact"/>
        <w:rPr>
          <w:sz w:val="20"/>
          <w:szCs w:val="20"/>
          <w:color w:val="auto"/>
        </w:rPr>
      </w:pPr>
    </w:p>
    <w:p>
      <w:pPr>
        <w:jc w:val="both"/>
        <w:ind w:left="1060" w:hanging="393"/>
        <w:spacing w:after="0" w:line="241"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inputs are generally unobservable and typically reflect management’s estimates of assumptions that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would use in pricing the asset or liability. The fair values are therefore determined using model-based techniques, including option pricing models and discounted cash flow models. Our Level 3 assets and liabilities include investments in corporate notes and bonds, municipal securities, and goodwill and intangible assets, when they are recorded at fair value due to an impairment charge. Unobservable inputs used in the models are significant to the fair values of the assets and liabilities.</w:t>
      </w:r>
    </w:p>
    <w:p>
      <w:pPr>
        <w:spacing w:after="0" w:line="14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measure equity investments without readily determinable fair values on a nonrecurring basis. The fair values of these investments are determined based on valuation techniques using the best information available, and may include quoted market prices, market comparables, and discounted cash flow projections.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Our other current financial assets and current financial liabilities have fair values that approximate their carrying values.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7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Inventories are stated at average cost, subject to the lower of cost or net realizable value. Cost includes materials, labor, and manufacturing overhead related to the purchase and production of inventories. Net realizable value is the estimated selling price less estimated costs of completion, disposal, and transportation. We regularly review inventory quantities on hand, future purchase commitments with our suppliers, and the estimated utility of our inventory. If our review indicates a reduction in utility below carrying value, we reduce our inventory to a new cost basis through a charge to cost of revenue.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7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Property and equipment is stated at cost less accumulated depreciation, and depreciated using the straight-line method over the shorter of the estimated useful life of the asset or the lease term. The estimated useful lives of our property and equipment are generally as follows: computer software developed or acquired for internal use, three to seven years; computer equipment, two to four years; buildings and improvements, five to 15 years; leasehold improvements, three to 20 years; and furniture and equipment, one to 10 years. Land is not depreciated.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7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determine if an arrangement is a lease at inception. Operating leases are included in operating lease right-of-use (“ROU”) assets, other current liabilities, and operating lease liabilities in our consolidated balance sheets. Finance leases are included in property and equipment, other current liabilities, and other long-term liabilities in our consolidated balance sheets.</w:t>
      </w:r>
    </w:p>
    <w:p>
      <w:pPr>
        <w:spacing w:after="0" w:line="14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our leases do not provide an implicit rate, we generally use our incremental borrowing rate based on the estimated rate of interest for collateralized borrowing over a similar term of the lease payments at commencement date. The operating lease ROU asset also includes any lease payments made and excludes lease incentives. Our lease terms may include options to extend or terminate the lease when it is reasonably certain that we will exercise that option. Lease expense for lease payments is recognized on a straight-line basis over the lease term.</w:t>
      </w:r>
    </w:p>
    <w:p>
      <w:pPr>
        <w:spacing w:after="0" w:line="14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have lease agreements with lease and non-lease components, which are generally accounted for separately. For certain equipment leases, such as vehicles, we account for the lease and non-lease components as a single lease component. Additionally, for certain equipment leases, we apply a portfolio approach to effectively account for the operating lease ROU assets and liabilities.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7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Goodwill is tested for impairment at the reporting unit level (operating segment or one level below an operating segment) on an annual basis (May 1 for us) and between annual tests if an event occurs or circumstances change that would more likely than not reduce the fair value of a reporting unit below its carrying value.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68" w:name="page69"/>
    <w:bookmarkEnd w:id="68"/>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7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intangible assets are subject to amortization and are amortized using the straight-line method over their estimated period of benefit, ranging from one to 20 years. We evaluate the recoverability of intangible assets periodically by taking into account events or circumstances that may warrant revised estimates of useful lives or that indicate the asset may be impaired.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Guidance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Guidance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 Credit Losses</w:t>
      </w:r>
    </w:p>
    <w:p>
      <w:pPr>
        <w:spacing w:after="0" w:line="17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June 2016, the FASB issued a new standard to replace the incurred loss impairment methodology under current GAAP with a methodology that reflects expected credit losses and requires consideration of a broader range of reasonable and supportable information to inform credit loss estimates. We adopted the standard effective July 1, 2020. We use a forward-looking expected credit loss model for accounts receivable, loans, and other financial instruments. Credit losses relating to available-for-sale debt securities are recorded through an allowance for credit losses rather than as a reduction in the amortized cost basis of the securities. We applied a modified retrospective approach through a cumulative-effect adjustment to retained earnings as of the effective date to align our credit loss methodology with the new standard. The adoption of the standard did not have a material impact on our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Guidance Not Yet Adopted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pacing w:after="0" w:line="17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December 2019, the FASB issued a new standard to simplify the accounting for income taxes. The guidance eliminates certain exceptions related to the approach for intraperiod tax allocation, the methodology for calculating income taxes in an interim period, and the recognition of deferred tax liabilities for outside basis differences related to changes in ownership of equity method investments and foreign subsidiaries. The guidance also simplifies aspects of accounting for franchise taxes and enacted changes in tax laws or rates, and clarifies the accounting for transactions that result in a step-up in the tax basis of goodwill. The standard will be effective for us beginning July 1, 2021. We have completed our assessment and concluded that adoption of the new standard will not have a material impact on our consolidated financial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2 — EARNINGS PER SHARE</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Basic earnings per share (“EPS”) is computed based on the weighted average number of shares of common stock outstanding during the period. Diluted EPS is computed based on the weighted average number of shares of common stock plus the effect of dilutive potential common shares outstanding during the period using the treasury stock method. Dilutive potential common shares include outstanding stock options and stock awards.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basic and diluted EPS were as follows:</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 except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06437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320" w:type="dxa"/>
            <w:vAlign w:val="bottom"/>
            <w:gridSpan w:val="2"/>
          </w:tcPr>
          <w:p>
            <w:pPr>
              <w:spacing w:after="0"/>
              <w:rPr>
                <w:sz w:val="20"/>
                <w:szCs w:val="20"/>
                <w:color w:val="auto"/>
              </w:rPr>
            </w:pPr>
            <w:r>
              <w:rPr>
                <w:rFonts w:ascii="Arial" w:cs="Arial" w:eastAsia="Arial" w:hAnsi="Arial"/>
                <w:sz w:val="13"/>
                <w:szCs w:val="13"/>
                <w:b w:val="1"/>
                <w:bCs w:val="1"/>
                <w:color w:val="auto"/>
              </w:rPr>
              <w:t>Year Ended June 30,</w:t>
            </w:r>
          </w:p>
        </w:tc>
        <w:tc>
          <w:tcPr>
            <w:tcW w:w="36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7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73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income available for common shareholders (A)</w:t>
            </w:r>
          </w:p>
        </w:tc>
        <w:tc>
          <w:tcPr>
            <w:tcW w:w="360" w:type="dxa"/>
            <w:vAlign w:val="bottom"/>
            <w:shd w:val="clear" w:color="auto" w:fill="E5E5E5"/>
          </w:tcPr>
          <w:p>
            <w:pPr>
              <w:jc w:val="right"/>
              <w:ind w:right="170"/>
              <w:spacing w:after="0" w:line="189" w:lineRule="exact"/>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61,271</w:t>
            </w:r>
          </w:p>
        </w:tc>
        <w:tc>
          <w:tcPr>
            <w:tcW w:w="44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44,281</w:t>
            </w:r>
          </w:p>
        </w:tc>
        <w:tc>
          <w:tcPr>
            <w:tcW w:w="4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39,240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tcPr>
          <w:p>
            <w:pPr>
              <w:spacing w:after="0" w:line="189" w:lineRule="exact"/>
              <w:rPr>
                <w:sz w:val="20"/>
                <w:szCs w:val="20"/>
                <w:color w:val="auto"/>
              </w:rPr>
            </w:pPr>
            <w:r>
              <w:rPr>
                <w:rFonts w:ascii="Arial" w:cs="Arial" w:eastAsia="Arial" w:hAnsi="Arial"/>
                <w:sz w:val="18"/>
                <w:szCs w:val="18"/>
                <w:color w:val="auto"/>
              </w:rPr>
              <w:t>Weighted average outstanding shares of common stock (B)</w:t>
            </w:r>
          </w:p>
        </w:tc>
        <w:tc>
          <w:tcPr>
            <w:tcW w:w="360" w:type="dxa"/>
            <w:vAlign w:val="bottom"/>
          </w:tcPr>
          <w:p>
            <w:pPr>
              <w:spacing w:after="0"/>
              <w:rPr>
                <w:sz w:val="16"/>
                <w:szCs w:val="16"/>
                <w:color w:val="auto"/>
              </w:rPr>
            </w:pPr>
          </w:p>
        </w:tc>
        <w:tc>
          <w:tcPr>
            <w:tcW w:w="90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7,547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7,610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7,673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Dilutive effect of stock-based awards</w:t>
            </w:r>
          </w:p>
        </w:tc>
        <w:tc>
          <w:tcPr>
            <w:tcW w:w="3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61</w:t>
            </w:r>
          </w:p>
        </w:tc>
        <w:tc>
          <w:tcPr>
            <w:tcW w:w="1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73</w:t>
            </w:r>
          </w:p>
        </w:tc>
        <w:tc>
          <w:tcPr>
            <w:tcW w:w="12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3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7320" w:type="dxa"/>
            <w:vAlign w:val="bottom"/>
            <w:gridSpan w:val="2"/>
          </w:tcPr>
          <w:p>
            <w:pPr>
              <w:spacing w:after="0"/>
              <w:rPr>
                <w:sz w:val="20"/>
                <w:szCs w:val="20"/>
                <w:color w:val="auto"/>
              </w:rPr>
            </w:pPr>
            <w:r>
              <w:rPr>
                <w:rFonts w:ascii="Arial" w:cs="Arial" w:eastAsia="Arial" w:hAnsi="Arial"/>
                <w:sz w:val="18"/>
                <w:szCs w:val="18"/>
                <w:color w:val="auto"/>
              </w:rPr>
              <w:t>Common stock and common stock equivalents (C)</w:t>
            </w:r>
          </w:p>
        </w:tc>
        <w:tc>
          <w:tcPr>
            <w:tcW w:w="360" w:type="dxa"/>
            <w:vAlign w:val="bottom"/>
          </w:tcPr>
          <w:p>
            <w:pPr>
              <w:spacing w:after="0"/>
              <w:rPr>
                <w:sz w:val="22"/>
                <w:szCs w:val="2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7,608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7,683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7,753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73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Earnings Per Share</w:t>
            </w:r>
          </w:p>
        </w:tc>
        <w:tc>
          <w:tcPr>
            <w:tcW w:w="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732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7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73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Basic (A/B)</w:t>
            </w:r>
          </w:p>
        </w:tc>
        <w:tc>
          <w:tcPr>
            <w:tcW w:w="360" w:type="dxa"/>
            <w:vAlign w:val="bottom"/>
            <w:shd w:val="clear" w:color="auto" w:fill="E5E5E5"/>
          </w:tcPr>
          <w:p>
            <w:pPr>
              <w:jc w:val="right"/>
              <w:ind w:right="170"/>
              <w:spacing w:after="0" w:line="189" w:lineRule="exact"/>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8.12</w:t>
            </w:r>
          </w:p>
        </w:tc>
        <w:tc>
          <w:tcPr>
            <w:tcW w:w="44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5.82</w:t>
            </w:r>
          </w:p>
        </w:tc>
        <w:tc>
          <w:tcPr>
            <w:tcW w:w="4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5.11</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 w:type="dxa"/>
            <w:vAlign w:val="bottom"/>
            <w:tcBorders>
              <w:bottom w:val="single" w:sz="8" w:color="auto"/>
            </w:tcBorders>
          </w:tcPr>
          <w:p>
            <w:pPr>
              <w:spacing w:after="0"/>
              <w:rPr>
                <w:sz w:val="21"/>
                <w:szCs w:val="21"/>
                <w:color w:val="auto"/>
              </w:rPr>
            </w:pPr>
          </w:p>
        </w:tc>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 (A/C)</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8.05</w:t>
            </w:r>
          </w:p>
        </w:tc>
        <w:tc>
          <w:tcPr>
            <w:tcW w:w="4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5.76</w:t>
            </w:r>
          </w:p>
        </w:tc>
        <w:tc>
          <w:tcPr>
            <w:tcW w:w="4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Anti-dilutive stock-based awards excluded from the calculations of diluted EPS were immaterial during the periods presented.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69" w:name="page70"/>
    <w:bookmarkEnd w:id="69"/>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line="229" w:lineRule="exact"/>
        <w:rPr>
          <w:sz w:val="20"/>
          <w:szCs w:val="20"/>
          <w:color w:val="auto"/>
        </w:rPr>
      </w:pPr>
    </w:p>
    <w:p>
      <w:pPr>
        <w:ind w:right="3720" w:firstLine="3719"/>
        <w:spacing w:after="0" w:line="431" w:lineRule="auto"/>
        <w:rPr>
          <w:sz w:val="20"/>
          <w:szCs w:val="20"/>
          <w:color w:val="auto"/>
        </w:rPr>
      </w:pPr>
      <w:r>
        <w:rPr>
          <w:rFonts w:ascii="Arial" w:cs="Arial" w:eastAsia="Arial" w:hAnsi="Arial"/>
          <w:sz w:val="18"/>
          <w:szCs w:val="18"/>
          <w:u w:val="single" w:color="auto"/>
          <w:color w:val="auto"/>
        </w:rPr>
        <w:t xml:space="preserve">NOTE 3 — OTHER INCOME (EXPENSE), NET </w:t>
      </w:r>
      <w:r>
        <w:rPr>
          <w:rFonts w:ascii="Arial" w:cs="Arial" w:eastAsia="Arial" w:hAnsi="Arial"/>
          <w:sz w:val="18"/>
          <w:szCs w:val="18"/>
          <w:color w:val="auto"/>
        </w:rPr>
        <w:t>The components of other income (expense), net were as follows: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06437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520" w:type="dxa"/>
            <w:vAlign w:val="bottom"/>
            <w:gridSpan w:val="2"/>
          </w:tcPr>
          <w:p>
            <w:pPr>
              <w:spacing w:after="0"/>
              <w:rPr>
                <w:sz w:val="20"/>
                <w:szCs w:val="20"/>
                <w:color w:val="auto"/>
              </w:rPr>
            </w:pPr>
            <w:r>
              <w:rPr>
                <w:rFonts w:ascii="Arial" w:cs="Arial" w:eastAsia="Arial" w:hAnsi="Arial"/>
                <w:sz w:val="13"/>
                <w:szCs w:val="13"/>
                <w:b w:val="1"/>
                <w:bCs w:val="1"/>
                <w:color w:val="auto"/>
              </w:rPr>
              <w:t>Year Ended June 30,</w:t>
            </w:r>
          </w:p>
        </w:tc>
        <w:tc>
          <w:tcPr>
            <w:tcW w:w="1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55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5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Interest and dividends income</w:t>
            </w:r>
          </w:p>
        </w:tc>
        <w:tc>
          <w:tcPr>
            <w:tcW w:w="2180" w:type="dxa"/>
            <w:vAlign w:val="bottom"/>
            <w:gridSpan w:val="2"/>
            <w:shd w:val="clear" w:color="auto" w:fill="E5E5E5"/>
          </w:tcPr>
          <w:p>
            <w:pPr>
              <w:jc w:val="right"/>
              <w:ind w:right="280"/>
              <w:spacing w:after="0" w:line="189" w:lineRule="exact"/>
              <w:rPr>
                <w:sz w:val="20"/>
                <w:szCs w:val="20"/>
                <w:color w:val="auto"/>
              </w:rPr>
            </w:pPr>
            <w:r>
              <w:rPr>
                <w:rFonts w:ascii="Arial" w:cs="Arial" w:eastAsia="Arial" w:hAnsi="Arial"/>
                <w:sz w:val="18"/>
                <w:szCs w:val="18"/>
                <w:b w:val="1"/>
                <w:bCs w:val="1"/>
                <w:color w:val="auto"/>
              </w:rPr>
              <w:t>$</w:t>
            </w:r>
          </w:p>
        </w:tc>
        <w:tc>
          <w:tcPr>
            <w:tcW w:w="960" w:type="dxa"/>
            <w:vAlign w:val="bottom"/>
            <w:gridSpan w:val="3"/>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2,131</w:t>
            </w:r>
          </w:p>
        </w:tc>
        <w:tc>
          <w:tcPr>
            <w:tcW w:w="380" w:type="dxa"/>
            <w:vAlign w:val="bottom"/>
            <w:gridSpan w:val="2"/>
            <w:shd w:val="clear" w:color="auto" w:fill="E5E5E5"/>
          </w:tcPr>
          <w:p>
            <w:pPr>
              <w:ind w:left="20"/>
              <w:spacing w:after="0" w:line="189" w:lineRule="exact"/>
              <w:rPr>
                <w:sz w:val="20"/>
                <w:szCs w:val="20"/>
                <w:color w:val="auto"/>
              </w:rPr>
            </w:pPr>
            <w:r>
              <w:rPr>
                <w:rFonts w:ascii="Arial" w:cs="Arial" w:eastAsia="Arial" w:hAnsi="Arial"/>
                <w:sz w:val="18"/>
                <w:szCs w:val="18"/>
                <w:color w:val="auto"/>
              </w:rPr>
              <w:t>$</w:t>
            </w:r>
          </w:p>
        </w:tc>
        <w:tc>
          <w:tcPr>
            <w:tcW w:w="960" w:type="dxa"/>
            <w:vAlign w:val="bottom"/>
            <w:gridSpan w:val="3"/>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2,680</w:t>
            </w:r>
          </w:p>
        </w:tc>
        <w:tc>
          <w:tcPr>
            <w:tcW w:w="38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w w:val="99"/>
              </w:rPr>
              <w:t>$</w:t>
            </w:r>
          </w:p>
        </w:tc>
        <w:tc>
          <w:tcPr>
            <w:tcW w:w="860" w:type="dxa"/>
            <w:vAlign w:val="bottom"/>
            <w:gridSpan w:val="3"/>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2,762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50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1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3"/>
          </w:tcPr>
          <w:p>
            <w:pPr>
              <w:jc w:val="right"/>
              <w:ind w:right="140"/>
              <w:spacing w:after="0" w:line="189" w:lineRule="exact"/>
              <w:rPr>
                <w:sz w:val="20"/>
                <w:szCs w:val="20"/>
                <w:color w:val="auto"/>
              </w:rPr>
            </w:pPr>
            <w:r>
              <w:rPr>
                <w:rFonts w:ascii="Arial" w:cs="Arial" w:eastAsia="Arial" w:hAnsi="Arial"/>
                <w:sz w:val="18"/>
                <w:szCs w:val="18"/>
                <w:b w:val="1"/>
                <w:bCs w:val="1"/>
                <w:color w:val="auto"/>
              </w:rPr>
              <w:t>(2,346)</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gridSpan w:val="3"/>
          </w:tcPr>
          <w:p>
            <w:pPr>
              <w:jc w:val="right"/>
              <w:ind w:right="140"/>
              <w:spacing w:after="0" w:line="189" w:lineRule="exact"/>
              <w:rPr>
                <w:sz w:val="20"/>
                <w:szCs w:val="20"/>
                <w:color w:val="auto"/>
              </w:rPr>
            </w:pPr>
            <w:r>
              <w:rPr>
                <w:rFonts w:ascii="Arial" w:cs="Arial" w:eastAsia="Arial" w:hAnsi="Arial"/>
                <w:sz w:val="18"/>
                <w:szCs w:val="18"/>
                <w:color w:val="auto"/>
              </w:rPr>
              <w:t>(2,591)</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3"/>
          </w:tcPr>
          <w:p>
            <w:pPr>
              <w:jc w:val="right"/>
              <w:ind w:right="40"/>
              <w:spacing w:after="0" w:line="189" w:lineRule="exact"/>
              <w:rPr>
                <w:sz w:val="20"/>
                <w:szCs w:val="20"/>
                <w:color w:val="auto"/>
              </w:rPr>
            </w:pPr>
            <w:r>
              <w:rPr>
                <w:rFonts w:ascii="Arial" w:cs="Arial" w:eastAsia="Arial" w:hAnsi="Arial"/>
                <w:sz w:val="18"/>
                <w:szCs w:val="18"/>
                <w:color w:val="auto"/>
              </w:rPr>
              <w:t>(2,686)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5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recognized gains on investments</w:t>
            </w:r>
          </w:p>
        </w:tc>
        <w:tc>
          <w:tcPr>
            <w:tcW w:w="180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960" w:type="dxa"/>
            <w:vAlign w:val="bottom"/>
            <w:gridSpan w:val="3"/>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1,232</w:t>
            </w:r>
          </w:p>
        </w:tc>
        <w:tc>
          <w:tcPr>
            <w:tcW w:w="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960" w:type="dxa"/>
            <w:vAlign w:val="bottom"/>
            <w:gridSpan w:val="3"/>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32</w:t>
            </w:r>
          </w:p>
        </w:tc>
        <w:tc>
          <w:tcPr>
            <w:tcW w:w="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860" w:type="dxa"/>
            <w:vAlign w:val="bottom"/>
            <w:gridSpan w:val="3"/>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500" w:type="dxa"/>
            <w:vAlign w:val="bottom"/>
          </w:tcPr>
          <w:p>
            <w:pPr>
              <w:spacing w:after="0" w:line="189" w:lineRule="exact"/>
              <w:rPr>
                <w:sz w:val="20"/>
                <w:szCs w:val="20"/>
                <w:color w:val="auto"/>
              </w:rPr>
            </w:pPr>
            <w:r>
              <w:rPr>
                <w:rFonts w:ascii="Arial" w:cs="Arial" w:eastAsia="Arial" w:hAnsi="Arial"/>
                <w:sz w:val="18"/>
                <w:szCs w:val="18"/>
                <w:color w:val="auto"/>
              </w:rPr>
              <w:t>Net gains on derivatives</w:t>
            </w:r>
          </w:p>
        </w:tc>
        <w:tc>
          <w:tcPr>
            <w:tcW w:w="1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3"/>
          </w:tcPr>
          <w:p>
            <w:pPr>
              <w:jc w:val="right"/>
              <w:ind w:right="200"/>
              <w:spacing w:after="0" w:line="189" w:lineRule="exact"/>
              <w:rPr>
                <w:sz w:val="20"/>
                <w:szCs w:val="20"/>
                <w:color w:val="auto"/>
              </w:rPr>
            </w:pPr>
            <w:r>
              <w:rPr>
                <w:rFonts w:ascii="Arial" w:cs="Arial" w:eastAsia="Arial" w:hAnsi="Arial"/>
                <w:sz w:val="18"/>
                <w:szCs w:val="18"/>
                <w:b w:val="1"/>
                <w:bCs w:val="1"/>
                <w:color w:val="auto"/>
              </w:rPr>
              <w:t>17</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gridSpan w:val="3"/>
          </w:tcPr>
          <w:p>
            <w:pPr>
              <w:jc w:val="right"/>
              <w:ind w:right="200"/>
              <w:spacing w:after="0" w:line="189" w:lineRule="exact"/>
              <w:rPr>
                <w:sz w:val="20"/>
                <w:szCs w:val="20"/>
                <w:color w:val="auto"/>
              </w:rPr>
            </w:pPr>
            <w:r>
              <w:rPr>
                <w:rFonts w:ascii="Arial" w:cs="Arial" w:eastAsia="Arial" w:hAnsi="Arial"/>
                <w:sz w:val="18"/>
                <w:szCs w:val="18"/>
                <w:color w:val="auto"/>
              </w:rPr>
              <w:t>187</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3"/>
          </w:tcPr>
          <w:p>
            <w:pPr>
              <w:jc w:val="right"/>
              <w:ind w:right="100"/>
              <w:spacing w:after="0" w:line="189" w:lineRule="exact"/>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5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gains (losses) on foreign currency remeasurements</w:t>
            </w:r>
          </w:p>
        </w:tc>
        <w:tc>
          <w:tcPr>
            <w:tcW w:w="180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960" w:type="dxa"/>
            <w:vAlign w:val="bottom"/>
            <w:gridSpan w:val="3"/>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54</w:t>
            </w:r>
          </w:p>
        </w:tc>
        <w:tc>
          <w:tcPr>
            <w:tcW w:w="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960" w:type="dxa"/>
            <w:vAlign w:val="bottom"/>
            <w:gridSpan w:val="3"/>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(191)</w:t>
            </w:r>
          </w:p>
        </w:tc>
        <w:tc>
          <w:tcPr>
            <w:tcW w:w="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860" w:type="dxa"/>
            <w:vAlign w:val="bottom"/>
            <w:gridSpan w:val="3"/>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Other, net</w:t>
            </w:r>
          </w:p>
        </w:tc>
        <w:tc>
          <w:tcPr>
            <w:tcW w:w="1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98</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5500" w:type="dxa"/>
            <w:vAlign w:val="bottom"/>
            <w:tcBorders>
              <w:top w:val="single" w:sz="8" w:color="auto"/>
            </w:tcBorders>
          </w:tcPr>
          <w:p>
            <w:pPr>
              <w:spacing w:after="0"/>
              <w:rPr>
                <w:sz w:val="5"/>
                <w:szCs w:val="5"/>
                <w:color w:val="auto"/>
              </w:rPr>
            </w:pPr>
          </w:p>
        </w:tc>
        <w:tc>
          <w:tcPr>
            <w:tcW w:w="180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50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2180" w:type="dxa"/>
            <w:vAlign w:val="bottom"/>
            <w:gridSpan w:val="2"/>
            <w:shd w:val="clear" w:color="auto" w:fill="E5E5E5"/>
          </w:tcPr>
          <w:p>
            <w:pPr>
              <w:jc w:val="right"/>
              <w:ind w:right="280"/>
              <w:spacing w:after="0" w:line="189" w:lineRule="exact"/>
              <w:rPr>
                <w:sz w:val="20"/>
                <w:szCs w:val="20"/>
                <w:color w:val="auto"/>
              </w:rPr>
            </w:pPr>
            <w:r>
              <w:rPr>
                <w:rFonts w:ascii="Arial" w:cs="Arial" w:eastAsia="Arial" w:hAnsi="Arial"/>
                <w:sz w:val="18"/>
                <w:szCs w:val="18"/>
                <w:b w:val="1"/>
                <w:bCs w:val="1"/>
                <w:color w:val="auto"/>
              </w:rPr>
              <w:t>$</w:t>
            </w:r>
          </w:p>
        </w:tc>
        <w:tc>
          <w:tcPr>
            <w:tcW w:w="960" w:type="dxa"/>
            <w:vAlign w:val="bottom"/>
            <w:gridSpan w:val="3"/>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1,186</w:t>
            </w:r>
          </w:p>
        </w:tc>
        <w:tc>
          <w:tcPr>
            <w:tcW w:w="380" w:type="dxa"/>
            <w:vAlign w:val="bottom"/>
            <w:gridSpan w:val="2"/>
            <w:shd w:val="clear" w:color="auto" w:fill="E5E5E5"/>
          </w:tcPr>
          <w:p>
            <w:pPr>
              <w:ind w:left="20"/>
              <w:spacing w:after="0" w:line="189" w:lineRule="exact"/>
              <w:rPr>
                <w:sz w:val="20"/>
                <w:szCs w:val="20"/>
                <w:color w:val="auto"/>
              </w:rPr>
            </w:pPr>
            <w:r>
              <w:rPr>
                <w:rFonts w:ascii="Arial" w:cs="Arial" w:eastAsia="Arial" w:hAnsi="Arial"/>
                <w:sz w:val="18"/>
                <w:szCs w:val="18"/>
                <w:color w:val="auto"/>
              </w:rPr>
              <w:t>$</w:t>
            </w:r>
          </w:p>
        </w:tc>
        <w:tc>
          <w:tcPr>
            <w:tcW w:w="960" w:type="dxa"/>
            <w:vAlign w:val="bottom"/>
            <w:gridSpan w:val="3"/>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77</w:t>
            </w:r>
          </w:p>
        </w:tc>
        <w:tc>
          <w:tcPr>
            <w:tcW w:w="38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w w:val="99"/>
              </w:rPr>
              <w:t>$</w:t>
            </w:r>
          </w:p>
        </w:tc>
        <w:tc>
          <w:tcPr>
            <w:tcW w:w="860" w:type="dxa"/>
            <w:vAlign w:val="bottom"/>
            <w:gridSpan w:val="3"/>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74"/>
        </w:trPr>
        <w:tc>
          <w:tcPr>
            <w:tcW w:w="5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Recognized Gains (Losses) on Investments</w:t>
            </w:r>
          </w:p>
        </w:tc>
        <w:tc>
          <w:tcPr>
            <w:tcW w:w="180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8"/>
        </w:trPr>
        <w:tc>
          <w:tcPr>
            <w:tcW w:w="5520" w:type="dxa"/>
            <w:vAlign w:val="bottom"/>
            <w:gridSpan w:val="2"/>
            <w:vMerge w:val="continue"/>
          </w:tcPr>
          <w:p>
            <w:pPr>
              <w:spacing w:after="0"/>
              <w:rPr>
                <w:sz w:val="24"/>
                <w:szCs w:val="24"/>
                <w:color w:val="auto"/>
              </w:rPr>
            </w:pPr>
          </w:p>
        </w:tc>
        <w:tc>
          <w:tcPr>
            <w:tcW w:w="1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5520" w:type="dxa"/>
            <w:vAlign w:val="bottom"/>
            <w:gridSpan w:val="2"/>
          </w:tcPr>
          <w:p>
            <w:pPr>
              <w:spacing w:after="0"/>
              <w:rPr>
                <w:sz w:val="20"/>
                <w:szCs w:val="20"/>
                <w:color w:val="auto"/>
              </w:rPr>
            </w:pPr>
            <w:r>
              <w:rPr>
                <w:rFonts w:ascii="Arial" w:cs="Arial" w:eastAsia="Arial" w:hAnsi="Arial"/>
                <w:sz w:val="18"/>
                <w:szCs w:val="18"/>
                <w:color w:val="auto"/>
              </w:rPr>
              <w:t>Net recognized gains (losses) on debt investments were as follows:</w:t>
            </w:r>
          </w:p>
        </w:tc>
        <w:tc>
          <w:tcPr>
            <w:tcW w:w="1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5520" w:type="dxa"/>
            <w:vAlign w:val="bottom"/>
            <w:gridSpan w:val="2"/>
          </w:tcPr>
          <w:p>
            <w:pPr>
              <w:spacing w:after="0"/>
              <w:rPr>
                <w:sz w:val="20"/>
                <w:szCs w:val="20"/>
                <w:color w:val="auto"/>
              </w:rPr>
            </w:pPr>
            <w:r>
              <w:rPr>
                <w:rFonts w:ascii="Arial" w:cs="Arial" w:eastAsia="Arial" w:hAnsi="Arial"/>
                <w:sz w:val="13"/>
                <w:szCs w:val="13"/>
                <w:b w:val="1"/>
                <w:bCs w:val="1"/>
                <w:color w:val="auto"/>
              </w:rPr>
              <w:t>(In millions)</w:t>
            </w:r>
          </w:p>
        </w:tc>
        <w:tc>
          <w:tcPr>
            <w:tcW w:w="1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520" w:type="dxa"/>
            <w:vAlign w:val="bottom"/>
            <w:tcBorders>
              <w:bottom w:val="single" w:sz="8" w:color="auto"/>
            </w:tcBorders>
            <w:gridSpan w:val="2"/>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5520" w:type="dxa"/>
            <w:vAlign w:val="bottom"/>
            <w:gridSpan w:val="2"/>
          </w:tcPr>
          <w:p>
            <w:pPr>
              <w:spacing w:after="0"/>
              <w:rPr>
                <w:sz w:val="20"/>
                <w:szCs w:val="20"/>
                <w:color w:val="auto"/>
              </w:rPr>
            </w:pPr>
            <w:r>
              <w:rPr>
                <w:rFonts w:ascii="Arial" w:cs="Arial" w:eastAsia="Arial" w:hAnsi="Arial"/>
                <w:sz w:val="13"/>
                <w:szCs w:val="13"/>
                <w:b w:val="1"/>
                <w:bCs w:val="1"/>
                <w:color w:val="auto"/>
              </w:rPr>
              <w:t>Year Ended June 30,</w:t>
            </w:r>
          </w:p>
        </w:tc>
        <w:tc>
          <w:tcPr>
            <w:tcW w:w="1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5500" w:type="dxa"/>
            <w:vAlign w:val="bottom"/>
          </w:tcPr>
          <w:p>
            <w:pPr>
              <w:spacing w:after="0"/>
              <w:rPr>
                <w:sz w:val="4"/>
                <w:szCs w:val="4"/>
                <w:color w:val="auto"/>
              </w:rPr>
            </w:pPr>
          </w:p>
        </w:tc>
        <w:tc>
          <w:tcPr>
            <w:tcW w:w="2180" w:type="dxa"/>
            <w:vAlign w:val="bottom"/>
            <w:gridSpan w:val="2"/>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gridSpan w:val="2"/>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5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Realized gains from sales of available-for-sale securities</w:t>
            </w:r>
          </w:p>
        </w:tc>
        <w:tc>
          <w:tcPr>
            <w:tcW w:w="2180" w:type="dxa"/>
            <w:vAlign w:val="bottom"/>
            <w:gridSpan w:val="2"/>
            <w:shd w:val="clear" w:color="auto" w:fill="E5E5E5"/>
          </w:tcPr>
          <w:p>
            <w:pPr>
              <w:jc w:val="right"/>
              <w:ind w:right="280"/>
              <w:spacing w:after="0" w:line="189" w:lineRule="exact"/>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105</w:t>
            </w:r>
          </w:p>
        </w:tc>
        <w:tc>
          <w:tcPr>
            <w:tcW w:w="200" w:type="dxa"/>
            <w:vAlign w:val="bottom"/>
            <w:shd w:val="clear" w:color="auto" w:fill="E5E5E5"/>
          </w:tcPr>
          <w:p>
            <w:pPr>
              <w:spacing w:after="0"/>
              <w:rPr>
                <w:sz w:val="16"/>
                <w:szCs w:val="16"/>
                <w:color w:val="auto"/>
              </w:rPr>
            </w:pPr>
          </w:p>
        </w:tc>
        <w:tc>
          <w:tcPr>
            <w:tcW w:w="380" w:type="dxa"/>
            <w:vAlign w:val="bottom"/>
            <w:gridSpan w:val="2"/>
            <w:shd w:val="clear" w:color="auto" w:fill="E5E5E5"/>
          </w:tcPr>
          <w:p>
            <w:pPr>
              <w:spacing w:after="0" w:line="189" w:lineRule="exact"/>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50</w:t>
            </w:r>
          </w:p>
        </w:tc>
        <w:tc>
          <w:tcPr>
            <w:tcW w:w="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380" w:type="dxa"/>
            <w:vAlign w:val="bottom"/>
            <w:gridSpan w:val="2"/>
            <w:shd w:val="clear" w:color="auto" w:fill="E5E5E5"/>
          </w:tcPr>
          <w:p>
            <w:pPr>
              <w:jc w:val="right"/>
              <w:ind w:right="280"/>
              <w:spacing w:after="0" w:line="189"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12</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500" w:type="dxa"/>
            <w:vAlign w:val="bottom"/>
          </w:tcPr>
          <w:p>
            <w:pPr>
              <w:spacing w:after="0" w:line="189" w:lineRule="exact"/>
              <w:rPr>
                <w:sz w:val="20"/>
                <w:szCs w:val="20"/>
                <w:color w:val="auto"/>
              </w:rPr>
            </w:pPr>
            <w:r>
              <w:rPr>
                <w:rFonts w:ascii="Arial" w:cs="Arial" w:eastAsia="Arial" w:hAnsi="Arial"/>
                <w:sz w:val="18"/>
                <w:szCs w:val="18"/>
                <w:color w:val="auto"/>
              </w:rPr>
              <w:t>Realized losses from sales of available-for-sale securities</w:t>
            </w:r>
          </w:p>
        </w:tc>
        <w:tc>
          <w:tcPr>
            <w:tcW w:w="1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3"/>
          </w:tcPr>
          <w:p>
            <w:pPr>
              <w:jc w:val="right"/>
              <w:ind w:right="160"/>
              <w:spacing w:after="0" w:line="189" w:lineRule="exact"/>
              <w:rPr>
                <w:sz w:val="20"/>
                <w:szCs w:val="20"/>
                <w:color w:val="auto"/>
              </w:rPr>
            </w:pPr>
            <w:r>
              <w:rPr>
                <w:rFonts w:ascii="Arial" w:cs="Arial" w:eastAsia="Arial" w:hAnsi="Arial"/>
                <w:sz w:val="18"/>
                <w:szCs w:val="18"/>
                <w:b w:val="1"/>
                <w:bCs w:val="1"/>
                <w:color w:val="auto"/>
              </w:rPr>
              <w:t>(40)</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gridSpan w:val="3"/>
          </w:tcPr>
          <w:p>
            <w:pPr>
              <w:jc w:val="right"/>
              <w:ind w:right="160"/>
              <w:spacing w:after="0" w:line="189" w:lineRule="exact"/>
              <w:rPr>
                <w:sz w:val="20"/>
                <w:szCs w:val="20"/>
                <w:color w:val="auto"/>
              </w:rPr>
            </w:pPr>
            <w:r>
              <w:rPr>
                <w:rFonts w:ascii="Arial" w:cs="Arial" w:eastAsia="Arial" w:hAnsi="Arial"/>
                <w:sz w:val="18"/>
                <w:szCs w:val="18"/>
                <w:color w:val="auto"/>
              </w:rPr>
              <w:t>(37)</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3"/>
          </w:tcPr>
          <w:p>
            <w:pPr>
              <w:jc w:val="right"/>
              <w:ind w:right="60"/>
              <w:spacing w:after="0" w:line="189"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5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Impairments and allowance for credit losses</w:t>
            </w:r>
          </w:p>
        </w:tc>
        <w:tc>
          <w:tcPr>
            <w:tcW w:w="180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960" w:type="dxa"/>
            <w:vAlign w:val="bottom"/>
            <w:gridSpan w:val="3"/>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(2)</w:t>
            </w:r>
          </w:p>
        </w:tc>
        <w:tc>
          <w:tcPr>
            <w:tcW w:w="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960" w:type="dxa"/>
            <w:vAlign w:val="bottom"/>
            <w:gridSpan w:val="3"/>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(17)</w:t>
            </w:r>
          </w:p>
        </w:tc>
        <w:tc>
          <w:tcPr>
            <w:tcW w:w="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860" w:type="dxa"/>
            <w:vAlign w:val="bottom"/>
            <w:gridSpan w:val="3"/>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5500" w:type="dxa"/>
            <w:vAlign w:val="bottom"/>
            <w:tcBorders>
              <w:bottom w:val="single" w:sz="8" w:color="auto"/>
            </w:tcBorders>
          </w:tcPr>
          <w:p>
            <w:pPr>
              <w:spacing w:after="0"/>
              <w:rPr>
                <w:sz w:val="5"/>
                <w:szCs w:val="5"/>
                <w:color w:val="auto"/>
              </w:rPr>
            </w:pPr>
          </w:p>
        </w:tc>
        <w:tc>
          <w:tcPr>
            <w:tcW w:w="2180" w:type="dxa"/>
            <w:vAlign w:val="bottom"/>
            <w:tcBorders>
              <w:bottom w:val="single" w:sz="8" w:color="auto"/>
            </w:tcBorders>
            <w:gridSpan w:val="2"/>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gridSpan w:val="2"/>
          </w:tcPr>
          <w:p>
            <w:pPr>
              <w:spacing w:after="0"/>
              <w:rPr>
                <w:sz w:val="5"/>
                <w:szCs w:val="5"/>
                <w:color w:val="auto"/>
              </w:rPr>
            </w:pPr>
          </w:p>
        </w:tc>
        <w:tc>
          <w:tcPr>
            <w:tcW w:w="380" w:type="dxa"/>
            <w:vAlign w:val="bottom"/>
            <w:tcBorders>
              <w:bottom w:val="single" w:sz="8" w:color="auto"/>
            </w:tcBorders>
            <w:gridSpan w:val="2"/>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Total</w:t>
            </w:r>
          </w:p>
        </w:tc>
        <w:tc>
          <w:tcPr>
            <w:tcW w:w="21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63</w:t>
            </w:r>
          </w:p>
        </w:tc>
        <w:tc>
          <w:tcPr>
            <w:tcW w:w="200" w:type="dxa"/>
            <w:vAlign w:val="bottom"/>
          </w:tcPr>
          <w:p>
            <w:pPr>
              <w:spacing w:after="0"/>
              <w:rPr>
                <w:sz w:val="22"/>
                <w:szCs w:val="22"/>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(4)</w:t>
            </w:r>
          </w:p>
        </w:tc>
        <w:tc>
          <w:tcPr>
            <w:tcW w:w="380" w:type="dxa"/>
            <w:vAlign w:val="bottom"/>
            <w:gridSpan w:val="2"/>
          </w:tcPr>
          <w:p>
            <w:pPr>
              <w:jc w:val="right"/>
              <w:ind w:right="280"/>
              <w:spacing w:after="0"/>
              <w:rPr>
                <w:sz w:val="20"/>
                <w:szCs w:val="20"/>
                <w:color w:val="auto"/>
              </w:rPr>
            </w:pPr>
            <w:r>
              <w:rPr>
                <w:rFonts w:ascii="Arial" w:cs="Arial" w:eastAsia="Arial" w:hAnsi="Arial"/>
                <w:sz w:val="18"/>
                <w:szCs w:val="18"/>
                <w:color w:val="auto"/>
                <w:w w:val="79"/>
              </w:rPr>
              <w:t>$</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61"/>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Net recognized gains (losses) on equity investments were as follows:</w:t>
            </w:r>
          </w:p>
        </w:tc>
        <w:tc>
          <w:tcPr>
            <w:tcW w:w="180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7"/>
        </w:trPr>
        <w:tc>
          <w:tcPr>
            <w:tcW w:w="5520" w:type="dxa"/>
            <w:vAlign w:val="bottom"/>
            <w:gridSpan w:val="2"/>
            <w:vMerge w:val="continue"/>
          </w:tcPr>
          <w:p>
            <w:pPr>
              <w:spacing w:after="0"/>
              <w:rPr>
                <w:sz w:val="24"/>
                <w:szCs w:val="24"/>
                <w:color w:val="auto"/>
              </w:rPr>
            </w:pPr>
          </w:p>
        </w:tc>
        <w:tc>
          <w:tcPr>
            <w:tcW w:w="1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5520" w:type="dxa"/>
            <w:vAlign w:val="bottom"/>
            <w:gridSpan w:val="2"/>
          </w:tcPr>
          <w:p>
            <w:pPr>
              <w:spacing w:after="0"/>
              <w:rPr>
                <w:sz w:val="20"/>
                <w:szCs w:val="20"/>
                <w:color w:val="auto"/>
              </w:rPr>
            </w:pPr>
            <w:r>
              <w:rPr>
                <w:rFonts w:ascii="Arial" w:cs="Arial" w:eastAsia="Arial" w:hAnsi="Arial"/>
                <w:sz w:val="13"/>
                <w:szCs w:val="13"/>
                <w:b w:val="1"/>
                <w:bCs w:val="1"/>
                <w:color w:val="auto"/>
              </w:rPr>
              <w:t>(In millions)</w:t>
            </w:r>
          </w:p>
        </w:tc>
        <w:tc>
          <w:tcPr>
            <w:tcW w:w="1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520" w:type="dxa"/>
            <w:vAlign w:val="bottom"/>
            <w:tcBorders>
              <w:bottom w:val="single" w:sz="8" w:color="auto"/>
            </w:tcBorders>
            <w:gridSpan w:val="2"/>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5520" w:type="dxa"/>
            <w:vAlign w:val="bottom"/>
            <w:gridSpan w:val="2"/>
          </w:tcPr>
          <w:p>
            <w:pPr>
              <w:spacing w:after="0"/>
              <w:rPr>
                <w:sz w:val="20"/>
                <w:szCs w:val="20"/>
                <w:color w:val="auto"/>
              </w:rPr>
            </w:pPr>
            <w:r>
              <w:rPr>
                <w:rFonts w:ascii="Arial" w:cs="Arial" w:eastAsia="Arial" w:hAnsi="Arial"/>
                <w:sz w:val="13"/>
                <w:szCs w:val="13"/>
                <w:b w:val="1"/>
                <w:bCs w:val="1"/>
                <w:color w:val="auto"/>
              </w:rPr>
              <w:t>Year Ended June 30,</w:t>
            </w:r>
          </w:p>
        </w:tc>
        <w:tc>
          <w:tcPr>
            <w:tcW w:w="1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5500" w:type="dxa"/>
            <w:vAlign w:val="bottom"/>
          </w:tcPr>
          <w:p>
            <w:pPr>
              <w:spacing w:after="0"/>
              <w:rPr>
                <w:sz w:val="4"/>
                <w:szCs w:val="4"/>
                <w:color w:val="auto"/>
              </w:rPr>
            </w:pPr>
          </w:p>
        </w:tc>
        <w:tc>
          <w:tcPr>
            <w:tcW w:w="2180" w:type="dxa"/>
            <w:vAlign w:val="bottom"/>
            <w:gridSpan w:val="2"/>
          </w:tcPr>
          <w:p>
            <w:pPr>
              <w:spacing w:after="0"/>
              <w:rPr>
                <w:sz w:val="4"/>
                <w:szCs w:val="4"/>
                <w:color w:val="auto"/>
              </w:rPr>
            </w:pPr>
          </w:p>
        </w:tc>
        <w:tc>
          <w:tcPr>
            <w:tcW w:w="76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gridSpan w:val="2"/>
          </w:tcPr>
          <w:p>
            <w:pPr>
              <w:spacing w:after="0"/>
              <w:rPr>
                <w:sz w:val="4"/>
                <w:szCs w:val="4"/>
                <w:color w:val="auto"/>
              </w:rPr>
            </w:pPr>
          </w:p>
        </w:tc>
        <w:tc>
          <w:tcPr>
            <w:tcW w:w="860" w:type="dxa"/>
            <w:vAlign w:val="bottom"/>
            <w:gridSpan w:val="3"/>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5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realized gains on investments sold</w:t>
            </w:r>
          </w:p>
        </w:tc>
        <w:tc>
          <w:tcPr>
            <w:tcW w:w="2180" w:type="dxa"/>
            <w:vAlign w:val="bottom"/>
            <w:gridSpan w:val="2"/>
            <w:shd w:val="clear" w:color="auto" w:fill="E5E5E5"/>
          </w:tcPr>
          <w:p>
            <w:pPr>
              <w:jc w:val="right"/>
              <w:ind w:right="280"/>
              <w:spacing w:after="0" w:line="189" w:lineRule="exact"/>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123</w:t>
            </w:r>
          </w:p>
        </w:tc>
        <w:tc>
          <w:tcPr>
            <w:tcW w:w="200" w:type="dxa"/>
            <w:vAlign w:val="bottom"/>
            <w:shd w:val="clear" w:color="auto" w:fill="E5E5E5"/>
          </w:tcPr>
          <w:p>
            <w:pPr>
              <w:spacing w:after="0"/>
              <w:rPr>
                <w:sz w:val="16"/>
                <w:szCs w:val="16"/>
                <w:color w:val="auto"/>
              </w:rPr>
            </w:pPr>
          </w:p>
        </w:tc>
        <w:tc>
          <w:tcPr>
            <w:tcW w:w="380" w:type="dxa"/>
            <w:vAlign w:val="bottom"/>
            <w:gridSpan w:val="2"/>
            <w:shd w:val="clear" w:color="auto" w:fill="E5E5E5"/>
          </w:tcPr>
          <w:p>
            <w:pPr>
              <w:ind w:left="20"/>
              <w:spacing w:after="0" w:line="189"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83</w:t>
            </w:r>
          </w:p>
        </w:tc>
        <w:tc>
          <w:tcPr>
            <w:tcW w:w="200" w:type="dxa"/>
            <w:vAlign w:val="bottom"/>
            <w:shd w:val="clear" w:color="auto" w:fill="E5E5E5"/>
          </w:tcPr>
          <w:p>
            <w:pPr>
              <w:spacing w:after="0"/>
              <w:rPr>
                <w:sz w:val="16"/>
                <w:szCs w:val="16"/>
                <w:color w:val="auto"/>
              </w:rPr>
            </w:pPr>
          </w:p>
        </w:tc>
        <w:tc>
          <w:tcPr>
            <w:tcW w:w="38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w w:val="99"/>
              </w:rPr>
              <w:t>$</w:t>
            </w:r>
          </w:p>
        </w:tc>
        <w:tc>
          <w:tcPr>
            <w:tcW w:w="860" w:type="dxa"/>
            <w:vAlign w:val="bottom"/>
            <w:gridSpan w:val="3"/>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500" w:type="dxa"/>
            <w:vAlign w:val="bottom"/>
          </w:tcPr>
          <w:p>
            <w:pPr>
              <w:spacing w:after="0" w:line="189" w:lineRule="exact"/>
              <w:rPr>
                <w:sz w:val="20"/>
                <w:szCs w:val="20"/>
                <w:color w:val="auto"/>
              </w:rPr>
            </w:pPr>
            <w:r>
              <w:rPr>
                <w:rFonts w:ascii="Arial" w:cs="Arial" w:eastAsia="Arial" w:hAnsi="Arial"/>
                <w:sz w:val="18"/>
                <w:szCs w:val="18"/>
                <w:color w:val="auto"/>
              </w:rPr>
              <w:t>Net unrealized gains on investments still held</w:t>
            </w:r>
          </w:p>
        </w:tc>
        <w:tc>
          <w:tcPr>
            <w:tcW w:w="1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gridSpan w:val="2"/>
          </w:tcPr>
          <w:p>
            <w:pPr>
              <w:jc w:val="right"/>
              <w:spacing w:after="0" w:line="189" w:lineRule="exact"/>
              <w:rPr>
                <w:sz w:val="20"/>
                <w:szCs w:val="20"/>
                <w:color w:val="auto"/>
              </w:rPr>
            </w:pPr>
            <w:r>
              <w:rPr>
                <w:rFonts w:ascii="Arial" w:cs="Arial" w:eastAsia="Arial" w:hAnsi="Arial"/>
                <w:sz w:val="18"/>
                <w:szCs w:val="18"/>
                <w:b w:val="1"/>
                <w:bCs w:val="1"/>
                <w:color w:val="auto"/>
              </w:rPr>
              <w:t>1,057</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69</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3"/>
          </w:tcPr>
          <w:p>
            <w:pPr>
              <w:jc w:val="right"/>
              <w:ind w:right="100"/>
              <w:spacing w:after="0" w:line="189" w:lineRule="exact"/>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5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Impairments of investments</w:t>
            </w:r>
          </w:p>
        </w:tc>
        <w:tc>
          <w:tcPr>
            <w:tcW w:w="180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960" w:type="dxa"/>
            <w:vAlign w:val="bottom"/>
            <w:gridSpan w:val="3"/>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(11)</w:t>
            </w:r>
          </w:p>
        </w:tc>
        <w:tc>
          <w:tcPr>
            <w:tcW w:w="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960" w:type="dxa"/>
            <w:vAlign w:val="bottom"/>
            <w:gridSpan w:val="3"/>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(116)</w:t>
            </w:r>
          </w:p>
        </w:tc>
        <w:tc>
          <w:tcPr>
            <w:tcW w:w="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860" w:type="dxa"/>
            <w:vAlign w:val="bottom"/>
            <w:gridSpan w:val="3"/>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5500" w:type="dxa"/>
            <w:vAlign w:val="bottom"/>
            <w:tcBorders>
              <w:bottom w:val="single" w:sz="8" w:color="auto"/>
            </w:tcBorders>
          </w:tcPr>
          <w:p>
            <w:pPr>
              <w:spacing w:after="0"/>
              <w:rPr>
                <w:sz w:val="5"/>
                <w:szCs w:val="5"/>
                <w:color w:val="auto"/>
              </w:rPr>
            </w:pPr>
          </w:p>
        </w:tc>
        <w:tc>
          <w:tcPr>
            <w:tcW w:w="2180" w:type="dxa"/>
            <w:vAlign w:val="bottom"/>
            <w:tcBorders>
              <w:bottom w:val="single" w:sz="8" w:color="auto"/>
            </w:tcBorders>
            <w:gridSpan w:val="2"/>
          </w:tcPr>
          <w:p>
            <w:pPr>
              <w:spacing w:after="0"/>
              <w:rPr>
                <w:sz w:val="5"/>
                <w:szCs w:val="5"/>
                <w:color w:val="auto"/>
              </w:rPr>
            </w:pPr>
          </w:p>
        </w:tc>
        <w:tc>
          <w:tcPr>
            <w:tcW w:w="760" w:type="dxa"/>
            <w:vAlign w:val="bottom"/>
            <w:tcBorders>
              <w:bottom w:val="single" w:sz="8" w:color="auto"/>
            </w:tcBorders>
            <w:gridSpan w:val="2"/>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gridSpan w:val="2"/>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Total</w:t>
            </w:r>
          </w:p>
        </w:tc>
        <w:tc>
          <w:tcPr>
            <w:tcW w:w="21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1,169</w:t>
            </w:r>
          </w:p>
        </w:tc>
        <w:tc>
          <w:tcPr>
            <w:tcW w:w="200" w:type="dxa"/>
            <w:vAlign w:val="bottom"/>
          </w:tcPr>
          <w:p>
            <w:pPr>
              <w:spacing w:after="0"/>
              <w:rPr>
                <w:sz w:val="22"/>
                <w:szCs w:val="22"/>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22"/>
                <w:szCs w:val="22"/>
                <w:color w:val="auto"/>
              </w:rPr>
            </w:pPr>
          </w:p>
        </w:tc>
        <w:tc>
          <w:tcPr>
            <w:tcW w:w="3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00" w:type="dxa"/>
            <w:vAlign w:val="bottom"/>
          </w:tcPr>
          <w:p>
            <w:pPr>
              <w:spacing w:after="0"/>
              <w:rPr>
                <w:sz w:val="5"/>
                <w:szCs w:val="5"/>
                <w:color w:val="auto"/>
              </w:rPr>
            </w:pPr>
          </w:p>
        </w:tc>
        <w:tc>
          <w:tcPr>
            <w:tcW w:w="1800" w:type="dxa"/>
            <w:vAlign w:val="bottom"/>
            <w:vMerge w:val="restart"/>
          </w:tcPr>
          <w:p>
            <w:pPr>
              <w:jc w:val="right"/>
              <w:ind w:right="1533"/>
              <w:spacing w:after="0"/>
              <w:rPr>
                <w:sz w:val="20"/>
                <w:szCs w:val="20"/>
                <w:color w:val="auto"/>
              </w:rPr>
            </w:pPr>
            <w:r>
              <w:rPr>
                <w:rFonts w:ascii="Arial" w:cs="Arial" w:eastAsia="Arial" w:hAnsi="Arial"/>
                <w:sz w:val="14"/>
                <w:szCs w:val="14"/>
                <w:color w:val="auto"/>
              </w:rPr>
              <w:t>70</w:t>
            </w:r>
          </w:p>
        </w:tc>
        <w:tc>
          <w:tcPr>
            <w:tcW w:w="3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4"/>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550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70" w:name="page71"/>
    <w:bookmarkEnd w:id="70"/>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267" w:lineRule="exact"/>
        <w:rPr>
          <w:sz w:val="20"/>
          <w:szCs w:val="20"/>
          <w:color w:val="auto"/>
        </w:rPr>
      </w:pPr>
    </w:p>
    <w:p>
      <w:pPr>
        <w:jc w:val="center"/>
        <w:ind w:right="100"/>
        <w:spacing w:after="0"/>
        <w:rPr>
          <w:sz w:val="20"/>
          <w:szCs w:val="20"/>
          <w:color w:val="auto"/>
        </w:rPr>
      </w:pPr>
      <w:r>
        <w:rPr>
          <w:rFonts w:ascii="Arial" w:cs="Arial" w:eastAsia="Arial" w:hAnsi="Arial"/>
          <w:sz w:val="18"/>
          <w:szCs w:val="18"/>
          <w:u w:val="single" w:color="auto"/>
          <w:color w:val="auto"/>
        </w:rPr>
        <w:t>NOTE 4 — INVESTMENTS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Components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investments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Cash</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1060" w:type="dxa"/>
            <w:vAlign w:val="bottom"/>
          </w:tcPr>
          <w:p>
            <w:pPr>
              <w:ind w:left="160"/>
              <w:spacing w:after="0" w:line="148" w:lineRule="exact"/>
              <w:rPr>
                <w:sz w:val="20"/>
                <w:szCs w:val="20"/>
                <w:color w:val="auto"/>
              </w:rPr>
            </w:pPr>
            <w:r>
              <w:rPr>
                <w:rFonts w:ascii="Arial" w:cs="Arial" w:eastAsia="Arial" w:hAnsi="Arial"/>
                <w:sz w:val="13"/>
                <w:szCs w:val="13"/>
                <w:b w:val="1"/>
                <w:bCs w:val="1"/>
                <w:color w:val="auto"/>
              </w:rPr>
              <w:t>Fair Value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00"/>
              <w:spacing w:after="0" w:line="148" w:lineRule="exact"/>
              <w:rPr>
                <w:sz w:val="20"/>
                <w:szCs w:val="20"/>
                <w:color w:val="auto"/>
              </w:rPr>
            </w:pPr>
            <w:r>
              <w:rPr>
                <w:rFonts w:ascii="Arial" w:cs="Arial" w:eastAsia="Arial" w:hAnsi="Arial"/>
                <w:sz w:val="13"/>
                <w:szCs w:val="13"/>
                <w:b w:val="1"/>
                <w:bCs w:val="1"/>
                <w:color w:val="auto"/>
              </w:rPr>
              <w:t>Adjusted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20"/>
              <w:spacing w:after="0" w:line="148" w:lineRule="exact"/>
              <w:rPr>
                <w:sz w:val="20"/>
                <w:szCs w:val="20"/>
                <w:color w:val="auto"/>
              </w:rPr>
            </w:pPr>
            <w:r>
              <w:rPr>
                <w:rFonts w:ascii="Arial" w:cs="Arial" w:eastAsia="Arial" w:hAnsi="Arial"/>
                <w:sz w:val="13"/>
                <w:szCs w:val="13"/>
                <w:b w:val="1"/>
                <w:bCs w:val="1"/>
                <w:color w:val="auto"/>
              </w:rPr>
              <w:t>Unrealized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40"/>
              <w:spacing w:after="0" w:line="148" w:lineRule="exact"/>
              <w:rPr>
                <w:sz w:val="20"/>
                <w:szCs w:val="20"/>
                <w:color w:val="auto"/>
              </w:rPr>
            </w:pPr>
            <w:r>
              <w:rPr>
                <w:rFonts w:ascii="Arial" w:cs="Arial" w:eastAsia="Arial" w:hAnsi="Arial"/>
                <w:sz w:val="13"/>
                <w:szCs w:val="13"/>
                <w:b w:val="1"/>
                <w:bCs w:val="1"/>
                <w:color w:val="auto"/>
              </w:rPr>
              <w:t>Unrealized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20"/>
              <w:spacing w:after="0" w:line="148" w:lineRule="exact"/>
              <w:rPr>
                <w:sz w:val="20"/>
                <w:szCs w:val="20"/>
                <w:color w:val="auto"/>
              </w:rPr>
            </w:pPr>
            <w:r>
              <w:rPr>
                <w:rFonts w:ascii="Arial" w:cs="Arial" w:eastAsia="Arial" w:hAnsi="Arial"/>
                <w:sz w:val="13"/>
                <w:szCs w:val="13"/>
                <w:b w:val="1"/>
                <w:bCs w:val="1"/>
                <w:color w:val="auto"/>
              </w:rPr>
              <w:t>Recorded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420"/>
              <w:spacing w:after="0" w:line="148" w:lineRule="exact"/>
              <w:rPr>
                <w:sz w:val="20"/>
                <w:szCs w:val="20"/>
                <w:color w:val="auto"/>
              </w:rPr>
            </w:pPr>
            <w:r>
              <w:rPr>
                <w:rFonts w:ascii="Arial" w:cs="Arial" w:eastAsia="Arial" w:hAnsi="Arial"/>
                <w:sz w:val="13"/>
                <w:szCs w:val="13"/>
                <w:b w:val="1"/>
                <w:bCs w:val="1"/>
                <w:color w:val="auto"/>
              </w:rPr>
              <w:t>and Cash</w:t>
            </w:r>
          </w:p>
        </w:tc>
        <w:tc>
          <w:tcPr>
            <w:tcW w:w="100" w:type="dxa"/>
            <w:vAlign w:val="bottom"/>
          </w:tcPr>
          <w:p>
            <w:pPr>
              <w:spacing w:after="0"/>
              <w:rPr>
                <w:sz w:val="12"/>
                <w:szCs w:val="12"/>
                <w:color w:val="auto"/>
              </w:rPr>
            </w:pPr>
          </w:p>
        </w:tc>
        <w:tc>
          <w:tcPr>
            <w:tcW w:w="1140" w:type="dxa"/>
            <w:vAlign w:val="bottom"/>
            <w:gridSpan w:val="2"/>
          </w:tcPr>
          <w:p>
            <w:pPr>
              <w:jc w:val="right"/>
              <w:ind w:right="440"/>
              <w:spacing w:after="0" w:line="148" w:lineRule="exact"/>
              <w:rPr>
                <w:sz w:val="20"/>
                <w:szCs w:val="20"/>
                <w:color w:val="auto"/>
              </w:rPr>
            </w:pPr>
            <w:r>
              <w:rPr>
                <w:rFonts w:ascii="Arial" w:cs="Arial" w:eastAsia="Arial" w:hAnsi="Arial"/>
                <w:sz w:val="13"/>
                <w:szCs w:val="13"/>
                <w:b w:val="1"/>
                <w:bCs w:val="1"/>
                <w:color w:val="auto"/>
              </w:rPr>
              <w:t>Short-term</w:t>
            </w:r>
          </w:p>
        </w:tc>
        <w:tc>
          <w:tcPr>
            <w:tcW w:w="100" w:type="dxa"/>
            <w:vAlign w:val="bottom"/>
          </w:tcPr>
          <w:p>
            <w:pPr>
              <w:spacing w:after="0"/>
              <w:rPr>
                <w:sz w:val="12"/>
                <w:szCs w:val="12"/>
                <w:color w:val="auto"/>
              </w:rPr>
            </w:pPr>
          </w:p>
        </w:tc>
        <w:tc>
          <w:tcPr>
            <w:tcW w:w="1020" w:type="dxa"/>
            <w:vAlign w:val="bottom"/>
            <w:gridSpan w:val="3"/>
          </w:tcPr>
          <w:p>
            <w:pPr>
              <w:jc w:val="right"/>
              <w:ind w:right="200"/>
              <w:spacing w:after="0" w:line="148"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78"/>
        </w:trPr>
        <w:tc>
          <w:tcPr>
            <w:tcW w:w="144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1060" w:type="dxa"/>
            <w:vAlign w:val="bottom"/>
          </w:tcPr>
          <w:p>
            <w:pPr>
              <w:ind w:left="300"/>
              <w:spacing w:after="0"/>
              <w:rPr>
                <w:sz w:val="20"/>
                <w:szCs w:val="20"/>
                <w:color w:val="auto"/>
              </w:rPr>
            </w:pPr>
            <w:r>
              <w:rPr>
                <w:rFonts w:ascii="Arial" w:cs="Arial" w:eastAsia="Arial" w:hAnsi="Arial"/>
                <w:sz w:val="13"/>
                <w:szCs w:val="13"/>
                <w:b w:val="1"/>
                <w:bCs w:val="1"/>
                <w:color w:val="auto"/>
              </w:rPr>
              <w:t>Level</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Cost Basis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Gains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Losses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Basis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Equivalents</w:t>
            </w:r>
          </w:p>
        </w:tc>
        <w:tc>
          <w:tcPr>
            <w:tcW w:w="1240" w:type="dxa"/>
            <w:vAlign w:val="bottom"/>
            <w:gridSpan w:val="3"/>
          </w:tcPr>
          <w:p>
            <w:pPr>
              <w:ind w:left="20"/>
              <w:spacing w:after="0"/>
              <w:rPr>
                <w:sz w:val="20"/>
                <w:szCs w:val="20"/>
                <w:color w:val="auto"/>
              </w:rPr>
            </w:pPr>
            <w:r>
              <w:rPr>
                <w:rFonts w:ascii="Arial" w:cs="Arial" w:eastAsia="Arial" w:hAnsi="Arial"/>
                <w:sz w:val="13"/>
                <w:szCs w:val="13"/>
                <w:b w:val="1"/>
                <w:bCs w:val="1"/>
                <w:color w:val="auto"/>
              </w:rPr>
              <w:t>Investments</w:t>
            </w:r>
          </w:p>
        </w:tc>
        <w:tc>
          <w:tcPr>
            <w:tcW w:w="100" w:type="dxa"/>
            <w:vAlign w:val="bottom"/>
          </w:tcPr>
          <w:p>
            <w:pPr>
              <w:spacing w:after="0"/>
              <w:rPr>
                <w:sz w:val="15"/>
                <w:szCs w:val="15"/>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rPr>
              <w:t>Investments</w:t>
            </w:r>
          </w:p>
        </w:tc>
        <w:tc>
          <w:tcPr>
            <w:tcW w:w="0" w:type="dxa"/>
            <w:vAlign w:val="bottom"/>
          </w:tcPr>
          <w:p>
            <w:pPr>
              <w:spacing w:after="0"/>
              <w:rPr>
                <w:sz w:val="1"/>
                <w:szCs w:val="1"/>
                <w:color w:val="auto"/>
              </w:rPr>
            </w:pPr>
          </w:p>
        </w:tc>
      </w:tr>
      <w:tr>
        <w:trPr>
          <w:trHeight w:val="54"/>
        </w:trPr>
        <w:tc>
          <w:tcPr>
            <w:tcW w:w="14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1440" w:type="dxa"/>
            <w:vAlign w:val="bottom"/>
          </w:tcPr>
          <w:p>
            <w:pPr>
              <w:spacing w:after="0"/>
              <w:rPr>
                <w:sz w:val="20"/>
                <w:szCs w:val="20"/>
                <w:color w:val="auto"/>
              </w:rPr>
            </w:pPr>
            <w:r>
              <w:rPr>
                <w:rFonts w:ascii="Arial" w:cs="Arial" w:eastAsia="Arial" w:hAnsi="Arial"/>
                <w:sz w:val="13"/>
                <w:szCs w:val="13"/>
                <w:b w:val="1"/>
                <w:bCs w:val="1"/>
                <w:color w:val="auto"/>
              </w:rPr>
              <w:t>June 30, 2021</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1440" w:type="dxa"/>
            <w:vAlign w:val="bottom"/>
          </w:tcPr>
          <w:p>
            <w:pPr>
              <w:spacing w:after="0"/>
              <w:rPr>
                <w:sz w:val="20"/>
                <w:szCs w:val="20"/>
                <w:color w:val="auto"/>
              </w:rPr>
            </w:pPr>
            <w:r>
              <w:rPr>
                <w:rFonts w:ascii="Arial" w:cs="Arial" w:eastAsia="Arial" w:hAnsi="Arial"/>
                <w:sz w:val="13"/>
                <w:szCs w:val="13"/>
                <w:b w:val="1"/>
                <w:bCs w:val="1"/>
                <w:color w:val="auto"/>
              </w:rPr>
              <w:t>Changes in Fair</w:t>
            </w: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440" w:type="dxa"/>
            <w:vAlign w:val="bottom"/>
          </w:tcPr>
          <w:p>
            <w:pPr>
              <w:ind w:left="220"/>
              <w:spacing w:after="0" w:line="148" w:lineRule="exact"/>
              <w:rPr>
                <w:sz w:val="20"/>
                <w:szCs w:val="20"/>
                <w:color w:val="auto"/>
              </w:rPr>
            </w:pPr>
            <w:r>
              <w:rPr>
                <w:rFonts w:ascii="Arial" w:cs="Arial" w:eastAsia="Arial" w:hAnsi="Arial"/>
                <w:sz w:val="13"/>
                <w:szCs w:val="13"/>
                <w:b w:val="1"/>
                <w:bCs w:val="1"/>
                <w:color w:val="auto"/>
              </w:rPr>
              <w:t>Value Recorded</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40" w:type="dxa"/>
            <w:vAlign w:val="bottom"/>
          </w:tcPr>
          <w:p>
            <w:pPr>
              <w:ind w:left="220"/>
              <w:spacing w:after="0" w:line="148" w:lineRule="exact"/>
              <w:rPr>
                <w:sz w:val="20"/>
                <w:szCs w:val="20"/>
                <w:color w:val="auto"/>
              </w:rPr>
            </w:pPr>
            <w:r>
              <w:rPr>
                <w:rFonts w:ascii="Arial" w:cs="Arial" w:eastAsia="Arial" w:hAnsi="Arial"/>
                <w:sz w:val="13"/>
                <w:szCs w:val="13"/>
                <w:b w:val="1"/>
                <w:bCs w:val="1"/>
                <w:color w:val="auto"/>
              </w:rPr>
              <w:t>in Other</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40" w:type="dxa"/>
            <w:vAlign w:val="bottom"/>
          </w:tcPr>
          <w:p>
            <w:pPr>
              <w:ind w:left="220"/>
              <w:spacing w:after="0" w:line="148" w:lineRule="exact"/>
              <w:rPr>
                <w:sz w:val="20"/>
                <w:szCs w:val="20"/>
                <w:color w:val="auto"/>
              </w:rPr>
            </w:pPr>
            <w:r>
              <w:rPr>
                <w:rFonts w:ascii="Arial" w:cs="Arial" w:eastAsia="Arial" w:hAnsi="Arial"/>
                <w:sz w:val="13"/>
                <w:szCs w:val="13"/>
                <w:b w:val="1"/>
                <w:bCs w:val="1"/>
                <w:color w:val="auto"/>
              </w:rPr>
              <w:t>Comprehensive</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440" w:type="dxa"/>
            <w:vAlign w:val="bottom"/>
          </w:tcPr>
          <w:p>
            <w:pPr>
              <w:ind w:left="220"/>
              <w:spacing w:after="0"/>
              <w:rPr>
                <w:sz w:val="20"/>
                <w:szCs w:val="20"/>
                <w:color w:val="auto"/>
              </w:rPr>
            </w:pPr>
            <w:r>
              <w:rPr>
                <w:rFonts w:ascii="Arial" w:cs="Arial" w:eastAsia="Arial" w:hAnsi="Arial"/>
                <w:sz w:val="13"/>
                <w:szCs w:val="13"/>
                <w:b w:val="1"/>
                <w:bCs w:val="1"/>
                <w:color w:val="auto"/>
              </w:rPr>
              <w:t>Income</w:t>
            </w: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1440" w:type="dxa"/>
            <w:vAlign w:val="bottom"/>
            <w:shd w:val="clear" w:color="auto" w:fill="E5E5E5"/>
          </w:tcPr>
          <w:p>
            <w:pPr>
              <w:spacing w:after="0"/>
              <w:rPr>
                <w:sz w:val="20"/>
                <w:szCs w:val="20"/>
                <w:color w:val="auto"/>
              </w:rPr>
            </w:pPr>
            <w:r>
              <w:rPr>
                <w:rFonts w:ascii="Arial" w:cs="Arial" w:eastAsia="Arial" w:hAnsi="Arial"/>
                <w:sz w:val="16"/>
                <w:szCs w:val="16"/>
                <w:color w:val="auto"/>
              </w:rPr>
              <w:t>Commercial</w:t>
            </w:r>
          </w:p>
        </w:tc>
        <w:tc>
          <w:tcPr>
            <w:tcW w:w="1060" w:type="dxa"/>
            <w:vAlign w:val="bottom"/>
            <w:shd w:val="clear" w:color="auto" w:fill="E5E5E5"/>
          </w:tcPr>
          <w:p>
            <w:pPr>
              <w:spacing w:after="0"/>
              <w:rPr>
                <w:sz w:val="16"/>
                <w:szCs w:val="16"/>
                <w:color w:val="auto"/>
              </w:rPr>
            </w:pPr>
          </w:p>
        </w:tc>
        <w:tc>
          <w:tcPr>
            <w:tcW w:w="320" w:type="dxa"/>
            <w:vAlign w:val="bottom"/>
            <w:gridSpan w:val="2"/>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gridSpan w:val="2"/>
            <w:vMerge w:val="restart"/>
            <w:shd w:val="clear" w:color="auto" w:fill="E5E5E5"/>
          </w:tcPr>
          <w:p>
            <w:pPr>
              <w:jc w:val="right"/>
              <w:ind w:right="200"/>
              <w:spacing w:after="0"/>
              <w:rPr>
                <w:sz w:val="20"/>
                <w:szCs w:val="20"/>
                <w:color w:val="auto"/>
              </w:rPr>
            </w:pPr>
            <w:r>
              <w:rPr>
                <w:rFonts w:ascii="Arial" w:cs="Arial" w:eastAsia="Arial" w:hAnsi="Arial"/>
                <w:sz w:val="16"/>
                <w:szCs w:val="16"/>
                <w:b w:val="1"/>
                <w:bCs w:val="1"/>
                <w:color w:val="auto"/>
              </w:rPr>
              <w:t>4,316</w:t>
            </w:r>
          </w:p>
        </w:tc>
        <w:tc>
          <w:tcPr>
            <w:tcW w:w="340" w:type="dxa"/>
            <w:vAlign w:val="bottom"/>
            <w:gridSpan w:val="2"/>
            <w:vMerge w:val="restart"/>
            <w:shd w:val="clear" w:color="auto" w:fill="E5E5E5"/>
          </w:tcPr>
          <w:p>
            <w:pPr>
              <w:jc w:val="right"/>
              <w:ind w:right="20"/>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2"/>
            <w:vMerge w:val="restart"/>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0</w:t>
            </w:r>
          </w:p>
        </w:tc>
        <w:tc>
          <w:tcPr>
            <w:tcW w:w="320" w:type="dxa"/>
            <w:vAlign w:val="bottom"/>
            <w:gridSpan w:val="2"/>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gridSpan w:val="2"/>
            <w:vMerge w:val="restart"/>
            <w:shd w:val="clear" w:color="auto" w:fill="E5E5E5"/>
          </w:tcPr>
          <w:p>
            <w:pPr>
              <w:jc w:val="right"/>
              <w:ind w:right="240"/>
              <w:spacing w:after="0"/>
              <w:rPr>
                <w:sz w:val="20"/>
                <w:szCs w:val="20"/>
                <w:color w:val="auto"/>
              </w:rPr>
            </w:pPr>
            <w:r>
              <w:rPr>
                <w:rFonts w:ascii="Arial" w:cs="Arial" w:eastAsia="Arial" w:hAnsi="Arial"/>
                <w:sz w:val="16"/>
                <w:szCs w:val="16"/>
                <w:b w:val="1"/>
                <w:bCs w:val="1"/>
                <w:color w:val="auto"/>
              </w:rPr>
              <w:t>0</w:t>
            </w:r>
          </w:p>
        </w:tc>
        <w:tc>
          <w:tcPr>
            <w:tcW w:w="340" w:type="dxa"/>
            <w:vAlign w:val="bottom"/>
            <w:gridSpan w:val="2"/>
            <w:vMerge w:val="restart"/>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w:t>
            </w:r>
          </w:p>
        </w:tc>
        <w:tc>
          <w:tcPr>
            <w:tcW w:w="880" w:type="dxa"/>
            <w:vAlign w:val="bottom"/>
            <w:gridSpan w:val="2"/>
            <w:vMerge w:val="restart"/>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4,316</w:t>
            </w:r>
          </w:p>
        </w:tc>
        <w:tc>
          <w:tcPr>
            <w:tcW w:w="320" w:type="dxa"/>
            <w:vAlign w:val="bottom"/>
            <w:gridSpan w:val="2"/>
            <w:vMerge w:val="restart"/>
            <w:shd w:val="clear" w:color="auto" w:fill="E5E5E5"/>
          </w:tcPr>
          <w:p>
            <w:pPr>
              <w:jc w:val="right"/>
              <w:ind w:right="20"/>
              <w:spacing w:after="0"/>
              <w:rPr>
                <w:sz w:val="20"/>
                <w:szCs w:val="20"/>
                <w:color w:val="auto"/>
              </w:rPr>
            </w:pPr>
            <w:r>
              <w:rPr>
                <w:rFonts w:ascii="Arial" w:cs="Arial" w:eastAsia="Arial" w:hAnsi="Arial"/>
                <w:sz w:val="16"/>
                <w:szCs w:val="16"/>
                <w:b w:val="1"/>
                <w:bCs w:val="1"/>
                <w:color w:val="auto"/>
              </w:rPr>
              <w:t>$</w:t>
            </w:r>
          </w:p>
        </w:tc>
        <w:tc>
          <w:tcPr>
            <w:tcW w:w="1200" w:type="dxa"/>
            <w:vAlign w:val="bottom"/>
            <w:gridSpan w:val="2"/>
            <w:vMerge w:val="restart"/>
            <w:shd w:val="clear" w:color="auto" w:fill="E5E5E5"/>
          </w:tcPr>
          <w:p>
            <w:pPr>
              <w:jc w:val="right"/>
              <w:ind w:right="420"/>
              <w:spacing w:after="0"/>
              <w:rPr>
                <w:sz w:val="20"/>
                <w:szCs w:val="20"/>
                <w:color w:val="auto"/>
              </w:rPr>
            </w:pPr>
            <w:r>
              <w:rPr>
                <w:rFonts w:ascii="Arial" w:cs="Arial" w:eastAsia="Arial" w:hAnsi="Arial"/>
                <w:sz w:val="16"/>
                <w:szCs w:val="16"/>
                <w:b w:val="1"/>
                <w:bCs w:val="1"/>
                <w:color w:val="auto"/>
              </w:rPr>
              <w:t>1,331</w:t>
            </w:r>
          </w:p>
        </w:tc>
        <w:tc>
          <w:tcPr>
            <w:tcW w:w="100" w:type="dxa"/>
            <w:vAlign w:val="bottom"/>
            <w:vMerge w:val="restart"/>
            <w:shd w:val="clear" w:color="auto" w:fill="E5E5E5"/>
          </w:tcPr>
          <w:p>
            <w:pPr>
              <w:spacing w:after="0"/>
              <w:rPr>
                <w:sz w:val="20"/>
                <w:szCs w:val="20"/>
                <w:color w:val="auto"/>
              </w:rPr>
            </w:pPr>
            <w:r>
              <w:rPr>
                <w:rFonts w:ascii="Arial" w:cs="Arial" w:eastAsia="Arial" w:hAnsi="Arial"/>
                <w:sz w:val="16"/>
                <w:szCs w:val="16"/>
                <w:b w:val="1"/>
                <w:bCs w:val="1"/>
                <w:color w:val="auto"/>
                <w:w w:val="89"/>
              </w:rPr>
              <w:t>$</w:t>
            </w:r>
          </w:p>
        </w:tc>
        <w:tc>
          <w:tcPr>
            <w:tcW w:w="1140" w:type="dxa"/>
            <w:vAlign w:val="bottom"/>
            <w:gridSpan w:val="2"/>
            <w:vMerge w:val="restart"/>
            <w:shd w:val="clear" w:color="auto" w:fill="E5E5E5"/>
          </w:tcPr>
          <w:p>
            <w:pPr>
              <w:jc w:val="right"/>
              <w:ind w:right="440"/>
              <w:spacing w:after="0"/>
              <w:rPr>
                <w:sz w:val="20"/>
                <w:szCs w:val="20"/>
                <w:color w:val="auto"/>
              </w:rPr>
            </w:pPr>
            <w:r>
              <w:rPr>
                <w:rFonts w:ascii="Arial" w:cs="Arial" w:eastAsia="Arial" w:hAnsi="Arial"/>
                <w:sz w:val="16"/>
                <w:szCs w:val="16"/>
                <w:b w:val="1"/>
                <w:bCs w:val="1"/>
                <w:color w:val="auto"/>
              </w:rPr>
              <w:t>2,985</w:t>
            </w:r>
          </w:p>
        </w:tc>
        <w:tc>
          <w:tcPr>
            <w:tcW w:w="100" w:type="dxa"/>
            <w:vAlign w:val="bottom"/>
            <w:vMerge w:val="restart"/>
            <w:shd w:val="clear" w:color="auto" w:fill="E5E5E5"/>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vMerge w:val="restart"/>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440" w:type="dxa"/>
            <w:vAlign w:val="bottom"/>
            <w:shd w:val="clear" w:color="auto" w:fill="E5E5E5"/>
          </w:tcPr>
          <w:p>
            <w:pPr>
              <w:ind w:left="220"/>
              <w:spacing w:after="0"/>
              <w:rPr>
                <w:sz w:val="20"/>
                <w:szCs w:val="20"/>
                <w:color w:val="auto"/>
              </w:rPr>
            </w:pPr>
            <w:r>
              <w:rPr>
                <w:rFonts w:ascii="Arial" w:cs="Arial" w:eastAsia="Arial" w:hAnsi="Arial"/>
                <w:sz w:val="16"/>
                <w:szCs w:val="16"/>
                <w:color w:val="auto"/>
              </w:rPr>
              <w:t>paper</w:t>
            </w:r>
          </w:p>
        </w:tc>
        <w:tc>
          <w:tcPr>
            <w:tcW w:w="1060" w:type="dxa"/>
            <w:vAlign w:val="bottom"/>
            <w:shd w:val="clear" w:color="auto" w:fill="E5E5E5"/>
          </w:tcPr>
          <w:p>
            <w:pPr>
              <w:ind w:left="320"/>
              <w:spacing w:after="0"/>
              <w:rPr>
                <w:sz w:val="20"/>
                <w:szCs w:val="20"/>
                <w:color w:val="auto"/>
              </w:rPr>
            </w:pPr>
            <w:r>
              <w:rPr>
                <w:rFonts w:ascii="Arial" w:cs="Arial" w:eastAsia="Arial" w:hAnsi="Arial"/>
                <w:sz w:val="16"/>
                <w:szCs w:val="16"/>
                <w:color w:val="auto"/>
              </w:rPr>
              <w:t>Level 2</w:t>
            </w:r>
          </w:p>
        </w:tc>
        <w:tc>
          <w:tcPr>
            <w:tcW w:w="320" w:type="dxa"/>
            <w:vAlign w:val="bottom"/>
            <w:gridSpan w:val="2"/>
            <w:vMerge w:val="continue"/>
            <w:shd w:val="clear" w:color="auto" w:fill="E5E5E5"/>
          </w:tcPr>
          <w:p>
            <w:pPr>
              <w:spacing w:after="0"/>
              <w:rPr>
                <w:sz w:val="16"/>
                <w:szCs w:val="16"/>
                <w:color w:val="auto"/>
              </w:rPr>
            </w:pPr>
          </w:p>
        </w:tc>
        <w:tc>
          <w:tcPr>
            <w:tcW w:w="920" w:type="dxa"/>
            <w:vAlign w:val="bottom"/>
            <w:gridSpan w:val="2"/>
            <w:vMerge w:val="continue"/>
            <w:shd w:val="clear" w:color="auto" w:fill="E5E5E5"/>
          </w:tcPr>
          <w:p>
            <w:pPr>
              <w:spacing w:after="0"/>
              <w:rPr>
                <w:sz w:val="16"/>
                <w:szCs w:val="16"/>
                <w:color w:val="auto"/>
              </w:rPr>
            </w:pPr>
          </w:p>
        </w:tc>
        <w:tc>
          <w:tcPr>
            <w:tcW w:w="340" w:type="dxa"/>
            <w:vAlign w:val="bottom"/>
            <w:gridSpan w:val="2"/>
            <w:vMerge w:val="continue"/>
            <w:shd w:val="clear" w:color="auto" w:fill="E5E5E5"/>
          </w:tcPr>
          <w:p>
            <w:pPr>
              <w:spacing w:after="0"/>
              <w:rPr>
                <w:sz w:val="16"/>
                <w:szCs w:val="16"/>
                <w:color w:val="auto"/>
              </w:rPr>
            </w:pPr>
          </w:p>
        </w:tc>
        <w:tc>
          <w:tcPr>
            <w:tcW w:w="900" w:type="dxa"/>
            <w:vAlign w:val="bottom"/>
            <w:gridSpan w:val="2"/>
            <w:vMerge w:val="continue"/>
            <w:shd w:val="clear" w:color="auto" w:fill="E5E5E5"/>
          </w:tcPr>
          <w:p>
            <w:pPr>
              <w:spacing w:after="0"/>
              <w:rPr>
                <w:sz w:val="16"/>
                <w:szCs w:val="16"/>
                <w:color w:val="auto"/>
              </w:rPr>
            </w:pPr>
          </w:p>
        </w:tc>
        <w:tc>
          <w:tcPr>
            <w:tcW w:w="320" w:type="dxa"/>
            <w:vAlign w:val="bottom"/>
            <w:gridSpan w:val="2"/>
            <w:vMerge w:val="continue"/>
            <w:shd w:val="clear" w:color="auto" w:fill="E5E5E5"/>
          </w:tcPr>
          <w:p>
            <w:pPr>
              <w:spacing w:after="0"/>
              <w:rPr>
                <w:sz w:val="16"/>
                <w:szCs w:val="16"/>
                <w:color w:val="auto"/>
              </w:rPr>
            </w:pPr>
          </w:p>
        </w:tc>
        <w:tc>
          <w:tcPr>
            <w:tcW w:w="940" w:type="dxa"/>
            <w:vAlign w:val="bottom"/>
            <w:gridSpan w:val="2"/>
            <w:vMerge w:val="continue"/>
            <w:shd w:val="clear" w:color="auto" w:fill="E5E5E5"/>
          </w:tcPr>
          <w:p>
            <w:pPr>
              <w:spacing w:after="0"/>
              <w:rPr>
                <w:sz w:val="16"/>
                <w:szCs w:val="16"/>
                <w:color w:val="auto"/>
              </w:rPr>
            </w:pPr>
          </w:p>
        </w:tc>
        <w:tc>
          <w:tcPr>
            <w:tcW w:w="340" w:type="dxa"/>
            <w:vAlign w:val="bottom"/>
            <w:gridSpan w:val="2"/>
            <w:vMerge w:val="continue"/>
            <w:shd w:val="clear" w:color="auto" w:fill="E5E5E5"/>
          </w:tcPr>
          <w:p>
            <w:pPr>
              <w:spacing w:after="0"/>
              <w:rPr>
                <w:sz w:val="16"/>
                <w:szCs w:val="16"/>
                <w:color w:val="auto"/>
              </w:rPr>
            </w:pPr>
          </w:p>
        </w:tc>
        <w:tc>
          <w:tcPr>
            <w:tcW w:w="880" w:type="dxa"/>
            <w:vAlign w:val="bottom"/>
            <w:gridSpan w:val="2"/>
            <w:vMerge w:val="continue"/>
            <w:shd w:val="clear" w:color="auto" w:fill="E5E5E5"/>
          </w:tcPr>
          <w:p>
            <w:pPr>
              <w:spacing w:after="0"/>
              <w:rPr>
                <w:sz w:val="16"/>
                <w:szCs w:val="16"/>
                <w:color w:val="auto"/>
              </w:rPr>
            </w:pPr>
          </w:p>
        </w:tc>
        <w:tc>
          <w:tcPr>
            <w:tcW w:w="320" w:type="dxa"/>
            <w:vAlign w:val="bottom"/>
            <w:gridSpan w:val="2"/>
            <w:vMerge w:val="continue"/>
            <w:shd w:val="clear" w:color="auto" w:fill="E5E5E5"/>
          </w:tcPr>
          <w:p>
            <w:pPr>
              <w:spacing w:after="0"/>
              <w:rPr>
                <w:sz w:val="16"/>
                <w:szCs w:val="16"/>
                <w:color w:val="auto"/>
              </w:rPr>
            </w:pPr>
          </w:p>
        </w:tc>
        <w:tc>
          <w:tcPr>
            <w:tcW w:w="1200" w:type="dxa"/>
            <w:vAlign w:val="bottom"/>
            <w:gridSpan w:val="2"/>
            <w:vMerge w:val="continue"/>
            <w:shd w:val="clear" w:color="auto" w:fill="E5E5E5"/>
          </w:tcPr>
          <w:p>
            <w:pPr>
              <w:spacing w:after="0"/>
              <w:rPr>
                <w:sz w:val="16"/>
                <w:szCs w:val="16"/>
                <w:color w:val="auto"/>
              </w:rPr>
            </w:pPr>
          </w:p>
        </w:tc>
        <w:tc>
          <w:tcPr>
            <w:tcW w:w="100" w:type="dxa"/>
            <w:vAlign w:val="bottom"/>
            <w:vMerge w:val="continue"/>
            <w:shd w:val="clear" w:color="auto" w:fill="E5E5E5"/>
          </w:tcPr>
          <w:p>
            <w:pPr>
              <w:spacing w:after="0"/>
              <w:rPr>
                <w:sz w:val="16"/>
                <w:szCs w:val="16"/>
                <w:color w:val="auto"/>
              </w:rPr>
            </w:pPr>
          </w:p>
        </w:tc>
        <w:tc>
          <w:tcPr>
            <w:tcW w:w="1140" w:type="dxa"/>
            <w:vAlign w:val="bottom"/>
            <w:gridSpan w:val="2"/>
            <w:vMerge w:val="continue"/>
            <w:shd w:val="clear" w:color="auto" w:fill="E5E5E5"/>
          </w:tcPr>
          <w:p>
            <w:pPr>
              <w:spacing w:after="0"/>
              <w:rPr>
                <w:sz w:val="16"/>
                <w:szCs w:val="16"/>
                <w:color w:val="auto"/>
              </w:rPr>
            </w:pPr>
          </w:p>
        </w:tc>
        <w:tc>
          <w:tcPr>
            <w:tcW w:w="100" w:type="dxa"/>
            <w:vAlign w:val="bottom"/>
            <w:vMerge w:val="continue"/>
            <w:shd w:val="clear" w:color="auto" w:fill="E5E5E5"/>
          </w:tcPr>
          <w:p>
            <w:pPr>
              <w:spacing w:after="0"/>
              <w:rPr>
                <w:sz w:val="16"/>
                <w:szCs w:val="16"/>
                <w:color w:val="auto"/>
              </w:rPr>
            </w:pPr>
          </w:p>
        </w:tc>
        <w:tc>
          <w:tcPr>
            <w:tcW w:w="920" w:type="dxa"/>
            <w:vAlign w:val="bottom"/>
            <w:gridSpan w:val="2"/>
            <w:vMerge w:val="continue"/>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440" w:type="dxa"/>
            <w:vAlign w:val="bottom"/>
          </w:tcPr>
          <w:p>
            <w:pPr>
              <w:spacing w:after="0"/>
              <w:rPr>
                <w:sz w:val="20"/>
                <w:szCs w:val="20"/>
                <w:color w:val="auto"/>
              </w:rPr>
            </w:pPr>
            <w:r>
              <w:rPr>
                <w:rFonts w:ascii="Arial" w:cs="Arial" w:eastAsia="Arial" w:hAnsi="Arial"/>
                <w:sz w:val="16"/>
                <w:szCs w:val="16"/>
                <w:color w:val="auto"/>
              </w:rPr>
              <w:t>Certificates of</w:t>
            </w: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6"/>
                <w:szCs w:val="16"/>
                <w:b w:val="1"/>
                <w:bCs w:val="1"/>
                <w:color w:val="auto"/>
              </w:rPr>
              <w:t>3,615</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6"/>
                <w:szCs w:val="16"/>
                <w:b w:val="1"/>
                <w:bCs w:val="1"/>
                <w:color w:val="auto"/>
              </w:rPr>
              <w:t>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6"/>
                <w:szCs w:val="16"/>
                <w:b w:val="1"/>
                <w:bCs w:val="1"/>
                <w:color w:val="auto"/>
              </w:rPr>
              <w:t>0</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6"/>
                <w:szCs w:val="16"/>
                <w:b w:val="1"/>
                <w:bCs w:val="1"/>
                <w:color w:val="auto"/>
              </w:rPr>
              <w:t>3,615</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restart"/>
          </w:tcPr>
          <w:p>
            <w:pPr>
              <w:jc w:val="right"/>
              <w:ind w:right="420"/>
              <w:spacing w:after="0"/>
              <w:rPr>
                <w:sz w:val="20"/>
                <w:szCs w:val="20"/>
                <w:color w:val="auto"/>
              </w:rPr>
            </w:pPr>
            <w:r>
              <w:rPr>
                <w:rFonts w:ascii="Arial" w:cs="Arial" w:eastAsia="Arial" w:hAnsi="Arial"/>
                <w:sz w:val="16"/>
                <w:szCs w:val="16"/>
                <w:b w:val="1"/>
                <w:bCs w:val="1"/>
                <w:color w:val="auto"/>
              </w:rPr>
              <w:t>2,920</w:t>
            </w:r>
          </w:p>
        </w:tc>
        <w:tc>
          <w:tcPr>
            <w:tcW w:w="100" w:type="dxa"/>
            <w:vAlign w:val="bottom"/>
          </w:tcPr>
          <w:p>
            <w:pPr>
              <w:spacing w:after="0"/>
              <w:rPr>
                <w:sz w:val="16"/>
                <w:szCs w:val="16"/>
                <w:color w:val="auto"/>
              </w:rPr>
            </w:pPr>
          </w:p>
        </w:tc>
        <w:tc>
          <w:tcPr>
            <w:tcW w:w="1140" w:type="dxa"/>
            <w:vAlign w:val="bottom"/>
            <w:gridSpan w:val="2"/>
            <w:vMerge w:val="restart"/>
          </w:tcPr>
          <w:p>
            <w:pPr>
              <w:jc w:val="right"/>
              <w:ind w:right="440"/>
              <w:spacing w:after="0"/>
              <w:rPr>
                <w:sz w:val="20"/>
                <w:szCs w:val="20"/>
                <w:color w:val="auto"/>
              </w:rPr>
            </w:pPr>
            <w:r>
              <w:rPr>
                <w:rFonts w:ascii="Arial" w:cs="Arial" w:eastAsia="Arial" w:hAnsi="Arial"/>
                <w:sz w:val="16"/>
                <w:szCs w:val="16"/>
                <w:b w:val="1"/>
                <w:bCs w:val="1"/>
                <w:color w:val="auto"/>
              </w:rPr>
              <w:t>695</w:t>
            </w:r>
          </w:p>
        </w:tc>
        <w:tc>
          <w:tcPr>
            <w:tcW w:w="100" w:type="dxa"/>
            <w:vAlign w:val="bottom"/>
          </w:tcPr>
          <w:p>
            <w:pPr>
              <w:spacing w:after="0"/>
              <w:rPr>
                <w:sz w:val="16"/>
                <w:szCs w:val="16"/>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440" w:type="dxa"/>
            <w:vAlign w:val="bottom"/>
          </w:tcPr>
          <w:p>
            <w:pPr>
              <w:ind w:left="220"/>
              <w:spacing w:after="0"/>
              <w:rPr>
                <w:sz w:val="20"/>
                <w:szCs w:val="20"/>
                <w:color w:val="auto"/>
              </w:rPr>
            </w:pPr>
            <w:r>
              <w:rPr>
                <w:rFonts w:ascii="Arial" w:cs="Arial" w:eastAsia="Arial" w:hAnsi="Arial"/>
                <w:sz w:val="16"/>
                <w:szCs w:val="16"/>
                <w:color w:val="auto"/>
              </w:rPr>
              <w:t>deposit</w:t>
            </w:r>
          </w:p>
        </w:tc>
        <w:tc>
          <w:tcPr>
            <w:tcW w:w="1060" w:type="dxa"/>
            <w:vAlign w:val="bottom"/>
          </w:tcPr>
          <w:p>
            <w:pPr>
              <w:ind w:left="320"/>
              <w:spacing w:after="0"/>
              <w:rPr>
                <w:sz w:val="20"/>
                <w:szCs w:val="20"/>
                <w:color w:val="auto"/>
              </w:rPr>
            </w:pPr>
            <w:r>
              <w:rPr>
                <w:rFonts w:ascii="Arial" w:cs="Arial" w:eastAsia="Arial" w:hAnsi="Arial"/>
                <w:sz w:val="16"/>
                <w:szCs w:val="16"/>
                <w:color w:val="auto"/>
              </w:rPr>
              <w:t>Level 2</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440" w:type="dxa"/>
            <w:vAlign w:val="bottom"/>
            <w:shd w:val="clear" w:color="auto" w:fill="E5E5E5"/>
          </w:tcPr>
          <w:p>
            <w:pPr>
              <w:spacing w:after="0"/>
              <w:rPr>
                <w:sz w:val="20"/>
                <w:szCs w:val="20"/>
                <w:color w:val="auto"/>
              </w:rPr>
            </w:pPr>
            <w:r>
              <w:rPr>
                <w:rFonts w:ascii="Arial" w:cs="Arial" w:eastAsia="Arial" w:hAnsi="Arial"/>
                <w:sz w:val="16"/>
                <w:szCs w:val="16"/>
                <w:color w:val="auto"/>
              </w:rPr>
              <w:t>U.S. government</w:t>
            </w:r>
          </w:p>
        </w:tc>
        <w:tc>
          <w:tcPr>
            <w:tcW w:w="10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72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90,664</w:t>
            </w:r>
          </w:p>
        </w:tc>
        <w:tc>
          <w:tcPr>
            <w:tcW w:w="2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900" w:type="dxa"/>
            <w:vAlign w:val="bottom"/>
            <w:gridSpan w:val="2"/>
            <w:vMerge w:val="restart"/>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3,832</w:t>
            </w: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940" w:type="dxa"/>
            <w:vAlign w:val="bottom"/>
            <w:gridSpan w:val="2"/>
            <w:vMerge w:val="restart"/>
            <w:shd w:val="clear" w:color="auto" w:fill="E5E5E5"/>
          </w:tcPr>
          <w:p>
            <w:pPr>
              <w:jc w:val="right"/>
              <w:ind w:right="180"/>
              <w:spacing w:after="0"/>
              <w:rPr>
                <w:sz w:val="20"/>
                <w:szCs w:val="20"/>
                <w:color w:val="auto"/>
              </w:rPr>
            </w:pPr>
            <w:r>
              <w:rPr>
                <w:rFonts w:ascii="Arial" w:cs="Arial" w:eastAsia="Arial" w:hAnsi="Arial"/>
                <w:sz w:val="16"/>
                <w:szCs w:val="16"/>
                <w:b w:val="1"/>
                <w:bCs w:val="1"/>
                <w:color w:val="auto"/>
              </w:rPr>
              <w:t>(111)</w:t>
            </w:r>
          </w:p>
        </w:tc>
        <w:tc>
          <w:tcPr>
            <w:tcW w:w="20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66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94,385</w:t>
            </w:r>
          </w:p>
        </w:tc>
        <w:tc>
          <w:tcPr>
            <w:tcW w:w="2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200" w:type="dxa"/>
            <w:vAlign w:val="bottom"/>
            <w:gridSpan w:val="2"/>
            <w:vMerge w:val="restart"/>
            <w:shd w:val="clear" w:color="auto" w:fill="E5E5E5"/>
          </w:tcPr>
          <w:p>
            <w:pPr>
              <w:jc w:val="right"/>
              <w:ind w:right="420"/>
              <w:spacing w:after="0"/>
              <w:rPr>
                <w:sz w:val="20"/>
                <w:szCs w:val="20"/>
                <w:color w:val="auto"/>
              </w:rPr>
            </w:pPr>
            <w:r>
              <w:rPr>
                <w:rFonts w:ascii="Arial" w:cs="Arial" w:eastAsia="Arial" w:hAnsi="Arial"/>
                <w:sz w:val="16"/>
                <w:szCs w:val="16"/>
                <w:b w:val="1"/>
                <w:bCs w:val="1"/>
                <w:color w:val="auto"/>
              </w:rPr>
              <w:t>1,500</w:t>
            </w:r>
          </w:p>
        </w:tc>
        <w:tc>
          <w:tcPr>
            <w:tcW w:w="100" w:type="dxa"/>
            <w:vAlign w:val="bottom"/>
            <w:shd w:val="clear" w:color="auto" w:fill="E5E5E5"/>
          </w:tcPr>
          <w:p>
            <w:pPr>
              <w:spacing w:after="0"/>
              <w:rPr>
                <w:sz w:val="16"/>
                <w:szCs w:val="16"/>
                <w:color w:val="auto"/>
              </w:rPr>
            </w:pPr>
          </w:p>
        </w:tc>
        <w:tc>
          <w:tcPr>
            <w:tcW w:w="70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92,885</w:t>
            </w:r>
          </w:p>
        </w:tc>
        <w:tc>
          <w:tcPr>
            <w:tcW w:w="4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920" w:type="dxa"/>
            <w:vAlign w:val="bottom"/>
            <w:gridSpan w:val="2"/>
            <w:vMerge w:val="restart"/>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440" w:type="dxa"/>
            <w:vAlign w:val="bottom"/>
            <w:shd w:val="clear" w:color="auto" w:fill="E5E5E5"/>
          </w:tcPr>
          <w:p>
            <w:pPr>
              <w:ind w:left="220"/>
              <w:spacing w:after="0"/>
              <w:rPr>
                <w:sz w:val="20"/>
                <w:szCs w:val="20"/>
                <w:color w:val="auto"/>
              </w:rPr>
            </w:pPr>
            <w:r>
              <w:rPr>
                <w:rFonts w:ascii="Arial" w:cs="Arial" w:eastAsia="Arial" w:hAnsi="Arial"/>
                <w:sz w:val="16"/>
                <w:szCs w:val="16"/>
                <w:color w:val="auto"/>
              </w:rPr>
              <w:t>securities</w:t>
            </w:r>
          </w:p>
        </w:tc>
        <w:tc>
          <w:tcPr>
            <w:tcW w:w="1060" w:type="dxa"/>
            <w:vAlign w:val="bottom"/>
            <w:shd w:val="clear" w:color="auto" w:fill="E5E5E5"/>
          </w:tcPr>
          <w:p>
            <w:pPr>
              <w:ind w:left="320"/>
              <w:spacing w:after="0"/>
              <w:rPr>
                <w:sz w:val="20"/>
                <w:szCs w:val="20"/>
                <w:color w:val="auto"/>
              </w:rPr>
            </w:pPr>
            <w:r>
              <w:rPr>
                <w:rFonts w:ascii="Arial" w:cs="Arial" w:eastAsia="Arial" w:hAnsi="Arial"/>
                <w:sz w:val="16"/>
                <w:szCs w:val="16"/>
                <w:color w:val="auto"/>
              </w:rPr>
              <w:t>Level 1</w:t>
            </w: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720" w:type="dxa"/>
            <w:vAlign w:val="bottom"/>
            <w:vMerge w:val="continue"/>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900" w:type="dxa"/>
            <w:vAlign w:val="bottom"/>
            <w:gridSpan w:val="2"/>
            <w:vMerge w:val="continue"/>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940" w:type="dxa"/>
            <w:vAlign w:val="bottom"/>
            <w:gridSpan w:val="2"/>
            <w:vMerge w:val="continue"/>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660" w:type="dxa"/>
            <w:vAlign w:val="bottom"/>
            <w:vMerge w:val="continue"/>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200" w:type="dxa"/>
            <w:vAlign w:val="bottom"/>
            <w:gridSpan w:val="2"/>
            <w:vMerge w:val="continue"/>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700" w:type="dxa"/>
            <w:vAlign w:val="bottom"/>
            <w:vMerge w:val="continue"/>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920" w:type="dxa"/>
            <w:vAlign w:val="bottom"/>
            <w:gridSpan w:val="2"/>
            <w:vMerge w:val="continue"/>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440" w:type="dxa"/>
            <w:vAlign w:val="bottom"/>
          </w:tcPr>
          <w:p>
            <w:pPr>
              <w:spacing w:after="0"/>
              <w:rPr>
                <w:sz w:val="20"/>
                <w:szCs w:val="20"/>
                <w:color w:val="auto"/>
              </w:rPr>
            </w:pPr>
            <w:r>
              <w:rPr>
                <w:rFonts w:ascii="Arial" w:cs="Arial" w:eastAsia="Arial" w:hAnsi="Arial"/>
                <w:sz w:val="16"/>
                <w:szCs w:val="16"/>
                <w:color w:val="auto"/>
              </w:rPr>
              <w:t>U.S. agency</w:t>
            </w: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6"/>
                <w:szCs w:val="16"/>
                <w:b w:val="1"/>
                <w:bCs w:val="1"/>
                <w:color w:val="auto"/>
              </w:rPr>
              <w:t>807</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6"/>
                <w:szCs w:val="16"/>
                <w:b w:val="1"/>
                <w:bCs w:val="1"/>
                <w:color w:val="auto"/>
              </w:rPr>
              <w:t>2</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6"/>
                <w:szCs w:val="16"/>
                <w:b w:val="1"/>
                <w:bCs w:val="1"/>
                <w:color w:val="auto"/>
              </w:rPr>
              <w:t>0</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809</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restart"/>
          </w:tcPr>
          <w:p>
            <w:pPr>
              <w:jc w:val="right"/>
              <w:ind w:right="420"/>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6"/>
                <w:szCs w:val="16"/>
                <w:color w:val="auto"/>
              </w:rPr>
            </w:pPr>
          </w:p>
        </w:tc>
        <w:tc>
          <w:tcPr>
            <w:tcW w:w="1140" w:type="dxa"/>
            <w:vAlign w:val="bottom"/>
            <w:gridSpan w:val="2"/>
            <w:vMerge w:val="restart"/>
          </w:tcPr>
          <w:p>
            <w:pPr>
              <w:jc w:val="right"/>
              <w:ind w:right="440"/>
              <w:spacing w:after="0"/>
              <w:rPr>
                <w:sz w:val="20"/>
                <w:szCs w:val="20"/>
                <w:color w:val="auto"/>
              </w:rPr>
            </w:pPr>
            <w:r>
              <w:rPr>
                <w:rFonts w:ascii="Arial" w:cs="Arial" w:eastAsia="Arial" w:hAnsi="Arial"/>
                <w:sz w:val="16"/>
                <w:szCs w:val="16"/>
                <w:b w:val="1"/>
                <w:bCs w:val="1"/>
                <w:color w:val="auto"/>
              </w:rPr>
              <w:t>809</w:t>
            </w:r>
          </w:p>
        </w:tc>
        <w:tc>
          <w:tcPr>
            <w:tcW w:w="100" w:type="dxa"/>
            <w:vAlign w:val="bottom"/>
          </w:tcPr>
          <w:p>
            <w:pPr>
              <w:spacing w:after="0"/>
              <w:rPr>
                <w:sz w:val="16"/>
                <w:szCs w:val="16"/>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440" w:type="dxa"/>
            <w:vAlign w:val="bottom"/>
          </w:tcPr>
          <w:p>
            <w:pPr>
              <w:ind w:left="220"/>
              <w:spacing w:after="0"/>
              <w:rPr>
                <w:sz w:val="20"/>
                <w:szCs w:val="20"/>
                <w:color w:val="auto"/>
              </w:rPr>
            </w:pPr>
            <w:r>
              <w:rPr>
                <w:rFonts w:ascii="Arial" w:cs="Arial" w:eastAsia="Arial" w:hAnsi="Arial"/>
                <w:sz w:val="16"/>
                <w:szCs w:val="16"/>
                <w:color w:val="auto"/>
              </w:rPr>
              <w:t>securities</w:t>
            </w:r>
          </w:p>
        </w:tc>
        <w:tc>
          <w:tcPr>
            <w:tcW w:w="1060" w:type="dxa"/>
            <w:vAlign w:val="bottom"/>
          </w:tcPr>
          <w:p>
            <w:pPr>
              <w:ind w:left="320"/>
              <w:spacing w:after="0"/>
              <w:rPr>
                <w:sz w:val="20"/>
                <w:szCs w:val="20"/>
                <w:color w:val="auto"/>
              </w:rPr>
            </w:pPr>
            <w:r>
              <w:rPr>
                <w:rFonts w:ascii="Arial" w:cs="Arial" w:eastAsia="Arial" w:hAnsi="Arial"/>
                <w:sz w:val="16"/>
                <w:szCs w:val="16"/>
                <w:color w:val="auto"/>
              </w:rPr>
              <w:t>Level 2</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440" w:type="dxa"/>
            <w:vAlign w:val="bottom"/>
            <w:shd w:val="clear" w:color="auto" w:fill="E5E5E5"/>
          </w:tcPr>
          <w:p>
            <w:pPr>
              <w:spacing w:after="0"/>
              <w:rPr>
                <w:sz w:val="20"/>
                <w:szCs w:val="20"/>
                <w:color w:val="auto"/>
              </w:rPr>
            </w:pPr>
            <w:r>
              <w:rPr>
                <w:rFonts w:ascii="Arial" w:cs="Arial" w:eastAsia="Arial" w:hAnsi="Arial"/>
                <w:sz w:val="16"/>
                <w:szCs w:val="16"/>
                <w:color w:val="auto"/>
              </w:rPr>
              <w:t>Foreign</w:t>
            </w:r>
          </w:p>
        </w:tc>
        <w:tc>
          <w:tcPr>
            <w:tcW w:w="10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6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8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440" w:type="dxa"/>
            <w:vAlign w:val="bottom"/>
            <w:shd w:val="clear" w:color="auto" w:fill="E5E5E5"/>
          </w:tcPr>
          <w:p>
            <w:pPr>
              <w:ind w:left="220"/>
              <w:spacing w:after="0"/>
              <w:rPr>
                <w:sz w:val="20"/>
                <w:szCs w:val="20"/>
                <w:color w:val="auto"/>
              </w:rPr>
            </w:pPr>
            <w:r>
              <w:rPr>
                <w:rFonts w:ascii="Arial" w:cs="Arial" w:eastAsia="Arial" w:hAnsi="Arial"/>
                <w:sz w:val="16"/>
                <w:szCs w:val="16"/>
                <w:color w:val="auto"/>
              </w:rPr>
              <w:t>government</w:t>
            </w:r>
          </w:p>
        </w:tc>
        <w:tc>
          <w:tcPr>
            <w:tcW w:w="10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920" w:type="dxa"/>
            <w:vAlign w:val="bottom"/>
            <w:gridSpan w:val="2"/>
            <w:vMerge w:val="restart"/>
            <w:shd w:val="clear" w:color="auto" w:fill="E5E5E5"/>
          </w:tcPr>
          <w:p>
            <w:pPr>
              <w:jc w:val="right"/>
              <w:ind w:right="200"/>
              <w:spacing w:after="0"/>
              <w:rPr>
                <w:sz w:val="20"/>
                <w:szCs w:val="20"/>
                <w:color w:val="auto"/>
              </w:rPr>
            </w:pPr>
            <w:r>
              <w:rPr>
                <w:rFonts w:ascii="Arial" w:cs="Arial" w:eastAsia="Arial" w:hAnsi="Arial"/>
                <w:sz w:val="16"/>
                <w:szCs w:val="16"/>
                <w:b w:val="1"/>
                <w:bCs w:val="1"/>
                <w:color w:val="auto"/>
              </w:rPr>
              <w:t>6,213</w:t>
            </w:r>
          </w:p>
        </w:tc>
        <w:tc>
          <w:tcPr>
            <w:tcW w:w="2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900" w:type="dxa"/>
            <w:vAlign w:val="bottom"/>
            <w:gridSpan w:val="2"/>
            <w:vMerge w:val="restart"/>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9</w:t>
            </w: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940" w:type="dxa"/>
            <w:vAlign w:val="bottom"/>
            <w:gridSpan w:val="2"/>
            <w:vMerge w:val="restart"/>
            <w:shd w:val="clear" w:color="auto" w:fill="E5E5E5"/>
          </w:tcPr>
          <w:p>
            <w:pPr>
              <w:jc w:val="right"/>
              <w:ind w:right="180"/>
              <w:spacing w:after="0"/>
              <w:rPr>
                <w:sz w:val="20"/>
                <w:szCs w:val="20"/>
                <w:color w:val="auto"/>
              </w:rPr>
            </w:pPr>
            <w:r>
              <w:rPr>
                <w:rFonts w:ascii="Arial" w:cs="Arial" w:eastAsia="Arial" w:hAnsi="Arial"/>
                <w:sz w:val="16"/>
                <w:szCs w:val="16"/>
                <w:b w:val="1"/>
                <w:bCs w:val="1"/>
                <w:color w:val="auto"/>
              </w:rPr>
              <w:t>(2)</w:t>
            </w:r>
          </w:p>
        </w:tc>
        <w:tc>
          <w:tcPr>
            <w:tcW w:w="20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80" w:type="dxa"/>
            <w:vAlign w:val="bottom"/>
            <w:gridSpan w:val="2"/>
            <w:vMerge w:val="restart"/>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6,220</w:t>
            </w: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200" w:type="dxa"/>
            <w:vAlign w:val="bottom"/>
            <w:gridSpan w:val="2"/>
            <w:vMerge w:val="restart"/>
            <w:shd w:val="clear" w:color="auto" w:fill="E5E5E5"/>
          </w:tcPr>
          <w:p>
            <w:pPr>
              <w:jc w:val="right"/>
              <w:ind w:right="420"/>
              <w:spacing w:after="0"/>
              <w:rPr>
                <w:sz w:val="20"/>
                <w:szCs w:val="20"/>
                <w:color w:val="auto"/>
              </w:rPr>
            </w:pPr>
            <w:r>
              <w:rPr>
                <w:rFonts w:ascii="Arial" w:cs="Arial" w:eastAsia="Arial" w:hAnsi="Arial"/>
                <w:sz w:val="16"/>
                <w:szCs w:val="16"/>
                <w:b w:val="1"/>
                <w:bCs w:val="1"/>
                <w:color w:val="auto"/>
              </w:rPr>
              <w:t>225</w:t>
            </w:r>
          </w:p>
        </w:tc>
        <w:tc>
          <w:tcPr>
            <w:tcW w:w="100" w:type="dxa"/>
            <w:vAlign w:val="bottom"/>
            <w:shd w:val="clear" w:color="auto" w:fill="E5E5E5"/>
          </w:tcPr>
          <w:p>
            <w:pPr>
              <w:spacing w:after="0"/>
              <w:rPr>
                <w:sz w:val="16"/>
                <w:szCs w:val="16"/>
                <w:color w:val="auto"/>
              </w:rPr>
            </w:pPr>
          </w:p>
        </w:tc>
        <w:tc>
          <w:tcPr>
            <w:tcW w:w="1140" w:type="dxa"/>
            <w:vAlign w:val="bottom"/>
            <w:gridSpan w:val="2"/>
            <w:vMerge w:val="restart"/>
            <w:shd w:val="clear" w:color="auto" w:fill="E5E5E5"/>
          </w:tcPr>
          <w:p>
            <w:pPr>
              <w:jc w:val="right"/>
              <w:ind w:right="440"/>
              <w:spacing w:after="0"/>
              <w:rPr>
                <w:sz w:val="20"/>
                <w:szCs w:val="20"/>
                <w:color w:val="auto"/>
              </w:rPr>
            </w:pPr>
            <w:r>
              <w:rPr>
                <w:rFonts w:ascii="Arial" w:cs="Arial" w:eastAsia="Arial" w:hAnsi="Arial"/>
                <w:sz w:val="16"/>
                <w:szCs w:val="16"/>
                <w:b w:val="1"/>
                <w:bCs w:val="1"/>
                <w:color w:val="auto"/>
              </w:rPr>
              <w:t>5,995</w:t>
            </w:r>
          </w:p>
        </w:tc>
        <w:tc>
          <w:tcPr>
            <w:tcW w:w="100" w:type="dxa"/>
            <w:vAlign w:val="bottom"/>
            <w:shd w:val="clear" w:color="auto" w:fill="E5E5E5"/>
          </w:tcPr>
          <w:p>
            <w:pPr>
              <w:spacing w:after="0"/>
              <w:rPr>
                <w:sz w:val="16"/>
                <w:szCs w:val="16"/>
                <w:color w:val="auto"/>
              </w:rPr>
            </w:pPr>
          </w:p>
        </w:tc>
        <w:tc>
          <w:tcPr>
            <w:tcW w:w="920" w:type="dxa"/>
            <w:vAlign w:val="bottom"/>
            <w:gridSpan w:val="2"/>
            <w:vMerge w:val="restart"/>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440" w:type="dxa"/>
            <w:vAlign w:val="bottom"/>
            <w:shd w:val="clear" w:color="auto" w:fill="E5E5E5"/>
          </w:tcPr>
          <w:p>
            <w:pPr>
              <w:ind w:left="220"/>
              <w:spacing w:after="0"/>
              <w:rPr>
                <w:sz w:val="20"/>
                <w:szCs w:val="20"/>
                <w:color w:val="auto"/>
              </w:rPr>
            </w:pPr>
            <w:r>
              <w:rPr>
                <w:rFonts w:ascii="Arial" w:cs="Arial" w:eastAsia="Arial" w:hAnsi="Arial"/>
                <w:sz w:val="16"/>
                <w:szCs w:val="16"/>
                <w:color w:val="auto"/>
              </w:rPr>
              <w:t>bonds</w:t>
            </w:r>
          </w:p>
        </w:tc>
        <w:tc>
          <w:tcPr>
            <w:tcW w:w="1060" w:type="dxa"/>
            <w:vAlign w:val="bottom"/>
            <w:shd w:val="clear" w:color="auto" w:fill="E5E5E5"/>
          </w:tcPr>
          <w:p>
            <w:pPr>
              <w:ind w:left="320"/>
              <w:spacing w:after="0"/>
              <w:rPr>
                <w:sz w:val="20"/>
                <w:szCs w:val="20"/>
                <w:color w:val="auto"/>
              </w:rPr>
            </w:pPr>
            <w:r>
              <w:rPr>
                <w:rFonts w:ascii="Arial" w:cs="Arial" w:eastAsia="Arial" w:hAnsi="Arial"/>
                <w:sz w:val="16"/>
                <w:szCs w:val="16"/>
                <w:color w:val="auto"/>
              </w:rPr>
              <w:t>Level 2</w:t>
            </w: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920" w:type="dxa"/>
            <w:vAlign w:val="bottom"/>
            <w:gridSpan w:val="2"/>
            <w:vMerge w:val="continue"/>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900" w:type="dxa"/>
            <w:vAlign w:val="bottom"/>
            <w:gridSpan w:val="2"/>
            <w:vMerge w:val="continue"/>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940" w:type="dxa"/>
            <w:vAlign w:val="bottom"/>
            <w:gridSpan w:val="2"/>
            <w:vMerge w:val="continue"/>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80" w:type="dxa"/>
            <w:vAlign w:val="bottom"/>
            <w:gridSpan w:val="2"/>
            <w:vMerge w:val="continue"/>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200" w:type="dxa"/>
            <w:vAlign w:val="bottom"/>
            <w:gridSpan w:val="2"/>
            <w:vMerge w:val="continue"/>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140" w:type="dxa"/>
            <w:vAlign w:val="bottom"/>
            <w:gridSpan w:val="2"/>
            <w:vMerge w:val="continue"/>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920" w:type="dxa"/>
            <w:vAlign w:val="bottom"/>
            <w:gridSpan w:val="2"/>
            <w:vMerge w:val="continue"/>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440" w:type="dxa"/>
            <w:vAlign w:val="bottom"/>
          </w:tcPr>
          <w:p>
            <w:pPr>
              <w:spacing w:after="0"/>
              <w:rPr>
                <w:sz w:val="20"/>
                <w:szCs w:val="20"/>
                <w:color w:val="auto"/>
              </w:rPr>
            </w:pPr>
            <w:r>
              <w:rPr>
                <w:rFonts w:ascii="Arial" w:cs="Arial" w:eastAsia="Arial" w:hAnsi="Arial"/>
                <w:sz w:val="16"/>
                <w:szCs w:val="16"/>
                <w:color w:val="auto"/>
              </w:rPr>
              <w:t>Mortgage- and</w:t>
            </w: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440" w:type="dxa"/>
            <w:vAlign w:val="bottom"/>
          </w:tcPr>
          <w:p>
            <w:pPr>
              <w:ind w:left="220"/>
              <w:spacing w:after="0"/>
              <w:rPr>
                <w:sz w:val="20"/>
                <w:szCs w:val="20"/>
                <w:color w:val="auto"/>
              </w:rPr>
            </w:pPr>
            <w:r>
              <w:rPr>
                <w:rFonts w:ascii="Arial" w:cs="Arial" w:eastAsia="Arial" w:hAnsi="Arial"/>
                <w:sz w:val="16"/>
                <w:szCs w:val="16"/>
                <w:color w:val="auto"/>
              </w:rPr>
              <w:t>asset-backed</w:t>
            </w: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6"/>
                <w:szCs w:val="16"/>
                <w:b w:val="1"/>
                <w:bCs w:val="1"/>
                <w:color w:val="auto"/>
              </w:rPr>
              <w:t>3,442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6"/>
                <w:szCs w:val="16"/>
                <w:b w:val="1"/>
                <w:bCs w:val="1"/>
                <w:color w:val="auto"/>
              </w:rPr>
              <w:t>22</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auto"/>
              </w:rPr>
              <w:t>(6)</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6"/>
                <w:szCs w:val="16"/>
                <w:b w:val="1"/>
                <w:bCs w:val="1"/>
                <w:color w:val="auto"/>
              </w:rPr>
              <w:t>3,458</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restart"/>
          </w:tcPr>
          <w:p>
            <w:pPr>
              <w:jc w:val="right"/>
              <w:ind w:right="420"/>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6"/>
                <w:szCs w:val="16"/>
                <w:color w:val="auto"/>
              </w:rPr>
            </w:pPr>
          </w:p>
        </w:tc>
        <w:tc>
          <w:tcPr>
            <w:tcW w:w="1140" w:type="dxa"/>
            <w:vAlign w:val="bottom"/>
            <w:gridSpan w:val="2"/>
            <w:vMerge w:val="restart"/>
          </w:tcPr>
          <w:p>
            <w:pPr>
              <w:jc w:val="right"/>
              <w:ind w:right="440"/>
              <w:spacing w:after="0"/>
              <w:rPr>
                <w:sz w:val="20"/>
                <w:szCs w:val="20"/>
                <w:color w:val="auto"/>
              </w:rPr>
            </w:pPr>
            <w:r>
              <w:rPr>
                <w:rFonts w:ascii="Arial" w:cs="Arial" w:eastAsia="Arial" w:hAnsi="Arial"/>
                <w:sz w:val="16"/>
                <w:szCs w:val="16"/>
                <w:b w:val="1"/>
                <w:bCs w:val="1"/>
                <w:color w:val="auto"/>
              </w:rPr>
              <w:t>3,458</w:t>
            </w:r>
          </w:p>
        </w:tc>
        <w:tc>
          <w:tcPr>
            <w:tcW w:w="100" w:type="dxa"/>
            <w:vAlign w:val="bottom"/>
          </w:tcPr>
          <w:p>
            <w:pPr>
              <w:spacing w:after="0"/>
              <w:rPr>
                <w:sz w:val="16"/>
                <w:szCs w:val="16"/>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440" w:type="dxa"/>
            <w:vAlign w:val="bottom"/>
          </w:tcPr>
          <w:p>
            <w:pPr>
              <w:ind w:left="220"/>
              <w:spacing w:after="0"/>
              <w:rPr>
                <w:sz w:val="20"/>
                <w:szCs w:val="20"/>
                <w:color w:val="auto"/>
              </w:rPr>
            </w:pPr>
            <w:r>
              <w:rPr>
                <w:rFonts w:ascii="Arial" w:cs="Arial" w:eastAsia="Arial" w:hAnsi="Arial"/>
                <w:sz w:val="16"/>
                <w:szCs w:val="16"/>
                <w:color w:val="auto"/>
              </w:rPr>
              <w:t>securities</w:t>
            </w:r>
          </w:p>
        </w:tc>
        <w:tc>
          <w:tcPr>
            <w:tcW w:w="1060" w:type="dxa"/>
            <w:vAlign w:val="bottom"/>
          </w:tcPr>
          <w:p>
            <w:pPr>
              <w:ind w:left="320"/>
              <w:spacing w:after="0"/>
              <w:rPr>
                <w:sz w:val="20"/>
                <w:szCs w:val="20"/>
                <w:color w:val="auto"/>
              </w:rPr>
            </w:pPr>
            <w:r>
              <w:rPr>
                <w:rFonts w:ascii="Arial" w:cs="Arial" w:eastAsia="Arial" w:hAnsi="Arial"/>
                <w:sz w:val="16"/>
                <w:szCs w:val="16"/>
                <w:color w:val="auto"/>
              </w:rPr>
              <w:t>Level 2</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440" w:type="dxa"/>
            <w:vAlign w:val="bottom"/>
            <w:shd w:val="clear" w:color="auto" w:fill="E5E5E5"/>
          </w:tcPr>
          <w:p>
            <w:pPr>
              <w:spacing w:after="0"/>
              <w:rPr>
                <w:sz w:val="20"/>
                <w:szCs w:val="20"/>
                <w:color w:val="auto"/>
              </w:rPr>
            </w:pPr>
            <w:r>
              <w:rPr>
                <w:rFonts w:ascii="Arial" w:cs="Arial" w:eastAsia="Arial" w:hAnsi="Arial"/>
                <w:sz w:val="16"/>
                <w:szCs w:val="16"/>
                <w:color w:val="auto"/>
              </w:rPr>
              <w:t>Corporate notes</w:t>
            </w:r>
          </w:p>
        </w:tc>
        <w:tc>
          <w:tcPr>
            <w:tcW w:w="10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920" w:type="dxa"/>
            <w:vAlign w:val="bottom"/>
            <w:gridSpan w:val="2"/>
            <w:vMerge w:val="restart"/>
            <w:shd w:val="clear" w:color="auto" w:fill="E5E5E5"/>
          </w:tcPr>
          <w:p>
            <w:pPr>
              <w:jc w:val="right"/>
              <w:ind w:right="200"/>
              <w:spacing w:after="0"/>
              <w:rPr>
                <w:sz w:val="20"/>
                <w:szCs w:val="20"/>
                <w:color w:val="auto"/>
              </w:rPr>
            </w:pPr>
            <w:r>
              <w:rPr>
                <w:rFonts w:ascii="Arial" w:cs="Arial" w:eastAsia="Arial" w:hAnsi="Arial"/>
                <w:sz w:val="16"/>
                <w:szCs w:val="16"/>
                <w:b w:val="1"/>
                <w:bCs w:val="1"/>
                <w:color w:val="auto"/>
              </w:rPr>
              <w:t>8,443</w:t>
            </w:r>
          </w:p>
        </w:tc>
        <w:tc>
          <w:tcPr>
            <w:tcW w:w="2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900" w:type="dxa"/>
            <w:vAlign w:val="bottom"/>
            <w:gridSpan w:val="2"/>
            <w:vMerge w:val="restart"/>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249</w:t>
            </w: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940" w:type="dxa"/>
            <w:vAlign w:val="bottom"/>
            <w:gridSpan w:val="2"/>
            <w:vMerge w:val="restart"/>
            <w:shd w:val="clear" w:color="auto" w:fill="E5E5E5"/>
          </w:tcPr>
          <w:p>
            <w:pPr>
              <w:jc w:val="right"/>
              <w:ind w:right="180"/>
              <w:spacing w:after="0"/>
              <w:rPr>
                <w:sz w:val="20"/>
                <w:szCs w:val="20"/>
                <w:color w:val="auto"/>
              </w:rPr>
            </w:pPr>
            <w:r>
              <w:rPr>
                <w:rFonts w:ascii="Arial" w:cs="Arial" w:eastAsia="Arial" w:hAnsi="Arial"/>
                <w:sz w:val="16"/>
                <w:szCs w:val="16"/>
                <w:b w:val="1"/>
                <w:bCs w:val="1"/>
                <w:color w:val="auto"/>
              </w:rPr>
              <w:t>(9)</w:t>
            </w:r>
          </w:p>
        </w:tc>
        <w:tc>
          <w:tcPr>
            <w:tcW w:w="20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80" w:type="dxa"/>
            <w:vAlign w:val="bottom"/>
            <w:gridSpan w:val="2"/>
            <w:vMerge w:val="restart"/>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8,683</w:t>
            </w: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200" w:type="dxa"/>
            <w:vAlign w:val="bottom"/>
            <w:gridSpan w:val="2"/>
            <w:vMerge w:val="restart"/>
            <w:shd w:val="clear" w:color="auto" w:fill="E5E5E5"/>
          </w:tcPr>
          <w:p>
            <w:pPr>
              <w:jc w:val="right"/>
              <w:ind w:right="420"/>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E5E5E5"/>
          </w:tcPr>
          <w:p>
            <w:pPr>
              <w:spacing w:after="0"/>
              <w:rPr>
                <w:sz w:val="16"/>
                <w:szCs w:val="16"/>
                <w:color w:val="auto"/>
              </w:rPr>
            </w:pPr>
          </w:p>
        </w:tc>
        <w:tc>
          <w:tcPr>
            <w:tcW w:w="1140" w:type="dxa"/>
            <w:vAlign w:val="bottom"/>
            <w:gridSpan w:val="2"/>
            <w:vMerge w:val="restart"/>
            <w:shd w:val="clear" w:color="auto" w:fill="E5E5E5"/>
          </w:tcPr>
          <w:p>
            <w:pPr>
              <w:jc w:val="right"/>
              <w:ind w:right="440"/>
              <w:spacing w:after="0"/>
              <w:rPr>
                <w:sz w:val="20"/>
                <w:szCs w:val="20"/>
                <w:color w:val="auto"/>
              </w:rPr>
            </w:pPr>
            <w:r>
              <w:rPr>
                <w:rFonts w:ascii="Arial" w:cs="Arial" w:eastAsia="Arial" w:hAnsi="Arial"/>
                <w:sz w:val="16"/>
                <w:szCs w:val="16"/>
                <w:b w:val="1"/>
                <w:bCs w:val="1"/>
                <w:color w:val="auto"/>
              </w:rPr>
              <w:t>8,683</w:t>
            </w:r>
          </w:p>
        </w:tc>
        <w:tc>
          <w:tcPr>
            <w:tcW w:w="100" w:type="dxa"/>
            <w:vAlign w:val="bottom"/>
            <w:shd w:val="clear" w:color="auto" w:fill="E5E5E5"/>
          </w:tcPr>
          <w:p>
            <w:pPr>
              <w:spacing w:after="0"/>
              <w:rPr>
                <w:sz w:val="16"/>
                <w:szCs w:val="16"/>
                <w:color w:val="auto"/>
              </w:rPr>
            </w:pPr>
          </w:p>
        </w:tc>
        <w:tc>
          <w:tcPr>
            <w:tcW w:w="920" w:type="dxa"/>
            <w:vAlign w:val="bottom"/>
            <w:gridSpan w:val="2"/>
            <w:vMerge w:val="restart"/>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440" w:type="dxa"/>
            <w:vAlign w:val="bottom"/>
            <w:shd w:val="clear" w:color="auto" w:fill="E5E5E5"/>
          </w:tcPr>
          <w:p>
            <w:pPr>
              <w:ind w:left="220"/>
              <w:spacing w:after="0"/>
              <w:rPr>
                <w:sz w:val="20"/>
                <w:szCs w:val="20"/>
                <w:color w:val="auto"/>
              </w:rPr>
            </w:pPr>
            <w:r>
              <w:rPr>
                <w:rFonts w:ascii="Arial" w:cs="Arial" w:eastAsia="Arial" w:hAnsi="Arial"/>
                <w:sz w:val="16"/>
                <w:szCs w:val="16"/>
                <w:color w:val="auto"/>
              </w:rPr>
              <w:t>and bonds</w:t>
            </w:r>
          </w:p>
        </w:tc>
        <w:tc>
          <w:tcPr>
            <w:tcW w:w="1060" w:type="dxa"/>
            <w:vAlign w:val="bottom"/>
            <w:shd w:val="clear" w:color="auto" w:fill="E5E5E5"/>
          </w:tcPr>
          <w:p>
            <w:pPr>
              <w:ind w:left="320"/>
              <w:spacing w:after="0"/>
              <w:rPr>
                <w:sz w:val="20"/>
                <w:szCs w:val="20"/>
                <w:color w:val="auto"/>
              </w:rPr>
            </w:pPr>
            <w:r>
              <w:rPr>
                <w:rFonts w:ascii="Arial" w:cs="Arial" w:eastAsia="Arial" w:hAnsi="Arial"/>
                <w:sz w:val="16"/>
                <w:szCs w:val="16"/>
                <w:color w:val="auto"/>
              </w:rPr>
              <w:t>Level 2</w:t>
            </w: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920" w:type="dxa"/>
            <w:vAlign w:val="bottom"/>
            <w:gridSpan w:val="2"/>
            <w:vMerge w:val="continue"/>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900" w:type="dxa"/>
            <w:vAlign w:val="bottom"/>
            <w:gridSpan w:val="2"/>
            <w:vMerge w:val="continue"/>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940" w:type="dxa"/>
            <w:vAlign w:val="bottom"/>
            <w:gridSpan w:val="2"/>
            <w:vMerge w:val="continue"/>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80" w:type="dxa"/>
            <w:vAlign w:val="bottom"/>
            <w:gridSpan w:val="2"/>
            <w:vMerge w:val="continue"/>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200" w:type="dxa"/>
            <w:vAlign w:val="bottom"/>
            <w:gridSpan w:val="2"/>
            <w:vMerge w:val="continue"/>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140" w:type="dxa"/>
            <w:vAlign w:val="bottom"/>
            <w:gridSpan w:val="2"/>
            <w:vMerge w:val="continue"/>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920" w:type="dxa"/>
            <w:vAlign w:val="bottom"/>
            <w:gridSpan w:val="2"/>
            <w:vMerge w:val="continue"/>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440" w:type="dxa"/>
            <w:vAlign w:val="bottom"/>
          </w:tcPr>
          <w:p>
            <w:pPr>
              <w:spacing w:after="0"/>
              <w:rPr>
                <w:sz w:val="20"/>
                <w:szCs w:val="20"/>
                <w:color w:val="auto"/>
              </w:rPr>
            </w:pPr>
            <w:r>
              <w:rPr>
                <w:rFonts w:ascii="Arial" w:cs="Arial" w:eastAsia="Arial" w:hAnsi="Arial"/>
                <w:sz w:val="16"/>
                <w:szCs w:val="16"/>
                <w:color w:val="auto"/>
              </w:rPr>
              <w:t>Corporate notes</w:t>
            </w: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6"/>
                <w:szCs w:val="16"/>
                <w:b w:val="1"/>
                <w:bCs w:val="1"/>
                <w:color w:val="auto"/>
              </w:rPr>
              <w:t>63</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6"/>
                <w:szCs w:val="16"/>
                <w:b w:val="1"/>
                <w:bCs w:val="1"/>
                <w:color w:val="auto"/>
              </w:rPr>
              <w:t>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6"/>
                <w:szCs w:val="16"/>
                <w:b w:val="1"/>
                <w:bCs w:val="1"/>
                <w:color w:val="auto"/>
              </w:rPr>
              <w:t>0</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63</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restart"/>
          </w:tcPr>
          <w:p>
            <w:pPr>
              <w:jc w:val="right"/>
              <w:ind w:right="420"/>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6"/>
                <w:szCs w:val="16"/>
                <w:color w:val="auto"/>
              </w:rPr>
            </w:pPr>
          </w:p>
        </w:tc>
        <w:tc>
          <w:tcPr>
            <w:tcW w:w="1140" w:type="dxa"/>
            <w:vAlign w:val="bottom"/>
            <w:gridSpan w:val="2"/>
            <w:vMerge w:val="restart"/>
          </w:tcPr>
          <w:p>
            <w:pPr>
              <w:jc w:val="right"/>
              <w:ind w:right="440"/>
              <w:spacing w:after="0"/>
              <w:rPr>
                <w:sz w:val="20"/>
                <w:szCs w:val="20"/>
                <w:color w:val="auto"/>
              </w:rPr>
            </w:pPr>
            <w:r>
              <w:rPr>
                <w:rFonts w:ascii="Arial" w:cs="Arial" w:eastAsia="Arial" w:hAnsi="Arial"/>
                <w:sz w:val="16"/>
                <w:szCs w:val="16"/>
                <w:b w:val="1"/>
                <w:bCs w:val="1"/>
                <w:color w:val="auto"/>
              </w:rPr>
              <w:t>63</w:t>
            </w:r>
          </w:p>
        </w:tc>
        <w:tc>
          <w:tcPr>
            <w:tcW w:w="100" w:type="dxa"/>
            <w:vAlign w:val="bottom"/>
          </w:tcPr>
          <w:p>
            <w:pPr>
              <w:spacing w:after="0"/>
              <w:rPr>
                <w:sz w:val="16"/>
                <w:szCs w:val="16"/>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440" w:type="dxa"/>
            <w:vAlign w:val="bottom"/>
          </w:tcPr>
          <w:p>
            <w:pPr>
              <w:ind w:left="220"/>
              <w:spacing w:after="0"/>
              <w:rPr>
                <w:sz w:val="20"/>
                <w:szCs w:val="20"/>
                <w:color w:val="auto"/>
              </w:rPr>
            </w:pPr>
            <w:r>
              <w:rPr>
                <w:rFonts w:ascii="Arial" w:cs="Arial" w:eastAsia="Arial" w:hAnsi="Arial"/>
                <w:sz w:val="16"/>
                <w:szCs w:val="16"/>
                <w:color w:val="auto"/>
              </w:rPr>
              <w:t>and bonds</w:t>
            </w:r>
          </w:p>
        </w:tc>
        <w:tc>
          <w:tcPr>
            <w:tcW w:w="1060" w:type="dxa"/>
            <w:vAlign w:val="bottom"/>
          </w:tcPr>
          <w:p>
            <w:pPr>
              <w:ind w:left="320"/>
              <w:spacing w:after="0"/>
              <w:rPr>
                <w:sz w:val="20"/>
                <w:szCs w:val="20"/>
                <w:color w:val="auto"/>
              </w:rPr>
            </w:pPr>
            <w:r>
              <w:rPr>
                <w:rFonts w:ascii="Arial" w:cs="Arial" w:eastAsia="Arial" w:hAnsi="Arial"/>
                <w:sz w:val="16"/>
                <w:szCs w:val="16"/>
                <w:color w:val="auto"/>
              </w:rPr>
              <w:t>Level 3</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440" w:type="dxa"/>
            <w:vAlign w:val="bottom"/>
            <w:shd w:val="clear" w:color="auto" w:fill="E5E5E5"/>
          </w:tcPr>
          <w:p>
            <w:pPr>
              <w:spacing w:after="0"/>
              <w:rPr>
                <w:sz w:val="20"/>
                <w:szCs w:val="20"/>
                <w:color w:val="auto"/>
              </w:rPr>
            </w:pPr>
            <w:r>
              <w:rPr>
                <w:rFonts w:ascii="Arial" w:cs="Arial" w:eastAsia="Arial" w:hAnsi="Arial"/>
                <w:sz w:val="16"/>
                <w:szCs w:val="16"/>
                <w:color w:val="auto"/>
              </w:rPr>
              <w:t>Municipal</w:t>
            </w:r>
          </w:p>
        </w:tc>
        <w:tc>
          <w:tcPr>
            <w:tcW w:w="10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920" w:type="dxa"/>
            <w:vAlign w:val="bottom"/>
            <w:gridSpan w:val="2"/>
            <w:vMerge w:val="restart"/>
            <w:shd w:val="clear" w:color="auto" w:fill="E5E5E5"/>
          </w:tcPr>
          <w:p>
            <w:pPr>
              <w:jc w:val="right"/>
              <w:ind w:right="200"/>
              <w:spacing w:after="0"/>
              <w:rPr>
                <w:sz w:val="20"/>
                <w:szCs w:val="20"/>
                <w:color w:val="auto"/>
              </w:rPr>
            </w:pPr>
            <w:r>
              <w:rPr>
                <w:rFonts w:ascii="Arial" w:cs="Arial" w:eastAsia="Arial" w:hAnsi="Arial"/>
                <w:sz w:val="16"/>
                <w:szCs w:val="16"/>
                <w:b w:val="1"/>
                <w:bCs w:val="1"/>
                <w:color w:val="auto"/>
              </w:rPr>
              <w:t>308</w:t>
            </w:r>
          </w:p>
        </w:tc>
        <w:tc>
          <w:tcPr>
            <w:tcW w:w="2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900" w:type="dxa"/>
            <w:vAlign w:val="bottom"/>
            <w:gridSpan w:val="2"/>
            <w:vMerge w:val="restart"/>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63</w:t>
            </w: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940" w:type="dxa"/>
            <w:vAlign w:val="bottom"/>
            <w:gridSpan w:val="2"/>
            <w:vMerge w:val="restart"/>
            <w:shd w:val="clear" w:color="auto" w:fill="E5E5E5"/>
          </w:tcPr>
          <w:p>
            <w:pPr>
              <w:jc w:val="right"/>
              <w:ind w:right="240"/>
              <w:spacing w:after="0"/>
              <w:rPr>
                <w:sz w:val="20"/>
                <w:szCs w:val="20"/>
                <w:color w:val="auto"/>
              </w:rPr>
            </w:pPr>
            <w:r>
              <w:rPr>
                <w:rFonts w:ascii="Arial" w:cs="Arial" w:eastAsia="Arial" w:hAnsi="Arial"/>
                <w:sz w:val="16"/>
                <w:szCs w:val="16"/>
                <w:b w:val="1"/>
                <w:bCs w:val="1"/>
                <w:color w:val="auto"/>
              </w:rPr>
              <w:t>0</w:t>
            </w:r>
          </w:p>
        </w:tc>
        <w:tc>
          <w:tcPr>
            <w:tcW w:w="20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66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371</w:t>
            </w:r>
          </w:p>
        </w:tc>
        <w:tc>
          <w:tcPr>
            <w:tcW w:w="2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200" w:type="dxa"/>
            <w:vAlign w:val="bottom"/>
            <w:gridSpan w:val="2"/>
            <w:vMerge w:val="restart"/>
            <w:shd w:val="clear" w:color="auto" w:fill="E5E5E5"/>
          </w:tcPr>
          <w:p>
            <w:pPr>
              <w:jc w:val="right"/>
              <w:ind w:right="420"/>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E5E5E5"/>
          </w:tcPr>
          <w:p>
            <w:pPr>
              <w:spacing w:after="0"/>
              <w:rPr>
                <w:sz w:val="16"/>
                <w:szCs w:val="16"/>
                <w:color w:val="auto"/>
              </w:rPr>
            </w:pPr>
          </w:p>
        </w:tc>
        <w:tc>
          <w:tcPr>
            <w:tcW w:w="1140" w:type="dxa"/>
            <w:vAlign w:val="bottom"/>
            <w:gridSpan w:val="2"/>
            <w:vMerge w:val="restart"/>
            <w:shd w:val="clear" w:color="auto" w:fill="E5E5E5"/>
          </w:tcPr>
          <w:p>
            <w:pPr>
              <w:jc w:val="right"/>
              <w:ind w:right="440"/>
              <w:spacing w:after="0"/>
              <w:rPr>
                <w:sz w:val="20"/>
                <w:szCs w:val="20"/>
                <w:color w:val="auto"/>
              </w:rPr>
            </w:pPr>
            <w:r>
              <w:rPr>
                <w:rFonts w:ascii="Arial" w:cs="Arial" w:eastAsia="Arial" w:hAnsi="Arial"/>
                <w:sz w:val="16"/>
                <w:szCs w:val="16"/>
                <w:b w:val="1"/>
                <w:bCs w:val="1"/>
                <w:color w:val="auto"/>
              </w:rPr>
              <w:t>371</w:t>
            </w:r>
          </w:p>
        </w:tc>
        <w:tc>
          <w:tcPr>
            <w:tcW w:w="100" w:type="dxa"/>
            <w:vAlign w:val="bottom"/>
            <w:shd w:val="clear" w:color="auto" w:fill="E5E5E5"/>
          </w:tcPr>
          <w:p>
            <w:pPr>
              <w:spacing w:after="0"/>
              <w:rPr>
                <w:sz w:val="16"/>
                <w:szCs w:val="16"/>
                <w:color w:val="auto"/>
              </w:rPr>
            </w:pPr>
          </w:p>
        </w:tc>
        <w:tc>
          <w:tcPr>
            <w:tcW w:w="920" w:type="dxa"/>
            <w:vAlign w:val="bottom"/>
            <w:gridSpan w:val="2"/>
            <w:vMerge w:val="restart"/>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440" w:type="dxa"/>
            <w:vAlign w:val="bottom"/>
            <w:shd w:val="clear" w:color="auto" w:fill="E5E5E5"/>
          </w:tcPr>
          <w:p>
            <w:pPr>
              <w:ind w:left="220"/>
              <w:spacing w:after="0"/>
              <w:rPr>
                <w:sz w:val="20"/>
                <w:szCs w:val="20"/>
                <w:color w:val="auto"/>
              </w:rPr>
            </w:pPr>
            <w:r>
              <w:rPr>
                <w:rFonts w:ascii="Arial" w:cs="Arial" w:eastAsia="Arial" w:hAnsi="Arial"/>
                <w:sz w:val="16"/>
                <w:szCs w:val="16"/>
                <w:color w:val="auto"/>
              </w:rPr>
              <w:t>securities</w:t>
            </w:r>
          </w:p>
        </w:tc>
        <w:tc>
          <w:tcPr>
            <w:tcW w:w="1060" w:type="dxa"/>
            <w:vAlign w:val="bottom"/>
            <w:shd w:val="clear" w:color="auto" w:fill="E5E5E5"/>
          </w:tcPr>
          <w:p>
            <w:pPr>
              <w:ind w:left="320"/>
              <w:spacing w:after="0"/>
              <w:rPr>
                <w:sz w:val="20"/>
                <w:szCs w:val="20"/>
                <w:color w:val="auto"/>
              </w:rPr>
            </w:pPr>
            <w:r>
              <w:rPr>
                <w:rFonts w:ascii="Arial" w:cs="Arial" w:eastAsia="Arial" w:hAnsi="Arial"/>
                <w:sz w:val="16"/>
                <w:szCs w:val="16"/>
                <w:color w:val="auto"/>
              </w:rPr>
              <w:t>Level 2</w:t>
            </w: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920" w:type="dxa"/>
            <w:vAlign w:val="bottom"/>
            <w:gridSpan w:val="2"/>
            <w:vMerge w:val="continue"/>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900" w:type="dxa"/>
            <w:vAlign w:val="bottom"/>
            <w:gridSpan w:val="2"/>
            <w:vMerge w:val="continue"/>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940" w:type="dxa"/>
            <w:vAlign w:val="bottom"/>
            <w:gridSpan w:val="2"/>
            <w:vMerge w:val="continue"/>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660" w:type="dxa"/>
            <w:vAlign w:val="bottom"/>
            <w:vMerge w:val="continue"/>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200" w:type="dxa"/>
            <w:vAlign w:val="bottom"/>
            <w:gridSpan w:val="2"/>
            <w:vMerge w:val="continue"/>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140" w:type="dxa"/>
            <w:vAlign w:val="bottom"/>
            <w:gridSpan w:val="2"/>
            <w:vMerge w:val="continue"/>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920" w:type="dxa"/>
            <w:vAlign w:val="bottom"/>
            <w:gridSpan w:val="2"/>
            <w:vMerge w:val="continue"/>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440" w:type="dxa"/>
            <w:vAlign w:val="bottom"/>
          </w:tcPr>
          <w:p>
            <w:pPr>
              <w:spacing w:after="0"/>
              <w:rPr>
                <w:sz w:val="20"/>
                <w:szCs w:val="20"/>
                <w:color w:val="auto"/>
              </w:rPr>
            </w:pPr>
            <w:r>
              <w:rPr>
                <w:rFonts w:ascii="Arial" w:cs="Arial" w:eastAsia="Arial" w:hAnsi="Arial"/>
                <w:sz w:val="16"/>
                <w:szCs w:val="16"/>
                <w:color w:val="auto"/>
              </w:rPr>
              <w:t>Municipal</w:t>
            </w: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6"/>
                <w:szCs w:val="16"/>
                <w:b w:val="1"/>
                <w:bCs w:val="1"/>
                <w:color w:val="auto"/>
              </w:rPr>
              <w:t>95</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6"/>
                <w:szCs w:val="16"/>
                <w:b w:val="1"/>
                <w:bCs w:val="1"/>
                <w:color w:val="auto"/>
              </w:rPr>
              <w:t>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auto"/>
              </w:rPr>
              <w:t>(7)</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88</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restart"/>
          </w:tcPr>
          <w:p>
            <w:pPr>
              <w:jc w:val="right"/>
              <w:ind w:right="420"/>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6"/>
                <w:szCs w:val="16"/>
                <w:color w:val="auto"/>
              </w:rPr>
            </w:pPr>
          </w:p>
        </w:tc>
        <w:tc>
          <w:tcPr>
            <w:tcW w:w="1140" w:type="dxa"/>
            <w:vAlign w:val="bottom"/>
            <w:gridSpan w:val="2"/>
            <w:vMerge w:val="restart"/>
          </w:tcPr>
          <w:p>
            <w:pPr>
              <w:jc w:val="right"/>
              <w:ind w:right="440"/>
              <w:spacing w:after="0"/>
              <w:rPr>
                <w:sz w:val="20"/>
                <w:szCs w:val="20"/>
                <w:color w:val="auto"/>
              </w:rPr>
            </w:pPr>
            <w:r>
              <w:rPr>
                <w:rFonts w:ascii="Arial" w:cs="Arial" w:eastAsia="Arial" w:hAnsi="Arial"/>
                <w:sz w:val="16"/>
                <w:szCs w:val="16"/>
                <w:b w:val="1"/>
                <w:bCs w:val="1"/>
                <w:color w:val="auto"/>
              </w:rPr>
              <w:t>88</w:t>
            </w:r>
          </w:p>
        </w:tc>
        <w:tc>
          <w:tcPr>
            <w:tcW w:w="100" w:type="dxa"/>
            <w:vAlign w:val="bottom"/>
          </w:tcPr>
          <w:p>
            <w:pPr>
              <w:spacing w:after="0"/>
              <w:rPr>
                <w:sz w:val="16"/>
                <w:szCs w:val="16"/>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440" w:type="dxa"/>
            <w:vAlign w:val="bottom"/>
          </w:tcPr>
          <w:p>
            <w:pPr>
              <w:ind w:left="220"/>
              <w:spacing w:after="0"/>
              <w:rPr>
                <w:sz w:val="20"/>
                <w:szCs w:val="20"/>
                <w:color w:val="auto"/>
              </w:rPr>
            </w:pPr>
            <w:r>
              <w:rPr>
                <w:rFonts w:ascii="Arial" w:cs="Arial" w:eastAsia="Arial" w:hAnsi="Arial"/>
                <w:sz w:val="16"/>
                <w:szCs w:val="16"/>
                <w:color w:val="auto"/>
              </w:rPr>
              <w:t>securities</w:t>
            </w:r>
          </w:p>
        </w:tc>
        <w:tc>
          <w:tcPr>
            <w:tcW w:w="1060" w:type="dxa"/>
            <w:vAlign w:val="bottom"/>
          </w:tcPr>
          <w:p>
            <w:pPr>
              <w:ind w:left="320"/>
              <w:spacing w:after="0"/>
              <w:rPr>
                <w:sz w:val="20"/>
                <w:szCs w:val="20"/>
                <w:color w:val="auto"/>
              </w:rPr>
            </w:pPr>
            <w:r>
              <w:rPr>
                <w:rFonts w:ascii="Arial" w:cs="Arial" w:eastAsia="Arial" w:hAnsi="Arial"/>
                <w:sz w:val="16"/>
                <w:szCs w:val="16"/>
                <w:color w:val="auto"/>
              </w:rPr>
              <w:t>Level 3</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14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14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440" w:type="dxa"/>
            <w:vAlign w:val="bottom"/>
            <w:shd w:val="clear" w:color="auto" w:fill="E5E5E5"/>
          </w:tcPr>
          <w:p>
            <w:pPr>
              <w:ind w:left="220"/>
              <w:spacing w:after="0"/>
              <w:rPr>
                <w:sz w:val="20"/>
                <w:szCs w:val="20"/>
                <w:color w:val="auto"/>
              </w:rPr>
            </w:pPr>
            <w:r>
              <w:rPr>
                <w:rFonts w:ascii="Arial" w:cs="Arial" w:eastAsia="Arial" w:hAnsi="Arial"/>
                <w:sz w:val="16"/>
                <w:szCs w:val="16"/>
                <w:color w:val="auto"/>
              </w:rPr>
              <w:t>Total debt</w:t>
            </w:r>
          </w:p>
        </w:tc>
        <w:tc>
          <w:tcPr>
            <w:tcW w:w="1060" w:type="dxa"/>
            <w:vAlign w:val="bottom"/>
            <w:shd w:val="clear" w:color="auto" w:fill="E5E5E5"/>
          </w:tcPr>
          <w:p>
            <w:pPr>
              <w:spacing w:after="0"/>
              <w:rPr>
                <w:sz w:val="16"/>
                <w:szCs w:val="16"/>
                <w:color w:val="auto"/>
              </w:rPr>
            </w:pPr>
          </w:p>
        </w:tc>
        <w:tc>
          <w:tcPr>
            <w:tcW w:w="320" w:type="dxa"/>
            <w:vAlign w:val="bottom"/>
            <w:gridSpan w:val="2"/>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117,966</w:t>
            </w:r>
          </w:p>
        </w:tc>
        <w:tc>
          <w:tcPr>
            <w:tcW w:w="200" w:type="dxa"/>
            <w:vAlign w:val="bottom"/>
            <w:shd w:val="clear" w:color="auto" w:fill="E5E5E5"/>
          </w:tcPr>
          <w:p>
            <w:pPr>
              <w:spacing w:after="0"/>
              <w:rPr>
                <w:sz w:val="16"/>
                <w:szCs w:val="16"/>
                <w:color w:val="auto"/>
              </w:rPr>
            </w:pPr>
          </w:p>
        </w:tc>
        <w:tc>
          <w:tcPr>
            <w:tcW w:w="340" w:type="dxa"/>
            <w:vAlign w:val="bottom"/>
            <w:gridSpan w:val="2"/>
            <w:vMerge w:val="restart"/>
            <w:shd w:val="clear" w:color="auto" w:fill="E5E5E5"/>
          </w:tcPr>
          <w:p>
            <w:pPr>
              <w:jc w:val="right"/>
              <w:ind w:right="20"/>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2"/>
            <w:vMerge w:val="restart"/>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4,177</w:t>
            </w:r>
          </w:p>
        </w:tc>
        <w:tc>
          <w:tcPr>
            <w:tcW w:w="320" w:type="dxa"/>
            <w:vAlign w:val="bottom"/>
            <w:gridSpan w:val="2"/>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gridSpan w:val="2"/>
            <w:vMerge w:val="restart"/>
            <w:shd w:val="clear" w:color="auto" w:fill="E5E5E5"/>
          </w:tcPr>
          <w:p>
            <w:pPr>
              <w:jc w:val="right"/>
              <w:ind w:right="180"/>
              <w:spacing w:after="0"/>
              <w:rPr>
                <w:sz w:val="20"/>
                <w:szCs w:val="20"/>
                <w:color w:val="auto"/>
              </w:rPr>
            </w:pPr>
            <w:r>
              <w:rPr>
                <w:rFonts w:ascii="Arial" w:cs="Arial" w:eastAsia="Arial" w:hAnsi="Arial"/>
                <w:sz w:val="16"/>
                <w:szCs w:val="16"/>
                <w:b w:val="1"/>
                <w:bCs w:val="1"/>
                <w:color w:val="auto"/>
              </w:rPr>
              <w:t>(135)</w:t>
            </w:r>
          </w:p>
        </w:tc>
        <w:tc>
          <w:tcPr>
            <w:tcW w:w="340" w:type="dxa"/>
            <w:vAlign w:val="bottom"/>
            <w:gridSpan w:val="2"/>
            <w:vMerge w:val="restart"/>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w:t>
            </w:r>
          </w:p>
        </w:tc>
        <w:tc>
          <w:tcPr>
            <w:tcW w:w="66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122,008</w:t>
            </w:r>
          </w:p>
        </w:tc>
        <w:tc>
          <w:tcPr>
            <w:tcW w:w="220" w:type="dxa"/>
            <w:vAlign w:val="bottom"/>
            <w:shd w:val="clear" w:color="auto" w:fill="E5E5E5"/>
          </w:tcPr>
          <w:p>
            <w:pPr>
              <w:spacing w:after="0"/>
              <w:rPr>
                <w:sz w:val="16"/>
                <w:szCs w:val="16"/>
                <w:color w:val="auto"/>
              </w:rPr>
            </w:pPr>
          </w:p>
        </w:tc>
        <w:tc>
          <w:tcPr>
            <w:tcW w:w="320" w:type="dxa"/>
            <w:vAlign w:val="bottom"/>
            <w:gridSpan w:val="2"/>
            <w:vMerge w:val="restart"/>
            <w:shd w:val="clear" w:color="auto" w:fill="E5E5E5"/>
          </w:tcPr>
          <w:p>
            <w:pPr>
              <w:jc w:val="right"/>
              <w:ind w:right="20"/>
              <w:spacing w:after="0"/>
              <w:rPr>
                <w:sz w:val="20"/>
                <w:szCs w:val="20"/>
                <w:color w:val="auto"/>
              </w:rPr>
            </w:pPr>
            <w:r>
              <w:rPr>
                <w:rFonts w:ascii="Arial" w:cs="Arial" w:eastAsia="Arial" w:hAnsi="Arial"/>
                <w:sz w:val="16"/>
                <w:szCs w:val="16"/>
                <w:b w:val="1"/>
                <w:bCs w:val="1"/>
                <w:color w:val="auto"/>
              </w:rPr>
              <w:t>$</w:t>
            </w:r>
          </w:p>
        </w:tc>
        <w:tc>
          <w:tcPr>
            <w:tcW w:w="76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5,976</w:t>
            </w:r>
          </w:p>
        </w:tc>
        <w:tc>
          <w:tcPr>
            <w:tcW w:w="440" w:type="dxa"/>
            <w:vAlign w:val="bottom"/>
            <w:shd w:val="clear" w:color="auto" w:fill="E5E5E5"/>
          </w:tcPr>
          <w:p>
            <w:pPr>
              <w:spacing w:after="0"/>
              <w:rPr>
                <w:sz w:val="16"/>
                <w:szCs w:val="16"/>
                <w:color w:val="auto"/>
              </w:rPr>
            </w:pPr>
          </w:p>
        </w:tc>
        <w:tc>
          <w:tcPr>
            <w:tcW w:w="100" w:type="dxa"/>
            <w:vAlign w:val="bottom"/>
            <w:vMerge w:val="restart"/>
            <w:shd w:val="clear" w:color="auto" w:fill="E5E5E5"/>
          </w:tcPr>
          <w:p>
            <w:pPr>
              <w:spacing w:after="0"/>
              <w:rPr>
                <w:sz w:val="20"/>
                <w:szCs w:val="20"/>
                <w:color w:val="auto"/>
              </w:rPr>
            </w:pPr>
            <w:r>
              <w:rPr>
                <w:rFonts w:ascii="Arial" w:cs="Arial" w:eastAsia="Arial" w:hAnsi="Arial"/>
                <w:sz w:val="16"/>
                <w:szCs w:val="16"/>
                <w:b w:val="1"/>
                <w:bCs w:val="1"/>
                <w:color w:val="auto"/>
                <w:w w:val="89"/>
              </w:rPr>
              <w:t>$</w:t>
            </w:r>
          </w:p>
        </w:tc>
        <w:tc>
          <w:tcPr>
            <w:tcW w:w="70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116,032</w:t>
            </w:r>
          </w:p>
        </w:tc>
        <w:tc>
          <w:tcPr>
            <w:tcW w:w="440" w:type="dxa"/>
            <w:vAlign w:val="bottom"/>
            <w:shd w:val="clear" w:color="auto" w:fill="E5E5E5"/>
          </w:tcPr>
          <w:p>
            <w:pPr>
              <w:spacing w:after="0"/>
              <w:rPr>
                <w:sz w:val="16"/>
                <w:szCs w:val="16"/>
                <w:color w:val="auto"/>
              </w:rPr>
            </w:pPr>
          </w:p>
        </w:tc>
        <w:tc>
          <w:tcPr>
            <w:tcW w:w="100" w:type="dxa"/>
            <w:vAlign w:val="bottom"/>
            <w:vMerge w:val="restart"/>
            <w:shd w:val="clear" w:color="auto" w:fill="E5E5E5"/>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vMerge w:val="restart"/>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440" w:type="dxa"/>
            <w:vAlign w:val="bottom"/>
            <w:shd w:val="clear" w:color="auto" w:fill="E5E5E5"/>
          </w:tcPr>
          <w:p>
            <w:pPr>
              <w:ind w:left="440"/>
              <w:spacing w:after="0"/>
              <w:rPr>
                <w:sz w:val="20"/>
                <w:szCs w:val="20"/>
                <w:color w:val="auto"/>
              </w:rPr>
            </w:pPr>
            <w:r>
              <w:rPr>
                <w:rFonts w:ascii="Arial" w:cs="Arial" w:eastAsia="Arial" w:hAnsi="Arial"/>
                <w:sz w:val="16"/>
                <w:szCs w:val="16"/>
                <w:color w:val="auto"/>
              </w:rPr>
              <w:t>investments</w:t>
            </w:r>
          </w:p>
        </w:tc>
        <w:tc>
          <w:tcPr>
            <w:tcW w:w="1060" w:type="dxa"/>
            <w:vAlign w:val="bottom"/>
            <w:shd w:val="clear" w:color="auto" w:fill="E5E5E5"/>
          </w:tcPr>
          <w:p>
            <w:pPr>
              <w:spacing w:after="0"/>
              <w:rPr>
                <w:sz w:val="16"/>
                <w:szCs w:val="16"/>
                <w:color w:val="auto"/>
              </w:rPr>
            </w:pPr>
          </w:p>
        </w:tc>
        <w:tc>
          <w:tcPr>
            <w:tcW w:w="320" w:type="dxa"/>
            <w:vAlign w:val="bottom"/>
            <w:gridSpan w:val="2"/>
            <w:vMerge w:val="continue"/>
            <w:shd w:val="clear" w:color="auto" w:fill="E5E5E5"/>
          </w:tcPr>
          <w:p>
            <w:pPr>
              <w:spacing w:after="0"/>
              <w:rPr>
                <w:sz w:val="16"/>
                <w:szCs w:val="16"/>
                <w:color w:val="auto"/>
              </w:rPr>
            </w:pPr>
          </w:p>
        </w:tc>
        <w:tc>
          <w:tcPr>
            <w:tcW w:w="720" w:type="dxa"/>
            <w:vAlign w:val="bottom"/>
            <w:vMerge w:val="continue"/>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340" w:type="dxa"/>
            <w:vAlign w:val="bottom"/>
            <w:gridSpan w:val="2"/>
            <w:vMerge w:val="continue"/>
            <w:shd w:val="clear" w:color="auto" w:fill="E5E5E5"/>
          </w:tcPr>
          <w:p>
            <w:pPr>
              <w:spacing w:after="0"/>
              <w:rPr>
                <w:sz w:val="16"/>
                <w:szCs w:val="16"/>
                <w:color w:val="auto"/>
              </w:rPr>
            </w:pPr>
          </w:p>
        </w:tc>
        <w:tc>
          <w:tcPr>
            <w:tcW w:w="900" w:type="dxa"/>
            <w:vAlign w:val="bottom"/>
            <w:gridSpan w:val="2"/>
            <w:vMerge w:val="continue"/>
            <w:shd w:val="clear" w:color="auto" w:fill="E5E5E5"/>
          </w:tcPr>
          <w:p>
            <w:pPr>
              <w:spacing w:after="0"/>
              <w:rPr>
                <w:sz w:val="16"/>
                <w:szCs w:val="16"/>
                <w:color w:val="auto"/>
              </w:rPr>
            </w:pPr>
          </w:p>
        </w:tc>
        <w:tc>
          <w:tcPr>
            <w:tcW w:w="320" w:type="dxa"/>
            <w:vAlign w:val="bottom"/>
            <w:gridSpan w:val="2"/>
            <w:vMerge w:val="continue"/>
            <w:shd w:val="clear" w:color="auto" w:fill="E5E5E5"/>
          </w:tcPr>
          <w:p>
            <w:pPr>
              <w:spacing w:after="0"/>
              <w:rPr>
                <w:sz w:val="16"/>
                <w:szCs w:val="16"/>
                <w:color w:val="auto"/>
              </w:rPr>
            </w:pPr>
          </w:p>
        </w:tc>
        <w:tc>
          <w:tcPr>
            <w:tcW w:w="940" w:type="dxa"/>
            <w:vAlign w:val="bottom"/>
            <w:gridSpan w:val="2"/>
            <w:vMerge w:val="continue"/>
            <w:shd w:val="clear" w:color="auto" w:fill="E5E5E5"/>
          </w:tcPr>
          <w:p>
            <w:pPr>
              <w:spacing w:after="0"/>
              <w:rPr>
                <w:sz w:val="16"/>
                <w:szCs w:val="16"/>
                <w:color w:val="auto"/>
              </w:rPr>
            </w:pPr>
          </w:p>
        </w:tc>
        <w:tc>
          <w:tcPr>
            <w:tcW w:w="340" w:type="dxa"/>
            <w:vAlign w:val="bottom"/>
            <w:gridSpan w:val="2"/>
            <w:vMerge w:val="continue"/>
            <w:shd w:val="clear" w:color="auto" w:fill="E5E5E5"/>
          </w:tcPr>
          <w:p>
            <w:pPr>
              <w:spacing w:after="0"/>
              <w:rPr>
                <w:sz w:val="16"/>
                <w:szCs w:val="16"/>
                <w:color w:val="auto"/>
              </w:rPr>
            </w:pPr>
          </w:p>
        </w:tc>
        <w:tc>
          <w:tcPr>
            <w:tcW w:w="660" w:type="dxa"/>
            <w:vAlign w:val="bottom"/>
            <w:vMerge w:val="continue"/>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320" w:type="dxa"/>
            <w:vAlign w:val="bottom"/>
            <w:gridSpan w:val="2"/>
            <w:vMerge w:val="continue"/>
            <w:shd w:val="clear" w:color="auto" w:fill="E5E5E5"/>
          </w:tcPr>
          <w:p>
            <w:pPr>
              <w:spacing w:after="0"/>
              <w:rPr>
                <w:sz w:val="16"/>
                <w:szCs w:val="16"/>
                <w:color w:val="auto"/>
              </w:rPr>
            </w:pPr>
          </w:p>
        </w:tc>
        <w:tc>
          <w:tcPr>
            <w:tcW w:w="760" w:type="dxa"/>
            <w:vAlign w:val="bottom"/>
            <w:vMerge w:val="continue"/>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00" w:type="dxa"/>
            <w:vAlign w:val="bottom"/>
            <w:vMerge w:val="continue"/>
            <w:shd w:val="clear" w:color="auto" w:fill="E5E5E5"/>
          </w:tcPr>
          <w:p>
            <w:pPr>
              <w:spacing w:after="0"/>
              <w:rPr>
                <w:sz w:val="16"/>
                <w:szCs w:val="16"/>
                <w:color w:val="auto"/>
              </w:rPr>
            </w:pPr>
          </w:p>
        </w:tc>
        <w:tc>
          <w:tcPr>
            <w:tcW w:w="700" w:type="dxa"/>
            <w:vAlign w:val="bottom"/>
            <w:vMerge w:val="continue"/>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00" w:type="dxa"/>
            <w:vAlign w:val="bottom"/>
            <w:vMerge w:val="continue"/>
            <w:shd w:val="clear" w:color="auto" w:fill="E5E5E5"/>
          </w:tcPr>
          <w:p>
            <w:pPr>
              <w:spacing w:after="0"/>
              <w:rPr>
                <w:sz w:val="16"/>
                <w:szCs w:val="16"/>
                <w:color w:val="auto"/>
              </w:rPr>
            </w:pPr>
          </w:p>
        </w:tc>
        <w:tc>
          <w:tcPr>
            <w:tcW w:w="920" w:type="dxa"/>
            <w:vAlign w:val="bottom"/>
            <w:gridSpan w:val="2"/>
            <w:vMerge w:val="continue"/>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440" w:type="dxa"/>
            <w:vAlign w:val="bottom"/>
            <w:vMerge w:val="restart"/>
          </w:tcPr>
          <w:p>
            <w:pPr>
              <w:spacing w:after="0"/>
              <w:rPr>
                <w:sz w:val="20"/>
                <w:szCs w:val="20"/>
                <w:color w:val="auto"/>
              </w:rPr>
            </w:pPr>
            <w:r>
              <w:rPr>
                <w:rFonts w:ascii="Arial" w:cs="Arial" w:eastAsia="Arial" w:hAnsi="Arial"/>
                <w:sz w:val="13"/>
                <w:szCs w:val="13"/>
                <w:b w:val="1"/>
                <w:bCs w:val="1"/>
                <w:color w:val="auto"/>
              </w:rPr>
              <w:t>Changes in Fair</w:t>
            </w: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144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440" w:type="dxa"/>
            <w:vAlign w:val="bottom"/>
          </w:tcPr>
          <w:p>
            <w:pPr>
              <w:ind w:left="220"/>
              <w:spacing w:after="0" w:line="148" w:lineRule="exact"/>
              <w:rPr>
                <w:sz w:val="20"/>
                <w:szCs w:val="20"/>
                <w:color w:val="auto"/>
              </w:rPr>
            </w:pPr>
            <w:r>
              <w:rPr>
                <w:rFonts w:ascii="Arial" w:cs="Arial" w:eastAsia="Arial" w:hAnsi="Arial"/>
                <w:sz w:val="13"/>
                <w:szCs w:val="13"/>
                <w:b w:val="1"/>
                <w:bCs w:val="1"/>
                <w:color w:val="auto"/>
              </w:rPr>
              <w:t>Value Recorded</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440" w:type="dxa"/>
            <w:vAlign w:val="bottom"/>
          </w:tcPr>
          <w:p>
            <w:pPr>
              <w:ind w:left="220"/>
              <w:spacing w:after="0"/>
              <w:rPr>
                <w:sz w:val="20"/>
                <w:szCs w:val="20"/>
                <w:color w:val="auto"/>
              </w:rPr>
            </w:pPr>
            <w:r>
              <w:rPr>
                <w:rFonts w:ascii="Arial" w:cs="Arial" w:eastAsia="Arial" w:hAnsi="Arial"/>
                <w:sz w:val="13"/>
                <w:szCs w:val="13"/>
                <w:b w:val="1"/>
                <w:bCs w:val="1"/>
                <w:color w:val="auto"/>
              </w:rPr>
              <w:t>in Net Income</w:t>
            </w: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1440" w:type="dxa"/>
            <w:vAlign w:val="bottom"/>
            <w:shd w:val="clear" w:color="auto" w:fill="E5E5E5"/>
          </w:tcPr>
          <w:p>
            <w:pPr>
              <w:spacing w:after="0"/>
              <w:rPr>
                <w:sz w:val="20"/>
                <w:szCs w:val="20"/>
                <w:color w:val="auto"/>
              </w:rPr>
            </w:pPr>
            <w:r>
              <w:rPr>
                <w:rFonts w:ascii="Arial" w:cs="Arial" w:eastAsia="Arial" w:hAnsi="Arial"/>
                <w:sz w:val="16"/>
                <w:szCs w:val="16"/>
                <w:color w:val="auto"/>
              </w:rPr>
              <w:t>Equity</w:t>
            </w:r>
          </w:p>
        </w:tc>
        <w:tc>
          <w:tcPr>
            <w:tcW w:w="10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340" w:type="dxa"/>
            <w:vAlign w:val="bottom"/>
            <w:gridSpan w:val="2"/>
            <w:vMerge w:val="restart"/>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w:t>
            </w:r>
          </w:p>
        </w:tc>
        <w:tc>
          <w:tcPr>
            <w:tcW w:w="880" w:type="dxa"/>
            <w:vAlign w:val="bottom"/>
            <w:gridSpan w:val="2"/>
            <w:vMerge w:val="restart"/>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1,582</w:t>
            </w:r>
          </w:p>
        </w:tc>
        <w:tc>
          <w:tcPr>
            <w:tcW w:w="320" w:type="dxa"/>
            <w:vAlign w:val="bottom"/>
            <w:gridSpan w:val="2"/>
            <w:vMerge w:val="restart"/>
            <w:shd w:val="clear" w:color="auto" w:fill="E5E5E5"/>
          </w:tcPr>
          <w:p>
            <w:pPr>
              <w:jc w:val="right"/>
              <w:ind w:right="20"/>
              <w:spacing w:after="0"/>
              <w:rPr>
                <w:sz w:val="20"/>
                <w:szCs w:val="20"/>
                <w:color w:val="auto"/>
              </w:rPr>
            </w:pPr>
            <w:r>
              <w:rPr>
                <w:rFonts w:ascii="Arial" w:cs="Arial" w:eastAsia="Arial" w:hAnsi="Arial"/>
                <w:sz w:val="16"/>
                <w:szCs w:val="16"/>
                <w:b w:val="1"/>
                <w:bCs w:val="1"/>
                <w:color w:val="auto"/>
              </w:rPr>
              <w:t>$</w:t>
            </w:r>
          </w:p>
        </w:tc>
        <w:tc>
          <w:tcPr>
            <w:tcW w:w="1200" w:type="dxa"/>
            <w:vAlign w:val="bottom"/>
            <w:gridSpan w:val="2"/>
            <w:vMerge w:val="restart"/>
            <w:shd w:val="clear" w:color="auto" w:fill="E5E5E5"/>
          </w:tcPr>
          <w:p>
            <w:pPr>
              <w:jc w:val="right"/>
              <w:ind w:right="420"/>
              <w:spacing w:after="0"/>
              <w:rPr>
                <w:sz w:val="20"/>
                <w:szCs w:val="20"/>
                <w:color w:val="auto"/>
              </w:rPr>
            </w:pPr>
            <w:r>
              <w:rPr>
                <w:rFonts w:ascii="Arial" w:cs="Arial" w:eastAsia="Arial" w:hAnsi="Arial"/>
                <w:sz w:val="16"/>
                <w:szCs w:val="16"/>
                <w:b w:val="1"/>
                <w:bCs w:val="1"/>
                <w:color w:val="auto"/>
              </w:rPr>
              <w:t>976</w:t>
            </w:r>
          </w:p>
        </w:tc>
        <w:tc>
          <w:tcPr>
            <w:tcW w:w="100" w:type="dxa"/>
            <w:vAlign w:val="bottom"/>
            <w:vMerge w:val="restart"/>
            <w:shd w:val="clear" w:color="auto" w:fill="E5E5E5"/>
          </w:tcPr>
          <w:p>
            <w:pPr>
              <w:spacing w:after="0"/>
              <w:rPr>
                <w:sz w:val="20"/>
                <w:szCs w:val="20"/>
                <w:color w:val="auto"/>
              </w:rPr>
            </w:pPr>
            <w:r>
              <w:rPr>
                <w:rFonts w:ascii="Arial" w:cs="Arial" w:eastAsia="Arial" w:hAnsi="Arial"/>
                <w:sz w:val="16"/>
                <w:szCs w:val="16"/>
                <w:b w:val="1"/>
                <w:bCs w:val="1"/>
                <w:color w:val="auto"/>
                <w:w w:val="89"/>
              </w:rPr>
              <w:t>$</w:t>
            </w:r>
          </w:p>
        </w:tc>
        <w:tc>
          <w:tcPr>
            <w:tcW w:w="1140" w:type="dxa"/>
            <w:vAlign w:val="bottom"/>
            <w:gridSpan w:val="2"/>
            <w:vMerge w:val="restart"/>
            <w:shd w:val="clear" w:color="auto" w:fill="E5E5E5"/>
          </w:tcPr>
          <w:p>
            <w:pPr>
              <w:jc w:val="right"/>
              <w:ind w:right="440"/>
              <w:spacing w:after="0"/>
              <w:rPr>
                <w:sz w:val="20"/>
                <w:szCs w:val="20"/>
                <w:color w:val="auto"/>
              </w:rPr>
            </w:pPr>
            <w:r>
              <w:rPr>
                <w:rFonts w:ascii="Arial" w:cs="Arial" w:eastAsia="Arial" w:hAnsi="Arial"/>
                <w:sz w:val="16"/>
                <w:szCs w:val="16"/>
                <w:b w:val="1"/>
                <w:bCs w:val="1"/>
                <w:color w:val="auto"/>
              </w:rPr>
              <w:t>0</w:t>
            </w:r>
          </w:p>
        </w:tc>
        <w:tc>
          <w:tcPr>
            <w:tcW w:w="100" w:type="dxa"/>
            <w:vAlign w:val="bottom"/>
            <w:vMerge w:val="restart"/>
            <w:shd w:val="clear" w:color="auto" w:fill="E5E5E5"/>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vMerge w:val="restart"/>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606</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440" w:type="dxa"/>
            <w:vAlign w:val="bottom"/>
            <w:shd w:val="clear" w:color="auto" w:fill="E5E5E5"/>
          </w:tcPr>
          <w:p>
            <w:pPr>
              <w:ind w:left="220"/>
              <w:spacing w:after="0"/>
              <w:rPr>
                <w:sz w:val="20"/>
                <w:szCs w:val="20"/>
                <w:color w:val="auto"/>
              </w:rPr>
            </w:pPr>
            <w:r>
              <w:rPr>
                <w:rFonts w:ascii="Arial" w:cs="Arial" w:eastAsia="Arial" w:hAnsi="Arial"/>
                <w:sz w:val="16"/>
                <w:szCs w:val="16"/>
                <w:color w:val="auto"/>
              </w:rPr>
              <w:t>investments</w:t>
            </w:r>
          </w:p>
        </w:tc>
        <w:tc>
          <w:tcPr>
            <w:tcW w:w="1060" w:type="dxa"/>
            <w:vAlign w:val="bottom"/>
            <w:shd w:val="clear" w:color="auto" w:fill="E5E5E5"/>
          </w:tcPr>
          <w:p>
            <w:pPr>
              <w:ind w:left="320"/>
              <w:spacing w:after="0"/>
              <w:rPr>
                <w:sz w:val="20"/>
                <w:szCs w:val="20"/>
                <w:color w:val="auto"/>
              </w:rPr>
            </w:pPr>
            <w:r>
              <w:rPr>
                <w:rFonts w:ascii="Arial" w:cs="Arial" w:eastAsia="Arial" w:hAnsi="Arial"/>
                <w:sz w:val="16"/>
                <w:szCs w:val="16"/>
                <w:color w:val="auto"/>
              </w:rPr>
              <w:t>Level 1</w:t>
            </w: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340" w:type="dxa"/>
            <w:vAlign w:val="bottom"/>
            <w:gridSpan w:val="2"/>
            <w:vMerge w:val="continue"/>
            <w:shd w:val="clear" w:color="auto" w:fill="E5E5E5"/>
          </w:tcPr>
          <w:p>
            <w:pPr>
              <w:spacing w:after="0"/>
              <w:rPr>
                <w:sz w:val="16"/>
                <w:szCs w:val="16"/>
                <w:color w:val="auto"/>
              </w:rPr>
            </w:pPr>
          </w:p>
        </w:tc>
        <w:tc>
          <w:tcPr>
            <w:tcW w:w="880" w:type="dxa"/>
            <w:vAlign w:val="bottom"/>
            <w:gridSpan w:val="2"/>
            <w:vMerge w:val="continue"/>
            <w:shd w:val="clear" w:color="auto" w:fill="E5E5E5"/>
          </w:tcPr>
          <w:p>
            <w:pPr>
              <w:spacing w:after="0"/>
              <w:rPr>
                <w:sz w:val="16"/>
                <w:szCs w:val="16"/>
                <w:color w:val="auto"/>
              </w:rPr>
            </w:pPr>
          </w:p>
        </w:tc>
        <w:tc>
          <w:tcPr>
            <w:tcW w:w="320" w:type="dxa"/>
            <w:vAlign w:val="bottom"/>
            <w:gridSpan w:val="2"/>
            <w:vMerge w:val="continue"/>
            <w:shd w:val="clear" w:color="auto" w:fill="E5E5E5"/>
          </w:tcPr>
          <w:p>
            <w:pPr>
              <w:spacing w:after="0"/>
              <w:rPr>
                <w:sz w:val="16"/>
                <w:szCs w:val="16"/>
                <w:color w:val="auto"/>
              </w:rPr>
            </w:pPr>
          </w:p>
        </w:tc>
        <w:tc>
          <w:tcPr>
            <w:tcW w:w="1200" w:type="dxa"/>
            <w:vAlign w:val="bottom"/>
            <w:gridSpan w:val="2"/>
            <w:vMerge w:val="continue"/>
            <w:shd w:val="clear" w:color="auto" w:fill="E5E5E5"/>
          </w:tcPr>
          <w:p>
            <w:pPr>
              <w:spacing w:after="0"/>
              <w:rPr>
                <w:sz w:val="16"/>
                <w:szCs w:val="16"/>
                <w:color w:val="auto"/>
              </w:rPr>
            </w:pPr>
          </w:p>
        </w:tc>
        <w:tc>
          <w:tcPr>
            <w:tcW w:w="100" w:type="dxa"/>
            <w:vAlign w:val="bottom"/>
            <w:vMerge w:val="continue"/>
            <w:shd w:val="clear" w:color="auto" w:fill="E5E5E5"/>
          </w:tcPr>
          <w:p>
            <w:pPr>
              <w:spacing w:after="0"/>
              <w:rPr>
                <w:sz w:val="16"/>
                <w:szCs w:val="16"/>
                <w:color w:val="auto"/>
              </w:rPr>
            </w:pPr>
          </w:p>
        </w:tc>
        <w:tc>
          <w:tcPr>
            <w:tcW w:w="1140" w:type="dxa"/>
            <w:vAlign w:val="bottom"/>
            <w:gridSpan w:val="2"/>
            <w:vMerge w:val="continue"/>
            <w:shd w:val="clear" w:color="auto" w:fill="E5E5E5"/>
          </w:tcPr>
          <w:p>
            <w:pPr>
              <w:spacing w:after="0"/>
              <w:rPr>
                <w:sz w:val="16"/>
                <w:szCs w:val="16"/>
                <w:color w:val="auto"/>
              </w:rPr>
            </w:pPr>
          </w:p>
        </w:tc>
        <w:tc>
          <w:tcPr>
            <w:tcW w:w="100" w:type="dxa"/>
            <w:vAlign w:val="bottom"/>
            <w:vMerge w:val="continue"/>
            <w:shd w:val="clear" w:color="auto" w:fill="E5E5E5"/>
          </w:tcPr>
          <w:p>
            <w:pPr>
              <w:spacing w:after="0"/>
              <w:rPr>
                <w:sz w:val="16"/>
                <w:szCs w:val="16"/>
                <w:color w:val="auto"/>
              </w:rPr>
            </w:pPr>
          </w:p>
        </w:tc>
        <w:tc>
          <w:tcPr>
            <w:tcW w:w="920" w:type="dxa"/>
            <w:vAlign w:val="bottom"/>
            <w:gridSpan w:val="2"/>
            <w:vMerge w:val="continue"/>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440" w:type="dxa"/>
            <w:vAlign w:val="bottom"/>
          </w:tcPr>
          <w:p>
            <w:pPr>
              <w:spacing w:after="0"/>
              <w:rPr>
                <w:sz w:val="20"/>
                <w:szCs w:val="20"/>
                <w:color w:val="auto"/>
              </w:rPr>
            </w:pPr>
            <w:r>
              <w:rPr>
                <w:rFonts w:ascii="Arial" w:cs="Arial" w:eastAsia="Arial" w:hAnsi="Arial"/>
                <w:sz w:val="16"/>
                <w:szCs w:val="16"/>
                <w:color w:val="auto"/>
              </w:rPr>
              <w:t>Equity</w:t>
            </w: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6"/>
                <w:szCs w:val="16"/>
                <w:b w:val="1"/>
                <w:bCs w:val="1"/>
                <w:color w:val="auto"/>
              </w:rPr>
              <w:t>5,378</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restart"/>
          </w:tcPr>
          <w:p>
            <w:pPr>
              <w:jc w:val="right"/>
              <w:ind w:right="420"/>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6"/>
                <w:szCs w:val="16"/>
                <w:color w:val="auto"/>
              </w:rPr>
            </w:pPr>
          </w:p>
        </w:tc>
        <w:tc>
          <w:tcPr>
            <w:tcW w:w="1140" w:type="dxa"/>
            <w:vAlign w:val="bottom"/>
            <w:gridSpan w:val="2"/>
            <w:vMerge w:val="restart"/>
          </w:tcPr>
          <w:p>
            <w:pPr>
              <w:jc w:val="right"/>
              <w:ind w:right="440"/>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6"/>
                <w:szCs w:val="16"/>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6"/>
                <w:szCs w:val="16"/>
                <w:b w:val="1"/>
                <w:bCs w:val="1"/>
                <w:color w:val="auto"/>
              </w:rPr>
              <w:t>5,378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440" w:type="dxa"/>
            <w:vAlign w:val="bottom"/>
          </w:tcPr>
          <w:p>
            <w:pPr>
              <w:ind w:left="220"/>
              <w:spacing w:after="0"/>
              <w:rPr>
                <w:sz w:val="20"/>
                <w:szCs w:val="20"/>
                <w:color w:val="auto"/>
              </w:rPr>
            </w:pPr>
            <w:r>
              <w:rPr>
                <w:rFonts w:ascii="Arial" w:cs="Arial" w:eastAsia="Arial" w:hAnsi="Arial"/>
                <w:sz w:val="16"/>
                <w:szCs w:val="16"/>
                <w:color w:val="auto"/>
              </w:rPr>
              <w:t>investments</w:t>
            </w:r>
          </w:p>
        </w:tc>
        <w:tc>
          <w:tcPr>
            <w:tcW w:w="1060" w:type="dxa"/>
            <w:vAlign w:val="bottom"/>
          </w:tcPr>
          <w:p>
            <w:pPr>
              <w:ind w:left="380"/>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14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14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440" w:type="dxa"/>
            <w:vAlign w:val="bottom"/>
            <w:shd w:val="clear" w:color="auto" w:fill="E5E5E5"/>
          </w:tcPr>
          <w:p>
            <w:pPr>
              <w:ind w:left="220"/>
              <w:spacing w:after="0"/>
              <w:rPr>
                <w:sz w:val="20"/>
                <w:szCs w:val="20"/>
                <w:color w:val="auto"/>
              </w:rPr>
            </w:pPr>
            <w:r>
              <w:rPr>
                <w:rFonts w:ascii="Arial" w:cs="Arial" w:eastAsia="Arial" w:hAnsi="Arial"/>
                <w:sz w:val="16"/>
                <w:szCs w:val="16"/>
                <w:color w:val="auto"/>
              </w:rPr>
              <w:t>Total equity</w:t>
            </w:r>
          </w:p>
        </w:tc>
        <w:tc>
          <w:tcPr>
            <w:tcW w:w="10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340" w:type="dxa"/>
            <w:vAlign w:val="bottom"/>
            <w:gridSpan w:val="2"/>
            <w:vMerge w:val="restart"/>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w:t>
            </w:r>
          </w:p>
        </w:tc>
        <w:tc>
          <w:tcPr>
            <w:tcW w:w="880" w:type="dxa"/>
            <w:vAlign w:val="bottom"/>
            <w:gridSpan w:val="2"/>
            <w:vMerge w:val="restart"/>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6,960</w:t>
            </w:r>
          </w:p>
        </w:tc>
        <w:tc>
          <w:tcPr>
            <w:tcW w:w="320" w:type="dxa"/>
            <w:vAlign w:val="bottom"/>
            <w:gridSpan w:val="2"/>
            <w:vMerge w:val="restart"/>
            <w:shd w:val="clear" w:color="auto" w:fill="E5E5E5"/>
          </w:tcPr>
          <w:p>
            <w:pPr>
              <w:jc w:val="right"/>
              <w:ind w:right="20"/>
              <w:spacing w:after="0"/>
              <w:rPr>
                <w:sz w:val="20"/>
                <w:szCs w:val="20"/>
                <w:color w:val="auto"/>
              </w:rPr>
            </w:pPr>
            <w:r>
              <w:rPr>
                <w:rFonts w:ascii="Arial" w:cs="Arial" w:eastAsia="Arial" w:hAnsi="Arial"/>
                <w:sz w:val="16"/>
                <w:szCs w:val="16"/>
                <w:b w:val="1"/>
                <w:bCs w:val="1"/>
                <w:color w:val="auto"/>
              </w:rPr>
              <w:t>$</w:t>
            </w:r>
          </w:p>
        </w:tc>
        <w:tc>
          <w:tcPr>
            <w:tcW w:w="1200" w:type="dxa"/>
            <w:vAlign w:val="bottom"/>
            <w:gridSpan w:val="2"/>
            <w:vMerge w:val="restart"/>
            <w:shd w:val="clear" w:color="auto" w:fill="E5E5E5"/>
          </w:tcPr>
          <w:p>
            <w:pPr>
              <w:jc w:val="right"/>
              <w:ind w:right="420"/>
              <w:spacing w:after="0"/>
              <w:rPr>
                <w:sz w:val="20"/>
                <w:szCs w:val="20"/>
                <w:color w:val="auto"/>
              </w:rPr>
            </w:pPr>
            <w:r>
              <w:rPr>
                <w:rFonts w:ascii="Arial" w:cs="Arial" w:eastAsia="Arial" w:hAnsi="Arial"/>
                <w:sz w:val="16"/>
                <w:szCs w:val="16"/>
                <w:b w:val="1"/>
                <w:bCs w:val="1"/>
                <w:color w:val="auto"/>
              </w:rPr>
              <w:t>976</w:t>
            </w:r>
          </w:p>
        </w:tc>
        <w:tc>
          <w:tcPr>
            <w:tcW w:w="100" w:type="dxa"/>
            <w:vAlign w:val="bottom"/>
            <w:vMerge w:val="restart"/>
            <w:shd w:val="clear" w:color="auto" w:fill="E5E5E5"/>
          </w:tcPr>
          <w:p>
            <w:pPr>
              <w:spacing w:after="0"/>
              <w:rPr>
                <w:sz w:val="20"/>
                <w:szCs w:val="20"/>
                <w:color w:val="auto"/>
              </w:rPr>
            </w:pPr>
            <w:r>
              <w:rPr>
                <w:rFonts w:ascii="Arial" w:cs="Arial" w:eastAsia="Arial" w:hAnsi="Arial"/>
                <w:sz w:val="16"/>
                <w:szCs w:val="16"/>
                <w:b w:val="1"/>
                <w:bCs w:val="1"/>
                <w:color w:val="auto"/>
                <w:w w:val="89"/>
              </w:rPr>
              <w:t>$</w:t>
            </w:r>
          </w:p>
        </w:tc>
        <w:tc>
          <w:tcPr>
            <w:tcW w:w="1140" w:type="dxa"/>
            <w:vAlign w:val="bottom"/>
            <w:gridSpan w:val="2"/>
            <w:vMerge w:val="restart"/>
            <w:shd w:val="clear" w:color="auto" w:fill="E5E5E5"/>
          </w:tcPr>
          <w:p>
            <w:pPr>
              <w:jc w:val="right"/>
              <w:ind w:right="440"/>
              <w:spacing w:after="0"/>
              <w:rPr>
                <w:sz w:val="20"/>
                <w:szCs w:val="20"/>
                <w:color w:val="auto"/>
              </w:rPr>
            </w:pPr>
            <w:r>
              <w:rPr>
                <w:rFonts w:ascii="Arial" w:cs="Arial" w:eastAsia="Arial" w:hAnsi="Arial"/>
                <w:sz w:val="16"/>
                <w:szCs w:val="16"/>
                <w:b w:val="1"/>
                <w:bCs w:val="1"/>
                <w:color w:val="auto"/>
              </w:rPr>
              <w:t>0</w:t>
            </w:r>
          </w:p>
        </w:tc>
        <w:tc>
          <w:tcPr>
            <w:tcW w:w="100" w:type="dxa"/>
            <w:vAlign w:val="bottom"/>
            <w:vMerge w:val="restart"/>
            <w:shd w:val="clear" w:color="auto" w:fill="E5E5E5"/>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vMerge w:val="restart"/>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5,984</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440" w:type="dxa"/>
            <w:vAlign w:val="bottom"/>
            <w:shd w:val="clear" w:color="auto" w:fill="E5E5E5"/>
          </w:tcPr>
          <w:p>
            <w:pPr>
              <w:ind w:left="440"/>
              <w:spacing w:after="0"/>
              <w:rPr>
                <w:sz w:val="20"/>
                <w:szCs w:val="20"/>
                <w:color w:val="auto"/>
              </w:rPr>
            </w:pPr>
            <w:r>
              <w:rPr>
                <w:rFonts w:ascii="Arial" w:cs="Arial" w:eastAsia="Arial" w:hAnsi="Arial"/>
                <w:sz w:val="16"/>
                <w:szCs w:val="16"/>
                <w:color w:val="auto"/>
              </w:rPr>
              <w:t>investments</w:t>
            </w:r>
          </w:p>
        </w:tc>
        <w:tc>
          <w:tcPr>
            <w:tcW w:w="10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340" w:type="dxa"/>
            <w:vAlign w:val="bottom"/>
            <w:gridSpan w:val="2"/>
            <w:vMerge w:val="continue"/>
            <w:shd w:val="clear" w:color="auto" w:fill="E5E5E5"/>
          </w:tcPr>
          <w:p>
            <w:pPr>
              <w:spacing w:after="0"/>
              <w:rPr>
                <w:sz w:val="16"/>
                <w:szCs w:val="16"/>
                <w:color w:val="auto"/>
              </w:rPr>
            </w:pPr>
          </w:p>
        </w:tc>
        <w:tc>
          <w:tcPr>
            <w:tcW w:w="880" w:type="dxa"/>
            <w:vAlign w:val="bottom"/>
            <w:gridSpan w:val="2"/>
            <w:vMerge w:val="continue"/>
            <w:shd w:val="clear" w:color="auto" w:fill="E5E5E5"/>
          </w:tcPr>
          <w:p>
            <w:pPr>
              <w:spacing w:after="0"/>
              <w:rPr>
                <w:sz w:val="16"/>
                <w:szCs w:val="16"/>
                <w:color w:val="auto"/>
              </w:rPr>
            </w:pPr>
          </w:p>
        </w:tc>
        <w:tc>
          <w:tcPr>
            <w:tcW w:w="320" w:type="dxa"/>
            <w:vAlign w:val="bottom"/>
            <w:gridSpan w:val="2"/>
            <w:vMerge w:val="continue"/>
            <w:shd w:val="clear" w:color="auto" w:fill="E5E5E5"/>
          </w:tcPr>
          <w:p>
            <w:pPr>
              <w:spacing w:after="0"/>
              <w:rPr>
                <w:sz w:val="16"/>
                <w:szCs w:val="16"/>
                <w:color w:val="auto"/>
              </w:rPr>
            </w:pPr>
          </w:p>
        </w:tc>
        <w:tc>
          <w:tcPr>
            <w:tcW w:w="1200" w:type="dxa"/>
            <w:vAlign w:val="bottom"/>
            <w:gridSpan w:val="2"/>
            <w:vMerge w:val="continue"/>
            <w:shd w:val="clear" w:color="auto" w:fill="E5E5E5"/>
          </w:tcPr>
          <w:p>
            <w:pPr>
              <w:spacing w:after="0"/>
              <w:rPr>
                <w:sz w:val="16"/>
                <w:szCs w:val="16"/>
                <w:color w:val="auto"/>
              </w:rPr>
            </w:pPr>
          </w:p>
        </w:tc>
        <w:tc>
          <w:tcPr>
            <w:tcW w:w="100" w:type="dxa"/>
            <w:vAlign w:val="bottom"/>
            <w:vMerge w:val="continue"/>
            <w:shd w:val="clear" w:color="auto" w:fill="E5E5E5"/>
          </w:tcPr>
          <w:p>
            <w:pPr>
              <w:spacing w:after="0"/>
              <w:rPr>
                <w:sz w:val="16"/>
                <w:szCs w:val="16"/>
                <w:color w:val="auto"/>
              </w:rPr>
            </w:pPr>
          </w:p>
        </w:tc>
        <w:tc>
          <w:tcPr>
            <w:tcW w:w="1140" w:type="dxa"/>
            <w:vAlign w:val="bottom"/>
            <w:gridSpan w:val="2"/>
            <w:vMerge w:val="continue"/>
            <w:shd w:val="clear" w:color="auto" w:fill="E5E5E5"/>
          </w:tcPr>
          <w:p>
            <w:pPr>
              <w:spacing w:after="0"/>
              <w:rPr>
                <w:sz w:val="16"/>
                <w:szCs w:val="16"/>
                <w:color w:val="auto"/>
              </w:rPr>
            </w:pPr>
          </w:p>
        </w:tc>
        <w:tc>
          <w:tcPr>
            <w:tcW w:w="100" w:type="dxa"/>
            <w:vAlign w:val="bottom"/>
            <w:vMerge w:val="continue"/>
            <w:shd w:val="clear" w:color="auto" w:fill="E5E5E5"/>
          </w:tcPr>
          <w:p>
            <w:pPr>
              <w:spacing w:after="0"/>
              <w:rPr>
                <w:sz w:val="16"/>
                <w:szCs w:val="16"/>
                <w:color w:val="auto"/>
              </w:rPr>
            </w:pPr>
          </w:p>
        </w:tc>
        <w:tc>
          <w:tcPr>
            <w:tcW w:w="920" w:type="dxa"/>
            <w:vAlign w:val="bottom"/>
            <w:gridSpan w:val="2"/>
            <w:vMerge w:val="continue"/>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4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1440" w:type="dxa"/>
            <w:vAlign w:val="bottom"/>
          </w:tcPr>
          <w:p>
            <w:pPr>
              <w:spacing w:after="0"/>
              <w:rPr>
                <w:sz w:val="20"/>
                <w:szCs w:val="20"/>
                <w:color w:val="auto"/>
              </w:rPr>
            </w:pPr>
            <w:r>
              <w:rPr>
                <w:rFonts w:ascii="Arial" w:cs="Arial" w:eastAsia="Arial" w:hAnsi="Arial"/>
                <w:sz w:val="16"/>
                <w:szCs w:val="16"/>
                <w:color w:val="auto"/>
              </w:rPr>
              <w:t>Cash</w:t>
            </w: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7,272</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2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7,272</w:t>
            </w:r>
          </w:p>
        </w:tc>
        <w:tc>
          <w:tcPr>
            <w:tcW w:w="100" w:type="dxa"/>
            <w:vAlign w:val="bottom"/>
          </w:tcPr>
          <w:p>
            <w:pPr>
              <w:spacing w:after="0"/>
              <w:rPr>
                <w:sz w:val="20"/>
                <w:szCs w:val="20"/>
                <w:color w:val="auto"/>
              </w:rPr>
            </w:pPr>
            <w:r>
              <w:rPr>
                <w:rFonts w:ascii="Arial" w:cs="Arial" w:eastAsia="Arial" w:hAnsi="Arial"/>
                <w:sz w:val="16"/>
                <w:szCs w:val="16"/>
                <w:b w:val="1"/>
                <w:bCs w:val="1"/>
                <w:color w:val="auto"/>
                <w:w w:val="89"/>
              </w:rPr>
              <w:t>$</w:t>
            </w:r>
          </w:p>
        </w:tc>
        <w:tc>
          <w:tcPr>
            <w:tcW w:w="114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5"/>
        </w:trPr>
        <w:tc>
          <w:tcPr>
            <w:tcW w:w="1440" w:type="dxa"/>
            <w:vAlign w:val="bottom"/>
            <w:shd w:val="clear" w:color="auto" w:fill="E5E5E5"/>
          </w:tcPr>
          <w:p>
            <w:pPr>
              <w:spacing w:after="0"/>
              <w:rPr>
                <w:sz w:val="20"/>
                <w:szCs w:val="20"/>
                <w:color w:val="auto"/>
              </w:rPr>
            </w:pPr>
            <w:r>
              <w:rPr>
                <w:rFonts w:ascii="Arial" w:cs="Arial" w:eastAsia="Arial" w:hAnsi="Arial"/>
                <w:sz w:val="16"/>
                <w:szCs w:val="16"/>
                <w:color w:val="auto"/>
              </w:rPr>
              <w:t>Derivatives, net</w:t>
            </w:r>
          </w:p>
        </w:tc>
        <w:tc>
          <w:tcPr>
            <w:tcW w:w="10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66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78</w:t>
            </w:r>
          </w:p>
        </w:tc>
        <w:tc>
          <w:tcPr>
            <w:tcW w:w="2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200" w:type="dxa"/>
            <w:vAlign w:val="bottom"/>
            <w:gridSpan w:val="2"/>
            <w:vMerge w:val="restart"/>
            <w:shd w:val="clear" w:color="auto" w:fill="E5E5E5"/>
          </w:tcPr>
          <w:p>
            <w:pPr>
              <w:jc w:val="right"/>
              <w:ind w:right="420"/>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E5E5E5"/>
          </w:tcPr>
          <w:p>
            <w:pPr>
              <w:spacing w:after="0"/>
              <w:rPr>
                <w:sz w:val="16"/>
                <w:szCs w:val="16"/>
                <w:color w:val="auto"/>
              </w:rPr>
            </w:pPr>
          </w:p>
        </w:tc>
        <w:tc>
          <w:tcPr>
            <w:tcW w:w="1140" w:type="dxa"/>
            <w:vAlign w:val="bottom"/>
            <w:gridSpan w:val="2"/>
            <w:vMerge w:val="restart"/>
            <w:shd w:val="clear" w:color="auto" w:fill="E5E5E5"/>
          </w:tcPr>
          <w:p>
            <w:pPr>
              <w:jc w:val="right"/>
              <w:ind w:right="440"/>
              <w:spacing w:after="0"/>
              <w:rPr>
                <w:sz w:val="20"/>
                <w:szCs w:val="20"/>
                <w:color w:val="auto"/>
              </w:rPr>
            </w:pPr>
            <w:r>
              <w:rPr>
                <w:rFonts w:ascii="Arial" w:cs="Arial" w:eastAsia="Arial" w:hAnsi="Arial"/>
                <w:sz w:val="16"/>
                <w:szCs w:val="16"/>
                <w:b w:val="1"/>
                <w:bCs w:val="1"/>
                <w:color w:val="auto"/>
              </w:rPr>
              <w:t>78</w:t>
            </w:r>
          </w:p>
        </w:tc>
        <w:tc>
          <w:tcPr>
            <w:tcW w:w="100" w:type="dxa"/>
            <w:vAlign w:val="bottom"/>
            <w:shd w:val="clear" w:color="auto" w:fill="E5E5E5"/>
          </w:tcPr>
          <w:p>
            <w:pPr>
              <w:spacing w:after="0"/>
              <w:rPr>
                <w:sz w:val="16"/>
                <w:szCs w:val="16"/>
                <w:color w:val="auto"/>
              </w:rPr>
            </w:pPr>
          </w:p>
        </w:tc>
        <w:tc>
          <w:tcPr>
            <w:tcW w:w="920" w:type="dxa"/>
            <w:vAlign w:val="bottom"/>
            <w:gridSpan w:val="2"/>
            <w:vMerge w:val="restart"/>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1440" w:type="dxa"/>
            <w:vAlign w:val="bottom"/>
            <w:shd w:val="clear" w:color="auto" w:fill="E5E5E5"/>
          </w:tcPr>
          <w:p>
            <w:pPr>
              <w:ind w:left="220"/>
              <w:spacing w:after="0"/>
              <w:rPr>
                <w:sz w:val="20"/>
                <w:szCs w:val="20"/>
                <w:color w:val="auto"/>
              </w:rPr>
            </w:pPr>
            <w:r>
              <w:rPr>
                <w:rFonts w:ascii="Arial" w:cs="Arial" w:eastAsia="Arial" w:hAnsi="Arial"/>
                <w:sz w:val="14"/>
                <w:szCs w:val="14"/>
                <w:color w:val="auto"/>
              </w:rPr>
              <w:t>(a)</w:t>
            </w:r>
          </w:p>
        </w:tc>
        <w:tc>
          <w:tcPr>
            <w:tcW w:w="106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72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68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700" w:type="dxa"/>
            <w:vAlign w:val="bottom"/>
            <w:shd w:val="clear" w:color="auto" w:fill="E5E5E5"/>
          </w:tcPr>
          <w:p>
            <w:pPr>
              <w:spacing w:after="0"/>
              <w:rPr>
                <w:sz w:val="14"/>
                <w:szCs w:val="14"/>
                <w:color w:val="auto"/>
              </w:rPr>
            </w:pPr>
          </w:p>
        </w:tc>
        <w:tc>
          <w:tcPr>
            <w:tcW w:w="24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660" w:type="dxa"/>
            <w:vAlign w:val="bottom"/>
            <w:vMerge w:val="continue"/>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1200" w:type="dxa"/>
            <w:vAlign w:val="bottom"/>
            <w:gridSpan w:val="2"/>
            <w:vMerge w:val="continue"/>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1140" w:type="dxa"/>
            <w:vAlign w:val="bottom"/>
            <w:gridSpan w:val="2"/>
            <w:vMerge w:val="continue"/>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920" w:type="dxa"/>
            <w:vAlign w:val="bottom"/>
            <w:gridSpan w:val="2"/>
            <w:vMerge w:val="continue"/>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14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gridSpan w:val="2"/>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1440" w:type="dxa"/>
            <w:vAlign w:val="bottom"/>
          </w:tcPr>
          <w:p>
            <w:pPr>
              <w:ind w:left="220"/>
              <w:spacing w:after="0"/>
              <w:rPr>
                <w:sz w:val="20"/>
                <w:szCs w:val="20"/>
                <w:color w:val="auto"/>
              </w:rPr>
            </w:pPr>
            <w:r>
              <w:rPr>
                <w:rFonts w:ascii="Arial" w:cs="Arial" w:eastAsia="Arial" w:hAnsi="Arial"/>
                <w:sz w:val="16"/>
                <w:szCs w:val="16"/>
                <w:color w:val="auto"/>
              </w:rPr>
              <w:t>Total</w:t>
            </w: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136,318</w:t>
            </w:r>
          </w:p>
        </w:tc>
        <w:tc>
          <w:tcPr>
            <w:tcW w:w="220" w:type="dxa"/>
            <w:vAlign w:val="bottom"/>
          </w:tcPr>
          <w:p>
            <w:pPr>
              <w:spacing w:after="0"/>
              <w:rPr>
                <w:sz w:val="22"/>
                <w:szCs w:val="22"/>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14,224</w:t>
            </w:r>
          </w:p>
        </w:tc>
        <w:tc>
          <w:tcPr>
            <w:tcW w:w="44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Arial" w:cs="Arial" w:eastAsia="Arial" w:hAnsi="Arial"/>
                <w:sz w:val="16"/>
                <w:szCs w:val="16"/>
                <w:b w:val="1"/>
                <w:bCs w:val="1"/>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116,110</w:t>
            </w:r>
          </w:p>
        </w:tc>
        <w:tc>
          <w:tcPr>
            <w:tcW w:w="4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5,984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7"/>
        </w:trPr>
        <w:tc>
          <w:tcPr>
            <w:tcW w:w="14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vMerge w:val="restart"/>
          </w:tcPr>
          <w:p>
            <w:pPr>
              <w:jc w:val="right"/>
              <w:ind w:right="222"/>
              <w:spacing w:after="0"/>
              <w:rPr>
                <w:sz w:val="20"/>
                <w:szCs w:val="20"/>
                <w:color w:val="auto"/>
              </w:rPr>
            </w:pPr>
            <w:r>
              <w:rPr>
                <w:rFonts w:ascii="Arial" w:cs="Arial" w:eastAsia="Arial" w:hAnsi="Arial"/>
                <w:sz w:val="14"/>
                <w:szCs w:val="14"/>
                <w:color w:val="auto"/>
              </w:rPr>
              <w:t>71</w:t>
            </w: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2"/>
        </w:trPr>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144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137" w:right="239" w:bottom="1440" w:gutter="0" w:footer="0" w:header="0"/>
        </w:sectPr>
      </w:pPr>
    </w:p>
    <w:bookmarkStart w:id="71" w:name="page72"/>
    <w:bookmarkEnd w:id="71"/>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Cash</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1120" w:type="dxa"/>
            <w:vAlign w:val="bottom"/>
          </w:tcPr>
          <w:p>
            <w:pPr>
              <w:jc w:val="right"/>
              <w:ind w:right="221"/>
              <w:spacing w:after="0" w:line="148" w:lineRule="exact"/>
              <w:rPr>
                <w:sz w:val="20"/>
                <w:szCs w:val="20"/>
                <w:color w:val="auto"/>
              </w:rPr>
            </w:pPr>
            <w:r>
              <w:rPr>
                <w:rFonts w:ascii="Arial" w:cs="Arial" w:eastAsia="Arial" w:hAnsi="Arial"/>
                <w:sz w:val="13"/>
                <w:szCs w:val="13"/>
                <w:b w:val="1"/>
                <w:bCs w:val="1"/>
                <w:color w:val="auto"/>
              </w:rPr>
              <w:t>Fair Value</w:t>
            </w:r>
          </w:p>
        </w:tc>
        <w:tc>
          <w:tcPr>
            <w:tcW w:w="180" w:type="dxa"/>
            <w:vAlign w:val="bottom"/>
          </w:tcPr>
          <w:p>
            <w:pPr>
              <w:spacing w:after="0"/>
              <w:rPr>
                <w:sz w:val="12"/>
                <w:szCs w:val="12"/>
                <w:color w:val="auto"/>
              </w:rPr>
            </w:pPr>
          </w:p>
        </w:tc>
        <w:tc>
          <w:tcPr>
            <w:tcW w:w="900" w:type="dxa"/>
            <w:vAlign w:val="bottom"/>
            <w:gridSpan w:val="2"/>
          </w:tcPr>
          <w:p>
            <w:pPr>
              <w:jc w:val="right"/>
              <w:ind w:right="140"/>
              <w:spacing w:after="0" w:line="148" w:lineRule="exact"/>
              <w:rPr>
                <w:sz w:val="20"/>
                <w:szCs w:val="20"/>
                <w:color w:val="auto"/>
              </w:rPr>
            </w:pPr>
            <w:r>
              <w:rPr>
                <w:rFonts w:ascii="Arial" w:cs="Arial" w:eastAsia="Arial" w:hAnsi="Arial"/>
                <w:sz w:val="13"/>
                <w:szCs w:val="13"/>
                <w:b w:val="1"/>
                <w:bCs w:val="1"/>
                <w:color w:val="auto"/>
              </w:rPr>
              <w:t>Adjusted</w:t>
            </w:r>
          </w:p>
        </w:tc>
        <w:tc>
          <w:tcPr>
            <w:tcW w:w="180" w:type="dxa"/>
            <w:vAlign w:val="bottom"/>
          </w:tcPr>
          <w:p>
            <w:pPr>
              <w:spacing w:after="0"/>
              <w:rPr>
                <w:sz w:val="12"/>
                <w:szCs w:val="12"/>
                <w:color w:val="auto"/>
              </w:rPr>
            </w:pPr>
          </w:p>
        </w:tc>
        <w:tc>
          <w:tcPr>
            <w:tcW w:w="900" w:type="dxa"/>
            <w:vAlign w:val="bottom"/>
            <w:gridSpan w:val="2"/>
          </w:tcPr>
          <w:p>
            <w:pPr>
              <w:jc w:val="right"/>
              <w:ind w:right="140"/>
              <w:spacing w:after="0" w:line="148" w:lineRule="exact"/>
              <w:rPr>
                <w:sz w:val="20"/>
                <w:szCs w:val="20"/>
                <w:color w:val="auto"/>
              </w:rPr>
            </w:pPr>
            <w:r>
              <w:rPr>
                <w:rFonts w:ascii="Arial" w:cs="Arial" w:eastAsia="Arial" w:hAnsi="Arial"/>
                <w:sz w:val="13"/>
                <w:szCs w:val="13"/>
                <w:b w:val="1"/>
                <w:bCs w:val="1"/>
                <w:color w:val="auto"/>
              </w:rPr>
              <w:t>Unrealized</w:t>
            </w:r>
          </w:p>
        </w:tc>
        <w:tc>
          <w:tcPr>
            <w:tcW w:w="140" w:type="dxa"/>
            <w:vAlign w:val="bottom"/>
          </w:tcPr>
          <w:p>
            <w:pPr>
              <w:spacing w:after="0"/>
              <w:rPr>
                <w:sz w:val="12"/>
                <w:szCs w:val="12"/>
                <w:color w:val="auto"/>
              </w:rPr>
            </w:pPr>
          </w:p>
        </w:tc>
        <w:tc>
          <w:tcPr>
            <w:tcW w:w="840" w:type="dxa"/>
            <w:vAlign w:val="bottom"/>
            <w:gridSpan w:val="2"/>
          </w:tcPr>
          <w:p>
            <w:pPr>
              <w:jc w:val="right"/>
              <w:ind w:right="100"/>
              <w:spacing w:after="0" w:line="148" w:lineRule="exact"/>
              <w:rPr>
                <w:sz w:val="20"/>
                <w:szCs w:val="20"/>
                <w:color w:val="auto"/>
              </w:rPr>
            </w:pPr>
            <w:r>
              <w:rPr>
                <w:rFonts w:ascii="Arial" w:cs="Arial" w:eastAsia="Arial" w:hAnsi="Arial"/>
                <w:sz w:val="13"/>
                <w:szCs w:val="13"/>
                <w:b w:val="1"/>
                <w:bCs w:val="1"/>
                <w:color w:val="auto"/>
              </w:rPr>
              <w:t>Unrealized</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right"/>
              <w:ind w:right="60"/>
              <w:spacing w:after="0" w:line="148" w:lineRule="exact"/>
              <w:rPr>
                <w:sz w:val="20"/>
                <w:szCs w:val="20"/>
                <w:color w:val="auto"/>
              </w:rPr>
            </w:pPr>
            <w:r>
              <w:rPr>
                <w:rFonts w:ascii="Arial" w:cs="Arial" w:eastAsia="Arial" w:hAnsi="Arial"/>
                <w:sz w:val="13"/>
                <w:szCs w:val="13"/>
                <w:b w:val="1"/>
                <w:bCs w:val="1"/>
                <w:color w:val="auto"/>
              </w:rPr>
              <w:t>Recorded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40"/>
              <w:spacing w:after="0" w:line="148" w:lineRule="exact"/>
              <w:rPr>
                <w:sz w:val="20"/>
                <w:szCs w:val="20"/>
                <w:color w:val="auto"/>
              </w:rPr>
            </w:pPr>
            <w:r>
              <w:rPr>
                <w:rFonts w:ascii="Arial" w:cs="Arial" w:eastAsia="Arial" w:hAnsi="Arial"/>
                <w:sz w:val="13"/>
                <w:szCs w:val="13"/>
                <w:b w:val="1"/>
                <w:bCs w:val="1"/>
                <w:color w:val="auto"/>
              </w:rPr>
              <w:t>and Cash</w:t>
            </w:r>
          </w:p>
        </w:tc>
        <w:tc>
          <w:tcPr>
            <w:tcW w:w="160" w:type="dxa"/>
            <w:vAlign w:val="bottom"/>
          </w:tcPr>
          <w:p>
            <w:pPr>
              <w:spacing w:after="0"/>
              <w:rPr>
                <w:sz w:val="12"/>
                <w:szCs w:val="12"/>
                <w:color w:val="auto"/>
              </w:rPr>
            </w:pPr>
          </w:p>
        </w:tc>
        <w:tc>
          <w:tcPr>
            <w:tcW w:w="980" w:type="dxa"/>
            <w:vAlign w:val="bottom"/>
            <w:gridSpan w:val="2"/>
          </w:tcPr>
          <w:p>
            <w:pPr>
              <w:jc w:val="right"/>
              <w:ind w:right="120"/>
              <w:spacing w:after="0" w:line="148" w:lineRule="exact"/>
              <w:rPr>
                <w:sz w:val="20"/>
                <w:szCs w:val="20"/>
                <w:color w:val="auto"/>
              </w:rPr>
            </w:pPr>
            <w:r>
              <w:rPr>
                <w:rFonts w:ascii="Arial" w:cs="Arial" w:eastAsia="Arial" w:hAnsi="Arial"/>
                <w:sz w:val="13"/>
                <w:szCs w:val="13"/>
                <w:b w:val="1"/>
                <w:bCs w:val="1"/>
                <w:color w:val="auto"/>
              </w:rPr>
              <w:t>Short-term</w:t>
            </w:r>
          </w:p>
        </w:tc>
        <w:tc>
          <w:tcPr>
            <w:tcW w:w="160" w:type="dxa"/>
            <w:vAlign w:val="bottom"/>
          </w:tcPr>
          <w:p>
            <w:pPr>
              <w:spacing w:after="0"/>
              <w:rPr>
                <w:sz w:val="12"/>
                <w:szCs w:val="12"/>
                <w:color w:val="auto"/>
              </w:rPr>
            </w:pPr>
          </w:p>
        </w:tc>
        <w:tc>
          <w:tcPr>
            <w:tcW w:w="920" w:type="dxa"/>
            <w:vAlign w:val="bottom"/>
            <w:gridSpan w:val="2"/>
          </w:tcPr>
          <w:p>
            <w:pPr>
              <w:jc w:val="right"/>
              <w:ind w:right="60"/>
              <w:spacing w:after="0" w:line="148"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78"/>
        </w:trPr>
        <w:tc>
          <w:tcPr>
            <w:tcW w:w="266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1120" w:type="dxa"/>
            <w:vAlign w:val="bottom"/>
          </w:tcPr>
          <w:p>
            <w:pPr>
              <w:jc w:val="right"/>
              <w:ind w:right="381"/>
              <w:spacing w:after="0"/>
              <w:rPr>
                <w:sz w:val="20"/>
                <w:szCs w:val="20"/>
                <w:color w:val="auto"/>
              </w:rPr>
            </w:pPr>
            <w:r>
              <w:rPr>
                <w:rFonts w:ascii="Arial" w:cs="Arial" w:eastAsia="Arial" w:hAnsi="Arial"/>
                <w:sz w:val="13"/>
                <w:szCs w:val="13"/>
                <w:b w:val="1"/>
                <w:bCs w:val="1"/>
                <w:color w:val="auto"/>
              </w:rPr>
              <w:t>Level</w:t>
            </w:r>
          </w:p>
        </w:tc>
        <w:tc>
          <w:tcPr>
            <w:tcW w:w="18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Cost Basis</w:t>
            </w:r>
          </w:p>
        </w:tc>
        <w:tc>
          <w:tcPr>
            <w:tcW w:w="18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Gains</w:t>
            </w:r>
          </w:p>
        </w:tc>
        <w:tc>
          <w:tcPr>
            <w:tcW w:w="14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Losses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Basis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Equivalents</w:t>
            </w:r>
          </w:p>
        </w:tc>
        <w:tc>
          <w:tcPr>
            <w:tcW w:w="16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Investments</w:t>
            </w:r>
          </w:p>
        </w:tc>
        <w:tc>
          <w:tcPr>
            <w:tcW w:w="160" w:type="dxa"/>
            <w:vAlign w:val="bottom"/>
          </w:tcPr>
          <w:p>
            <w:pPr>
              <w:spacing w:after="0"/>
              <w:rPr>
                <w:sz w:val="15"/>
                <w:szCs w:val="15"/>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Investments</w:t>
            </w:r>
          </w:p>
        </w:tc>
        <w:tc>
          <w:tcPr>
            <w:tcW w:w="0" w:type="dxa"/>
            <w:vAlign w:val="bottom"/>
          </w:tcPr>
          <w:p>
            <w:pPr>
              <w:spacing w:after="0"/>
              <w:rPr>
                <w:sz w:val="1"/>
                <w:szCs w:val="1"/>
                <w:color w:val="auto"/>
              </w:rPr>
            </w:pPr>
          </w:p>
        </w:tc>
      </w:tr>
      <w:tr>
        <w:trPr>
          <w:trHeight w:val="54"/>
        </w:trPr>
        <w:tc>
          <w:tcPr>
            <w:tcW w:w="26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660" w:type="dxa"/>
            <w:vAlign w:val="bottom"/>
          </w:tcPr>
          <w:p>
            <w:pPr>
              <w:spacing w:after="0"/>
              <w:rPr>
                <w:sz w:val="20"/>
                <w:szCs w:val="20"/>
                <w:color w:val="auto"/>
              </w:rPr>
            </w:pPr>
            <w:r>
              <w:rPr>
                <w:rFonts w:ascii="Arial" w:cs="Arial" w:eastAsia="Arial" w:hAnsi="Arial"/>
                <w:sz w:val="13"/>
                <w:szCs w:val="13"/>
                <w:b w:val="1"/>
                <w:bCs w:val="1"/>
                <w:color w:val="auto"/>
              </w:rPr>
              <w:t>June 30, 2020</w:t>
            </w: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660" w:type="dxa"/>
            <w:vAlign w:val="bottom"/>
          </w:tcPr>
          <w:p>
            <w:pPr>
              <w:spacing w:after="0"/>
              <w:rPr>
                <w:sz w:val="20"/>
                <w:szCs w:val="20"/>
                <w:color w:val="auto"/>
              </w:rPr>
            </w:pPr>
            <w:r>
              <w:rPr>
                <w:rFonts w:ascii="Arial" w:cs="Arial" w:eastAsia="Arial" w:hAnsi="Arial"/>
                <w:sz w:val="13"/>
                <w:szCs w:val="13"/>
                <w:b w:val="1"/>
                <w:bCs w:val="1"/>
                <w:color w:val="auto"/>
              </w:rPr>
              <w:t>Changes in Fair Value Recorded in</w:t>
            </w: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660" w:type="dxa"/>
            <w:vAlign w:val="bottom"/>
          </w:tcPr>
          <w:p>
            <w:pPr>
              <w:ind w:left="220"/>
              <w:spacing w:after="0"/>
              <w:rPr>
                <w:sz w:val="20"/>
                <w:szCs w:val="20"/>
                <w:color w:val="auto"/>
              </w:rPr>
            </w:pPr>
            <w:r>
              <w:rPr>
                <w:rFonts w:ascii="Arial" w:cs="Arial" w:eastAsia="Arial" w:hAnsi="Arial"/>
                <w:sz w:val="13"/>
                <w:szCs w:val="13"/>
                <w:b w:val="1"/>
                <w:bCs w:val="1"/>
                <w:color w:val="auto"/>
              </w:rPr>
              <w:t>Other Comprehensive Income</w:t>
            </w: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6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660" w:type="dxa"/>
            <w:vAlign w:val="bottom"/>
            <w:shd w:val="clear" w:color="auto" w:fill="E5E5E5"/>
          </w:tcPr>
          <w:p>
            <w:pPr>
              <w:spacing w:after="0"/>
              <w:rPr>
                <w:sz w:val="20"/>
                <w:szCs w:val="20"/>
                <w:color w:val="auto"/>
              </w:rPr>
            </w:pPr>
            <w:r>
              <w:rPr>
                <w:rFonts w:ascii="Arial" w:cs="Arial" w:eastAsia="Arial" w:hAnsi="Arial"/>
                <w:sz w:val="16"/>
                <w:szCs w:val="16"/>
                <w:color w:val="auto"/>
              </w:rPr>
              <w:t>Commercial paper</w:t>
            </w:r>
          </w:p>
        </w:tc>
        <w:tc>
          <w:tcPr>
            <w:tcW w:w="1120" w:type="dxa"/>
            <w:vAlign w:val="bottom"/>
            <w:shd w:val="clear" w:color="auto" w:fill="E5E5E5"/>
          </w:tcPr>
          <w:p>
            <w:pPr>
              <w:jc w:val="right"/>
              <w:ind w:right="221"/>
              <w:spacing w:after="0"/>
              <w:rPr>
                <w:sz w:val="20"/>
                <w:szCs w:val="20"/>
                <w:color w:val="auto"/>
              </w:rPr>
            </w:pPr>
            <w:r>
              <w:rPr>
                <w:rFonts w:ascii="Arial" w:cs="Arial" w:eastAsia="Arial" w:hAnsi="Arial"/>
                <w:sz w:val="16"/>
                <w:szCs w:val="16"/>
                <w:color w:val="auto"/>
              </w:rPr>
              <w:t>Level 2</w:t>
            </w:r>
          </w:p>
        </w:tc>
        <w:tc>
          <w:tcPr>
            <w:tcW w:w="180" w:type="dxa"/>
            <w:vAlign w:val="bottom"/>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color w:val="auto"/>
              </w:rPr>
              <w:t>4,687</w:t>
            </w:r>
          </w:p>
        </w:tc>
        <w:tc>
          <w:tcPr>
            <w:tcW w:w="180" w:type="dxa"/>
            <w:vAlign w:val="bottom"/>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E5E5E5"/>
          </w:tcPr>
          <w:p>
            <w:pPr>
              <w:spacing w:after="0"/>
              <w:rPr>
                <w:sz w:val="16"/>
                <w:szCs w:val="16"/>
                <w:color w:val="auto"/>
              </w:rPr>
            </w:pPr>
          </w:p>
        </w:tc>
        <w:tc>
          <w:tcPr>
            <w:tcW w:w="140" w:type="dxa"/>
            <w:vAlign w:val="bottom"/>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0</w:t>
            </w:r>
          </w:p>
        </w:tc>
        <w:tc>
          <w:tcPr>
            <w:tcW w:w="22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4,688</w:t>
            </w:r>
          </w:p>
        </w:tc>
        <w:tc>
          <w:tcPr>
            <w:tcW w:w="18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color w:val="auto"/>
              </w:rPr>
              <w:t>1,618</w:t>
            </w:r>
          </w:p>
        </w:tc>
        <w:tc>
          <w:tcPr>
            <w:tcW w:w="160" w:type="dxa"/>
            <w:vAlign w:val="bottom"/>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color w:val="auto"/>
              </w:rPr>
              <w:t>3,070</w:t>
            </w:r>
          </w:p>
        </w:tc>
        <w:tc>
          <w:tcPr>
            <w:tcW w:w="160" w:type="dxa"/>
            <w:vAlign w:val="bottom"/>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8"/>
        </w:trPr>
        <w:tc>
          <w:tcPr>
            <w:tcW w:w="2660" w:type="dxa"/>
            <w:vAlign w:val="bottom"/>
          </w:tcPr>
          <w:p>
            <w:pPr>
              <w:spacing w:after="0"/>
              <w:rPr>
                <w:sz w:val="20"/>
                <w:szCs w:val="20"/>
                <w:color w:val="auto"/>
              </w:rPr>
            </w:pPr>
            <w:r>
              <w:rPr>
                <w:rFonts w:ascii="Arial" w:cs="Arial" w:eastAsia="Arial" w:hAnsi="Arial"/>
                <w:sz w:val="16"/>
                <w:szCs w:val="16"/>
                <w:color w:val="auto"/>
              </w:rPr>
              <w:t>Certificates of deposit</w:t>
            </w:r>
          </w:p>
        </w:tc>
        <w:tc>
          <w:tcPr>
            <w:tcW w:w="1120" w:type="dxa"/>
            <w:vAlign w:val="bottom"/>
          </w:tcPr>
          <w:p>
            <w:pPr>
              <w:jc w:val="right"/>
              <w:ind w:right="221"/>
              <w:spacing w:after="0"/>
              <w:rPr>
                <w:sz w:val="20"/>
                <w:szCs w:val="20"/>
                <w:color w:val="auto"/>
              </w:rPr>
            </w:pPr>
            <w:r>
              <w:rPr>
                <w:rFonts w:ascii="Arial" w:cs="Arial" w:eastAsia="Arial" w:hAnsi="Arial"/>
                <w:sz w:val="16"/>
                <w:szCs w:val="16"/>
                <w:color w:val="auto"/>
              </w:rPr>
              <w:t>Level 2</w:t>
            </w:r>
          </w:p>
        </w:tc>
        <w:tc>
          <w:tcPr>
            <w:tcW w:w="1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2,898</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2,898</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1,646</w:t>
            </w:r>
          </w:p>
        </w:tc>
        <w:tc>
          <w:tcPr>
            <w:tcW w:w="16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1,252</w:t>
            </w:r>
          </w:p>
        </w:tc>
        <w:tc>
          <w:tcPr>
            <w:tcW w:w="16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8"/>
        </w:trPr>
        <w:tc>
          <w:tcPr>
            <w:tcW w:w="2660" w:type="dxa"/>
            <w:vAlign w:val="bottom"/>
            <w:shd w:val="clear" w:color="auto" w:fill="E5E5E5"/>
          </w:tcPr>
          <w:p>
            <w:pPr>
              <w:spacing w:after="0"/>
              <w:rPr>
                <w:sz w:val="20"/>
                <w:szCs w:val="20"/>
                <w:color w:val="auto"/>
              </w:rPr>
            </w:pPr>
            <w:r>
              <w:rPr>
                <w:rFonts w:ascii="Arial" w:cs="Arial" w:eastAsia="Arial" w:hAnsi="Arial"/>
                <w:sz w:val="16"/>
                <w:szCs w:val="16"/>
                <w:color w:val="auto"/>
              </w:rPr>
              <w:t>U.S. government securities</w:t>
            </w:r>
          </w:p>
        </w:tc>
        <w:tc>
          <w:tcPr>
            <w:tcW w:w="1120" w:type="dxa"/>
            <w:vAlign w:val="bottom"/>
            <w:shd w:val="clear" w:color="auto" w:fill="E5E5E5"/>
          </w:tcPr>
          <w:p>
            <w:pPr>
              <w:jc w:val="right"/>
              <w:ind w:right="221"/>
              <w:spacing w:after="0"/>
              <w:rPr>
                <w:sz w:val="20"/>
                <w:szCs w:val="20"/>
                <w:color w:val="auto"/>
              </w:rPr>
            </w:pPr>
            <w:r>
              <w:rPr>
                <w:rFonts w:ascii="Arial" w:cs="Arial" w:eastAsia="Arial" w:hAnsi="Arial"/>
                <w:sz w:val="16"/>
                <w:szCs w:val="16"/>
                <w:color w:val="auto"/>
              </w:rPr>
              <w:t>Level 1</w:t>
            </w:r>
          </w:p>
        </w:tc>
        <w:tc>
          <w:tcPr>
            <w:tcW w:w="180" w:type="dxa"/>
            <w:vAlign w:val="bottom"/>
            <w:shd w:val="clear" w:color="auto" w:fill="E5E5E5"/>
          </w:tcPr>
          <w:p>
            <w:pPr>
              <w:spacing w:after="0"/>
              <w:rPr>
                <w:sz w:val="16"/>
                <w:szCs w:val="16"/>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92,067</w:t>
            </w:r>
          </w:p>
        </w:tc>
        <w:tc>
          <w:tcPr>
            <w:tcW w:w="14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color w:val="auto"/>
              </w:rPr>
              <w:t>6,495</w:t>
            </w:r>
          </w:p>
        </w:tc>
        <w:tc>
          <w:tcPr>
            <w:tcW w:w="14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color w:val="auto"/>
              </w:rPr>
              <w:t>(1)</w:t>
            </w:r>
          </w:p>
        </w:tc>
        <w:tc>
          <w:tcPr>
            <w:tcW w:w="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98,561</w:t>
            </w:r>
          </w:p>
        </w:tc>
        <w:tc>
          <w:tcPr>
            <w:tcW w:w="6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color w:val="auto"/>
              </w:rPr>
              <w:t>3,168</w:t>
            </w:r>
          </w:p>
        </w:tc>
        <w:tc>
          <w:tcPr>
            <w:tcW w:w="160" w:type="dxa"/>
            <w:vAlign w:val="bottom"/>
            <w:shd w:val="clear" w:color="auto" w:fill="E5E5E5"/>
          </w:tcPr>
          <w:p>
            <w:pPr>
              <w:spacing w:after="0"/>
              <w:rPr>
                <w:sz w:val="16"/>
                <w:szCs w:val="16"/>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95,393</w:t>
            </w:r>
          </w:p>
        </w:tc>
        <w:tc>
          <w:tcPr>
            <w:tcW w:w="1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8"/>
        </w:trPr>
        <w:tc>
          <w:tcPr>
            <w:tcW w:w="2660" w:type="dxa"/>
            <w:vAlign w:val="bottom"/>
          </w:tcPr>
          <w:p>
            <w:pPr>
              <w:spacing w:after="0"/>
              <w:rPr>
                <w:sz w:val="20"/>
                <w:szCs w:val="20"/>
                <w:color w:val="auto"/>
              </w:rPr>
            </w:pPr>
            <w:r>
              <w:rPr>
                <w:rFonts w:ascii="Arial" w:cs="Arial" w:eastAsia="Arial" w:hAnsi="Arial"/>
                <w:sz w:val="16"/>
                <w:szCs w:val="16"/>
                <w:color w:val="auto"/>
              </w:rPr>
              <w:t>U.S. agency securities</w:t>
            </w:r>
          </w:p>
        </w:tc>
        <w:tc>
          <w:tcPr>
            <w:tcW w:w="1120" w:type="dxa"/>
            <w:vAlign w:val="bottom"/>
          </w:tcPr>
          <w:p>
            <w:pPr>
              <w:jc w:val="right"/>
              <w:ind w:right="221"/>
              <w:spacing w:after="0"/>
              <w:rPr>
                <w:sz w:val="20"/>
                <w:szCs w:val="20"/>
                <w:color w:val="auto"/>
              </w:rPr>
            </w:pPr>
            <w:r>
              <w:rPr>
                <w:rFonts w:ascii="Arial" w:cs="Arial" w:eastAsia="Arial" w:hAnsi="Arial"/>
                <w:sz w:val="16"/>
                <w:szCs w:val="16"/>
                <w:color w:val="auto"/>
              </w:rPr>
              <w:t>Level 2</w:t>
            </w:r>
          </w:p>
        </w:tc>
        <w:tc>
          <w:tcPr>
            <w:tcW w:w="1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2,439</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2,441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449</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1,992</w:t>
            </w:r>
          </w:p>
        </w:tc>
        <w:tc>
          <w:tcPr>
            <w:tcW w:w="16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8"/>
        </w:trPr>
        <w:tc>
          <w:tcPr>
            <w:tcW w:w="2660" w:type="dxa"/>
            <w:vAlign w:val="bottom"/>
            <w:shd w:val="clear" w:color="auto" w:fill="E5E5E5"/>
          </w:tcPr>
          <w:p>
            <w:pPr>
              <w:spacing w:after="0"/>
              <w:rPr>
                <w:sz w:val="20"/>
                <w:szCs w:val="20"/>
                <w:color w:val="auto"/>
              </w:rPr>
            </w:pPr>
            <w:r>
              <w:rPr>
                <w:rFonts w:ascii="Arial" w:cs="Arial" w:eastAsia="Arial" w:hAnsi="Arial"/>
                <w:sz w:val="16"/>
                <w:szCs w:val="16"/>
                <w:color w:val="auto"/>
              </w:rPr>
              <w:t>Foreign government bonds</w:t>
            </w:r>
          </w:p>
        </w:tc>
        <w:tc>
          <w:tcPr>
            <w:tcW w:w="1120" w:type="dxa"/>
            <w:vAlign w:val="bottom"/>
            <w:shd w:val="clear" w:color="auto" w:fill="E5E5E5"/>
          </w:tcPr>
          <w:p>
            <w:pPr>
              <w:jc w:val="right"/>
              <w:ind w:right="221"/>
              <w:spacing w:after="0"/>
              <w:rPr>
                <w:sz w:val="20"/>
                <w:szCs w:val="20"/>
                <w:color w:val="auto"/>
              </w:rPr>
            </w:pPr>
            <w:r>
              <w:rPr>
                <w:rFonts w:ascii="Arial" w:cs="Arial" w:eastAsia="Arial" w:hAnsi="Arial"/>
                <w:sz w:val="16"/>
                <w:szCs w:val="16"/>
                <w:color w:val="auto"/>
              </w:rPr>
              <w:t>Level 2</w:t>
            </w:r>
          </w:p>
        </w:tc>
        <w:tc>
          <w:tcPr>
            <w:tcW w:w="18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color w:val="auto"/>
              </w:rPr>
              <w:t>6,982</w:t>
            </w:r>
          </w:p>
        </w:tc>
        <w:tc>
          <w:tcPr>
            <w:tcW w:w="180" w:type="dxa"/>
            <w:vAlign w:val="bottom"/>
            <w:shd w:val="clear" w:color="auto" w:fill="E5E5E5"/>
          </w:tcPr>
          <w:p>
            <w:pPr>
              <w:spacing w:after="0"/>
              <w:rPr>
                <w:sz w:val="16"/>
                <w:szCs w:val="16"/>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w:t>
            </w:r>
          </w:p>
        </w:tc>
        <w:tc>
          <w:tcPr>
            <w:tcW w:w="14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color w:val="auto"/>
              </w:rPr>
              <w:t>(3)</w:t>
            </w:r>
          </w:p>
        </w:tc>
        <w:tc>
          <w:tcPr>
            <w:tcW w:w="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6,985</w:t>
            </w:r>
          </w:p>
        </w:tc>
        <w:tc>
          <w:tcPr>
            <w:tcW w:w="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color w:val="auto"/>
              </w:rPr>
              <w:t>6,984</w:t>
            </w:r>
          </w:p>
        </w:tc>
        <w:tc>
          <w:tcPr>
            <w:tcW w:w="16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0"/>
        </w:trPr>
        <w:tc>
          <w:tcPr>
            <w:tcW w:w="2660" w:type="dxa"/>
            <w:vAlign w:val="bottom"/>
          </w:tcPr>
          <w:p>
            <w:pPr>
              <w:spacing w:after="0"/>
              <w:rPr>
                <w:sz w:val="20"/>
                <w:szCs w:val="20"/>
                <w:color w:val="auto"/>
              </w:rPr>
            </w:pPr>
            <w:r>
              <w:rPr>
                <w:rFonts w:ascii="Arial" w:cs="Arial" w:eastAsia="Arial" w:hAnsi="Arial"/>
                <w:sz w:val="16"/>
                <w:szCs w:val="16"/>
                <w:color w:val="auto"/>
              </w:rPr>
              <w:t>Mortgage- and asset-backed</w:t>
            </w: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60" w:type="dxa"/>
            <w:vAlign w:val="bottom"/>
          </w:tcPr>
          <w:p>
            <w:pPr>
              <w:ind w:left="220"/>
              <w:spacing w:after="0"/>
              <w:rPr>
                <w:sz w:val="20"/>
                <w:szCs w:val="20"/>
                <w:color w:val="auto"/>
              </w:rPr>
            </w:pPr>
            <w:r>
              <w:rPr>
                <w:rFonts w:ascii="Arial" w:cs="Arial" w:eastAsia="Arial" w:hAnsi="Arial"/>
                <w:sz w:val="16"/>
                <w:szCs w:val="16"/>
                <w:color w:val="auto"/>
              </w:rPr>
              <w:t>securities</w:t>
            </w:r>
          </w:p>
        </w:tc>
        <w:tc>
          <w:tcPr>
            <w:tcW w:w="1120" w:type="dxa"/>
            <w:vAlign w:val="bottom"/>
          </w:tcPr>
          <w:p>
            <w:pPr>
              <w:jc w:val="right"/>
              <w:ind w:right="221"/>
              <w:spacing w:after="0"/>
              <w:rPr>
                <w:sz w:val="20"/>
                <w:szCs w:val="20"/>
                <w:color w:val="auto"/>
              </w:rPr>
            </w:pPr>
            <w:r>
              <w:rPr>
                <w:rFonts w:ascii="Arial" w:cs="Arial" w:eastAsia="Arial" w:hAnsi="Arial"/>
                <w:sz w:val="16"/>
                <w:szCs w:val="16"/>
                <w:color w:val="auto"/>
              </w:rPr>
              <w:t>Level 2</w:t>
            </w:r>
          </w:p>
        </w:tc>
        <w:tc>
          <w:tcPr>
            <w:tcW w:w="1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4,865</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4,900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4,900</w:t>
            </w:r>
          </w:p>
        </w:tc>
        <w:tc>
          <w:tcPr>
            <w:tcW w:w="16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8"/>
        </w:trPr>
        <w:tc>
          <w:tcPr>
            <w:tcW w:w="2660" w:type="dxa"/>
            <w:vAlign w:val="bottom"/>
            <w:shd w:val="clear" w:color="auto" w:fill="E5E5E5"/>
          </w:tcPr>
          <w:p>
            <w:pPr>
              <w:spacing w:after="0"/>
              <w:rPr>
                <w:sz w:val="20"/>
                <w:szCs w:val="20"/>
                <w:color w:val="auto"/>
              </w:rPr>
            </w:pPr>
            <w:r>
              <w:rPr>
                <w:rFonts w:ascii="Arial" w:cs="Arial" w:eastAsia="Arial" w:hAnsi="Arial"/>
                <w:sz w:val="16"/>
                <w:szCs w:val="16"/>
                <w:color w:val="auto"/>
              </w:rPr>
              <w:t>Corporate notes and bonds</w:t>
            </w:r>
          </w:p>
        </w:tc>
        <w:tc>
          <w:tcPr>
            <w:tcW w:w="1120" w:type="dxa"/>
            <w:vAlign w:val="bottom"/>
            <w:shd w:val="clear" w:color="auto" w:fill="E5E5E5"/>
          </w:tcPr>
          <w:p>
            <w:pPr>
              <w:jc w:val="right"/>
              <w:ind w:right="221"/>
              <w:spacing w:after="0"/>
              <w:rPr>
                <w:sz w:val="20"/>
                <w:szCs w:val="20"/>
                <w:color w:val="auto"/>
              </w:rPr>
            </w:pPr>
            <w:r>
              <w:rPr>
                <w:rFonts w:ascii="Arial" w:cs="Arial" w:eastAsia="Arial" w:hAnsi="Arial"/>
                <w:sz w:val="16"/>
                <w:szCs w:val="16"/>
                <w:color w:val="auto"/>
              </w:rPr>
              <w:t>Level 2</w:t>
            </w:r>
          </w:p>
        </w:tc>
        <w:tc>
          <w:tcPr>
            <w:tcW w:w="18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color w:val="auto"/>
              </w:rPr>
              <w:t>8,500</w:t>
            </w:r>
          </w:p>
        </w:tc>
        <w:tc>
          <w:tcPr>
            <w:tcW w:w="180" w:type="dxa"/>
            <w:vAlign w:val="bottom"/>
            <w:shd w:val="clear" w:color="auto" w:fill="E5E5E5"/>
          </w:tcPr>
          <w:p>
            <w:pPr>
              <w:spacing w:after="0"/>
              <w:rPr>
                <w:sz w:val="16"/>
                <w:szCs w:val="16"/>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327</w:t>
            </w:r>
          </w:p>
        </w:tc>
        <w:tc>
          <w:tcPr>
            <w:tcW w:w="14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color w:val="auto"/>
              </w:rPr>
              <w:t>(17)</w:t>
            </w:r>
          </w:p>
        </w:tc>
        <w:tc>
          <w:tcPr>
            <w:tcW w:w="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8,810</w:t>
            </w:r>
          </w:p>
        </w:tc>
        <w:tc>
          <w:tcPr>
            <w:tcW w:w="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0</w:t>
            </w:r>
          </w:p>
        </w:tc>
        <w:tc>
          <w:tcPr>
            <w:tcW w:w="14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color w:val="auto"/>
              </w:rPr>
              <w:t>8,810</w:t>
            </w:r>
          </w:p>
        </w:tc>
        <w:tc>
          <w:tcPr>
            <w:tcW w:w="16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8"/>
        </w:trPr>
        <w:tc>
          <w:tcPr>
            <w:tcW w:w="2660" w:type="dxa"/>
            <w:vAlign w:val="bottom"/>
          </w:tcPr>
          <w:p>
            <w:pPr>
              <w:spacing w:after="0"/>
              <w:rPr>
                <w:sz w:val="20"/>
                <w:szCs w:val="20"/>
                <w:color w:val="auto"/>
              </w:rPr>
            </w:pPr>
            <w:r>
              <w:rPr>
                <w:rFonts w:ascii="Arial" w:cs="Arial" w:eastAsia="Arial" w:hAnsi="Arial"/>
                <w:sz w:val="16"/>
                <w:szCs w:val="16"/>
                <w:color w:val="auto"/>
              </w:rPr>
              <w:t>Corporate notes and bonds</w:t>
            </w:r>
          </w:p>
        </w:tc>
        <w:tc>
          <w:tcPr>
            <w:tcW w:w="1120" w:type="dxa"/>
            <w:vAlign w:val="bottom"/>
          </w:tcPr>
          <w:p>
            <w:pPr>
              <w:jc w:val="right"/>
              <w:ind w:right="221"/>
              <w:spacing w:after="0"/>
              <w:rPr>
                <w:sz w:val="20"/>
                <w:szCs w:val="20"/>
                <w:color w:val="auto"/>
              </w:rPr>
            </w:pPr>
            <w:r>
              <w:rPr>
                <w:rFonts w:ascii="Arial" w:cs="Arial" w:eastAsia="Arial" w:hAnsi="Arial"/>
                <w:sz w:val="16"/>
                <w:szCs w:val="16"/>
                <w:color w:val="auto"/>
              </w:rPr>
              <w:t>Level 3</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58</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58</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58</w:t>
            </w:r>
          </w:p>
        </w:tc>
        <w:tc>
          <w:tcPr>
            <w:tcW w:w="16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8"/>
        </w:trPr>
        <w:tc>
          <w:tcPr>
            <w:tcW w:w="2660" w:type="dxa"/>
            <w:vAlign w:val="bottom"/>
            <w:shd w:val="clear" w:color="auto" w:fill="E5E5E5"/>
          </w:tcPr>
          <w:p>
            <w:pPr>
              <w:spacing w:after="0"/>
              <w:rPr>
                <w:sz w:val="20"/>
                <w:szCs w:val="20"/>
                <w:color w:val="auto"/>
              </w:rPr>
            </w:pPr>
            <w:r>
              <w:rPr>
                <w:rFonts w:ascii="Arial" w:cs="Arial" w:eastAsia="Arial" w:hAnsi="Arial"/>
                <w:sz w:val="16"/>
                <w:szCs w:val="16"/>
                <w:color w:val="auto"/>
              </w:rPr>
              <w:t>Municipal securities</w:t>
            </w:r>
          </w:p>
        </w:tc>
        <w:tc>
          <w:tcPr>
            <w:tcW w:w="1120" w:type="dxa"/>
            <w:vAlign w:val="bottom"/>
            <w:shd w:val="clear" w:color="auto" w:fill="E5E5E5"/>
          </w:tcPr>
          <w:p>
            <w:pPr>
              <w:jc w:val="right"/>
              <w:ind w:right="221"/>
              <w:spacing w:after="0"/>
              <w:rPr>
                <w:sz w:val="20"/>
                <w:szCs w:val="20"/>
                <w:color w:val="auto"/>
              </w:rPr>
            </w:pPr>
            <w:r>
              <w:rPr>
                <w:rFonts w:ascii="Arial" w:cs="Arial" w:eastAsia="Arial" w:hAnsi="Arial"/>
                <w:sz w:val="16"/>
                <w:szCs w:val="16"/>
                <w:color w:val="auto"/>
              </w:rPr>
              <w:t>Level 2</w:t>
            </w:r>
          </w:p>
        </w:tc>
        <w:tc>
          <w:tcPr>
            <w:tcW w:w="180" w:type="dxa"/>
            <w:vAlign w:val="bottom"/>
            <w:shd w:val="clear" w:color="auto" w:fill="E5E5E5"/>
          </w:tcPr>
          <w:p>
            <w:pPr>
              <w:spacing w:after="0"/>
              <w:rPr>
                <w:sz w:val="16"/>
                <w:szCs w:val="16"/>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313</w:t>
            </w:r>
          </w:p>
        </w:tc>
        <w:tc>
          <w:tcPr>
            <w:tcW w:w="14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57</w:t>
            </w:r>
          </w:p>
        </w:tc>
        <w:tc>
          <w:tcPr>
            <w:tcW w:w="14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color w:val="auto"/>
              </w:rPr>
              <w:t>(4)</w:t>
            </w:r>
          </w:p>
        </w:tc>
        <w:tc>
          <w:tcPr>
            <w:tcW w:w="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366</w:t>
            </w:r>
          </w:p>
        </w:tc>
        <w:tc>
          <w:tcPr>
            <w:tcW w:w="6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0</w:t>
            </w:r>
          </w:p>
        </w:tc>
        <w:tc>
          <w:tcPr>
            <w:tcW w:w="14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color w:val="auto"/>
              </w:rPr>
              <w:t>366</w:t>
            </w:r>
          </w:p>
        </w:tc>
        <w:tc>
          <w:tcPr>
            <w:tcW w:w="16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6"/>
        </w:trPr>
        <w:tc>
          <w:tcPr>
            <w:tcW w:w="2660" w:type="dxa"/>
            <w:vAlign w:val="bottom"/>
          </w:tcPr>
          <w:p>
            <w:pPr>
              <w:spacing w:after="0"/>
              <w:rPr>
                <w:sz w:val="20"/>
                <w:szCs w:val="20"/>
                <w:color w:val="auto"/>
              </w:rPr>
            </w:pPr>
            <w:r>
              <w:rPr>
                <w:rFonts w:ascii="Arial" w:cs="Arial" w:eastAsia="Arial" w:hAnsi="Arial"/>
                <w:sz w:val="16"/>
                <w:szCs w:val="16"/>
                <w:color w:val="auto"/>
              </w:rPr>
              <w:t>Municipal securities</w:t>
            </w:r>
          </w:p>
        </w:tc>
        <w:tc>
          <w:tcPr>
            <w:tcW w:w="1120" w:type="dxa"/>
            <w:vAlign w:val="bottom"/>
          </w:tcPr>
          <w:p>
            <w:pPr>
              <w:jc w:val="right"/>
              <w:ind w:right="221"/>
              <w:spacing w:after="0"/>
              <w:rPr>
                <w:sz w:val="20"/>
                <w:szCs w:val="20"/>
                <w:color w:val="auto"/>
              </w:rPr>
            </w:pPr>
            <w:r>
              <w:rPr>
                <w:rFonts w:ascii="Arial" w:cs="Arial" w:eastAsia="Arial" w:hAnsi="Arial"/>
                <w:sz w:val="16"/>
                <w:szCs w:val="16"/>
                <w:color w:val="auto"/>
              </w:rPr>
              <w:t>Level 3</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91</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91</w:t>
            </w:r>
          </w:p>
        </w:tc>
        <w:tc>
          <w:tcPr>
            <w:tcW w:w="16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60"/>
        </w:trPr>
        <w:tc>
          <w:tcPr>
            <w:tcW w:w="26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660" w:type="dxa"/>
            <w:vAlign w:val="bottom"/>
            <w:shd w:val="clear" w:color="auto" w:fill="E5E5E5"/>
          </w:tcPr>
          <w:p>
            <w:pPr>
              <w:ind w:left="220"/>
              <w:spacing w:after="0"/>
              <w:rPr>
                <w:sz w:val="20"/>
                <w:szCs w:val="20"/>
                <w:color w:val="auto"/>
              </w:rPr>
            </w:pPr>
            <w:r>
              <w:rPr>
                <w:rFonts w:ascii="Arial" w:cs="Arial" w:eastAsia="Arial" w:hAnsi="Arial"/>
                <w:sz w:val="16"/>
                <w:szCs w:val="16"/>
                <w:color w:val="auto"/>
              </w:rPr>
              <w:t>Total debt investments</w:t>
            </w:r>
          </w:p>
        </w:tc>
        <w:tc>
          <w:tcPr>
            <w:tcW w:w="1120" w:type="dxa"/>
            <w:vAlign w:val="bottom"/>
            <w:shd w:val="clear" w:color="auto" w:fill="E5E5E5"/>
          </w:tcPr>
          <w:p>
            <w:pPr>
              <w:spacing w:after="0"/>
              <w:rPr>
                <w:sz w:val="16"/>
                <w:szCs w:val="16"/>
                <w:color w:val="auto"/>
              </w:rPr>
            </w:pPr>
          </w:p>
        </w:tc>
        <w:tc>
          <w:tcPr>
            <w:tcW w:w="180" w:type="dxa"/>
            <w:vAlign w:val="bottom"/>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122,900</w:t>
            </w:r>
          </w:p>
        </w:tc>
        <w:tc>
          <w:tcPr>
            <w:tcW w:w="140" w:type="dxa"/>
            <w:vAlign w:val="bottom"/>
            <w:shd w:val="clear" w:color="auto" w:fill="E5E5E5"/>
          </w:tcPr>
          <w:p>
            <w:pPr>
              <w:spacing w:after="0"/>
              <w:rPr>
                <w:sz w:val="16"/>
                <w:szCs w:val="16"/>
                <w:color w:val="auto"/>
              </w:rPr>
            </w:pPr>
          </w:p>
        </w:tc>
        <w:tc>
          <w:tcPr>
            <w:tcW w:w="180" w:type="dxa"/>
            <w:vAlign w:val="bottom"/>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color w:val="auto"/>
              </w:rPr>
              <w:t>6,929</w:t>
            </w:r>
          </w:p>
        </w:tc>
        <w:tc>
          <w:tcPr>
            <w:tcW w:w="140" w:type="dxa"/>
            <w:vAlign w:val="bottom"/>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color w:val="auto"/>
              </w:rPr>
              <w:t>(31)</w:t>
            </w:r>
          </w:p>
        </w:tc>
        <w:tc>
          <w:tcPr>
            <w:tcW w:w="22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129,798</w:t>
            </w:r>
          </w:p>
        </w:tc>
        <w:tc>
          <w:tcPr>
            <w:tcW w:w="60" w:type="dxa"/>
            <w:vAlign w:val="bottom"/>
            <w:shd w:val="clear" w:color="auto" w:fill="E5E5E5"/>
          </w:tcPr>
          <w:p>
            <w:pPr>
              <w:spacing w:after="0"/>
              <w:rPr>
                <w:sz w:val="16"/>
                <w:szCs w:val="16"/>
                <w:color w:val="auto"/>
              </w:rPr>
            </w:pPr>
          </w:p>
        </w:tc>
        <w:tc>
          <w:tcPr>
            <w:tcW w:w="18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color w:val="auto"/>
              </w:rPr>
              <w:t>6,882</w:t>
            </w:r>
          </w:p>
        </w:tc>
        <w:tc>
          <w:tcPr>
            <w:tcW w:w="160" w:type="dxa"/>
            <w:vAlign w:val="bottom"/>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122,916</w:t>
            </w:r>
          </w:p>
        </w:tc>
        <w:tc>
          <w:tcPr>
            <w:tcW w:w="120" w:type="dxa"/>
            <w:vAlign w:val="bottom"/>
            <w:shd w:val="clear" w:color="auto" w:fill="E5E5E5"/>
          </w:tcPr>
          <w:p>
            <w:pPr>
              <w:spacing w:after="0"/>
              <w:rPr>
                <w:sz w:val="16"/>
                <w:szCs w:val="16"/>
                <w:color w:val="auto"/>
              </w:rPr>
            </w:pPr>
          </w:p>
        </w:tc>
        <w:tc>
          <w:tcPr>
            <w:tcW w:w="160" w:type="dxa"/>
            <w:vAlign w:val="bottom"/>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74"/>
        </w:trPr>
        <w:tc>
          <w:tcPr>
            <w:tcW w:w="2660" w:type="dxa"/>
            <w:vAlign w:val="bottom"/>
            <w:vMerge w:val="restart"/>
          </w:tcPr>
          <w:p>
            <w:pPr>
              <w:spacing w:after="0"/>
              <w:rPr>
                <w:sz w:val="20"/>
                <w:szCs w:val="20"/>
                <w:color w:val="auto"/>
              </w:rPr>
            </w:pPr>
            <w:r>
              <w:rPr>
                <w:rFonts w:ascii="Arial" w:cs="Arial" w:eastAsia="Arial" w:hAnsi="Arial"/>
                <w:sz w:val="13"/>
                <w:szCs w:val="13"/>
                <w:b w:val="1"/>
                <w:bCs w:val="1"/>
                <w:color w:val="auto"/>
              </w:rPr>
              <w:t>Changes in Fair Value Recorded in Net</w:t>
            </w:r>
          </w:p>
        </w:tc>
        <w:tc>
          <w:tcPr>
            <w:tcW w:w="11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266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660" w:type="dxa"/>
            <w:vAlign w:val="bottom"/>
          </w:tcPr>
          <w:p>
            <w:pPr>
              <w:ind w:left="220"/>
              <w:spacing w:after="0"/>
              <w:rPr>
                <w:sz w:val="20"/>
                <w:szCs w:val="20"/>
                <w:color w:val="auto"/>
              </w:rPr>
            </w:pPr>
            <w:r>
              <w:rPr>
                <w:rFonts w:ascii="Arial" w:cs="Arial" w:eastAsia="Arial" w:hAnsi="Arial"/>
                <w:sz w:val="13"/>
                <w:szCs w:val="13"/>
                <w:b w:val="1"/>
                <w:bCs w:val="1"/>
                <w:color w:val="auto"/>
              </w:rPr>
              <w:t>Income</w:t>
            </w: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6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660" w:type="dxa"/>
            <w:vAlign w:val="bottom"/>
            <w:shd w:val="clear" w:color="auto" w:fill="E5E5E5"/>
          </w:tcPr>
          <w:p>
            <w:pPr>
              <w:spacing w:after="0"/>
              <w:rPr>
                <w:sz w:val="20"/>
                <w:szCs w:val="20"/>
                <w:color w:val="auto"/>
              </w:rPr>
            </w:pPr>
            <w:r>
              <w:rPr>
                <w:rFonts w:ascii="Arial" w:cs="Arial" w:eastAsia="Arial" w:hAnsi="Arial"/>
                <w:sz w:val="16"/>
                <w:szCs w:val="16"/>
                <w:color w:val="auto"/>
              </w:rPr>
              <w:t>Equity investments</w:t>
            </w:r>
          </w:p>
        </w:tc>
        <w:tc>
          <w:tcPr>
            <w:tcW w:w="1120" w:type="dxa"/>
            <w:vAlign w:val="bottom"/>
            <w:shd w:val="clear" w:color="auto" w:fill="E5E5E5"/>
          </w:tcPr>
          <w:p>
            <w:pPr>
              <w:jc w:val="right"/>
              <w:ind w:right="221"/>
              <w:spacing w:after="0"/>
              <w:rPr>
                <w:sz w:val="20"/>
                <w:szCs w:val="20"/>
                <w:color w:val="auto"/>
              </w:rPr>
            </w:pPr>
            <w:r>
              <w:rPr>
                <w:rFonts w:ascii="Arial" w:cs="Arial" w:eastAsia="Arial" w:hAnsi="Arial"/>
                <w:sz w:val="16"/>
                <w:szCs w:val="16"/>
                <w:color w:val="auto"/>
              </w:rPr>
              <w:t>Level 1</w:t>
            </w:r>
          </w:p>
        </w:tc>
        <w:tc>
          <w:tcPr>
            <w:tcW w:w="18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2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1,198</w:t>
            </w:r>
          </w:p>
        </w:tc>
        <w:tc>
          <w:tcPr>
            <w:tcW w:w="18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784</w:t>
            </w:r>
          </w:p>
        </w:tc>
        <w:tc>
          <w:tcPr>
            <w:tcW w:w="140" w:type="dxa"/>
            <w:vAlign w:val="bottom"/>
            <w:shd w:val="clear" w:color="auto" w:fill="E5E5E5"/>
          </w:tcPr>
          <w:p>
            <w:pPr>
              <w:spacing w:after="0"/>
              <w:rPr>
                <w:sz w:val="16"/>
                <w:szCs w:val="16"/>
                <w:color w:val="auto"/>
              </w:rPr>
            </w:pPr>
          </w:p>
        </w:tc>
        <w:tc>
          <w:tcPr>
            <w:tcW w:w="160" w:type="dxa"/>
            <w:vAlign w:val="bottom"/>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color w:val="auto"/>
              </w:rPr>
              <w:t>0</w:t>
            </w:r>
          </w:p>
        </w:tc>
        <w:tc>
          <w:tcPr>
            <w:tcW w:w="160" w:type="dxa"/>
            <w:vAlign w:val="bottom"/>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414</w:t>
            </w:r>
          </w:p>
        </w:tc>
        <w:tc>
          <w:tcPr>
            <w:tcW w:w="0" w:type="dxa"/>
            <w:vAlign w:val="bottom"/>
          </w:tcPr>
          <w:p>
            <w:pPr>
              <w:spacing w:after="0"/>
              <w:rPr>
                <w:sz w:val="1"/>
                <w:szCs w:val="1"/>
                <w:color w:val="auto"/>
              </w:rPr>
            </w:pPr>
          </w:p>
        </w:tc>
      </w:tr>
      <w:tr>
        <w:trPr>
          <w:trHeight w:val="196"/>
        </w:trPr>
        <w:tc>
          <w:tcPr>
            <w:tcW w:w="2660" w:type="dxa"/>
            <w:vAlign w:val="bottom"/>
          </w:tcPr>
          <w:p>
            <w:pPr>
              <w:spacing w:after="0"/>
              <w:rPr>
                <w:sz w:val="20"/>
                <w:szCs w:val="20"/>
                <w:color w:val="auto"/>
              </w:rPr>
            </w:pPr>
            <w:r>
              <w:rPr>
                <w:rFonts w:ascii="Arial" w:cs="Arial" w:eastAsia="Arial" w:hAnsi="Arial"/>
                <w:sz w:val="16"/>
                <w:szCs w:val="16"/>
                <w:color w:val="auto"/>
              </w:rPr>
              <w:t>Equity investments</w:t>
            </w:r>
          </w:p>
        </w:tc>
        <w:tc>
          <w:tcPr>
            <w:tcW w:w="1120" w:type="dxa"/>
            <w:vAlign w:val="bottom"/>
          </w:tcPr>
          <w:p>
            <w:pPr>
              <w:jc w:val="right"/>
              <w:ind w:right="281"/>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2,551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0</w:t>
            </w:r>
          </w:p>
        </w:tc>
        <w:tc>
          <w:tcPr>
            <w:tcW w:w="16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2,551</w:t>
            </w:r>
          </w:p>
        </w:tc>
        <w:tc>
          <w:tcPr>
            <w:tcW w:w="0" w:type="dxa"/>
            <w:vAlign w:val="bottom"/>
          </w:tcPr>
          <w:p>
            <w:pPr>
              <w:spacing w:after="0"/>
              <w:rPr>
                <w:sz w:val="1"/>
                <w:szCs w:val="1"/>
                <w:color w:val="auto"/>
              </w:rPr>
            </w:pPr>
          </w:p>
        </w:tc>
      </w:tr>
      <w:tr>
        <w:trPr>
          <w:trHeight w:val="60"/>
        </w:trPr>
        <w:tc>
          <w:tcPr>
            <w:tcW w:w="26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660" w:type="dxa"/>
            <w:vAlign w:val="bottom"/>
            <w:shd w:val="clear" w:color="auto" w:fill="E5E5E5"/>
          </w:tcPr>
          <w:p>
            <w:pPr>
              <w:ind w:left="220"/>
              <w:spacing w:after="0"/>
              <w:rPr>
                <w:sz w:val="20"/>
                <w:szCs w:val="20"/>
                <w:color w:val="auto"/>
              </w:rPr>
            </w:pPr>
            <w:r>
              <w:rPr>
                <w:rFonts w:ascii="Arial" w:cs="Arial" w:eastAsia="Arial" w:hAnsi="Arial"/>
                <w:sz w:val="16"/>
                <w:szCs w:val="16"/>
                <w:color w:val="auto"/>
              </w:rPr>
              <w:t>Total equity investments</w:t>
            </w:r>
          </w:p>
        </w:tc>
        <w:tc>
          <w:tcPr>
            <w:tcW w:w="11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2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3,749</w:t>
            </w:r>
          </w:p>
        </w:tc>
        <w:tc>
          <w:tcPr>
            <w:tcW w:w="18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784</w:t>
            </w:r>
          </w:p>
        </w:tc>
        <w:tc>
          <w:tcPr>
            <w:tcW w:w="140" w:type="dxa"/>
            <w:vAlign w:val="bottom"/>
            <w:shd w:val="clear" w:color="auto" w:fill="E5E5E5"/>
          </w:tcPr>
          <w:p>
            <w:pPr>
              <w:spacing w:after="0"/>
              <w:rPr>
                <w:sz w:val="16"/>
                <w:szCs w:val="16"/>
                <w:color w:val="auto"/>
              </w:rPr>
            </w:pPr>
          </w:p>
        </w:tc>
        <w:tc>
          <w:tcPr>
            <w:tcW w:w="160" w:type="dxa"/>
            <w:vAlign w:val="bottom"/>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color w:val="auto"/>
              </w:rPr>
              <w:t>0</w:t>
            </w:r>
          </w:p>
        </w:tc>
        <w:tc>
          <w:tcPr>
            <w:tcW w:w="160" w:type="dxa"/>
            <w:vAlign w:val="bottom"/>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2,965</w:t>
            </w:r>
          </w:p>
        </w:tc>
        <w:tc>
          <w:tcPr>
            <w:tcW w:w="0" w:type="dxa"/>
            <w:vAlign w:val="bottom"/>
          </w:tcPr>
          <w:p>
            <w:pPr>
              <w:spacing w:after="0"/>
              <w:rPr>
                <w:sz w:val="1"/>
                <w:szCs w:val="1"/>
                <w:color w:val="auto"/>
              </w:rPr>
            </w:pPr>
          </w:p>
        </w:tc>
      </w:tr>
      <w:tr>
        <w:trPr>
          <w:trHeight w:val="74"/>
        </w:trPr>
        <w:tc>
          <w:tcPr>
            <w:tcW w:w="2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2660" w:type="dxa"/>
            <w:vAlign w:val="bottom"/>
          </w:tcPr>
          <w:p>
            <w:pPr>
              <w:spacing w:after="0"/>
              <w:rPr>
                <w:sz w:val="20"/>
                <w:szCs w:val="20"/>
                <w:color w:val="auto"/>
              </w:rPr>
            </w:pPr>
            <w:r>
              <w:rPr>
                <w:rFonts w:ascii="Arial" w:cs="Arial" w:eastAsia="Arial" w:hAnsi="Arial"/>
                <w:sz w:val="16"/>
                <w:szCs w:val="16"/>
                <w:color w:val="auto"/>
              </w:rPr>
              <w:t>Cash</w:t>
            </w: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5,910</w:t>
            </w:r>
          </w:p>
        </w:tc>
        <w:tc>
          <w:tcPr>
            <w:tcW w:w="1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5,910</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0</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8"/>
        </w:trPr>
        <w:tc>
          <w:tcPr>
            <w:tcW w:w="2660" w:type="dxa"/>
            <w:vAlign w:val="bottom"/>
            <w:shd w:val="clear" w:color="auto" w:fill="E5E5E5"/>
          </w:tcPr>
          <w:p>
            <w:pPr>
              <w:spacing w:after="0" w:line="189" w:lineRule="exact"/>
              <w:rPr>
                <w:sz w:val="20"/>
                <w:szCs w:val="20"/>
                <w:color w:val="auto"/>
              </w:rPr>
            </w:pPr>
            <w:r>
              <w:rPr>
                <w:rFonts w:ascii="Arial" w:cs="Arial" w:eastAsia="Arial" w:hAnsi="Arial"/>
                <w:sz w:val="13"/>
                <w:szCs w:val="13"/>
                <w:color w:val="auto"/>
              </w:rPr>
              <w:t xml:space="preserve">Derivatives, net </w:t>
            </w:r>
            <w:r>
              <w:rPr>
                <w:rFonts w:ascii="Arial" w:cs="Arial" w:eastAsia="Arial" w:hAnsi="Arial"/>
                <w:sz w:val="21"/>
                <w:szCs w:val="21"/>
                <w:color w:val="auto"/>
                <w:vertAlign w:val="superscript"/>
              </w:rPr>
              <w:t>(a)</w:t>
            </w:r>
          </w:p>
        </w:tc>
        <w:tc>
          <w:tcPr>
            <w:tcW w:w="11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35</w:t>
            </w:r>
          </w:p>
        </w:tc>
        <w:tc>
          <w:tcPr>
            <w:tcW w:w="6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0</w:t>
            </w:r>
          </w:p>
        </w:tc>
        <w:tc>
          <w:tcPr>
            <w:tcW w:w="14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color w:val="auto"/>
              </w:rPr>
              <w:t>35</w:t>
            </w:r>
          </w:p>
        </w:tc>
        <w:tc>
          <w:tcPr>
            <w:tcW w:w="16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67"/>
        </w:trPr>
        <w:tc>
          <w:tcPr>
            <w:tcW w:w="26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660" w:type="dxa"/>
            <w:vAlign w:val="bottom"/>
          </w:tcPr>
          <w:p>
            <w:pPr>
              <w:ind w:left="220"/>
              <w:spacing w:after="0"/>
              <w:rPr>
                <w:sz w:val="20"/>
                <w:szCs w:val="20"/>
                <w:color w:val="auto"/>
              </w:rPr>
            </w:pPr>
            <w:r>
              <w:rPr>
                <w:rFonts w:ascii="Arial" w:cs="Arial" w:eastAsia="Arial" w:hAnsi="Arial"/>
                <w:sz w:val="16"/>
                <w:szCs w:val="16"/>
                <w:color w:val="auto"/>
              </w:rPr>
              <w:t>Total</w:t>
            </w: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139,492</w:t>
            </w:r>
          </w:p>
        </w:tc>
        <w:tc>
          <w:tcPr>
            <w:tcW w:w="60" w:type="dxa"/>
            <w:vAlign w:val="bottom"/>
          </w:tcPr>
          <w:p>
            <w:pPr>
              <w:spacing w:after="0"/>
              <w:rPr>
                <w:sz w:val="22"/>
                <w:szCs w:val="22"/>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13,576</w:t>
            </w:r>
          </w:p>
        </w:tc>
        <w:tc>
          <w:tcPr>
            <w:tcW w:w="14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122,951</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2,965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4412615</wp:posOffset>
            </wp:positionH>
            <wp:positionV relativeFrom="paragraph">
              <wp:posOffset>38100</wp:posOffset>
            </wp:positionV>
            <wp:extent cx="269113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691130" cy="17145"/>
                    </a:xfrm>
                    <a:prstGeom prst="rect">
                      <a:avLst/>
                    </a:prstGeom>
                    <a:noFill/>
                  </pic:spPr>
                </pic:pic>
              </a:graphicData>
            </a:graphic>
          </wp:anchor>
        </w:drawing>
      </w:r>
    </w:p>
    <w:p>
      <w:pPr>
        <w:spacing w:after="0" w:line="128" w:lineRule="exact"/>
        <w:rPr>
          <w:sz w:val="20"/>
          <w:szCs w:val="20"/>
          <w:color w:val="auto"/>
        </w:rPr>
      </w:pPr>
    </w:p>
    <w:p>
      <w:pPr>
        <w:ind w:left="540" w:hanging="532"/>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Refer to Note 5 – Derivatives for further information on the fair value of our derivative instruments.</w:t>
      </w:r>
    </w:p>
    <w:p>
      <w:pPr>
        <w:spacing w:after="0" w:line="21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Equity investments presented as “Other” in the tables above include investments without readily determinable fair values measured using the equity method or measured at cost with adjustments for observable changes in price or impairments, and investments measured at fair value using net asset value as a practical expedient which are not categorized in the fair value hierarchy. As of June 30, 2021 and 2020, equity investments without readily determinable fair values measured at cost with adjustments for observable changes in price or impairments were $3.3 billion and $1.4 billion,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Unrealized Losses on Debt Investments</w:t>
      </w:r>
    </w:p>
    <w:p>
      <w:pPr>
        <w:spacing w:after="0" w:line="17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Debt investments with continuous unrealized losses for less than 12 months and 12 months or greater and their related fair values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gridSpan w:val="5"/>
          </w:tcPr>
          <w:p>
            <w:pPr>
              <w:jc w:val="right"/>
              <w:ind w:right="120"/>
              <w:spacing w:after="0"/>
              <w:rPr>
                <w:sz w:val="20"/>
                <w:szCs w:val="20"/>
                <w:color w:val="auto"/>
              </w:rPr>
            </w:pPr>
            <w:r>
              <w:rPr>
                <w:rFonts w:ascii="Arial" w:cs="Arial" w:eastAsia="Arial" w:hAnsi="Arial"/>
                <w:sz w:val="13"/>
                <w:szCs w:val="13"/>
                <w:b w:val="1"/>
                <w:bCs w:val="1"/>
                <w:color w:val="auto"/>
              </w:rPr>
              <w:t>Less than 12 Months</w:t>
            </w:r>
          </w:p>
        </w:tc>
        <w:tc>
          <w:tcPr>
            <w:tcW w:w="140" w:type="dxa"/>
            <w:vAlign w:val="bottom"/>
          </w:tcPr>
          <w:p>
            <w:pPr>
              <w:spacing w:after="0"/>
              <w:rPr>
                <w:sz w:val="15"/>
                <w:szCs w:val="15"/>
                <w:color w:val="auto"/>
              </w:rPr>
            </w:pPr>
          </w:p>
        </w:tc>
        <w:tc>
          <w:tcPr>
            <w:tcW w:w="1760" w:type="dxa"/>
            <w:vAlign w:val="bottom"/>
            <w:gridSpan w:val="5"/>
          </w:tcPr>
          <w:p>
            <w:pPr>
              <w:jc w:val="right"/>
              <w:ind w:right="100"/>
              <w:spacing w:after="0"/>
              <w:rPr>
                <w:sz w:val="20"/>
                <w:szCs w:val="20"/>
                <w:color w:val="auto"/>
              </w:rPr>
            </w:pPr>
            <w:r>
              <w:rPr>
                <w:rFonts w:ascii="Arial" w:cs="Arial" w:eastAsia="Arial" w:hAnsi="Arial"/>
                <w:sz w:val="13"/>
                <w:szCs w:val="13"/>
                <w:b w:val="1"/>
                <w:bCs w:val="1"/>
                <w:color w:val="auto"/>
              </w:rPr>
              <w:t>12 Months or Greater</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20"/>
              <w:spacing w:after="0" w:line="148" w:lineRule="exact"/>
              <w:rPr>
                <w:sz w:val="20"/>
                <w:szCs w:val="20"/>
                <w:color w:val="auto"/>
              </w:rPr>
            </w:pPr>
            <w:r>
              <w:rPr>
                <w:rFonts w:ascii="Arial" w:cs="Arial" w:eastAsia="Arial" w:hAnsi="Arial"/>
                <w:sz w:val="13"/>
                <w:szCs w:val="13"/>
                <w:b w:val="1"/>
                <w:bCs w:val="1"/>
                <w:color w:val="auto"/>
              </w:rPr>
              <w:t>Unrealized</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00"/>
              <w:spacing w:after="0" w:line="148" w:lineRule="exact"/>
              <w:rPr>
                <w:sz w:val="20"/>
                <w:szCs w:val="20"/>
                <w:color w:val="auto"/>
              </w:rPr>
            </w:pPr>
            <w:r>
              <w:rPr>
                <w:rFonts w:ascii="Arial" w:cs="Arial" w:eastAsia="Arial" w:hAnsi="Arial"/>
                <w:sz w:val="13"/>
                <w:szCs w:val="13"/>
                <w:b w:val="1"/>
                <w:bCs w:val="1"/>
                <w:color w:val="auto"/>
              </w:rPr>
              <w:t>Unrealized</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ind w:right="60"/>
              <w:spacing w:after="0" w:line="148" w:lineRule="exact"/>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00"/>
              <w:spacing w:after="0" w:line="148" w:lineRule="exact"/>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78"/>
        </w:trPr>
        <w:tc>
          <w:tcPr>
            <w:tcW w:w="4200" w:type="dxa"/>
            <w:vAlign w:val="bottom"/>
            <w:gridSpan w:val="2"/>
          </w:tcPr>
          <w:p>
            <w:pPr>
              <w:spacing w:after="0"/>
              <w:rPr>
                <w:sz w:val="20"/>
                <w:szCs w:val="20"/>
                <w:color w:val="auto"/>
              </w:rPr>
            </w:pPr>
            <w:r>
              <w:rPr>
                <w:rFonts w:ascii="Arial" w:cs="Arial" w:eastAsia="Arial" w:hAnsi="Arial"/>
                <w:sz w:val="13"/>
                <w:szCs w:val="13"/>
                <w:b w:val="1"/>
                <w:bCs w:val="1"/>
                <w:color w:val="auto"/>
              </w:rPr>
              <w:t>(In millions)</w:t>
            </w: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ind w:left="100"/>
              <w:spacing w:after="0"/>
              <w:rPr>
                <w:sz w:val="20"/>
                <w:szCs w:val="20"/>
                <w:color w:val="auto"/>
              </w:rPr>
            </w:pPr>
            <w:r>
              <w:rPr>
                <w:rFonts w:ascii="Arial" w:cs="Arial" w:eastAsia="Arial" w:hAnsi="Arial"/>
                <w:sz w:val="13"/>
                <w:szCs w:val="13"/>
                <w:b w:val="1"/>
                <w:bCs w:val="1"/>
                <w:color w:val="auto"/>
              </w:rPr>
              <w:t>Fair Value</w:t>
            </w:r>
          </w:p>
        </w:tc>
        <w:tc>
          <w:tcPr>
            <w:tcW w:w="14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Losses</w:t>
            </w:r>
          </w:p>
        </w:tc>
        <w:tc>
          <w:tcPr>
            <w:tcW w:w="14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Arial" w:cs="Arial" w:eastAsia="Arial" w:hAnsi="Arial"/>
                <w:sz w:val="13"/>
                <w:szCs w:val="13"/>
                <w:b w:val="1"/>
                <w:bCs w:val="1"/>
                <w:color w:val="auto"/>
              </w:rPr>
              <w:t>Fair Value</w:t>
            </w:r>
          </w:p>
        </w:tc>
        <w:tc>
          <w:tcPr>
            <w:tcW w:w="14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Losses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Fair Value</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Losses</w:t>
            </w:r>
          </w:p>
        </w:tc>
        <w:tc>
          <w:tcPr>
            <w:tcW w:w="0" w:type="dxa"/>
            <w:vAlign w:val="bottom"/>
          </w:tcPr>
          <w:p>
            <w:pPr>
              <w:spacing w:after="0"/>
              <w:rPr>
                <w:sz w:val="1"/>
                <w:szCs w:val="1"/>
                <w:color w:val="auto"/>
              </w:rPr>
            </w:pPr>
          </w:p>
        </w:tc>
      </w:tr>
      <w:tr>
        <w:trPr>
          <w:trHeight w:val="54"/>
        </w:trPr>
        <w:tc>
          <w:tcPr>
            <w:tcW w:w="4200" w:type="dxa"/>
            <w:vAlign w:val="bottom"/>
            <w:tcBorders>
              <w:bottom w:val="single" w:sz="8" w:color="auto"/>
            </w:tcBorders>
            <w:gridSpan w:val="2"/>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4200" w:type="dxa"/>
            <w:vAlign w:val="bottom"/>
            <w:gridSpan w:val="2"/>
          </w:tcPr>
          <w:p>
            <w:pPr>
              <w:spacing w:after="0"/>
              <w:rPr>
                <w:sz w:val="20"/>
                <w:szCs w:val="20"/>
                <w:color w:val="auto"/>
              </w:rPr>
            </w:pPr>
            <w:r>
              <w:rPr>
                <w:rFonts w:ascii="Arial" w:cs="Arial" w:eastAsia="Arial" w:hAnsi="Arial"/>
                <w:sz w:val="13"/>
                <w:szCs w:val="13"/>
                <w:b w:val="1"/>
                <w:bCs w:val="1"/>
                <w:color w:val="auto"/>
              </w:rPr>
              <w:t>June 30, 2021</w:t>
            </w: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4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1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U.S. government and agency securities</w:t>
            </w:r>
          </w:p>
        </w:tc>
        <w:tc>
          <w:tcPr>
            <w:tcW w:w="12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5,294</w:t>
            </w:r>
          </w:p>
        </w:tc>
        <w:tc>
          <w:tcPr>
            <w:tcW w:w="1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(111)</w:t>
            </w:r>
          </w:p>
        </w:tc>
        <w:tc>
          <w:tcPr>
            <w:tcW w:w="1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0</w:t>
            </w:r>
          </w:p>
        </w:tc>
        <w:tc>
          <w:tcPr>
            <w:tcW w:w="1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0</w:t>
            </w:r>
          </w:p>
        </w:tc>
        <w:tc>
          <w:tcPr>
            <w:tcW w:w="2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w w:val="99"/>
              </w:rPr>
              <w:t>$</w:t>
            </w:r>
          </w:p>
        </w:tc>
        <w:tc>
          <w:tcPr>
            <w:tcW w:w="8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5,294</w:t>
            </w:r>
          </w:p>
        </w:tc>
        <w:tc>
          <w:tcPr>
            <w:tcW w:w="20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(111)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180" w:type="dxa"/>
            <w:vAlign w:val="bottom"/>
          </w:tcPr>
          <w:p>
            <w:pPr>
              <w:spacing w:after="0" w:line="189" w:lineRule="exact"/>
              <w:rPr>
                <w:sz w:val="20"/>
                <w:szCs w:val="20"/>
                <w:color w:val="auto"/>
              </w:rPr>
            </w:pPr>
            <w:r>
              <w:rPr>
                <w:rFonts w:ascii="Arial" w:cs="Arial" w:eastAsia="Arial" w:hAnsi="Arial"/>
                <w:sz w:val="18"/>
                <w:szCs w:val="18"/>
                <w:color w:val="auto"/>
              </w:rPr>
              <w:t>Foreign government bonds</w:t>
            </w: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3,148</w:t>
            </w:r>
          </w:p>
        </w:tc>
        <w:tc>
          <w:tcPr>
            <w:tcW w:w="140" w:type="dxa"/>
            <w:vAlign w:val="bottom"/>
          </w:tcPr>
          <w:p>
            <w:pPr>
              <w:spacing w:after="0"/>
              <w:rPr>
                <w:sz w:val="16"/>
                <w:szCs w:val="16"/>
                <w:color w:val="auto"/>
              </w:rPr>
            </w:pPr>
          </w:p>
        </w:tc>
        <w:tc>
          <w:tcPr>
            <w:tcW w:w="84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16"/>
                <w:szCs w:val="16"/>
                <w:color w:val="auto"/>
              </w:rPr>
            </w:pPr>
          </w:p>
        </w:tc>
        <w:tc>
          <w:tcPr>
            <w:tcW w:w="80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5</w:t>
            </w:r>
          </w:p>
        </w:tc>
        <w:tc>
          <w:tcPr>
            <w:tcW w:w="140" w:type="dxa"/>
            <w:vAlign w:val="bottom"/>
          </w:tcPr>
          <w:p>
            <w:pPr>
              <w:spacing w:after="0"/>
              <w:rPr>
                <w:sz w:val="16"/>
                <w:szCs w:val="16"/>
                <w:color w:val="auto"/>
              </w:rPr>
            </w:pPr>
          </w:p>
        </w:tc>
        <w:tc>
          <w:tcPr>
            <w:tcW w:w="820" w:type="dxa"/>
            <w:vAlign w:val="bottom"/>
            <w:gridSpan w:val="2"/>
          </w:tcPr>
          <w:p>
            <w:pPr>
              <w:jc w:val="right"/>
              <w:ind w:right="40"/>
              <w:spacing w:after="0" w:line="189" w:lineRule="exact"/>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3,153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40"/>
              <w:spacing w:after="0" w:line="189" w:lineRule="exact"/>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1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Mortgage- and asset-backed securities</w:t>
            </w:r>
          </w:p>
        </w:tc>
        <w:tc>
          <w:tcPr>
            <w:tcW w:w="106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1,211</w:t>
            </w:r>
          </w:p>
        </w:tc>
        <w:tc>
          <w:tcPr>
            <w:tcW w:w="14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(5)</w:t>
            </w:r>
          </w:p>
        </w:tc>
        <w:tc>
          <w:tcPr>
            <w:tcW w:w="14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87</w:t>
            </w:r>
          </w:p>
        </w:tc>
        <w:tc>
          <w:tcPr>
            <w:tcW w:w="14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(1)</w:t>
            </w:r>
          </w:p>
        </w:tc>
        <w:tc>
          <w:tcPr>
            <w:tcW w:w="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1,298</w:t>
            </w:r>
          </w:p>
        </w:tc>
        <w:tc>
          <w:tcPr>
            <w:tcW w:w="6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180" w:type="dxa"/>
            <w:vAlign w:val="bottom"/>
          </w:tcPr>
          <w:p>
            <w:pPr>
              <w:spacing w:after="0" w:line="189" w:lineRule="exact"/>
              <w:rPr>
                <w:sz w:val="20"/>
                <w:szCs w:val="20"/>
                <w:color w:val="auto"/>
              </w:rPr>
            </w:pPr>
            <w:r>
              <w:rPr>
                <w:rFonts w:ascii="Arial" w:cs="Arial" w:eastAsia="Arial" w:hAnsi="Arial"/>
                <w:sz w:val="18"/>
                <w:szCs w:val="18"/>
                <w:color w:val="auto"/>
              </w:rPr>
              <w:t>Corporate notes and bonds</w:t>
            </w: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1,678</w:t>
            </w:r>
          </w:p>
        </w:tc>
        <w:tc>
          <w:tcPr>
            <w:tcW w:w="140" w:type="dxa"/>
            <w:vAlign w:val="bottom"/>
          </w:tcPr>
          <w:p>
            <w:pPr>
              <w:spacing w:after="0"/>
              <w:rPr>
                <w:sz w:val="16"/>
                <w:szCs w:val="16"/>
                <w:color w:val="auto"/>
              </w:rPr>
            </w:pPr>
          </w:p>
        </w:tc>
        <w:tc>
          <w:tcPr>
            <w:tcW w:w="84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(8)</w:t>
            </w:r>
          </w:p>
        </w:tc>
        <w:tc>
          <w:tcPr>
            <w:tcW w:w="140" w:type="dxa"/>
            <w:vAlign w:val="bottom"/>
          </w:tcPr>
          <w:p>
            <w:pPr>
              <w:spacing w:after="0"/>
              <w:rPr>
                <w:sz w:val="16"/>
                <w:szCs w:val="16"/>
                <w:color w:val="auto"/>
              </w:rPr>
            </w:pPr>
          </w:p>
        </w:tc>
        <w:tc>
          <w:tcPr>
            <w:tcW w:w="80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34</w:t>
            </w:r>
          </w:p>
        </w:tc>
        <w:tc>
          <w:tcPr>
            <w:tcW w:w="140" w:type="dxa"/>
            <w:vAlign w:val="bottom"/>
          </w:tcPr>
          <w:p>
            <w:pPr>
              <w:spacing w:after="0"/>
              <w:rPr>
                <w:sz w:val="16"/>
                <w:szCs w:val="16"/>
                <w:color w:val="auto"/>
              </w:rPr>
            </w:pPr>
          </w:p>
        </w:tc>
        <w:tc>
          <w:tcPr>
            <w:tcW w:w="820" w:type="dxa"/>
            <w:vAlign w:val="bottom"/>
            <w:gridSpan w:val="2"/>
          </w:tcPr>
          <w:p>
            <w:pPr>
              <w:jc w:val="right"/>
              <w:ind w:right="40"/>
              <w:spacing w:after="0" w:line="189" w:lineRule="exact"/>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1,712</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40"/>
              <w:spacing w:after="0" w:line="189" w:lineRule="exact"/>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1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Municipal securities</w:t>
            </w:r>
          </w:p>
        </w:tc>
        <w:tc>
          <w:tcPr>
            <w:tcW w:w="106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58</w:t>
            </w:r>
          </w:p>
        </w:tc>
        <w:tc>
          <w:tcPr>
            <w:tcW w:w="14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(7)</w:t>
            </w:r>
          </w:p>
        </w:tc>
        <w:tc>
          <w:tcPr>
            <w:tcW w:w="14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w:t>
            </w:r>
          </w:p>
        </w:tc>
        <w:tc>
          <w:tcPr>
            <w:tcW w:w="14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0</w:t>
            </w:r>
          </w:p>
        </w:tc>
        <w:tc>
          <w:tcPr>
            <w:tcW w:w="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59</w:t>
            </w:r>
          </w:p>
        </w:tc>
        <w:tc>
          <w:tcPr>
            <w:tcW w:w="6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41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gridSpan w:val="2"/>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rPr>
              <w:t>Total</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11,389</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(132)</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127</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9"/>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11,516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(135)</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1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ind w:left="100"/>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18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72" w:name="page73"/>
    <w:bookmarkEnd w:id="72"/>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6"/>
          </w:tcPr>
          <w:p>
            <w:pPr>
              <w:jc w:val="right"/>
              <w:ind w:right="100"/>
              <w:spacing w:after="0"/>
              <w:rPr>
                <w:sz w:val="20"/>
                <w:szCs w:val="20"/>
                <w:color w:val="auto"/>
              </w:rPr>
            </w:pPr>
            <w:r>
              <w:rPr>
                <w:rFonts w:ascii="Arial" w:cs="Arial" w:eastAsia="Arial" w:hAnsi="Arial"/>
                <w:sz w:val="13"/>
                <w:szCs w:val="13"/>
                <w:b w:val="1"/>
                <w:bCs w:val="1"/>
                <w:color w:val="auto"/>
              </w:rPr>
              <w:t>Less than 12 Months</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6"/>
          </w:tcPr>
          <w:p>
            <w:pPr>
              <w:jc w:val="right"/>
              <w:ind w:right="140"/>
              <w:spacing w:after="0"/>
              <w:rPr>
                <w:sz w:val="20"/>
                <w:szCs w:val="20"/>
                <w:color w:val="auto"/>
              </w:rPr>
            </w:pPr>
            <w:r>
              <w:rPr>
                <w:rFonts w:ascii="Arial" w:cs="Arial" w:eastAsia="Arial" w:hAnsi="Arial"/>
                <w:sz w:val="13"/>
                <w:szCs w:val="13"/>
                <w:b w:val="1"/>
                <w:bCs w:val="1"/>
                <w:color w:val="auto"/>
              </w:rPr>
              <w:t>12 Months or Greater</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52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00"/>
              <w:spacing w:after="0" w:line="148" w:lineRule="exact"/>
              <w:rPr>
                <w:sz w:val="20"/>
                <w:szCs w:val="20"/>
                <w:color w:val="auto"/>
              </w:rPr>
            </w:pPr>
            <w:r>
              <w:rPr>
                <w:rFonts w:ascii="Arial" w:cs="Arial" w:eastAsia="Arial" w:hAnsi="Arial"/>
                <w:sz w:val="13"/>
                <w:szCs w:val="13"/>
                <w:b w:val="1"/>
                <w:bCs w:val="1"/>
                <w:color w:val="auto"/>
              </w:rPr>
              <w:t>Unrealized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40"/>
              <w:spacing w:after="0" w:line="148" w:lineRule="exact"/>
              <w:rPr>
                <w:sz w:val="20"/>
                <w:szCs w:val="20"/>
                <w:color w:val="auto"/>
              </w:rPr>
            </w:pPr>
            <w:r>
              <w:rPr>
                <w:rFonts w:ascii="Arial" w:cs="Arial" w:eastAsia="Arial" w:hAnsi="Arial"/>
                <w:sz w:val="13"/>
                <w:szCs w:val="13"/>
                <w:b w:val="1"/>
                <w:bCs w:val="1"/>
                <w:color w:val="auto"/>
              </w:rPr>
              <w:t>Unrealized</w:t>
            </w:r>
          </w:p>
        </w:tc>
        <w:tc>
          <w:tcPr>
            <w:tcW w:w="200" w:type="dxa"/>
            <w:vAlign w:val="bottom"/>
          </w:tcPr>
          <w:p>
            <w:pPr>
              <w:spacing w:after="0"/>
              <w:rPr>
                <w:sz w:val="12"/>
                <w:szCs w:val="12"/>
                <w:color w:val="auto"/>
              </w:rPr>
            </w:pPr>
          </w:p>
        </w:tc>
        <w:tc>
          <w:tcPr>
            <w:tcW w:w="860" w:type="dxa"/>
            <w:vAlign w:val="bottom"/>
            <w:gridSpan w:val="2"/>
          </w:tcPr>
          <w:p>
            <w:pPr>
              <w:jc w:val="right"/>
              <w:ind w:right="120"/>
              <w:spacing w:after="0" w:line="148" w:lineRule="exact"/>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2"/>
                <w:szCs w:val="12"/>
                <w:color w:val="auto"/>
              </w:rPr>
            </w:pPr>
          </w:p>
        </w:tc>
        <w:tc>
          <w:tcPr>
            <w:tcW w:w="800" w:type="dxa"/>
            <w:vAlign w:val="bottom"/>
            <w:gridSpan w:val="2"/>
          </w:tcPr>
          <w:p>
            <w:pPr>
              <w:jc w:val="right"/>
              <w:ind w:right="80"/>
              <w:spacing w:after="0" w:line="148" w:lineRule="exact"/>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78"/>
        </w:trPr>
        <w:tc>
          <w:tcPr>
            <w:tcW w:w="5280" w:type="dxa"/>
            <w:vAlign w:val="bottom"/>
            <w:gridSpan w:val="2"/>
          </w:tcPr>
          <w:p>
            <w:pPr>
              <w:spacing w:after="0"/>
              <w:rPr>
                <w:sz w:val="20"/>
                <w:szCs w:val="20"/>
                <w:color w:val="auto"/>
              </w:rPr>
            </w:pPr>
            <w:r>
              <w:rPr>
                <w:rFonts w:ascii="Arial" w:cs="Arial" w:eastAsia="Arial" w:hAnsi="Arial"/>
                <w:sz w:val="13"/>
                <w:szCs w:val="13"/>
                <w:b w:val="1"/>
                <w:bCs w:val="1"/>
                <w:color w:val="auto"/>
              </w:rPr>
              <w:t>(In millions)</w:t>
            </w:r>
          </w:p>
        </w:tc>
        <w:tc>
          <w:tcPr>
            <w:tcW w:w="20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Fair Value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Losses</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Fair Value</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Losses</w:t>
            </w:r>
          </w:p>
        </w:tc>
        <w:tc>
          <w:tcPr>
            <w:tcW w:w="2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Fair Value</w:t>
            </w:r>
          </w:p>
        </w:tc>
        <w:tc>
          <w:tcPr>
            <w:tcW w:w="16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Losses</w:t>
            </w:r>
          </w:p>
        </w:tc>
        <w:tc>
          <w:tcPr>
            <w:tcW w:w="0" w:type="dxa"/>
            <w:vAlign w:val="bottom"/>
          </w:tcPr>
          <w:p>
            <w:pPr>
              <w:spacing w:after="0"/>
              <w:rPr>
                <w:sz w:val="1"/>
                <w:szCs w:val="1"/>
                <w:color w:val="auto"/>
              </w:rPr>
            </w:pPr>
          </w:p>
        </w:tc>
      </w:tr>
      <w:tr>
        <w:trPr>
          <w:trHeight w:val="54"/>
        </w:trPr>
        <w:tc>
          <w:tcPr>
            <w:tcW w:w="528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3"/>
                <w:szCs w:val="13"/>
                <w:b w:val="1"/>
                <w:bCs w:val="1"/>
                <w:color w:val="auto"/>
              </w:rPr>
              <w:t>June 30, 2020</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5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2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U.S. government and agency securities</w:t>
            </w:r>
          </w:p>
        </w:tc>
        <w:tc>
          <w:tcPr>
            <w:tcW w:w="200" w:type="dxa"/>
            <w:vAlign w:val="bottom"/>
            <w:shd w:val="clear" w:color="auto" w:fill="E5E5E5"/>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2,323</w:t>
            </w:r>
          </w:p>
        </w:tc>
        <w:tc>
          <w:tcPr>
            <w:tcW w:w="2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w:t>
            </w:r>
          </w:p>
        </w:tc>
        <w:tc>
          <w:tcPr>
            <w:tcW w:w="1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60" w:type="dxa"/>
            <w:vAlign w:val="bottom"/>
            <w:shd w:val="clear" w:color="auto" w:fill="E5E5E5"/>
          </w:tcPr>
          <w:p>
            <w:pPr>
              <w:spacing w:after="0"/>
              <w:rPr>
                <w:sz w:val="16"/>
                <w:szCs w:val="16"/>
                <w:color w:val="auto"/>
              </w:rPr>
            </w:pPr>
          </w:p>
        </w:tc>
        <w:tc>
          <w:tcPr>
            <w:tcW w:w="20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0</w:t>
            </w:r>
          </w:p>
        </w:tc>
        <w:tc>
          <w:tcPr>
            <w:tcW w:w="200" w:type="dxa"/>
            <w:vAlign w:val="bottom"/>
            <w:shd w:val="clear" w:color="auto" w:fill="E5E5E5"/>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2,323</w:t>
            </w:r>
          </w:p>
        </w:tc>
        <w:tc>
          <w:tcPr>
            <w:tcW w:w="1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260" w:type="dxa"/>
            <w:vAlign w:val="bottom"/>
          </w:tcPr>
          <w:p>
            <w:pPr>
              <w:spacing w:after="0" w:line="189" w:lineRule="exact"/>
              <w:rPr>
                <w:sz w:val="20"/>
                <w:szCs w:val="20"/>
                <w:color w:val="auto"/>
              </w:rPr>
            </w:pPr>
            <w:r>
              <w:rPr>
                <w:rFonts w:ascii="Arial" w:cs="Arial" w:eastAsia="Arial" w:hAnsi="Arial"/>
                <w:sz w:val="18"/>
                <w:szCs w:val="18"/>
                <w:color w:val="auto"/>
              </w:rPr>
              <w:t>Foreign government bonds</w:t>
            </w:r>
          </w:p>
        </w:tc>
        <w:tc>
          <w:tcPr>
            <w:tcW w:w="200" w:type="dxa"/>
            <w:vAlign w:val="bottom"/>
          </w:tcPr>
          <w:p>
            <w:pPr>
              <w:spacing w:after="0"/>
              <w:rPr>
                <w:sz w:val="16"/>
                <w:szCs w:val="16"/>
                <w:color w:val="auto"/>
              </w:rPr>
            </w:pPr>
          </w:p>
        </w:tc>
        <w:tc>
          <w:tcPr>
            <w:tcW w:w="78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500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(3)</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8"/>
                <w:szCs w:val="18"/>
                <w:color w:val="auto"/>
              </w:rPr>
              <w:t>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0</w:t>
            </w:r>
          </w:p>
        </w:tc>
        <w:tc>
          <w:tcPr>
            <w:tcW w:w="200" w:type="dxa"/>
            <w:vAlign w:val="bottom"/>
          </w:tcPr>
          <w:p>
            <w:pPr>
              <w:spacing w:after="0"/>
              <w:rPr>
                <w:sz w:val="16"/>
                <w:szCs w:val="16"/>
                <w:color w:val="auto"/>
              </w:rPr>
            </w:pPr>
          </w:p>
        </w:tc>
        <w:tc>
          <w:tcPr>
            <w:tcW w:w="86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500</w:t>
            </w:r>
          </w:p>
        </w:tc>
        <w:tc>
          <w:tcPr>
            <w:tcW w:w="160" w:type="dxa"/>
            <w:vAlign w:val="bottom"/>
          </w:tcPr>
          <w:p>
            <w:pPr>
              <w:spacing w:after="0"/>
              <w:rPr>
                <w:sz w:val="16"/>
                <w:szCs w:val="16"/>
                <w:color w:val="auto"/>
              </w:rPr>
            </w:pPr>
          </w:p>
        </w:tc>
        <w:tc>
          <w:tcPr>
            <w:tcW w:w="80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2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Mortgage- and asset-backed securities</w:t>
            </w:r>
          </w:p>
        </w:tc>
        <w:tc>
          <w:tcPr>
            <w:tcW w:w="20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1,014</w:t>
            </w:r>
          </w:p>
        </w:tc>
        <w:tc>
          <w:tcPr>
            <w:tcW w:w="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(6)</w:t>
            </w:r>
          </w:p>
        </w:tc>
        <w:tc>
          <w:tcPr>
            <w:tcW w:w="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6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6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0</w:t>
            </w:r>
          </w:p>
        </w:tc>
        <w:tc>
          <w:tcPr>
            <w:tcW w:w="20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1,014</w:t>
            </w:r>
          </w:p>
        </w:tc>
        <w:tc>
          <w:tcPr>
            <w:tcW w:w="16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260" w:type="dxa"/>
            <w:vAlign w:val="bottom"/>
          </w:tcPr>
          <w:p>
            <w:pPr>
              <w:spacing w:after="0" w:line="189" w:lineRule="exact"/>
              <w:rPr>
                <w:sz w:val="20"/>
                <w:szCs w:val="20"/>
                <w:color w:val="auto"/>
              </w:rPr>
            </w:pPr>
            <w:r>
              <w:rPr>
                <w:rFonts w:ascii="Arial" w:cs="Arial" w:eastAsia="Arial" w:hAnsi="Arial"/>
                <w:sz w:val="18"/>
                <w:szCs w:val="18"/>
                <w:color w:val="auto"/>
              </w:rPr>
              <w:t>Corporate notes and bonds</w:t>
            </w:r>
          </w:p>
        </w:tc>
        <w:tc>
          <w:tcPr>
            <w:tcW w:w="200" w:type="dxa"/>
            <w:vAlign w:val="bottom"/>
          </w:tcPr>
          <w:p>
            <w:pPr>
              <w:spacing w:after="0"/>
              <w:rPr>
                <w:sz w:val="16"/>
                <w:szCs w:val="16"/>
                <w:color w:val="auto"/>
              </w:rPr>
            </w:pPr>
          </w:p>
        </w:tc>
        <w:tc>
          <w:tcPr>
            <w:tcW w:w="78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649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(17)</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8"/>
                <w:szCs w:val="18"/>
                <w:color w:val="auto"/>
              </w:rPr>
              <w:t>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0</w:t>
            </w:r>
          </w:p>
        </w:tc>
        <w:tc>
          <w:tcPr>
            <w:tcW w:w="200" w:type="dxa"/>
            <w:vAlign w:val="bottom"/>
          </w:tcPr>
          <w:p>
            <w:pPr>
              <w:spacing w:after="0"/>
              <w:rPr>
                <w:sz w:val="16"/>
                <w:szCs w:val="16"/>
                <w:color w:val="auto"/>
              </w:rPr>
            </w:pPr>
          </w:p>
        </w:tc>
        <w:tc>
          <w:tcPr>
            <w:tcW w:w="86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649</w:t>
            </w:r>
          </w:p>
        </w:tc>
        <w:tc>
          <w:tcPr>
            <w:tcW w:w="160" w:type="dxa"/>
            <w:vAlign w:val="bottom"/>
          </w:tcPr>
          <w:p>
            <w:pPr>
              <w:spacing w:after="0"/>
              <w:rPr>
                <w:sz w:val="16"/>
                <w:szCs w:val="16"/>
                <w:color w:val="auto"/>
              </w:rPr>
            </w:pPr>
          </w:p>
        </w:tc>
        <w:tc>
          <w:tcPr>
            <w:tcW w:w="80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2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Municipal securities</w:t>
            </w:r>
          </w:p>
        </w:tc>
        <w:tc>
          <w:tcPr>
            <w:tcW w:w="20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66</w:t>
            </w:r>
          </w:p>
        </w:tc>
        <w:tc>
          <w:tcPr>
            <w:tcW w:w="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(4)</w:t>
            </w:r>
          </w:p>
        </w:tc>
        <w:tc>
          <w:tcPr>
            <w:tcW w:w="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6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6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0</w:t>
            </w:r>
          </w:p>
        </w:tc>
        <w:tc>
          <w:tcPr>
            <w:tcW w:w="20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66</w:t>
            </w:r>
          </w:p>
        </w:tc>
        <w:tc>
          <w:tcPr>
            <w:tcW w:w="16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52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4,552</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2"/>
                <w:szCs w:val="22"/>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4,552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6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Unrealized losses from fixed-income securities are primarily attributable to changes in interest rates. Management does not believe any remaining unrealized losses represent impairments based on our evaluation of available evidence.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Investment Maturities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Adjusted</w:t>
            </w:r>
          </w:p>
        </w:tc>
        <w:tc>
          <w:tcPr>
            <w:tcW w:w="44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Estimated</w:t>
            </w:r>
          </w:p>
        </w:tc>
        <w:tc>
          <w:tcPr>
            <w:tcW w:w="0" w:type="dxa"/>
            <w:vAlign w:val="bottom"/>
          </w:tcPr>
          <w:p>
            <w:pPr>
              <w:spacing w:after="0"/>
              <w:rPr>
                <w:sz w:val="1"/>
                <w:szCs w:val="1"/>
                <w:color w:val="auto"/>
              </w:rPr>
            </w:pPr>
          </w:p>
        </w:tc>
      </w:tr>
      <w:tr>
        <w:trPr>
          <w:trHeight w:val="178"/>
        </w:trPr>
        <w:tc>
          <w:tcPr>
            <w:tcW w:w="5480" w:type="dxa"/>
            <w:vAlign w:val="bottom"/>
            <w:gridSpan w:val="2"/>
          </w:tcPr>
          <w:p>
            <w:pPr>
              <w:spacing w:after="0"/>
              <w:rPr>
                <w:sz w:val="20"/>
                <w:szCs w:val="20"/>
                <w:color w:val="auto"/>
              </w:rPr>
            </w:pPr>
            <w:r>
              <w:rPr>
                <w:rFonts w:ascii="Arial" w:cs="Arial" w:eastAsia="Arial" w:hAnsi="Arial"/>
                <w:sz w:val="13"/>
                <w:szCs w:val="13"/>
                <w:b w:val="1"/>
                <w:bCs w:val="1"/>
                <w:color w:val="auto"/>
              </w:rPr>
              <w:t>(In millions)</w:t>
            </w:r>
          </w:p>
        </w:tc>
        <w:tc>
          <w:tcPr>
            <w:tcW w:w="2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Cost Basis</w:t>
            </w:r>
          </w:p>
        </w:tc>
        <w:tc>
          <w:tcPr>
            <w:tcW w:w="44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54"/>
        </w:trPr>
        <w:tc>
          <w:tcPr>
            <w:tcW w:w="5480" w:type="dxa"/>
            <w:vAlign w:val="bottom"/>
            <w:tcBorders>
              <w:bottom w:val="single" w:sz="8" w:color="auto"/>
            </w:tcBorders>
            <w:gridSpan w:val="2"/>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5480" w:type="dxa"/>
            <w:vAlign w:val="bottom"/>
            <w:gridSpan w:val="2"/>
          </w:tcPr>
          <w:p>
            <w:pPr>
              <w:spacing w:after="0"/>
              <w:rPr>
                <w:sz w:val="20"/>
                <w:szCs w:val="20"/>
                <w:color w:val="auto"/>
              </w:rPr>
            </w:pPr>
            <w:r>
              <w:rPr>
                <w:rFonts w:ascii="Arial" w:cs="Arial" w:eastAsia="Arial" w:hAnsi="Arial"/>
                <w:sz w:val="13"/>
                <w:szCs w:val="13"/>
                <w:b w:val="1"/>
                <w:bCs w:val="1"/>
                <w:color w:val="auto"/>
              </w:rPr>
              <w:t>June 30, 2021</w:t>
            </w:r>
          </w:p>
        </w:tc>
        <w:tc>
          <w:tcPr>
            <w:tcW w:w="2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5460" w:type="dxa"/>
            <w:vAlign w:val="bottom"/>
          </w:tcPr>
          <w:p>
            <w:pPr>
              <w:spacing w:after="0"/>
              <w:rPr>
                <w:sz w:val="4"/>
                <w:szCs w:val="4"/>
                <w:color w:val="auto"/>
              </w:rPr>
            </w:pPr>
          </w:p>
        </w:tc>
        <w:tc>
          <w:tcPr>
            <w:tcW w:w="2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Due in one year or less</w:t>
            </w:r>
          </w:p>
        </w:tc>
        <w:tc>
          <w:tcPr>
            <w:tcW w:w="2940" w:type="dxa"/>
            <w:vAlign w:val="bottom"/>
            <w:gridSpan w:val="2"/>
            <w:shd w:val="clear" w:color="auto" w:fill="E5E5E5"/>
          </w:tcPr>
          <w:p>
            <w:pPr>
              <w:jc w:val="right"/>
              <w:ind w:right="340"/>
              <w:spacing w:after="0" w:line="189" w:lineRule="exact"/>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22,612</w:t>
            </w:r>
          </w:p>
        </w:tc>
        <w:tc>
          <w:tcPr>
            <w:tcW w:w="440" w:type="dxa"/>
            <w:vAlign w:val="bottom"/>
            <w:shd w:val="clear" w:color="auto" w:fill="E5E5E5"/>
          </w:tcPr>
          <w:p>
            <w:pPr>
              <w:jc w:val="right"/>
              <w:ind w:right="250"/>
              <w:spacing w:after="0" w:line="189" w:lineRule="exact"/>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22,676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460" w:type="dxa"/>
            <w:vAlign w:val="bottom"/>
          </w:tcPr>
          <w:p>
            <w:pPr>
              <w:spacing w:after="0" w:line="189" w:lineRule="exact"/>
              <w:rPr>
                <w:sz w:val="20"/>
                <w:szCs w:val="20"/>
                <w:color w:val="auto"/>
              </w:rPr>
            </w:pPr>
            <w:r>
              <w:rPr>
                <w:rFonts w:ascii="Arial" w:cs="Arial" w:eastAsia="Arial" w:hAnsi="Arial"/>
                <w:sz w:val="18"/>
                <w:szCs w:val="18"/>
                <w:color w:val="auto"/>
              </w:rPr>
              <w:t>Due after one year through five years</w:t>
            </w:r>
          </w:p>
        </w:tc>
        <w:tc>
          <w:tcPr>
            <w:tcW w:w="2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80" w:type="dxa"/>
            <w:vAlign w:val="bottom"/>
            <w:gridSpan w:val="2"/>
          </w:tcPr>
          <w:p>
            <w:pPr>
              <w:jc w:val="right"/>
              <w:ind w:right="260"/>
              <w:spacing w:after="0" w:line="189" w:lineRule="exact"/>
              <w:rPr>
                <w:sz w:val="20"/>
                <w:szCs w:val="20"/>
                <w:color w:val="auto"/>
              </w:rPr>
            </w:pPr>
            <w:r>
              <w:rPr>
                <w:rFonts w:ascii="Arial" w:cs="Arial" w:eastAsia="Arial" w:hAnsi="Arial"/>
                <w:sz w:val="18"/>
                <w:szCs w:val="18"/>
                <w:b w:val="1"/>
                <w:bCs w:val="1"/>
                <w:color w:val="auto"/>
              </w:rPr>
              <w:t>67,541</w:t>
            </w:r>
          </w:p>
        </w:tc>
        <w:tc>
          <w:tcPr>
            <w:tcW w:w="440" w:type="dxa"/>
            <w:vAlign w:val="bottom"/>
          </w:tcPr>
          <w:p>
            <w:pPr>
              <w:spacing w:after="0"/>
              <w:rPr>
                <w:sz w:val="16"/>
                <w:szCs w:val="16"/>
                <w:color w:val="auto"/>
              </w:rPr>
            </w:pPr>
          </w:p>
        </w:tc>
        <w:tc>
          <w:tcPr>
            <w:tcW w:w="110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70,315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Due after five years through 10 years</w:t>
            </w:r>
          </w:p>
        </w:tc>
        <w:tc>
          <w:tcPr>
            <w:tcW w:w="250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28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25,212</w:t>
            </w:r>
          </w:p>
        </w:tc>
        <w:tc>
          <w:tcPr>
            <w:tcW w:w="44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26,327</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Due after 10 years</w:t>
            </w:r>
          </w:p>
        </w:tc>
        <w:tc>
          <w:tcPr>
            <w:tcW w:w="2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2,601</w:t>
            </w:r>
          </w:p>
        </w:tc>
        <w:tc>
          <w:tcPr>
            <w:tcW w:w="44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2,690</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5460" w:type="dxa"/>
            <w:vAlign w:val="bottom"/>
            <w:tcBorders>
              <w:top w:val="single" w:sz="8" w:color="auto"/>
            </w:tcBorders>
          </w:tcPr>
          <w:p>
            <w:pPr>
              <w:spacing w:after="0"/>
              <w:rPr>
                <w:sz w:val="5"/>
                <w:szCs w:val="5"/>
                <w:color w:val="auto"/>
              </w:rPr>
            </w:pPr>
          </w:p>
        </w:tc>
        <w:tc>
          <w:tcPr>
            <w:tcW w:w="250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102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4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2940" w:type="dxa"/>
            <w:vAlign w:val="bottom"/>
            <w:gridSpan w:val="2"/>
            <w:shd w:val="clear" w:color="auto" w:fill="E5E5E5"/>
          </w:tcPr>
          <w:p>
            <w:pPr>
              <w:jc w:val="right"/>
              <w:ind w:right="340"/>
              <w:spacing w:after="0" w:line="189" w:lineRule="exact"/>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117,966</w:t>
            </w:r>
          </w:p>
        </w:tc>
        <w:tc>
          <w:tcPr>
            <w:tcW w:w="440" w:type="dxa"/>
            <w:vAlign w:val="bottom"/>
            <w:shd w:val="clear" w:color="auto" w:fill="E5E5E5"/>
          </w:tcPr>
          <w:p>
            <w:pPr>
              <w:jc w:val="right"/>
              <w:ind w:right="250"/>
              <w:spacing w:after="0" w:line="189" w:lineRule="exact"/>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122,008</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5460" w:type="dxa"/>
            <w:vAlign w:val="bottom"/>
          </w:tcPr>
          <w:p>
            <w:pPr>
              <w:spacing w:after="0"/>
              <w:rPr>
                <w:sz w:val="6"/>
                <w:szCs w:val="6"/>
                <w:color w:val="auto"/>
              </w:rPr>
            </w:pPr>
          </w:p>
        </w:tc>
        <w:tc>
          <w:tcPr>
            <w:tcW w:w="250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5 — DERIVATIVES</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use derivative instruments to manage risks related to foreign currencies, interest rates, equity prices, and credit; to enhance investment returns; and to facilitate portfolio diversification. Our objectives for holding derivatives include reducing, eliminating, and efficiently managing the economic impact of these exposures as effectively as possible. Our derivative programs include strategies that both qualify and do not qualify for hedge accounting treatment.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Currencies</w:t>
      </w:r>
    </w:p>
    <w:p>
      <w:pPr>
        <w:spacing w:after="0" w:line="17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Certain forecasted transactions, assets, and liabilities are exposed to foreign currency risk. We monitor our foreign currency exposures daily to maximize the economic effectiveness of our foreign currency hedge positions.</w:t>
      </w:r>
    </w:p>
    <w:p>
      <w:pPr>
        <w:spacing w:after="0" w:line="14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Foreign currency risks related to certain non-U.S. dollar-denominated investments are hedged using foreign exchange forward contracts that are designated as fair value hedging instruments. Foreign currency risks related to certain Euro-denominated debt are hedged using foreign exchange forward contracts that are designated as cash flow hedging instruments.</w:t>
      </w:r>
    </w:p>
    <w:p>
      <w:pPr>
        <w:spacing w:after="0" w:line="14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the past, option and forward contracts were used to hedge a portion of forecasted international revenue and were designated as cash flow hedging instruments. Principal currencies hedged included the Euro, Japanese yen, British pound, Canadian dollar, and Australian dollar.</w:t>
      </w:r>
    </w:p>
    <w:p>
      <w:pPr>
        <w:spacing w:after="0" w:line="14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Certain options and forwards not designated as hedging instruments are also used to manage the variability in foreign exchange rates on certain balance sheet amounts and to manage other foreign currency exposures.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7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Interest rate risks related to certain fixed-rate debt are hedged using interest rate swaps that are designated as fair value hedging instruments to effectively convert the fixed interest rates to floating interest rates.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73" w:name="page74"/>
    <w:bookmarkEnd w:id="73"/>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3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Securities held in our fixed-income portfolio are subject to different interest rate risks based on their maturities. We manage the average maturity of our fixed-income portfolio to achieve economic returns that correlate to certain broad-based fixed-income indices using exchange-traded option and futures contracts and over-the-counter swap and option contracts. These contracts are not designated as hedging instruments and are included in “Other contracts” in the tables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Securities held in our equity investments portfolio are subject to market price risk. At times, we may hold options, futures, and swap contracts.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These contracts are not designated as hedging instruments and are included in “Other contracts” in the tables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w:t>
      </w:r>
    </w:p>
    <w:p>
      <w:pPr>
        <w:spacing w:after="0" w:line="17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fixed-income portfolio is diversified and consists primarily of investment-grade securities. We use credit default swap contracts to manage credit exposures relative to broad-based indices and to facilitate portfolio diversification. These contracts are not designated as hedging instruments and are included in “Other contracts” in the tables below.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17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Certain of our counterparty agreements for derivative instruments contain provisions that require our issued and outstanding long-term unsecured debt to maintain an investment grade credit rating and require us to maintain minimum liquidity of $1.0 billion. To the extent we fail to meet these requirements, we will be required to post collateral, similar to the standard convention related to over-the-counter derivatives. As of June 30, 2021, our long-term unsecured debt rating was AAA, and cash investments were in excess of $1.0 billion. As a result, no collateral was required to be posted.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notional amounts of our outstanding derivative instruments measured in U.S. dollar equivalents: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880" w:type="dxa"/>
            <w:vAlign w:val="bottom"/>
          </w:tcPr>
          <w:p>
            <w:pPr>
              <w:jc w:val="right"/>
              <w:ind w:right="15"/>
              <w:spacing w:after="0"/>
              <w:rPr>
                <w:sz w:val="20"/>
                <w:szCs w:val="20"/>
                <w:color w:val="auto"/>
              </w:rPr>
            </w:pPr>
            <w:r>
              <w:rPr>
                <w:rFonts w:ascii="Arial" w:cs="Arial" w:eastAsia="Arial" w:hAnsi="Arial"/>
                <w:sz w:val="13"/>
                <w:szCs w:val="13"/>
                <w:b w:val="1"/>
                <w:bCs w:val="1"/>
                <w:color w:val="auto"/>
              </w:rPr>
              <w:t>June 30,</w:t>
            </w:r>
          </w:p>
        </w:tc>
        <w:tc>
          <w:tcPr>
            <w:tcW w:w="460" w:type="dxa"/>
            <w:vAlign w:val="bottom"/>
          </w:tcPr>
          <w:p>
            <w:pPr>
              <w:spacing w:after="0"/>
              <w:rPr>
                <w:sz w:val="13"/>
                <w:szCs w:val="13"/>
                <w:color w:val="auto"/>
              </w:rPr>
            </w:pPr>
          </w:p>
        </w:tc>
        <w:tc>
          <w:tcPr>
            <w:tcW w:w="880" w:type="dxa"/>
            <w:vAlign w:val="bottom"/>
            <w:gridSpan w:val="2"/>
          </w:tcPr>
          <w:p>
            <w:pPr>
              <w:ind w:left="24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78"/>
        </w:trPr>
        <w:tc>
          <w:tcPr>
            <w:tcW w:w="4320" w:type="dxa"/>
            <w:vAlign w:val="bottom"/>
            <w:gridSpan w:val="2"/>
          </w:tcPr>
          <w:p>
            <w:pPr>
              <w:spacing w:after="0"/>
              <w:rPr>
                <w:sz w:val="20"/>
                <w:szCs w:val="20"/>
                <w:color w:val="auto"/>
              </w:rPr>
            </w:pPr>
            <w:r>
              <w:rPr>
                <w:rFonts w:ascii="Arial" w:cs="Arial" w:eastAsia="Arial" w:hAnsi="Arial"/>
                <w:sz w:val="13"/>
                <w:szCs w:val="13"/>
                <w:b w:val="1"/>
                <w:bCs w:val="1"/>
                <w:color w:val="auto"/>
              </w:rPr>
              <w:t>(In millions)</w:t>
            </w:r>
          </w:p>
        </w:tc>
        <w:tc>
          <w:tcPr>
            <w:tcW w:w="4700" w:type="dxa"/>
            <w:vAlign w:val="bottom"/>
          </w:tcPr>
          <w:p>
            <w:pPr>
              <w:spacing w:after="0"/>
              <w:rPr>
                <w:sz w:val="15"/>
                <w:szCs w:val="15"/>
                <w:color w:val="auto"/>
              </w:rPr>
            </w:pPr>
          </w:p>
        </w:tc>
        <w:tc>
          <w:tcPr>
            <w:tcW w:w="880" w:type="dxa"/>
            <w:vAlign w:val="bottom"/>
          </w:tcPr>
          <w:p>
            <w:pPr>
              <w:jc w:val="right"/>
              <w:ind w:right="15"/>
              <w:spacing w:after="0"/>
              <w:rPr>
                <w:sz w:val="20"/>
                <w:szCs w:val="20"/>
                <w:color w:val="auto"/>
              </w:rPr>
            </w:pPr>
            <w:r>
              <w:rPr>
                <w:rFonts w:ascii="Arial" w:cs="Arial" w:eastAsia="Arial" w:hAnsi="Arial"/>
                <w:sz w:val="13"/>
                <w:szCs w:val="13"/>
                <w:b w:val="1"/>
                <w:bCs w:val="1"/>
                <w:color w:val="auto"/>
              </w:rPr>
              <w:t>2021</w:t>
            </w:r>
          </w:p>
        </w:tc>
        <w:tc>
          <w:tcPr>
            <w:tcW w:w="46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54"/>
        </w:trPr>
        <w:tc>
          <w:tcPr>
            <w:tcW w:w="4320" w:type="dxa"/>
            <w:vAlign w:val="bottom"/>
            <w:tcBorders>
              <w:bottom w:val="single" w:sz="8" w:color="auto"/>
            </w:tcBorders>
            <w:gridSpan w:val="2"/>
          </w:tcPr>
          <w:p>
            <w:pPr>
              <w:spacing w:after="0"/>
              <w:rPr>
                <w:sz w:val="4"/>
                <w:szCs w:val="4"/>
                <w:color w:val="auto"/>
              </w:rPr>
            </w:pPr>
          </w:p>
        </w:tc>
        <w:tc>
          <w:tcPr>
            <w:tcW w:w="47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4320" w:type="dxa"/>
            <w:vAlign w:val="bottom"/>
            <w:gridSpan w:val="2"/>
          </w:tcPr>
          <w:p>
            <w:pPr>
              <w:spacing w:after="0"/>
              <w:rPr>
                <w:sz w:val="20"/>
                <w:szCs w:val="20"/>
                <w:color w:val="auto"/>
              </w:rPr>
            </w:pPr>
            <w:r>
              <w:rPr>
                <w:rFonts w:ascii="Arial" w:cs="Arial" w:eastAsia="Arial" w:hAnsi="Arial"/>
                <w:sz w:val="13"/>
                <w:szCs w:val="13"/>
                <w:b w:val="1"/>
                <w:bCs w:val="1"/>
                <w:color w:val="auto"/>
              </w:rPr>
              <w:t>Designated as Hedging Instruments</w:t>
            </w:r>
          </w:p>
        </w:tc>
        <w:tc>
          <w:tcPr>
            <w:tcW w:w="4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4300" w:type="dxa"/>
            <w:vAlign w:val="bottom"/>
          </w:tcPr>
          <w:p>
            <w:pPr>
              <w:spacing w:after="0"/>
              <w:rPr>
                <w:sz w:val="4"/>
                <w:szCs w:val="4"/>
                <w:color w:val="auto"/>
              </w:rPr>
            </w:pPr>
          </w:p>
        </w:tc>
        <w:tc>
          <w:tcPr>
            <w:tcW w:w="4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3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 purchased</w:t>
            </w:r>
          </w:p>
        </w:tc>
        <w:tc>
          <w:tcPr>
            <w:tcW w:w="4700" w:type="dxa"/>
            <w:vAlign w:val="bottom"/>
            <w:shd w:val="clear" w:color="auto" w:fill="E5E5E5"/>
          </w:tcPr>
          <w:p>
            <w:pPr>
              <w:jc w:val="right"/>
              <w:ind w:right="159"/>
              <w:spacing w:after="0" w:line="189" w:lineRule="exact"/>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E5E5E5"/>
          </w:tcPr>
          <w:p>
            <w:pPr>
              <w:jc w:val="right"/>
              <w:ind w:right="15"/>
              <w:spacing w:after="0" w:line="189" w:lineRule="exact"/>
              <w:rPr>
                <w:sz w:val="20"/>
                <w:szCs w:val="20"/>
                <w:color w:val="auto"/>
              </w:rPr>
            </w:pPr>
            <w:r>
              <w:rPr>
                <w:rFonts w:ascii="Arial" w:cs="Arial" w:eastAsia="Arial" w:hAnsi="Arial"/>
                <w:sz w:val="18"/>
                <w:szCs w:val="18"/>
                <w:b w:val="1"/>
                <w:bCs w:val="1"/>
                <w:color w:val="auto"/>
              </w:rPr>
              <w:t>635</w:t>
            </w:r>
          </w:p>
        </w:tc>
        <w:tc>
          <w:tcPr>
            <w:tcW w:w="46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300" w:type="dxa"/>
            <w:vAlign w:val="bottom"/>
          </w:tcPr>
          <w:p>
            <w:pPr>
              <w:spacing w:after="0" w:line="189" w:lineRule="exact"/>
              <w:rPr>
                <w:sz w:val="20"/>
                <w:szCs w:val="20"/>
                <w:color w:val="auto"/>
              </w:rPr>
            </w:pPr>
            <w:r>
              <w:rPr>
                <w:rFonts w:ascii="Arial" w:cs="Arial" w:eastAsia="Arial" w:hAnsi="Arial"/>
                <w:sz w:val="18"/>
                <w:szCs w:val="18"/>
                <w:color w:val="auto"/>
              </w:rPr>
              <w:t>Foreign exchange contracts sold</w:t>
            </w:r>
          </w:p>
        </w:tc>
        <w:tc>
          <w:tcPr>
            <w:tcW w:w="4700" w:type="dxa"/>
            <w:vAlign w:val="bottom"/>
          </w:tcPr>
          <w:p>
            <w:pPr>
              <w:spacing w:after="0"/>
              <w:rPr>
                <w:sz w:val="16"/>
                <w:szCs w:val="16"/>
                <w:color w:val="auto"/>
              </w:rPr>
            </w:pPr>
          </w:p>
        </w:tc>
        <w:tc>
          <w:tcPr>
            <w:tcW w:w="880" w:type="dxa"/>
            <w:vAlign w:val="bottom"/>
          </w:tcPr>
          <w:p>
            <w:pPr>
              <w:jc w:val="right"/>
              <w:ind w:right="15"/>
              <w:spacing w:after="0" w:line="189" w:lineRule="exact"/>
              <w:rPr>
                <w:sz w:val="20"/>
                <w:szCs w:val="20"/>
                <w:color w:val="auto"/>
              </w:rPr>
            </w:pPr>
            <w:r>
              <w:rPr>
                <w:rFonts w:ascii="Arial" w:cs="Arial" w:eastAsia="Arial" w:hAnsi="Arial"/>
                <w:sz w:val="18"/>
                <w:szCs w:val="18"/>
                <w:b w:val="1"/>
                <w:bCs w:val="1"/>
                <w:color w:val="auto"/>
              </w:rPr>
              <w:t>6,081</w:t>
            </w:r>
          </w:p>
        </w:tc>
        <w:tc>
          <w:tcPr>
            <w:tcW w:w="46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6,754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3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Interest rate contracts purchased</w:t>
            </w:r>
          </w:p>
        </w:tc>
        <w:tc>
          <w:tcPr>
            <w:tcW w:w="4700" w:type="dxa"/>
            <w:vAlign w:val="bottom"/>
            <w:shd w:val="clear" w:color="auto" w:fill="E5E5E5"/>
          </w:tcPr>
          <w:p>
            <w:pPr>
              <w:spacing w:after="0"/>
              <w:rPr>
                <w:sz w:val="16"/>
                <w:szCs w:val="16"/>
                <w:color w:val="auto"/>
              </w:rPr>
            </w:pPr>
          </w:p>
        </w:tc>
        <w:tc>
          <w:tcPr>
            <w:tcW w:w="880" w:type="dxa"/>
            <w:vAlign w:val="bottom"/>
            <w:shd w:val="clear" w:color="auto" w:fill="E5E5E5"/>
          </w:tcPr>
          <w:p>
            <w:pPr>
              <w:jc w:val="right"/>
              <w:ind w:right="15"/>
              <w:spacing w:after="0" w:line="189" w:lineRule="exact"/>
              <w:rPr>
                <w:sz w:val="20"/>
                <w:szCs w:val="20"/>
                <w:color w:val="auto"/>
              </w:rPr>
            </w:pPr>
            <w:r>
              <w:rPr>
                <w:rFonts w:ascii="Arial" w:cs="Arial" w:eastAsia="Arial" w:hAnsi="Arial"/>
                <w:sz w:val="18"/>
                <w:szCs w:val="18"/>
                <w:b w:val="1"/>
                <w:bCs w:val="1"/>
                <w:color w:val="auto"/>
              </w:rPr>
              <w:t>1,247</w:t>
            </w:r>
          </w:p>
        </w:tc>
        <w:tc>
          <w:tcPr>
            <w:tcW w:w="4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28"/>
        </w:trPr>
        <w:tc>
          <w:tcPr>
            <w:tcW w:w="4320" w:type="dxa"/>
            <w:vAlign w:val="bottom"/>
            <w:gridSpan w:val="2"/>
          </w:tcPr>
          <w:p>
            <w:pPr>
              <w:spacing w:after="0"/>
              <w:rPr>
                <w:sz w:val="20"/>
                <w:szCs w:val="20"/>
                <w:color w:val="auto"/>
              </w:rPr>
            </w:pPr>
            <w:r>
              <w:rPr>
                <w:rFonts w:ascii="Arial" w:cs="Arial" w:eastAsia="Arial" w:hAnsi="Arial"/>
                <w:sz w:val="13"/>
                <w:szCs w:val="13"/>
                <w:b w:val="1"/>
                <w:bCs w:val="1"/>
                <w:color w:val="auto"/>
              </w:rPr>
              <w:t>Not Designated as Hedging Instruments</w:t>
            </w:r>
          </w:p>
        </w:tc>
        <w:tc>
          <w:tcPr>
            <w:tcW w:w="4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4300" w:type="dxa"/>
            <w:vAlign w:val="bottom"/>
          </w:tcPr>
          <w:p>
            <w:pPr>
              <w:spacing w:after="0"/>
              <w:rPr>
                <w:sz w:val="4"/>
                <w:szCs w:val="4"/>
                <w:color w:val="auto"/>
              </w:rPr>
            </w:pPr>
          </w:p>
        </w:tc>
        <w:tc>
          <w:tcPr>
            <w:tcW w:w="4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3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 purchased</w:t>
            </w:r>
          </w:p>
        </w:tc>
        <w:tc>
          <w:tcPr>
            <w:tcW w:w="4700" w:type="dxa"/>
            <w:vAlign w:val="bottom"/>
            <w:shd w:val="clear" w:color="auto" w:fill="E5E5E5"/>
          </w:tcPr>
          <w:p>
            <w:pPr>
              <w:spacing w:after="0"/>
              <w:rPr>
                <w:sz w:val="16"/>
                <w:szCs w:val="16"/>
                <w:color w:val="auto"/>
              </w:rPr>
            </w:pPr>
          </w:p>
        </w:tc>
        <w:tc>
          <w:tcPr>
            <w:tcW w:w="880" w:type="dxa"/>
            <w:vAlign w:val="bottom"/>
            <w:shd w:val="clear" w:color="auto" w:fill="E5E5E5"/>
          </w:tcPr>
          <w:p>
            <w:pPr>
              <w:jc w:val="right"/>
              <w:ind w:right="15"/>
              <w:spacing w:after="0" w:line="189" w:lineRule="exact"/>
              <w:rPr>
                <w:sz w:val="20"/>
                <w:szCs w:val="20"/>
                <w:color w:val="auto"/>
              </w:rPr>
            </w:pPr>
            <w:r>
              <w:rPr>
                <w:rFonts w:ascii="Arial" w:cs="Arial" w:eastAsia="Arial" w:hAnsi="Arial"/>
                <w:sz w:val="18"/>
                <w:szCs w:val="18"/>
                <w:b w:val="1"/>
                <w:bCs w:val="1"/>
                <w:color w:val="auto"/>
              </w:rPr>
              <w:t>14,223</w:t>
            </w:r>
          </w:p>
        </w:tc>
        <w:tc>
          <w:tcPr>
            <w:tcW w:w="4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11,896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300" w:type="dxa"/>
            <w:vAlign w:val="bottom"/>
          </w:tcPr>
          <w:p>
            <w:pPr>
              <w:spacing w:after="0" w:line="189" w:lineRule="exact"/>
              <w:rPr>
                <w:sz w:val="20"/>
                <w:szCs w:val="20"/>
                <w:color w:val="auto"/>
              </w:rPr>
            </w:pPr>
            <w:r>
              <w:rPr>
                <w:rFonts w:ascii="Arial" w:cs="Arial" w:eastAsia="Arial" w:hAnsi="Arial"/>
                <w:sz w:val="18"/>
                <w:szCs w:val="18"/>
                <w:color w:val="auto"/>
              </w:rPr>
              <w:t>Foreign exchange contracts sold</w:t>
            </w:r>
          </w:p>
        </w:tc>
        <w:tc>
          <w:tcPr>
            <w:tcW w:w="4700" w:type="dxa"/>
            <w:vAlign w:val="bottom"/>
          </w:tcPr>
          <w:p>
            <w:pPr>
              <w:spacing w:after="0"/>
              <w:rPr>
                <w:sz w:val="16"/>
                <w:szCs w:val="16"/>
                <w:color w:val="auto"/>
              </w:rPr>
            </w:pPr>
          </w:p>
        </w:tc>
        <w:tc>
          <w:tcPr>
            <w:tcW w:w="880" w:type="dxa"/>
            <w:vAlign w:val="bottom"/>
          </w:tcPr>
          <w:p>
            <w:pPr>
              <w:jc w:val="right"/>
              <w:ind w:right="15"/>
              <w:spacing w:after="0" w:line="189" w:lineRule="exact"/>
              <w:rPr>
                <w:sz w:val="20"/>
                <w:szCs w:val="20"/>
                <w:color w:val="auto"/>
              </w:rPr>
            </w:pPr>
            <w:r>
              <w:rPr>
                <w:rFonts w:ascii="Arial" w:cs="Arial" w:eastAsia="Arial" w:hAnsi="Arial"/>
                <w:sz w:val="18"/>
                <w:szCs w:val="18"/>
                <w:b w:val="1"/>
                <w:bCs w:val="1"/>
                <w:color w:val="auto"/>
              </w:rPr>
              <w:t>23,391</w:t>
            </w:r>
          </w:p>
        </w:tc>
        <w:tc>
          <w:tcPr>
            <w:tcW w:w="46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15,595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3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contracts purchased</w:t>
            </w:r>
          </w:p>
        </w:tc>
        <w:tc>
          <w:tcPr>
            <w:tcW w:w="4700" w:type="dxa"/>
            <w:vAlign w:val="bottom"/>
            <w:shd w:val="clear" w:color="auto" w:fill="E5E5E5"/>
          </w:tcPr>
          <w:p>
            <w:pPr>
              <w:spacing w:after="0"/>
              <w:rPr>
                <w:sz w:val="16"/>
                <w:szCs w:val="16"/>
                <w:color w:val="auto"/>
              </w:rPr>
            </w:pPr>
          </w:p>
        </w:tc>
        <w:tc>
          <w:tcPr>
            <w:tcW w:w="880" w:type="dxa"/>
            <w:vAlign w:val="bottom"/>
            <w:shd w:val="clear" w:color="auto" w:fill="E5E5E5"/>
          </w:tcPr>
          <w:p>
            <w:pPr>
              <w:jc w:val="right"/>
              <w:ind w:right="15"/>
              <w:spacing w:after="0" w:line="189" w:lineRule="exact"/>
              <w:rPr>
                <w:sz w:val="20"/>
                <w:szCs w:val="20"/>
                <w:color w:val="auto"/>
              </w:rPr>
            </w:pPr>
            <w:r>
              <w:rPr>
                <w:rFonts w:ascii="Arial" w:cs="Arial" w:eastAsia="Arial" w:hAnsi="Arial"/>
                <w:sz w:val="18"/>
                <w:szCs w:val="18"/>
                <w:b w:val="1"/>
                <w:bCs w:val="1"/>
                <w:color w:val="auto"/>
              </w:rPr>
              <w:t>2,456</w:t>
            </w:r>
          </w:p>
        </w:tc>
        <w:tc>
          <w:tcPr>
            <w:tcW w:w="4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1,844</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Other contracts sold</w:t>
            </w:r>
          </w:p>
        </w:tc>
        <w:tc>
          <w:tcPr>
            <w:tcW w:w="470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b w:val="1"/>
                <w:bCs w:val="1"/>
                <w:color w:val="auto"/>
              </w:rPr>
              <w:t>763</w:t>
            </w:r>
          </w:p>
        </w:tc>
        <w:tc>
          <w:tcPr>
            <w:tcW w:w="46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661"/>
        </w:trPr>
        <w:tc>
          <w:tcPr>
            <w:tcW w:w="20" w:type="dxa"/>
            <w:vAlign w:val="bottom"/>
          </w:tcPr>
          <w:p>
            <w:pPr>
              <w:spacing w:after="0"/>
              <w:rPr>
                <w:sz w:val="24"/>
                <w:szCs w:val="24"/>
                <w:color w:val="auto"/>
              </w:rPr>
            </w:pPr>
          </w:p>
        </w:tc>
        <w:tc>
          <w:tcPr>
            <w:tcW w:w="4300" w:type="dxa"/>
            <w:vAlign w:val="bottom"/>
            <w:tcBorders>
              <w:top w:val="single" w:sz="8" w:color="auto"/>
            </w:tcBorders>
          </w:tcPr>
          <w:p>
            <w:pPr>
              <w:spacing w:after="0"/>
              <w:rPr>
                <w:sz w:val="24"/>
                <w:szCs w:val="24"/>
                <w:color w:val="auto"/>
              </w:rPr>
            </w:pPr>
          </w:p>
        </w:tc>
        <w:tc>
          <w:tcPr>
            <w:tcW w:w="4700" w:type="dxa"/>
            <w:vAlign w:val="bottom"/>
            <w:tcBorders>
              <w:top w:val="single" w:sz="8" w:color="auto"/>
            </w:tcBorders>
          </w:tcPr>
          <w:p>
            <w:pPr>
              <w:jc w:val="right"/>
              <w:ind w:right="3239"/>
              <w:spacing w:after="0"/>
              <w:rPr>
                <w:sz w:val="20"/>
                <w:szCs w:val="20"/>
                <w:color w:val="auto"/>
              </w:rPr>
            </w:pPr>
            <w:r>
              <w:rPr>
                <w:rFonts w:ascii="Arial" w:cs="Arial" w:eastAsia="Arial" w:hAnsi="Arial"/>
                <w:sz w:val="14"/>
                <w:szCs w:val="14"/>
                <w:color w:val="auto"/>
              </w:rPr>
              <w:t>74</w:t>
            </w:r>
          </w:p>
        </w:tc>
        <w:tc>
          <w:tcPr>
            <w:tcW w:w="8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300" w:type="dxa"/>
            <w:vAlign w:val="bottom"/>
            <w:tcBorders>
              <w:bottom w:val="single" w:sz="8" w:color="9A9A9A"/>
            </w:tcBorders>
          </w:tcPr>
          <w:p>
            <w:pPr>
              <w:spacing w:after="0"/>
              <w:rPr>
                <w:sz w:val="8"/>
                <w:szCs w:val="8"/>
                <w:color w:val="auto"/>
              </w:rPr>
            </w:pPr>
          </w:p>
        </w:tc>
        <w:tc>
          <w:tcPr>
            <w:tcW w:w="470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74" w:name="page75"/>
    <w:bookmarkEnd w:id="74"/>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Values of Derivative Instruments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derivative instruments: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Derivative</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Derivative</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Derivative</w:t>
            </w:r>
          </w:p>
        </w:tc>
        <w:tc>
          <w:tcPr>
            <w:tcW w:w="28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Derivative</w:t>
            </w:r>
          </w:p>
        </w:tc>
        <w:tc>
          <w:tcPr>
            <w:tcW w:w="0" w:type="dxa"/>
            <w:vAlign w:val="bottom"/>
          </w:tcPr>
          <w:p>
            <w:pPr>
              <w:spacing w:after="0"/>
              <w:rPr>
                <w:sz w:val="1"/>
                <w:szCs w:val="1"/>
                <w:color w:val="auto"/>
              </w:rPr>
            </w:pPr>
          </w:p>
        </w:tc>
      </w:tr>
      <w:tr>
        <w:trPr>
          <w:trHeight w:val="178"/>
        </w:trPr>
        <w:tc>
          <w:tcPr>
            <w:tcW w:w="5220" w:type="dxa"/>
            <w:vAlign w:val="bottom"/>
            <w:gridSpan w:val="2"/>
          </w:tcPr>
          <w:p>
            <w:pPr>
              <w:spacing w:after="0"/>
              <w:rPr>
                <w:sz w:val="20"/>
                <w:szCs w:val="20"/>
                <w:color w:val="auto"/>
              </w:rPr>
            </w:pPr>
            <w:r>
              <w:rPr>
                <w:rFonts w:ascii="Arial" w:cs="Arial" w:eastAsia="Arial" w:hAnsi="Arial"/>
                <w:sz w:val="13"/>
                <w:szCs w:val="13"/>
                <w:b w:val="1"/>
                <w:bCs w:val="1"/>
                <w:color w:val="auto"/>
              </w:rPr>
              <w:t>(In millions)</w:t>
            </w: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Assets</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Liabilities</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Assets</w:t>
            </w:r>
          </w:p>
        </w:tc>
        <w:tc>
          <w:tcPr>
            <w:tcW w:w="28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Liabilities</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52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June 30,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220" w:type="dxa"/>
            <w:vAlign w:val="bottom"/>
            <w:gridSpan w:val="2"/>
          </w:tcPr>
          <w:p>
            <w:pPr>
              <w:spacing w:after="0"/>
              <w:rPr>
                <w:sz w:val="20"/>
                <w:szCs w:val="20"/>
                <w:color w:val="auto"/>
              </w:rPr>
            </w:pPr>
            <w:r>
              <w:rPr>
                <w:rFonts w:ascii="Arial" w:cs="Arial" w:eastAsia="Arial" w:hAnsi="Arial"/>
                <w:sz w:val="13"/>
                <w:szCs w:val="13"/>
                <w:b w:val="1"/>
                <w:bCs w:val="1"/>
                <w:color w:val="auto"/>
              </w:rPr>
              <w:t>Designated as Hedging Instruments</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5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2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w:t>
            </w:r>
          </w:p>
        </w:tc>
        <w:tc>
          <w:tcPr>
            <w:tcW w:w="106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76</w:t>
            </w:r>
          </w:p>
        </w:tc>
        <w:tc>
          <w:tcPr>
            <w:tcW w:w="38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(8)</w:t>
            </w:r>
          </w:p>
        </w:tc>
        <w:tc>
          <w:tcPr>
            <w:tcW w:w="38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44</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Interest rate contracts</w:t>
            </w: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93</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220" w:type="dxa"/>
            <w:vAlign w:val="bottom"/>
            <w:gridSpan w:val="2"/>
          </w:tcPr>
          <w:p>
            <w:pPr>
              <w:spacing w:after="0"/>
              <w:rPr>
                <w:sz w:val="20"/>
                <w:szCs w:val="20"/>
                <w:color w:val="auto"/>
              </w:rPr>
            </w:pPr>
            <w:r>
              <w:rPr>
                <w:rFonts w:ascii="Arial" w:cs="Arial" w:eastAsia="Arial" w:hAnsi="Arial"/>
                <w:sz w:val="13"/>
                <w:szCs w:val="13"/>
                <w:b w:val="1"/>
                <w:bCs w:val="1"/>
                <w:color w:val="auto"/>
              </w:rPr>
              <w:t>Not Designated as Hedging Instruments</w:t>
            </w: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5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2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w:t>
            </w:r>
          </w:p>
        </w:tc>
        <w:tc>
          <w:tcPr>
            <w:tcW w:w="76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227</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(291)</w:t>
            </w:r>
          </w:p>
        </w:tc>
        <w:tc>
          <w:tcPr>
            <w:tcW w:w="8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245</w:t>
            </w:r>
          </w:p>
        </w:tc>
        <w:tc>
          <w:tcPr>
            <w:tcW w:w="2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Other contracts</w:t>
            </w: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520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20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Gross amounts of derivatives</w:t>
            </w:r>
          </w:p>
        </w:tc>
        <w:tc>
          <w:tcPr>
            <w:tcW w:w="76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399</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(335)</w:t>
            </w:r>
          </w:p>
        </w:tc>
        <w:tc>
          <w:tcPr>
            <w:tcW w:w="8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400</w:t>
            </w:r>
          </w:p>
        </w:tc>
        <w:tc>
          <w:tcPr>
            <w:tcW w:w="2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200" w:type="dxa"/>
            <w:vAlign w:val="bottom"/>
          </w:tcPr>
          <w:p>
            <w:pPr>
              <w:spacing w:after="0" w:line="189" w:lineRule="exact"/>
              <w:rPr>
                <w:sz w:val="20"/>
                <w:szCs w:val="20"/>
                <w:color w:val="auto"/>
              </w:rPr>
            </w:pPr>
            <w:r>
              <w:rPr>
                <w:rFonts w:ascii="Arial" w:cs="Arial" w:eastAsia="Arial" w:hAnsi="Arial"/>
                <w:sz w:val="18"/>
                <w:szCs w:val="18"/>
                <w:color w:val="auto"/>
              </w:rPr>
              <w:t>Gross amounts of derivatives offset in the balance sheet</w:t>
            </w: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(141)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142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(154)</w:t>
            </w:r>
          </w:p>
        </w:tc>
        <w:tc>
          <w:tcPr>
            <w:tcW w:w="28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158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2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Cash collateral received</w:t>
            </w:r>
          </w:p>
        </w:tc>
        <w:tc>
          <w:tcPr>
            <w:tcW w:w="76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(42)</w:t>
            </w:r>
          </w:p>
        </w:tc>
        <w:tc>
          <w:tcPr>
            <w:tcW w:w="8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2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5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gridSpan w:val="2"/>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00" w:type="dxa"/>
            <w:vAlign w:val="bottom"/>
          </w:tcPr>
          <w:p>
            <w:pPr>
              <w:ind w:left="200"/>
              <w:spacing w:after="0"/>
              <w:rPr>
                <w:sz w:val="20"/>
                <w:szCs w:val="20"/>
                <w:color w:val="auto"/>
              </w:rPr>
            </w:pPr>
            <w:r>
              <w:rPr>
                <w:rFonts w:ascii="Arial" w:cs="Arial" w:eastAsia="Arial" w:hAnsi="Arial"/>
                <w:sz w:val="18"/>
                <w:szCs w:val="18"/>
                <w:color w:val="auto"/>
              </w:rPr>
              <w:t>Net amounts of derivatives</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258</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(235)</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246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61"/>
        </w:trPr>
        <w:tc>
          <w:tcPr>
            <w:tcW w:w="52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Reported as</w:t>
            </w:r>
          </w:p>
        </w:tc>
        <w:tc>
          <w:tcPr>
            <w:tcW w:w="76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5220" w:type="dxa"/>
            <w:vAlign w:val="bottom"/>
            <w:gridSpan w:val="2"/>
            <w:vMerge w:val="continue"/>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5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2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Short-term investments</w:t>
            </w:r>
          </w:p>
        </w:tc>
        <w:tc>
          <w:tcPr>
            <w:tcW w:w="106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78</w:t>
            </w:r>
          </w:p>
        </w:tc>
        <w:tc>
          <w:tcPr>
            <w:tcW w:w="38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0</w:t>
            </w:r>
          </w:p>
        </w:tc>
        <w:tc>
          <w:tcPr>
            <w:tcW w:w="38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35</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200" w:type="dxa"/>
            <w:vAlign w:val="bottom"/>
          </w:tcPr>
          <w:p>
            <w:pPr>
              <w:spacing w:after="0" w:line="189" w:lineRule="exact"/>
              <w:rPr>
                <w:sz w:val="20"/>
                <w:szCs w:val="20"/>
                <w:color w:val="auto"/>
              </w:rPr>
            </w:pPr>
            <w:r>
              <w:rPr>
                <w:rFonts w:ascii="Arial" w:cs="Arial" w:eastAsia="Arial" w:hAnsi="Arial"/>
                <w:sz w:val="18"/>
                <w:szCs w:val="18"/>
                <w:color w:val="auto"/>
              </w:rPr>
              <w:t>Other current assets</w:t>
            </w: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137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199</w:t>
            </w:r>
          </w:p>
        </w:tc>
        <w:tc>
          <w:tcPr>
            <w:tcW w:w="28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2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long-term assets</w:t>
            </w:r>
          </w:p>
        </w:tc>
        <w:tc>
          <w:tcPr>
            <w:tcW w:w="76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43</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0</w:t>
            </w:r>
          </w:p>
        </w:tc>
        <w:tc>
          <w:tcPr>
            <w:tcW w:w="8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12</w:t>
            </w:r>
          </w:p>
        </w:tc>
        <w:tc>
          <w:tcPr>
            <w:tcW w:w="28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200" w:type="dxa"/>
            <w:vAlign w:val="bottom"/>
          </w:tcPr>
          <w:p>
            <w:pPr>
              <w:spacing w:after="0" w:line="189" w:lineRule="exact"/>
              <w:rPr>
                <w:sz w:val="20"/>
                <w:szCs w:val="20"/>
                <w:color w:val="auto"/>
              </w:rPr>
            </w:pPr>
            <w:r>
              <w:rPr>
                <w:rFonts w:ascii="Arial" w:cs="Arial" w:eastAsia="Arial" w:hAnsi="Arial"/>
                <w:sz w:val="18"/>
                <w:szCs w:val="18"/>
                <w:color w:val="auto"/>
              </w:rPr>
              <w:t>Other current liabilities</w:t>
            </w: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(182)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280" w:type="dxa"/>
            <w:vAlign w:val="bottom"/>
          </w:tcPr>
          <w:p>
            <w:pPr>
              <w:spacing w:after="0"/>
              <w:rPr>
                <w:sz w:val="16"/>
                <w:szCs w:val="16"/>
                <w:color w:val="auto"/>
              </w:rPr>
            </w:pPr>
          </w:p>
        </w:tc>
        <w:tc>
          <w:tcPr>
            <w:tcW w:w="94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2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long-term liabilities</w:t>
            </w:r>
          </w:p>
        </w:tc>
        <w:tc>
          <w:tcPr>
            <w:tcW w:w="76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(53)</w:t>
            </w:r>
          </w:p>
        </w:tc>
        <w:tc>
          <w:tcPr>
            <w:tcW w:w="8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2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5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gridSpan w:val="2"/>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52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258</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(235)</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246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Gross derivative assets and liabilities subject to legally enforceable master netting agreements for which we have elected to offset were $395 million and $335 million, respectively, as of June 30, 2021, and $399 million and $399 million, respectively, as of June 30, 2020.</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fair value of our derivatives instruments on a gross basis: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540" w:type="dxa"/>
            <w:vAlign w:val="bottom"/>
            <w:gridSpan w:val="2"/>
          </w:tcPr>
          <w:p>
            <w:pPr>
              <w:spacing w:after="0"/>
              <w:rPr>
                <w:sz w:val="20"/>
                <w:szCs w:val="20"/>
                <w:color w:val="auto"/>
              </w:rPr>
            </w:pPr>
            <w:r>
              <w:rPr>
                <w:rFonts w:ascii="Arial" w:cs="Arial" w:eastAsia="Arial" w:hAnsi="Arial"/>
                <w:sz w:val="13"/>
                <w:szCs w:val="13"/>
                <w:b w:val="1"/>
                <w:bCs w:val="1"/>
                <w:color w:val="auto"/>
              </w:rPr>
              <w:t>(In millions)</w:t>
            </w:r>
          </w:p>
        </w:tc>
        <w:tc>
          <w:tcPr>
            <w:tcW w:w="2840" w:type="dxa"/>
            <w:vAlign w:val="bottom"/>
          </w:tcPr>
          <w:p>
            <w:pPr>
              <w:spacing w:after="0"/>
              <w:rPr>
                <w:sz w:val="15"/>
                <w:szCs w:val="15"/>
                <w:color w:val="auto"/>
              </w:rPr>
            </w:pPr>
          </w:p>
        </w:tc>
        <w:tc>
          <w:tcPr>
            <w:tcW w:w="860" w:type="dxa"/>
            <w:vAlign w:val="bottom"/>
          </w:tcPr>
          <w:p>
            <w:pPr>
              <w:jc w:val="right"/>
              <w:ind w:right="35"/>
              <w:spacing w:after="0"/>
              <w:rPr>
                <w:sz w:val="20"/>
                <w:szCs w:val="20"/>
                <w:color w:val="auto"/>
              </w:rPr>
            </w:pPr>
            <w:r>
              <w:rPr>
                <w:rFonts w:ascii="Arial" w:cs="Arial" w:eastAsia="Arial" w:hAnsi="Arial"/>
                <w:sz w:val="13"/>
                <w:szCs w:val="13"/>
                <w:b w:val="1"/>
                <w:bCs w:val="1"/>
                <w:color w:val="auto"/>
              </w:rPr>
              <w:t>Level 1</w:t>
            </w:r>
          </w:p>
        </w:tc>
        <w:tc>
          <w:tcPr>
            <w:tcW w:w="480" w:type="dxa"/>
            <w:vAlign w:val="bottom"/>
          </w:tcPr>
          <w:p>
            <w:pPr>
              <w:spacing w:after="0"/>
              <w:rPr>
                <w:sz w:val="15"/>
                <w:szCs w:val="15"/>
                <w:color w:val="auto"/>
              </w:rPr>
            </w:pPr>
          </w:p>
        </w:tc>
        <w:tc>
          <w:tcPr>
            <w:tcW w:w="880" w:type="dxa"/>
            <w:vAlign w:val="bottom"/>
          </w:tcPr>
          <w:p>
            <w:pPr>
              <w:jc w:val="right"/>
              <w:ind w:right="35"/>
              <w:spacing w:after="0"/>
              <w:rPr>
                <w:sz w:val="20"/>
                <w:szCs w:val="20"/>
                <w:color w:val="auto"/>
              </w:rPr>
            </w:pPr>
            <w:r>
              <w:rPr>
                <w:rFonts w:ascii="Arial" w:cs="Arial" w:eastAsia="Arial" w:hAnsi="Arial"/>
                <w:sz w:val="13"/>
                <w:szCs w:val="13"/>
                <w:b w:val="1"/>
                <w:bCs w:val="1"/>
                <w:color w:val="auto"/>
              </w:rPr>
              <w:t>Level 2</w:t>
            </w:r>
          </w:p>
        </w:tc>
        <w:tc>
          <w:tcPr>
            <w:tcW w:w="460" w:type="dxa"/>
            <w:vAlign w:val="bottom"/>
          </w:tcPr>
          <w:p>
            <w:pPr>
              <w:spacing w:after="0"/>
              <w:rPr>
                <w:sz w:val="15"/>
                <w:szCs w:val="15"/>
                <w:color w:val="auto"/>
              </w:rPr>
            </w:pPr>
          </w:p>
        </w:tc>
        <w:tc>
          <w:tcPr>
            <w:tcW w:w="840" w:type="dxa"/>
            <w:vAlign w:val="bottom"/>
          </w:tcPr>
          <w:p>
            <w:pPr>
              <w:jc w:val="right"/>
              <w:ind w:right="15"/>
              <w:spacing w:after="0"/>
              <w:rPr>
                <w:sz w:val="20"/>
                <w:szCs w:val="20"/>
                <w:color w:val="auto"/>
              </w:rPr>
            </w:pPr>
            <w:r>
              <w:rPr>
                <w:rFonts w:ascii="Arial" w:cs="Arial" w:eastAsia="Arial" w:hAnsi="Arial"/>
                <w:sz w:val="13"/>
                <w:szCs w:val="13"/>
                <w:b w:val="1"/>
                <w:bCs w:val="1"/>
                <w:color w:val="auto"/>
              </w:rPr>
              <w:t>Level 3</w:t>
            </w:r>
          </w:p>
        </w:tc>
        <w:tc>
          <w:tcPr>
            <w:tcW w:w="54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54"/>
        </w:trPr>
        <w:tc>
          <w:tcPr>
            <w:tcW w:w="3540" w:type="dxa"/>
            <w:vAlign w:val="bottom"/>
            <w:tcBorders>
              <w:bottom w:val="single" w:sz="8" w:color="auto"/>
            </w:tcBorders>
            <w:gridSpan w:val="2"/>
          </w:tcPr>
          <w:p>
            <w:pPr>
              <w:spacing w:after="0"/>
              <w:rPr>
                <w:sz w:val="4"/>
                <w:szCs w:val="4"/>
                <w:color w:val="auto"/>
              </w:rPr>
            </w:pPr>
          </w:p>
        </w:tc>
        <w:tc>
          <w:tcPr>
            <w:tcW w:w="28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3540" w:type="dxa"/>
            <w:vAlign w:val="bottom"/>
            <w:gridSpan w:val="2"/>
          </w:tcPr>
          <w:p>
            <w:pPr>
              <w:spacing w:after="0"/>
              <w:rPr>
                <w:sz w:val="20"/>
                <w:szCs w:val="20"/>
                <w:color w:val="auto"/>
              </w:rPr>
            </w:pPr>
            <w:r>
              <w:rPr>
                <w:rFonts w:ascii="Arial" w:cs="Arial" w:eastAsia="Arial" w:hAnsi="Arial"/>
                <w:sz w:val="13"/>
                <w:szCs w:val="13"/>
                <w:b w:val="1"/>
                <w:bCs w:val="1"/>
                <w:color w:val="auto"/>
              </w:rPr>
              <w:t>June 30, 2021</w:t>
            </w:r>
          </w:p>
        </w:tc>
        <w:tc>
          <w:tcPr>
            <w:tcW w:w="28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3520" w:type="dxa"/>
            <w:vAlign w:val="bottom"/>
          </w:tcPr>
          <w:p>
            <w:pPr>
              <w:spacing w:after="0"/>
              <w:rPr>
                <w:sz w:val="4"/>
                <w:szCs w:val="4"/>
                <w:color w:val="auto"/>
              </w:rPr>
            </w:pPr>
          </w:p>
        </w:tc>
        <w:tc>
          <w:tcPr>
            <w:tcW w:w="28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80" w:type="dxa"/>
            <w:vAlign w:val="bottom"/>
          </w:tcPr>
          <w:p>
            <w:pPr>
              <w:spacing w:after="0"/>
              <w:rPr>
                <w:sz w:val="4"/>
                <w:szCs w:val="4"/>
                <w:color w:val="auto"/>
              </w:rPr>
            </w:pPr>
          </w:p>
        </w:tc>
        <w:tc>
          <w:tcPr>
            <w:tcW w:w="8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4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35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Derivative assets</w:t>
            </w:r>
          </w:p>
        </w:tc>
        <w:tc>
          <w:tcPr>
            <w:tcW w:w="2840" w:type="dxa"/>
            <w:vAlign w:val="bottom"/>
            <w:shd w:val="clear" w:color="auto" w:fill="E5E5E5"/>
          </w:tcPr>
          <w:p>
            <w:pPr>
              <w:jc w:val="right"/>
              <w:ind w:right="219"/>
              <w:spacing w:after="0" w:line="189" w:lineRule="exact"/>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5E5E5"/>
          </w:tcPr>
          <w:p>
            <w:pPr>
              <w:jc w:val="right"/>
              <w:ind w:right="35"/>
              <w:spacing w:after="0" w:line="189" w:lineRule="exact"/>
              <w:rPr>
                <w:sz w:val="20"/>
                <w:szCs w:val="20"/>
                <w:color w:val="auto"/>
              </w:rPr>
            </w:pPr>
            <w:r>
              <w:rPr>
                <w:rFonts w:ascii="Arial" w:cs="Arial" w:eastAsia="Arial" w:hAnsi="Arial"/>
                <w:sz w:val="18"/>
                <w:szCs w:val="18"/>
                <w:b w:val="1"/>
                <w:bCs w:val="1"/>
                <w:color w:val="auto"/>
              </w:rPr>
              <w:t>0</w:t>
            </w:r>
          </w:p>
        </w:tc>
        <w:tc>
          <w:tcPr>
            <w:tcW w:w="480" w:type="dxa"/>
            <w:vAlign w:val="bottom"/>
            <w:shd w:val="clear" w:color="auto" w:fill="E5E5E5"/>
          </w:tcPr>
          <w:p>
            <w:pPr>
              <w:jc w:val="right"/>
              <w:ind w:right="190"/>
              <w:spacing w:after="0" w:line="189" w:lineRule="exact"/>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E5E5E5"/>
          </w:tcPr>
          <w:p>
            <w:pPr>
              <w:jc w:val="right"/>
              <w:ind w:right="55"/>
              <w:spacing w:after="0" w:line="189" w:lineRule="exact"/>
              <w:rPr>
                <w:sz w:val="20"/>
                <w:szCs w:val="20"/>
                <w:color w:val="auto"/>
              </w:rPr>
            </w:pPr>
            <w:r>
              <w:rPr>
                <w:rFonts w:ascii="Arial" w:cs="Arial" w:eastAsia="Arial" w:hAnsi="Arial"/>
                <w:sz w:val="18"/>
                <w:szCs w:val="18"/>
                <w:b w:val="1"/>
                <w:bCs w:val="1"/>
                <w:color w:val="auto"/>
              </w:rPr>
              <w:t>396</w:t>
            </w:r>
          </w:p>
        </w:tc>
        <w:tc>
          <w:tcPr>
            <w:tcW w:w="460" w:type="dxa"/>
            <w:vAlign w:val="bottom"/>
            <w:shd w:val="clear" w:color="auto" w:fill="E5E5E5"/>
          </w:tcPr>
          <w:p>
            <w:pPr>
              <w:jc w:val="right"/>
              <w:ind w:right="190"/>
              <w:spacing w:after="0" w:line="189"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ind w:right="15"/>
              <w:spacing w:after="0" w:line="189" w:lineRule="exact"/>
              <w:rPr>
                <w:sz w:val="20"/>
                <w:szCs w:val="20"/>
                <w:color w:val="auto"/>
              </w:rPr>
            </w:pPr>
            <w:r>
              <w:rPr>
                <w:rFonts w:ascii="Arial" w:cs="Arial" w:eastAsia="Arial" w:hAnsi="Arial"/>
                <w:sz w:val="18"/>
                <w:szCs w:val="18"/>
                <w:b w:val="1"/>
                <w:bCs w:val="1"/>
                <w:color w:val="auto"/>
              </w:rPr>
              <w:t>3</w:t>
            </w:r>
          </w:p>
        </w:tc>
        <w:tc>
          <w:tcPr>
            <w:tcW w:w="540" w:type="dxa"/>
            <w:vAlign w:val="bottom"/>
            <w:shd w:val="clear" w:color="auto" w:fill="E5E5E5"/>
          </w:tcPr>
          <w:p>
            <w:pPr>
              <w:jc w:val="right"/>
              <w:ind w:right="230"/>
              <w:spacing w:after="0" w:line="189" w:lineRule="exact"/>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399</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Derivative liabilities</w:t>
            </w:r>
          </w:p>
        </w:tc>
        <w:tc>
          <w:tcPr>
            <w:tcW w:w="2840" w:type="dxa"/>
            <w:vAlign w:val="bottom"/>
          </w:tcPr>
          <w:p>
            <w:pPr>
              <w:spacing w:after="0"/>
              <w:rPr>
                <w:sz w:val="20"/>
                <w:szCs w:val="20"/>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b w:val="1"/>
                <w:bCs w:val="1"/>
                <w:color w:val="auto"/>
              </w:rPr>
              <w:t>0</w:t>
            </w: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(335)</w:t>
            </w:r>
          </w:p>
        </w:tc>
        <w:tc>
          <w:tcPr>
            <w:tcW w:w="460" w:type="dxa"/>
            <w:vAlign w:val="bottom"/>
          </w:tcPr>
          <w:p>
            <w:pPr>
              <w:spacing w:after="0"/>
              <w:rPr>
                <w:sz w:val="20"/>
                <w:szCs w:val="20"/>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b w:val="1"/>
                <w:bCs w:val="1"/>
                <w:color w:val="auto"/>
              </w:rPr>
              <w:t>0</w:t>
            </w:r>
          </w:p>
        </w:tc>
        <w:tc>
          <w:tcPr>
            <w:tcW w:w="54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(335)</w:t>
            </w:r>
          </w:p>
        </w:tc>
        <w:tc>
          <w:tcPr>
            <w:tcW w:w="0" w:type="dxa"/>
            <w:vAlign w:val="bottom"/>
          </w:tcPr>
          <w:p>
            <w:pPr>
              <w:spacing w:after="0"/>
              <w:rPr>
                <w:sz w:val="1"/>
                <w:szCs w:val="1"/>
                <w:color w:val="auto"/>
              </w:rPr>
            </w:pPr>
          </w:p>
        </w:tc>
      </w:tr>
      <w:tr>
        <w:trPr>
          <w:trHeight w:val="178"/>
        </w:trPr>
        <w:tc>
          <w:tcPr>
            <w:tcW w:w="3540" w:type="dxa"/>
            <w:vAlign w:val="bottom"/>
            <w:gridSpan w:val="2"/>
          </w:tcPr>
          <w:p>
            <w:pPr>
              <w:spacing w:after="0"/>
              <w:rPr>
                <w:sz w:val="20"/>
                <w:szCs w:val="20"/>
                <w:color w:val="auto"/>
              </w:rPr>
            </w:pPr>
            <w:r>
              <w:rPr>
                <w:rFonts w:ascii="Arial" w:cs="Arial" w:eastAsia="Arial" w:hAnsi="Arial"/>
                <w:sz w:val="13"/>
                <w:szCs w:val="13"/>
                <w:b w:val="1"/>
                <w:bCs w:val="1"/>
                <w:color w:val="auto"/>
              </w:rPr>
              <w:t>June 30, 2020</w:t>
            </w:r>
          </w:p>
        </w:tc>
        <w:tc>
          <w:tcPr>
            <w:tcW w:w="2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3520" w:type="dxa"/>
            <w:vAlign w:val="bottom"/>
          </w:tcPr>
          <w:p>
            <w:pPr>
              <w:spacing w:after="0"/>
              <w:rPr>
                <w:sz w:val="4"/>
                <w:szCs w:val="4"/>
                <w:color w:val="auto"/>
              </w:rPr>
            </w:pPr>
          </w:p>
        </w:tc>
        <w:tc>
          <w:tcPr>
            <w:tcW w:w="28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80" w:type="dxa"/>
            <w:vAlign w:val="bottom"/>
          </w:tcPr>
          <w:p>
            <w:pPr>
              <w:spacing w:after="0"/>
              <w:rPr>
                <w:sz w:val="4"/>
                <w:szCs w:val="4"/>
                <w:color w:val="auto"/>
              </w:rPr>
            </w:pPr>
          </w:p>
        </w:tc>
        <w:tc>
          <w:tcPr>
            <w:tcW w:w="8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4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35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Derivative assets</w:t>
            </w:r>
          </w:p>
        </w:tc>
        <w:tc>
          <w:tcPr>
            <w:tcW w:w="2840" w:type="dxa"/>
            <w:vAlign w:val="bottom"/>
            <w:shd w:val="clear" w:color="auto" w:fill="E5E5E5"/>
          </w:tcPr>
          <w:p>
            <w:pPr>
              <w:spacing w:after="0"/>
              <w:rPr>
                <w:sz w:val="16"/>
                <w:szCs w:val="16"/>
                <w:color w:val="auto"/>
              </w:rPr>
            </w:pPr>
          </w:p>
        </w:tc>
        <w:tc>
          <w:tcPr>
            <w:tcW w:w="860" w:type="dxa"/>
            <w:vAlign w:val="bottom"/>
            <w:shd w:val="clear" w:color="auto" w:fill="E5E5E5"/>
          </w:tcPr>
          <w:p>
            <w:pPr>
              <w:jc w:val="right"/>
              <w:ind w:right="35"/>
              <w:spacing w:after="0" w:line="189" w:lineRule="exact"/>
              <w:rPr>
                <w:sz w:val="20"/>
                <w:szCs w:val="20"/>
                <w:color w:val="auto"/>
              </w:rPr>
            </w:pPr>
            <w:r>
              <w:rPr>
                <w:rFonts w:ascii="Arial" w:cs="Arial" w:eastAsia="Arial" w:hAnsi="Arial"/>
                <w:sz w:val="18"/>
                <w:szCs w:val="18"/>
                <w:color w:val="auto"/>
              </w:rPr>
              <w:t>1</w:t>
            </w:r>
          </w:p>
        </w:tc>
        <w:tc>
          <w:tcPr>
            <w:tcW w:w="480" w:type="dxa"/>
            <w:vAlign w:val="bottom"/>
            <w:shd w:val="clear" w:color="auto" w:fill="E5E5E5"/>
          </w:tcPr>
          <w:p>
            <w:pPr>
              <w:spacing w:after="0"/>
              <w:rPr>
                <w:sz w:val="16"/>
                <w:szCs w:val="16"/>
                <w:color w:val="auto"/>
              </w:rPr>
            </w:pPr>
          </w:p>
        </w:tc>
        <w:tc>
          <w:tcPr>
            <w:tcW w:w="880" w:type="dxa"/>
            <w:vAlign w:val="bottom"/>
            <w:shd w:val="clear" w:color="auto" w:fill="E5E5E5"/>
          </w:tcPr>
          <w:p>
            <w:pPr>
              <w:jc w:val="right"/>
              <w:ind w:right="55"/>
              <w:spacing w:after="0" w:line="189" w:lineRule="exact"/>
              <w:rPr>
                <w:sz w:val="20"/>
                <w:szCs w:val="20"/>
                <w:color w:val="auto"/>
              </w:rPr>
            </w:pPr>
            <w:r>
              <w:rPr>
                <w:rFonts w:ascii="Arial" w:cs="Arial" w:eastAsia="Arial" w:hAnsi="Arial"/>
                <w:sz w:val="18"/>
                <w:szCs w:val="18"/>
                <w:color w:val="auto"/>
              </w:rPr>
              <w:t>398</w:t>
            </w:r>
          </w:p>
        </w:tc>
        <w:tc>
          <w:tcPr>
            <w:tcW w:w="460" w:type="dxa"/>
            <w:vAlign w:val="bottom"/>
            <w:shd w:val="clear" w:color="auto" w:fill="E5E5E5"/>
          </w:tcPr>
          <w:p>
            <w:pPr>
              <w:spacing w:after="0"/>
              <w:rPr>
                <w:sz w:val="16"/>
                <w:szCs w:val="16"/>
                <w:color w:val="auto"/>
              </w:rPr>
            </w:pPr>
          </w:p>
        </w:tc>
        <w:tc>
          <w:tcPr>
            <w:tcW w:w="840" w:type="dxa"/>
            <w:vAlign w:val="bottom"/>
            <w:shd w:val="clear" w:color="auto" w:fill="E5E5E5"/>
          </w:tcPr>
          <w:p>
            <w:pPr>
              <w:jc w:val="right"/>
              <w:ind w:right="15"/>
              <w:spacing w:after="0" w:line="189" w:lineRule="exact"/>
              <w:rPr>
                <w:sz w:val="20"/>
                <w:szCs w:val="20"/>
                <w:color w:val="auto"/>
              </w:rPr>
            </w:pPr>
            <w:r>
              <w:rPr>
                <w:rFonts w:ascii="Arial" w:cs="Arial" w:eastAsia="Arial" w:hAnsi="Arial"/>
                <w:sz w:val="18"/>
                <w:szCs w:val="18"/>
                <w:color w:val="auto"/>
              </w:rPr>
              <w:t>1</w:t>
            </w:r>
          </w:p>
        </w:tc>
        <w:tc>
          <w:tcPr>
            <w:tcW w:w="54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Derivative liabilities</w:t>
            </w:r>
          </w:p>
        </w:tc>
        <w:tc>
          <w:tcPr>
            <w:tcW w:w="2840" w:type="dxa"/>
            <w:vAlign w:val="bottom"/>
          </w:tcPr>
          <w:p>
            <w:pPr>
              <w:spacing w:after="0"/>
              <w:rPr>
                <w:sz w:val="18"/>
                <w:szCs w:val="18"/>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(399)</w:t>
            </w:r>
          </w:p>
        </w:tc>
        <w:tc>
          <w:tcPr>
            <w:tcW w:w="460" w:type="dxa"/>
            <w:vAlign w:val="bottom"/>
          </w:tcPr>
          <w:p>
            <w:pPr>
              <w:spacing w:after="0"/>
              <w:rPr>
                <w:sz w:val="18"/>
                <w:szCs w:val="18"/>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52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87"/>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840" w:type="dxa"/>
            <w:vAlign w:val="bottom"/>
          </w:tcPr>
          <w:p>
            <w:pPr>
              <w:jc w:val="right"/>
              <w:ind w:right="599"/>
              <w:spacing w:after="0"/>
              <w:rPr>
                <w:sz w:val="20"/>
                <w:szCs w:val="20"/>
                <w:color w:val="auto"/>
              </w:rPr>
            </w:pPr>
            <w:r>
              <w:rPr>
                <w:rFonts w:ascii="Arial" w:cs="Arial" w:eastAsia="Arial" w:hAnsi="Arial"/>
                <w:sz w:val="14"/>
                <w:szCs w:val="14"/>
                <w:color w:val="auto"/>
              </w:rPr>
              <w:t>75</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520" w:type="dxa"/>
            <w:vAlign w:val="bottom"/>
            <w:tcBorders>
              <w:bottom w:val="single" w:sz="8" w:color="9A9A9A"/>
            </w:tcBorders>
          </w:tcPr>
          <w:p>
            <w:pPr>
              <w:spacing w:after="0"/>
              <w:rPr>
                <w:sz w:val="8"/>
                <w:szCs w:val="8"/>
                <w:color w:val="auto"/>
              </w:rPr>
            </w:pPr>
          </w:p>
        </w:tc>
        <w:tc>
          <w:tcPr>
            <w:tcW w:w="284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75" w:name="page76"/>
    <w:bookmarkEnd w:id="75"/>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Gains (losses) on derivative instruments recognized in our consolidated income statements were as follows:</w:t>
      </w:r>
    </w:p>
    <w:p>
      <w:pPr>
        <w:spacing w:after="0" w:line="2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04723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47230" cy="8255"/>
                    </a:xfrm>
                    <a:prstGeom prst="rect">
                      <a:avLst/>
                    </a:prstGeom>
                    <a:noFill/>
                  </pic:spPr>
                </pic:pic>
              </a:graphicData>
            </a:graphic>
          </wp:anchor>
        </w:drawing>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20" w:type="dxa"/>
            <w:vAlign w:val="bottom"/>
            <w:gridSpan w:val="2"/>
          </w:tcPr>
          <w:p>
            <w:pPr>
              <w:spacing w:after="0"/>
              <w:rPr>
                <w:sz w:val="20"/>
                <w:szCs w:val="20"/>
                <w:color w:val="auto"/>
              </w:rPr>
            </w:pPr>
            <w:r>
              <w:rPr>
                <w:rFonts w:ascii="Arial" w:cs="Arial" w:eastAsia="Arial" w:hAnsi="Arial"/>
                <w:sz w:val="13"/>
                <w:szCs w:val="13"/>
                <w:b w:val="1"/>
                <w:bCs w:val="1"/>
                <w:color w:val="auto"/>
              </w:rPr>
              <w:t>Year Ended June 30,</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ind w:right="58"/>
              <w:spacing w:after="0"/>
              <w:rPr>
                <w:sz w:val="20"/>
                <w:szCs w:val="20"/>
                <w:color w:val="auto"/>
              </w:rPr>
            </w:pPr>
            <w:r>
              <w:rPr>
                <w:rFonts w:ascii="Arial" w:cs="Arial" w:eastAsia="Arial" w:hAnsi="Arial"/>
                <w:sz w:val="13"/>
                <w:szCs w:val="13"/>
                <w:b w:val="1"/>
                <w:bCs w:val="1"/>
                <w:color w:val="auto"/>
              </w:rPr>
              <w:t>2021</w:t>
            </w: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ind w:right="58"/>
              <w:spacing w:after="0"/>
              <w:rPr>
                <w:sz w:val="20"/>
                <w:szCs w:val="20"/>
                <w:color w:val="auto"/>
              </w:rPr>
            </w:pPr>
            <w:r>
              <w:rPr>
                <w:rFonts w:ascii="Arial" w:cs="Arial" w:eastAsia="Arial" w:hAnsi="Arial"/>
                <w:sz w:val="13"/>
                <w:szCs w:val="13"/>
                <w:b w:val="1"/>
                <w:bCs w:val="1"/>
                <w:color w:val="auto"/>
              </w:rPr>
              <w:t>2020</w:t>
            </w: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jc w:val="right"/>
              <w:ind w:right="58"/>
              <w:spacing w:after="0"/>
              <w:rPr>
                <w:sz w:val="20"/>
                <w:szCs w:val="20"/>
                <w:color w:val="auto"/>
              </w:rPr>
            </w:pPr>
            <w:r>
              <w:rPr>
                <w:rFonts w:ascii="Arial" w:cs="Arial" w:eastAsia="Arial" w:hAnsi="Arial"/>
                <w:sz w:val="13"/>
                <w:szCs w:val="13"/>
                <w:b w:val="1"/>
                <w:bCs w:val="1"/>
                <w:color w:val="auto"/>
              </w:rPr>
              <w:t>Other</w:t>
            </w: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58"/>
              <w:spacing w:after="0"/>
              <w:rPr>
                <w:sz w:val="20"/>
                <w:szCs w:val="20"/>
                <w:color w:val="auto"/>
              </w:rPr>
            </w:pPr>
            <w:r>
              <w:rPr>
                <w:rFonts w:ascii="Arial" w:cs="Arial" w:eastAsia="Arial" w:hAnsi="Arial"/>
                <w:sz w:val="13"/>
                <w:szCs w:val="13"/>
                <w:b w:val="1"/>
                <w:bCs w:val="1"/>
                <w:color w:val="auto"/>
              </w:rPr>
              <w:t>Other</w:t>
            </w: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Other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jc w:val="right"/>
              <w:ind w:right="58"/>
              <w:spacing w:after="0" w:line="148" w:lineRule="exact"/>
              <w:rPr>
                <w:sz w:val="20"/>
                <w:szCs w:val="20"/>
                <w:color w:val="auto"/>
              </w:rPr>
            </w:pPr>
            <w:r>
              <w:rPr>
                <w:rFonts w:ascii="Arial" w:cs="Arial" w:eastAsia="Arial" w:hAnsi="Arial"/>
                <w:sz w:val="13"/>
                <w:szCs w:val="13"/>
                <w:b w:val="1"/>
                <w:bCs w:val="1"/>
                <w:color w:val="auto"/>
              </w:rPr>
              <w:t>Income</w:t>
            </w: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jc w:val="right"/>
              <w:ind w:right="58"/>
              <w:spacing w:after="0" w:line="148" w:lineRule="exact"/>
              <w:rPr>
                <w:sz w:val="20"/>
                <w:szCs w:val="20"/>
                <w:color w:val="auto"/>
              </w:rPr>
            </w:pPr>
            <w:r>
              <w:rPr>
                <w:rFonts w:ascii="Arial" w:cs="Arial" w:eastAsia="Arial" w:hAnsi="Arial"/>
                <w:sz w:val="13"/>
                <w:szCs w:val="13"/>
                <w:b w:val="1"/>
                <w:bCs w:val="1"/>
                <w:color w:val="auto"/>
              </w:rPr>
              <w:t>Income</w:t>
            </w: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gridSpan w:val="2"/>
          </w:tcPr>
          <w:p>
            <w:pPr>
              <w:jc w:val="right"/>
              <w:ind w:right="140"/>
              <w:spacing w:after="0" w:line="148" w:lineRule="exact"/>
              <w:rPr>
                <w:sz w:val="20"/>
                <w:szCs w:val="20"/>
                <w:color w:val="auto"/>
              </w:rPr>
            </w:pPr>
            <w:r>
              <w:rPr>
                <w:rFonts w:ascii="Arial" w:cs="Arial" w:eastAsia="Arial" w:hAnsi="Arial"/>
                <w:sz w:val="13"/>
                <w:szCs w:val="13"/>
                <w:b w:val="1"/>
                <w:bCs w:val="1"/>
                <w:color w:val="auto"/>
              </w:rPr>
              <w:t>Income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jc w:val="right"/>
              <w:ind w:right="58"/>
              <w:spacing w:after="0" w:line="148" w:lineRule="exact"/>
              <w:rPr>
                <w:sz w:val="20"/>
                <w:szCs w:val="20"/>
                <w:color w:val="auto"/>
              </w:rPr>
            </w:pPr>
            <w:r>
              <w:rPr>
                <w:rFonts w:ascii="Arial" w:cs="Arial" w:eastAsia="Arial" w:hAnsi="Arial"/>
                <w:sz w:val="13"/>
                <w:szCs w:val="13"/>
                <w:b w:val="1"/>
                <w:bCs w:val="1"/>
                <w:color w:val="auto"/>
              </w:rPr>
              <w:t>(Expense),</w:t>
            </w: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jc w:val="right"/>
              <w:ind w:right="58"/>
              <w:spacing w:after="0" w:line="148" w:lineRule="exact"/>
              <w:rPr>
                <w:sz w:val="20"/>
                <w:szCs w:val="20"/>
                <w:color w:val="auto"/>
              </w:rPr>
            </w:pPr>
            <w:r>
              <w:rPr>
                <w:rFonts w:ascii="Arial" w:cs="Arial" w:eastAsia="Arial" w:hAnsi="Arial"/>
                <w:sz w:val="13"/>
                <w:szCs w:val="13"/>
                <w:b w:val="1"/>
                <w:bCs w:val="1"/>
                <w:color w:val="auto"/>
              </w:rPr>
              <w:t>(Expense),</w:t>
            </w: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gridSpan w:val="2"/>
          </w:tcPr>
          <w:p>
            <w:pPr>
              <w:jc w:val="right"/>
              <w:ind w:right="140"/>
              <w:spacing w:after="0" w:line="148" w:lineRule="exact"/>
              <w:rPr>
                <w:sz w:val="20"/>
                <w:szCs w:val="20"/>
                <w:color w:val="auto"/>
              </w:rPr>
            </w:pPr>
            <w:r>
              <w:rPr>
                <w:rFonts w:ascii="Arial" w:cs="Arial" w:eastAsia="Arial" w:hAnsi="Arial"/>
                <w:sz w:val="13"/>
                <w:szCs w:val="13"/>
                <w:b w:val="1"/>
                <w:bCs w:val="1"/>
                <w:color w:val="auto"/>
              </w:rPr>
              <w:t>(Expense),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b w:val="1"/>
                <w:bCs w:val="1"/>
                <w:color w:val="auto"/>
              </w:rPr>
              <w:t>Revenue</w:t>
            </w:r>
          </w:p>
        </w:tc>
        <w:tc>
          <w:tcPr>
            <w:tcW w:w="340" w:type="dxa"/>
            <w:vAlign w:val="bottom"/>
          </w:tcPr>
          <w:p>
            <w:pPr>
              <w:spacing w:after="0"/>
              <w:rPr>
                <w:sz w:val="15"/>
                <w:szCs w:val="15"/>
                <w:color w:val="auto"/>
              </w:rPr>
            </w:pPr>
          </w:p>
        </w:tc>
        <w:tc>
          <w:tcPr>
            <w:tcW w:w="960" w:type="dxa"/>
            <w:vAlign w:val="bottom"/>
          </w:tcPr>
          <w:p>
            <w:pPr>
              <w:jc w:val="right"/>
              <w:ind w:right="58"/>
              <w:spacing w:after="0"/>
              <w:rPr>
                <w:sz w:val="20"/>
                <w:szCs w:val="20"/>
                <w:color w:val="auto"/>
              </w:rPr>
            </w:pPr>
            <w:r>
              <w:rPr>
                <w:rFonts w:ascii="Arial" w:cs="Arial" w:eastAsia="Arial" w:hAnsi="Arial"/>
                <w:sz w:val="13"/>
                <w:szCs w:val="13"/>
                <w:b w:val="1"/>
                <w:bCs w:val="1"/>
                <w:color w:val="auto"/>
              </w:rPr>
              <w:t>Net</w:t>
            </w:r>
          </w:p>
        </w:tc>
        <w:tc>
          <w:tcPr>
            <w:tcW w:w="38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b w:val="1"/>
                <w:bCs w:val="1"/>
                <w:color w:val="auto"/>
              </w:rPr>
              <w:t>Revenue</w:t>
            </w:r>
          </w:p>
        </w:tc>
        <w:tc>
          <w:tcPr>
            <w:tcW w:w="360" w:type="dxa"/>
            <w:vAlign w:val="bottom"/>
          </w:tcPr>
          <w:p>
            <w:pPr>
              <w:spacing w:after="0"/>
              <w:rPr>
                <w:sz w:val="15"/>
                <w:szCs w:val="15"/>
                <w:color w:val="auto"/>
              </w:rPr>
            </w:pPr>
          </w:p>
        </w:tc>
        <w:tc>
          <w:tcPr>
            <w:tcW w:w="960" w:type="dxa"/>
            <w:vAlign w:val="bottom"/>
          </w:tcPr>
          <w:p>
            <w:pPr>
              <w:jc w:val="right"/>
              <w:ind w:right="58"/>
              <w:spacing w:after="0"/>
              <w:rPr>
                <w:sz w:val="20"/>
                <w:szCs w:val="20"/>
                <w:color w:val="auto"/>
              </w:rPr>
            </w:pPr>
            <w:r>
              <w:rPr>
                <w:rFonts w:ascii="Arial" w:cs="Arial" w:eastAsia="Arial" w:hAnsi="Arial"/>
                <w:sz w:val="13"/>
                <w:szCs w:val="13"/>
                <w:b w:val="1"/>
                <w:bCs w:val="1"/>
                <w:color w:val="auto"/>
              </w:rPr>
              <w:t>Net</w:t>
            </w:r>
          </w:p>
        </w:tc>
        <w:tc>
          <w:tcPr>
            <w:tcW w:w="400" w:type="dxa"/>
            <w:vAlign w:val="bottom"/>
          </w:tcPr>
          <w:p>
            <w:pPr>
              <w:spacing w:after="0"/>
              <w:rPr>
                <w:sz w:val="15"/>
                <w:szCs w:val="15"/>
                <w:color w:val="auto"/>
              </w:rPr>
            </w:pPr>
          </w:p>
        </w:tc>
        <w:tc>
          <w:tcPr>
            <w:tcW w:w="920" w:type="dxa"/>
            <w:vAlign w:val="bottom"/>
          </w:tcPr>
          <w:p>
            <w:pPr>
              <w:jc w:val="right"/>
              <w:ind w:right="53"/>
              <w:spacing w:after="0"/>
              <w:rPr>
                <w:sz w:val="20"/>
                <w:szCs w:val="20"/>
                <w:color w:val="auto"/>
              </w:rPr>
            </w:pPr>
            <w:r>
              <w:rPr>
                <w:rFonts w:ascii="Arial" w:cs="Arial" w:eastAsia="Arial" w:hAnsi="Arial"/>
                <w:sz w:val="13"/>
                <w:szCs w:val="13"/>
                <w:b w:val="1"/>
                <w:bCs w:val="1"/>
                <w:color w:val="auto"/>
              </w:rPr>
              <w:t>Revenue</w:t>
            </w:r>
          </w:p>
        </w:tc>
        <w:tc>
          <w:tcPr>
            <w:tcW w:w="34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5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3520" w:type="dxa"/>
            <w:vAlign w:val="bottom"/>
            <w:gridSpan w:val="2"/>
          </w:tcPr>
          <w:p>
            <w:pPr>
              <w:spacing w:after="0"/>
              <w:rPr>
                <w:sz w:val="20"/>
                <w:szCs w:val="20"/>
                <w:color w:val="auto"/>
              </w:rPr>
            </w:pPr>
            <w:r>
              <w:rPr>
                <w:rFonts w:ascii="Arial" w:cs="Arial" w:eastAsia="Arial" w:hAnsi="Arial"/>
                <w:sz w:val="13"/>
                <w:szCs w:val="13"/>
                <w:b w:val="1"/>
                <w:bCs w:val="1"/>
                <w:color w:val="auto"/>
              </w:rPr>
              <w:t>Designated as Fair Value Hedging Instruments</w:t>
            </w: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3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0" w:type="dxa"/>
            <w:vAlign w:val="bottom"/>
          </w:tcPr>
          <w:p>
            <w:pPr>
              <w:spacing w:after="0"/>
              <w:rPr>
                <w:sz w:val="4"/>
                <w:szCs w:val="4"/>
                <w:color w:val="auto"/>
              </w:rPr>
            </w:pPr>
          </w:p>
        </w:tc>
        <w:tc>
          <w:tcPr>
            <w:tcW w:w="9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35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w:t>
            </w:r>
          </w:p>
        </w:tc>
        <w:tc>
          <w:tcPr>
            <w:tcW w:w="36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96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96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00" w:type="dxa"/>
            <w:vAlign w:val="bottom"/>
          </w:tcPr>
          <w:p>
            <w:pPr>
              <w:ind w:left="200"/>
              <w:spacing w:after="0" w:line="189" w:lineRule="exact"/>
              <w:rPr>
                <w:sz w:val="20"/>
                <w:szCs w:val="20"/>
                <w:color w:val="auto"/>
              </w:rPr>
            </w:pPr>
            <w:r>
              <w:rPr>
                <w:rFonts w:ascii="Arial" w:cs="Arial" w:eastAsia="Arial" w:hAnsi="Arial"/>
                <w:sz w:val="18"/>
                <w:szCs w:val="18"/>
                <w:color w:val="auto"/>
              </w:rPr>
              <w:t>Derivatives</w:t>
            </w:r>
          </w:p>
        </w:tc>
        <w:tc>
          <w:tcPr>
            <w:tcW w:w="360" w:type="dxa"/>
            <w:vAlign w:val="bottom"/>
          </w:tcPr>
          <w:p>
            <w:pPr>
              <w:jc w:val="right"/>
              <w:ind w:right="110"/>
              <w:spacing w:after="0" w:line="189" w:lineRule="exact"/>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3"/>
              <w:spacing w:after="0" w:line="189" w:lineRule="exact"/>
              <w:rPr>
                <w:sz w:val="20"/>
                <w:szCs w:val="20"/>
                <w:color w:val="auto"/>
              </w:rPr>
            </w:pPr>
            <w:r>
              <w:rPr>
                <w:rFonts w:ascii="Arial" w:cs="Arial" w:eastAsia="Arial" w:hAnsi="Arial"/>
                <w:sz w:val="18"/>
                <w:szCs w:val="18"/>
                <w:b w:val="1"/>
                <w:bCs w:val="1"/>
                <w:color w:val="auto"/>
              </w:rPr>
              <w:t>0</w:t>
            </w:r>
          </w:p>
        </w:tc>
        <w:tc>
          <w:tcPr>
            <w:tcW w:w="340" w:type="dxa"/>
            <w:vAlign w:val="bottom"/>
          </w:tcPr>
          <w:p>
            <w:pPr>
              <w:jc w:val="right"/>
              <w:ind w:right="30"/>
              <w:spacing w:after="0" w:line="189" w:lineRule="exact"/>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58"/>
              <w:spacing w:after="0" w:line="189" w:lineRule="exact"/>
              <w:rPr>
                <w:sz w:val="20"/>
                <w:szCs w:val="20"/>
                <w:color w:val="auto"/>
              </w:rPr>
            </w:pPr>
            <w:r>
              <w:rPr>
                <w:rFonts w:ascii="Arial" w:cs="Arial" w:eastAsia="Arial" w:hAnsi="Arial"/>
                <w:sz w:val="18"/>
                <w:szCs w:val="18"/>
                <w:b w:val="1"/>
                <w:bCs w:val="1"/>
                <w:color w:val="auto"/>
              </w:rPr>
              <w:t>193</w:t>
            </w:r>
          </w:p>
        </w:tc>
        <w:tc>
          <w:tcPr>
            <w:tcW w:w="380" w:type="dxa"/>
            <w:vAlign w:val="bottom"/>
          </w:tcPr>
          <w:p>
            <w:pPr>
              <w:jc w:val="right"/>
              <w:ind w:right="110"/>
              <w:spacing w:after="0" w:line="189"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line="189" w:lineRule="exact"/>
              <w:rPr>
                <w:sz w:val="20"/>
                <w:szCs w:val="20"/>
                <w:color w:val="auto"/>
              </w:rPr>
            </w:pPr>
            <w:r>
              <w:rPr>
                <w:rFonts w:ascii="Arial" w:cs="Arial" w:eastAsia="Arial" w:hAnsi="Arial"/>
                <w:sz w:val="18"/>
                <w:szCs w:val="18"/>
                <w:color w:val="auto"/>
              </w:rPr>
              <w:t>0</w:t>
            </w:r>
          </w:p>
        </w:tc>
        <w:tc>
          <w:tcPr>
            <w:tcW w:w="360" w:type="dxa"/>
            <w:vAlign w:val="bottom"/>
          </w:tcPr>
          <w:p>
            <w:pPr>
              <w:jc w:val="right"/>
              <w:ind w:right="50"/>
              <w:spacing w:after="0" w:line="189"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58"/>
              <w:spacing w:after="0" w:line="189" w:lineRule="exact"/>
              <w:rPr>
                <w:sz w:val="20"/>
                <w:szCs w:val="20"/>
                <w:color w:val="auto"/>
              </w:rPr>
            </w:pPr>
            <w:r>
              <w:rPr>
                <w:rFonts w:ascii="Arial" w:cs="Arial" w:eastAsia="Arial" w:hAnsi="Arial"/>
                <w:sz w:val="18"/>
                <w:szCs w:val="18"/>
                <w:color w:val="auto"/>
              </w:rPr>
              <w:t>1</w:t>
            </w:r>
          </w:p>
        </w:tc>
        <w:tc>
          <w:tcPr>
            <w:tcW w:w="400" w:type="dxa"/>
            <w:vAlign w:val="bottom"/>
          </w:tcPr>
          <w:p>
            <w:pPr>
              <w:jc w:val="right"/>
              <w:ind w:right="130"/>
              <w:spacing w:after="0" w:line="189"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53"/>
              <w:spacing w:after="0" w:line="189" w:lineRule="exact"/>
              <w:rPr>
                <w:sz w:val="20"/>
                <w:szCs w:val="20"/>
                <w:color w:val="auto"/>
              </w:rPr>
            </w:pPr>
            <w:r>
              <w:rPr>
                <w:rFonts w:ascii="Arial" w:cs="Arial" w:eastAsia="Arial" w:hAnsi="Arial"/>
                <w:sz w:val="18"/>
                <w:szCs w:val="18"/>
                <w:color w:val="auto"/>
              </w:rPr>
              <w:t>0</w:t>
            </w:r>
          </w:p>
        </w:tc>
        <w:tc>
          <w:tcPr>
            <w:tcW w:w="340" w:type="dxa"/>
            <w:vAlign w:val="bottom"/>
          </w:tcPr>
          <w:p>
            <w:pPr>
              <w:jc w:val="right"/>
              <w:ind w:right="70"/>
              <w:spacing w:after="0" w:line="189"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0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Hedged items</w:t>
            </w:r>
          </w:p>
        </w:tc>
        <w:tc>
          <w:tcPr>
            <w:tcW w:w="360" w:type="dxa"/>
            <w:vAlign w:val="bottom"/>
            <w:shd w:val="clear" w:color="auto" w:fill="E5E5E5"/>
          </w:tcPr>
          <w:p>
            <w:pPr>
              <w:spacing w:after="0"/>
              <w:rPr>
                <w:sz w:val="16"/>
                <w:szCs w:val="16"/>
                <w:color w:val="auto"/>
              </w:rPr>
            </w:pPr>
          </w:p>
        </w:tc>
        <w:tc>
          <w:tcPr>
            <w:tcW w:w="860" w:type="dxa"/>
            <w:vAlign w:val="bottom"/>
            <w:shd w:val="clear" w:color="auto" w:fill="E5E5E5"/>
          </w:tcPr>
          <w:p>
            <w:pPr>
              <w:jc w:val="right"/>
              <w:ind w:right="13"/>
              <w:spacing w:after="0" w:line="189" w:lineRule="exact"/>
              <w:rPr>
                <w:sz w:val="20"/>
                <w:szCs w:val="20"/>
                <w:color w:val="auto"/>
              </w:rPr>
            </w:pPr>
            <w:r>
              <w:rPr>
                <w:rFonts w:ascii="Arial" w:cs="Arial" w:eastAsia="Arial" w:hAnsi="Arial"/>
                <w:sz w:val="18"/>
                <w:szCs w:val="18"/>
                <w:b w:val="1"/>
                <w:bCs w:val="1"/>
                <w:color w:val="auto"/>
              </w:rPr>
              <w:t>0</w:t>
            </w:r>
          </w:p>
        </w:tc>
        <w:tc>
          <w:tcPr>
            <w:tcW w:w="340" w:type="dxa"/>
            <w:vAlign w:val="bottom"/>
            <w:shd w:val="clear" w:color="auto" w:fill="E5E5E5"/>
          </w:tcPr>
          <w:p>
            <w:pPr>
              <w:spacing w:after="0"/>
              <w:rPr>
                <w:sz w:val="16"/>
                <w:szCs w:val="16"/>
                <w:color w:val="auto"/>
              </w:rPr>
            </w:pPr>
          </w:p>
        </w:tc>
        <w:tc>
          <w:tcPr>
            <w:tcW w:w="9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(188)</w:t>
            </w:r>
          </w:p>
        </w:tc>
        <w:tc>
          <w:tcPr>
            <w:tcW w:w="380" w:type="dxa"/>
            <w:vAlign w:val="bottom"/>
            <w:shd w:val="clear" w:color="auto" w:fill="E5E5E5"/>
          </w:tcPr>
          <w:p>
            <w:pPr>
              <w:spacing w:after="0"/>
              <w:rPr>
                <w:sz w:val="16"/>
                <w:szCs w:val="16"/>
                <w:color w:val="auto"/>
              </w:rPr>
            </w:pPr>
          </w:p>
        </w:tc>
        <w:tc>
          <w:tcPr>
            <w:tcW w:w="860" w:type="dxa"/>
            <w:vAlign w:val="bottom"/>
            <w:shd w:val="clear" w:color="auto" w:fill="E5E5E5"/>
          </w:tcPr>
          <w:p>
            <w:pPr>
              <w:jc w:val="right"/>
              <w:ind w:right="13"/>
              <w:spacing w:after="0" w:line="189" w:lineRule="exact"/>
              <w:rPr>
                <w:sz w:val="20"/>
                <w:szCs w:val="20"/>
                <w:color w:val="auto"/>
              </w:rPr>
            </w:pPr>
            <w:r>
              <w:rPr>
                <w:rFonts w:ascii="Arial" w:cs="Arial" w:eastAsia="Arial" w:hAnsi="Arial"/>
                <w:sz w:val="18"/>
                <w:szCs w:val="18"/>
                <w:color w:val="auto"/>
              </w:rPr>
              <w:t>0</w:t>
            </w:r>
          </w:p>
        </w:tc>
        <w:tc>
          <w:tcPr>
            <w:tcW w:w="360" w:type="dxa"/>
            <w:vAlign w:val="bottom"/>
            <w:shd w:val="clear" w:color="auto" w:fill="E5E5E5"/>
          </w:tcPr>
          <w:p>
            <w:pPr>
              <w:spacing w:after="0"/>
              <w:rPr>
                <w:sz w:val="16"/>
                <w:szCs w:val="16"/>
                <w:color w:val="auto"/>
              </w:rPr>
            </w:pPr>
          </w:p>
        </w:tc>
        <w:tc>
          <w:tcPr>
            <w:tcW w:w="960" w:type="dxa"/>
            <w:vAlign w:val="bottom"/>
            <w:shd w:val="clear" w:color="auto" w:fill="E5E5E5"/>
          </w:tcPr>
          <w:p>
            <w:pPr>
              <w:jc w:val="right"/>
              <w:ind w:right="58"/>
              <w:spacing w:after="0" w:line="189" w:lineRule="exact"/>
              <w:rPr>
                <w:sz w:val="20"/>
                <w:szCs w:val="20"/>
                <w:color w:val="auto"/>
              </w:rPr>
            </w:pPr>
            <w:r>
              <w:rPr>
                <w:rFonts w:ascii="Arial" w:cs="Arial" w:eastAsia="Arial" w:hAnsi="Arial"/>
                <w:sz w:val="18"/>
                <w:szCs w:val="18"/>
                <w:color w:val="auto"/>
              </w:rPr>
              <w:t>3</w:t>
            </w:r>
          </w:p>
        </w:tc>
        <w:tc>
          <w:tcPr>
            <w:tcW w:w="400" w:type="dxa"/>
            <w:vAlign w:val="bottom"/>
            <w:shd w:val="clear" w:color="auto" w:fill="E5E5E5"/>
          </w:tcPr>
          <w:p>
            <w:pPr>
              <w:spacing w:after="0"/>
              <w:rPr>
                <w:sz w:val="16"/>
                <w:szCs w:val="16"/>
                <w:color w:val="auto"/>
              </w:rPr>
            </w:pPr>
          </w:p>
        </w:tc>
        <w:tc>
          <w:tcPr>
            <w:tcW w:w="920" w:type="dxa"/>
            <w:vAlign w:val="bottom"/>
            <w:shd w:val="clear" w:color="auto" w:fill="E5E5E5"/>
          </w:tcPr>
          <w:p>
            <w:pPr>
              <w:jc w:val="right"/>
              <w:ind w:right="53"/>
              <w:spacing w:after="0" w:line="189" w:lineRule="exact"/>
              <w:rPr>
                <w:sz w:val="20"/>
                <w:szCs w:val="20"/>
                <w:color w:val="auto"/>
              </w:rPr>
            </w:pPr>
            <w:r>
              <w:rPr>
                <w:rFonts w:ascii="Arial" w:cs="Arial" w:eastAsia="Arial" w:hAnsi="Arial"/>
                <w:sz w:val="18"/>
                <w:szCs w:val="18"/>
                <w:color w:val="auto"/>
              </w:rPr>
              <w:t>0</w:t>
            </w:r>
          </w:p>
        </w:tc>
        <w:tc>
          <w:tcPr>
            <w:tcW w:w="34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130</w:t>
            </w:r>
          </w:p>
        </w:tc>
        <w:tc>
          <w:tcPr>
            <w:tcW w:w="14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00" w:type="dxa"/>
            <w:vAlign w:val="bottom"/>
          </w:tcPr>
          <w:p>
            <w:pPr>
              <w:ind w:left="200"/>
              <w:spacing w:after="0" w:line="189" w:lineRule="exact"/>
              <w:rPr>
                <w:sz w:val="20"/>
                <w:szCs w:val="20"/>
                <w:color w:val="auto"/>
              </w:rPr>
            </w:pPr>
            <w:r>
              <w:rPr>
                <w:rFonts w:ascii="Arial" w:cs="Arial" w:eastAsia="Arial" w:hAnsi="Arial"/>
                <w:sz w:val="18"/>
                <w:szCs w:val="18"/>
                <w:color w:val="auto"/>
              </w:rPr>
              <w:t>Excluded from effectiveness assessment</w:t>
            </w:r>
          </w:p>
        </w:tc>
        <w:tc>
          <w:tcPr>
            <w:tcW w:w="360" w:type="dxa"/>
            <w:vAlign w:val="bottom"/>
          </w:tcPr>
          <w:p>
            <w:pPr>
              <w:spacing w:after="0"/>
              <w:rPr>
                <w:sz w:val="16"/>
                <w:szCs w:val="16"/>
                <w:color w:val="auto"/>
              </w:rPr>
            </w:pPr>
          </w:p>
        </w:tc>
        <w:tc>
          <w:tcPr>
            <w:tcW w:w="860" w:type="dxa"/>
            <w:vAlign w:val="bottom"/>
          </w:tcPr>
          <w:p>
            <w:pPr>
              <w:jc w:val="right"/>
              <w:ind w:right="13"/>
              <w:spacing w:after="0" w:line="189" w:lineRule="exact"/>
              <w:rPr>
                <w:sz w:val="20"/>
                <w:szCs w:val="20"/>
                <w:color w:val="auto"/>
              </w:rPr>
            </w:pPr>
            <w:r>
              <w:rPr>
                <w:rFonts w:ascii="Arial" w:cs="Arial" w:eastAsia="Arial" w:hAnsi="Arial"/>
                <w:sz w:val="18"/>
                <w:szCs w:val="18"/>
                <w:b w:val="1"/>
                <w:bCs w:val="1"/>
                <w:color w:val="auto"/>
              </w:rPr>
              <w:t>0</w:t>
            </w:r>
          </w:p>
        </w:tc>
        <w:tc>
          <w:tcPr>
            <w:tcW w:w="340" w:type="dxa"/>
            <w:vAlign w:val="bottom"/>
          </w:tcPr>
          <w:p>
            <w:pPr>
              <w:spacing w:after="0"/>
              <w:rPr>
                <w:sz w:val="16"/>
                <w:szCs w:val="16"/>
                <w:color w:val="auto"/>
              </w:rPr>
            </w:pPr>
          </w:p>
        </w:tc>
        <w:tc>
          <w:tcPr>
            <w:tcW w:w="960" w:type="dxa"/>
            <w:vAlign w:val="bottom"/>
          </w:tcPr>
          <w:p>
            <w:pPr>
              <w:jc w:val="right"/>
              <w:ind w:right="58"/>
              <w:spacing w:after="0" w:line="189" w:lineRule="exact"/>
              <w:rPr>
                <w:sz w:val="20"/>
                <w:szCs w:val="20"/>
                <w:color w:val="auto"/>
              </w:rPr>
            </w:pPr>
            <w:r>
              <w:rPr>
                <w:rFonts w:ascii="Arial" w:cs="Arial" w:eastAsia="Arial" w:hAnsi="Arial"/>
                <w:sz w:val="18"/>
                <w:szCs w:val="18"/>
                <w:b w:val="1"/>
                <w:bCs w:val="1"/>
                <w:color w:val="auto"/>
              </w:rPr>
              <w:t>30</w:t>
            </w:r>
          </w:p>
        </w:tc>
        <w:tc>
          <w:tcPr>
            <w:tcW w:w="380" w:type="dxa"/>
            <w:vAlign w:val="bottom"/>
          </w:tcPr>
          <w:p>
            <w:pPr>
              <w:spacing w:after="0"/>
              <w:rPr>
                <w:sz w:val="16"/>
                <w:szCs w:val="16"/>
                <w:color w:val="auto"/>
              </w:rPr>
            </w:pPr>
          </w:p>
        </w:tc>
        <w:tc>
          <w:tcPr>
            <w:tcW w:w="860" w:type="dxa"/>
            <w:vAlign w:val="bottom"/>
          </w:tcPr>
          <w:p>
            <w:pPr>
              <w:jc w:val="right"/>
              <w:ind w:right="13"/>
              <w:spacing w:after="0" w:line="189" w:lineRule="exact"/>
              <w:rPr>
                <w:sz w:val="20"/>
                <w:szCs w:val="20"/>
                <w:color w:val="auto"/>
              </w:rPr>
            </w:pPr>
            <w:r>
              <w:rPr>
                <w:rFonts w:ascii="Arial" w:cs="Arial" w:eastAsia="Arial" w:hAnsi="Arial"/>
                <w:sz w:val="18"/>
                <w:szCs w:val="18"/>
                <w:color w:val="auto"/>
              </w:rPr>
              <w:t>0</w:t>
            </w:r>
          </w:p>
        </w:tc>
        <w:tc>
          <w:tcPr>
            <w:tcW w:w="360" w:type="dxa"/>
            <w:vAlign w:val="bottom"/>
          </w:tcPr>
          <w:p>
            <w:pPr>
              <w:spacing w:after="0"/>
              <w:rPr>
                <w:sz w:val="16"/>
                <w:szCs w:val="16"/>
                <w:color w:val="auto"/>
              </w:rPr>
            </w:pPr>
          </w:p>
        </w:tc>
        <w:tc>
          <w:tcPr>
            <w:tcW w:w="960" w:type="dxa"/>
            <w:vAlign w:val="bottom"/>
          </w:tcPr>
          <w:p>
            <w:pPr>
              <w:jc w:val="right"/>
              <w:ind w:right="58"/>
              <w:spacing w:after="0" w:line="189" w:lineRule="exact"/>
              <w:rPr>
                <w:sz w:val="20"/>
                <w:szCs w:val="20"/>
                <w:color w:val="auto"/>
              </w:rPr>
            </w:pPr>
            <w:r>
              <w:rPr>
                <w:rFonts w:ascii="Arial" w:cs="Arial" w:eastAsia="Arial" w:hAnsi="Arial"/>
                <w:sz w:val="18"/>
                <w:szCs w:val="18"/>
                <w:color w:val="auto"/>
              </w:rPr>
              <w:t>139</w:t>
            </w:r>
          </w:p>
        </w:tc>
        <w:tc>
          <w:tcPr>
            <w:tcW w:w="400" w:type="dxa"/>
            <w:vAlign w:val="bottom"/>
          </w:tcPr>
          <w:p>
            <w:pPr>
              <w:spacing w:after="0"/>
              <w:rPr>
                <w:sz w:val="16"/>
                <w:szCs w:val="16"/>
                <w:color w:val="auto"/>
              </w:rPr>
            </w:pPr>
          </w:p>
        </w:tc>
        <w:tc>
          <w:tcPr>
            <w:tcW w:w="920" w:type="dxa"/>
            <w:vAlign w:val="bottom"/>
          </w:tcPr>
          <w:p>
            <w:pPr>
              <w:jc w:val="right"/>
              <w:ind w:right="53"/>
              <w:spacing w:after="0" w:line="189" w:lineRule="exact"/>
              <w:rPr>
                <w:sz w:val="20"/>
                <w:szCs w:val="20"/>
                <w:color w:val="auto"/>
              </w:rPr>
            </w:pPr>
            <w:r>
              <w:rPr>
                <w:rFonts w:ascii="Arial" w:cs="Arial" w:eastAsia="Arial" w:hAnsi="Arial"/>
                <w:sz w:val="18"/>
                <w:szCs w:val="18"/>
                <w:color w:val="auto"/>
              </w:rPr>
              <w:t>0</w:t>
            </w:r>
          </w:p>
        </w:tc>
        <w:tc>
          <w:tcPr>
            <w:tcW w:w="3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168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Interest rate contracts</w:t>
            </w:r>
          </w:p>
        </w:tc>
        <w:tc>
          <w:tcPr>
            <w:tcW w:w="36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96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96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00" w:type="dxa"/>
            <w:vAlign w:val="bottom"/>
          </w:tcPr>
          <w:p>
            <w:pPr>
              <w:ind w:left="200"/>
              <w:spacing w:after="0" w:line="189" w:lineRule="exact"/>
              <w:rPr>
                <w:sz w:val="20"/>
                <w:szCs w:val="20"/>
                <w:color w:val="auto"/>
              </w:rPr>
            </w:pPr>
            <w:r>
              <w:rPr>
                <w:rFonts w:ascii="Arial" w:cs="Arial" w:eastAsia="Arial" w:hAnsi="Arial"/>
                <w:sz w:val="18"/>
                <w:szCs w:val="18"/>
                <w:color w:val="auto"/>
              </w:rPr>
              <w:t>Derivatives</w:t>
            </w:r>
          </w:p>
        </w:tc>
        <w:tc>
          <w:tcPr>
            <w:tcW w:w="360" w:type="dxa"/>
            <w:vAlign w:val="bottom"/>
          </w:tcPr>
          <w:p>
            <w:pPr>
              <w:spacing w:after="0"/>
              <w:rPr>
                <w:sz w:val="16"/>
                <w:szCs w:val="16"/>
                <w:color w:val="auto"/>
              </w:rPr>
            </w:pPr>
          </w:p>
        </w:tc>
        <w:tc>
          <w:tcPr>
            <w:tcW w:w="860" w:type="dxa"/>
            <w:vAlign w:val="bottom"/>
          </w:tcPr>
          <w:p>
            <w:pPr>
              <w:jc w:val="right"/>
              <w:ind w:right="13"/>
              <w:spacing w:after="0" w:line="189" w:lineRule="exact"/>
              <w:rPr>
                <w:sz w:val="20"/>
                <w:szCs w:val="20"/>
                <w:color w:val="auto"/>
              </w:rPr>
            </w:pPr>
            <w:r>
              <w:rPr>
                <w:rFonts w:ascii="Arial" w:cs="Arial" w:eastAsia="Arial" w:hAnsi="Arial"/>
                <w:sz w:val="18"/>
                <w:szCs w:val="18"/>
                <w:b w:val="1"/>
                <w:bCs w:val="1"/>
                <w:color w:val="auto"/>
              </w:rPr>
              <w:t>0</w:t>
            </w:r>
          </w:p>
        </w:tc>
        <w:tc>
          <w:tcPr>
            <w:tcW w:w="34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(37)</w:t>
            </w:r>
          </w:p>
        </w:tc>
        <w:tc>
          <w:tcPr>
            <w:tcW w:w="380" w:type="dxa"/>
            <w:vAlign w:val="bottom"/>
          </w:tcPr>
          <w:p>
            <w:pPr>
              <w:spacing w:after="0"/>
              <w:rPr>
                <w:sz w:val="16"/>
                <w:szCs w:val="16"/>
                <w:color w:val="auto"/>
              </w:rPr>
            </w:pPr>
          </w:p>
        </w:tc>
        <w:tc>
          <w:tcPr>
            <w:tcW w:w="860" w:type="dxa"/>
            <w:vAlign w:val="bottom"/>
          </w:tcPr>
          <w:p>
            <w:pPr>
              <w:jc w:val="right"/>
              <w:ind w:right="13"/>
              <w:spacing w:after="0" w:line="189" w:lineRule="exact"/>
              <w:rPr>
                <w:sz w:val="20"/>
                <w:szCs w:val="20"/>
                <w:color w:val="auto"/>
              </w:rPr>
            </w:pPr>
            <w:r>
              <w:rPr>
                <w:rFonts w:ascii="Arial" w:cs="Arial" w:eastAsia="Arial" w:hAnsi="Arial"/>
                <w:sz w:val="18"/>
                <w:szCs w:val="18"/>
                <w:color w:val="auto"/>
              </w:rPr>
              <w:t>0</w:t>
            </w:r>
          </w:p>
        </w:tc>
        <w:tc>
          <w:tcPr>
            <w:tcW w:w="360" w:type="dxa"/>
            <w:vAlign w:val="bottom"/>
          </w:tcPr>
          <w:p>
            <w:pPr>
              <w:spacing w:after="0"/>
              <w:rPr>
                <w:sz w:val="16"/>
                <w:szCs w:val="16"/>
                <w:color w:val="auto"/>
              </w:rPr>
            </w:pPr>
          </w:p>
        </w:tc>
        <w:tc>
          <w:tcPr>
            <w:tcW w:w="960" w:type="dxa"/>
            <w:vAlign w:val="bottom"/>
          </w:tcPr>
          <w:p>
            <w:pPr>
              <w:jc w:val="right"/>
              <w:ind w:right="58"/>
              <w:spacing w:after="0" w:line="189" w:lineRule="exact"/>
              <w:rPr>
                <w:sz w:val="20"/>
                <w:szCs w:val="20"/>
                <w:color w:val="auto"/>
              </w:rPr>
            </w:pPr>
            <w:r>
              <w:rPr>
                <w:rFonts w:ascii="Arial" w:cs="Arial" w:eastAsia="Arial" w:hAnsi="Arial"/>
                <w:sz w:val="18"/>
                <w:szCs w:val="18"/>
                <w:color w:val="auto"/>
              </w:rPr>
              <w:t>93</w:t>
            </w:r>
          </w:p>
        </w:tc>
        <w:tc>
          <w:tcPr>
            <w:tcW w:w="400" w:type="dxa"/>
            <w:vAlign w:val="bottom"/>
          </w:tcPr>
          <w:p>
            <w:pPr>
              <w:spacing w:after="0"/>
              <w:rPr>
                <w:sz w:val="16"/>
                <w:szCs w:val="16"/>
                <w:color w:val="auto"/>
              </w:rPr>
            </w:pPr>
          </w:p>
        </w:tc>
        <w:tc>
          <w:tcPr>
            <w:tcW w:w="920" w:type="dxa"/>
            <w:vAlign w:val="bottom"/>
          </w:tcPr>
          <w:p>
            <w:pPr>
              <w:jc w:val="right"/>
              <w:ind w:right="53"/>
              <w:spacing w:after="0" w:line="189" w:lineRule="exact"/>
              <w:rPr>
                <w:sz w:val="20"/>
                <w:szCs w:val="20"/>
                <w:color w:val="auto"/>
              </w:rPr>
            </w:pPr>
            <w:r>
              <w:rPr>
                <w:rFonts w:ascii="Arial" w:cs="Arial" w:eastAsia="Arial" w:hAnsi="Arial"/>
                <w:sz w:val="18"/>
                <w:szCs w:val="18"/>
                <w:color w:val="auto"/>
              </w:rPr>
              <w:t>0</w:t>
            </w:r>
          </w:p>
        </w:tc>
        <w:tc>
          <w:tcPr>
            <w:tcW w:w="3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0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Hedged items</w:t>
            </w:r>
          </w:p>
        </w:tc>
        <w:tc>
          <w:tcPr>
            <w:tcW w:w="360" w:type="dxa"/>
            <w:vAlign w:val="bottom"/>
            <w:shd w:val="clear" w:color="auto" w:fill="E5E5E5"/>
          </w:tcPr>
          <w:p>
            <w:pPr>
              <w:spacing w:after="0"/>
              <w:rPr>
                <w:sz w:val="16"/>
                <w:szCs w:val="16"/>
                <w:color w:val="auto"/>
              </w:rPr>
            </w:pPr>
          </w:p>
        </w:tc>
        <w:tc>
          <w:tcPr>
            <w:tcW w:w="860" w:type="dxa"/>
            <w:vAlign w:val="bottom"/>
            <w:shd w:val="clear" w:color="auto" w:fill="E5E5E5"/>
          </w:tcPr>
          <w:p>
            <w:pPr>
              <w:jc w:val="right"/>
              <w:ind w:right="13"/>
              <w:spacing w:after="0" w:line="189" w:lineRule="exact"/>
              <w:rPr>
                <w:sz w:val="20"/>
                <w:szCs w:val="20"/>
                <w:color w:val="auto"/>
              </w:rPr>
            </w:pPr>
            <w:r>
              <w:rPr>
                <w:rFonts w:ascii="Arial" w:cs="Arial" w:eastAsia="Arial" w:hAnsi="Arial"/>
                <w:sz w:val="18"/>
                <w:szCs w:val="18"/>
                <w:b w:val="1"/>
                <w:bCs w:val="1"/>
                <w:color w:val="auto"/>
              </w:rPr>
              <w:t>0</w:t>
            </w:r>
          </w:p>
        </w:tc>
        <w:tc>
          <w:tcPr>
            <w:tcW w:w="340" w:type="dxa"/>
            <w:vAlign w:val="bottom"/>
            <w:shd w:val="clear" w:color="auto" w:fill="E5E5E5"/>
          </w:tcPr>
          <w:p>
            <w:pPr>
              <w:spacing w:after="0"/>
              <w:rPr>
                <w:sz w:val="16"/>
                <w:szCs w:val="16"/>
                <w:color w:val="auto"/>
              </w:rPr>
            </w:pPr>
          </w:p>
        </w:tc>
        <w:tc>
          <w:tcPr>
            <w:tcW w:w="960" w:type="dxa"/>
            <w:vAlign w:val="bottom"/>
            <w:shd w:val="clear" w:color="auto" w:fill="E5E5E5"/>
          </w:tcPr>
          <w:p>
            <w:pPr>
              <w:jc w:val="right"/>
              <w:ind w:right="58"/>
              <w:spacing w:after="0" w:line="189" w:lineRule="exact"/>
              <w:rPr>
                <w:sz w:val="20"/>
                <w:szCs w:val="20"/>
                <w:color w:val="auto"/>
              </w:rPr>
            </w:pPr>
            <w:r>
              <w:rPr>
                <w:rFonts w:ascii="Arial" w:cs="Arial" w:eastAsia="Arial" w:hAnsi="Arial"/>
                <w:sz w:val="18"/>
                <w:szCs w:val="18"/>
                <w:b w:val="1"/>
                <w:bCs w:val="1"/>
                <w:color w:val="auto"/>
              </w:rPr>
              <w:t>53</w:t>
            </w:r>
          </w:p>
        </w:tc>
        <w:tc>
          <w:tcPr>
            <w:tcW w:w="380" w:type="dxa"/>
            <w:vAlign w:val="bottom"/>
            <w:shd w:val="clear" w:color="auto" w:fill="E5E5E5"/>
          </w:tcPr>
          <w:p>
            <w:pPr>
              <w:spacing w:after="0"/>
              <w:rPr>
                <w:sz w:val="16"/>
                <w:szCs w:val="16"/>
                <w:color w:val="auto"/>
              </w:rPr>
            </w:pPr>
          </w:p>
        </w:tc>
        <w:tc>
          <w:tcPr>
            <w:tcW w:w="860" w:type="dxa"/>
            <w:vAlign w:val="bottom"/>
            <w:shd w:val="clear" w:color="auto" w:fill="E5E5E5"/>
          </w:tcPr>
          <w:p>
            <w:pPr>
              <w:jc w:val="right"/>
              <w:ind w:right="13"/>
              <w:spacing w:after="0" w:line="189" w:lineRule="exact"/>
              <w:rPr>
                <w:sz w:val="20"/>
                <w:szCs w:val="20"/>
                <w:color w:val="auto"/>
              </w:rPr>
            </w:pPr>
            <w:r>
              <w:rPr>
                <w:rFonts w:ascii="Arial" w:cs="Arial" w:eastAsia="Arial" w:hAnsi="Arial"/>
                <w:sz w:val="18"/>
                <w:szCs w:val="18"/>
                <w:color w:val="auto"/>
              </w:rPr>
              <w:t>0</w:t>
            </w:r>
          </w:p>
        </w:tc>
        <w:tc>
          <w:tcPr>
            <w:tcW w:w="360" w:type="dxa"/>
            <w:vAlign w:val="bottom"/>
            <w:shd w:val="clear" w:color="auto" w:fill="E5E5E5"/>
          </w:tcPr>
          <w:p>
            <w:pPr>
              <w:spacing w:after="0"/>
              <w:rPr>
                <w:sz w:val="16"/>
                <w:szCs w:val="16"/>
                <w:color w:val="auto"/>
              </w:rPr>
            </w:pPr>
          </w:p>
        </w:tc>
        <w:tc>
          <w:tcPr>
            <w:tcW w:w="9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(93)</w:t>
            </w:r>
          </w:p>
        </w:tc>
        <w:tc>
          <w:tcPr>
            <w:tcW w:w="400" w:type="dxa"/>
            <w:vAlign w:val="bottom"/>
            <w:shd w:val="clear" w:color="auto" w:fill="E5E5E5"/>
          </w:tcPr>
          <w:p>
            <w:pPr>
              <w:spacing w:after="0"/>
              <w:rPr>
                <w:sz w:val="16"/>
                <w:szCs w:val="16"/>
                <w:color w:val="auto"/>
              </w:rPr>
            </w:pPr>
          </w:p>
        </w:tc>
        <w:tc>
          <w:tcPr>
            <w:tcW w:w="920" w:type="dxa"/>
            <w:vAlign w:val="bottom"/>
            <w:shd w:val="clear" w:color="auto" w:fill="E5E5E5"/>
          </w:tcPr>
          <w:p>
            <w:pPr>
              <w:jc w:val="right"/>
              <w:ind w:right="53"/>
              <w:spacing w:after="0" w:line="189" w:lineRule="exact"/>
              <w:rPr>
                <w:sz w:val="20"/>
                <w:szCs w:val="20"/>
                <w:color w:val="auto"/>
              </w:rPr>
            </w:pPr>
            <w:r>
              <w:rPr>
                <w:rFonts w:ascii="Arial" w:cs="Arial" w:eastAsia="Arial" w:hAnsi="Arial"/>
                <w:sz w:val="18"/>
                <w:szCs w:val="18"/>
                <w:color w:val="auto"/>
              </w:rPr>
              <w:t>0</w:t>
            </w:r>
          </w:p>
        </w:tc>
        <w:tc>
          <w:tcPr>
            <w:tcW w:w="34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14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520" w:type="dxa"/>
            <w:vAlign w:val="bottom"/>
            <w:gridSpan w:val="2"/>
          </w:tcPr>
          <w:p>
            <w:pPr>
              <w:spacing w:after="0"/>
              <w:rPr>
                <w:sz w:val="20"/>
                <w:szCs w:val="20"/>
                <w:color w:val="auto"/>
              </w:rPr>
            </w:pPr>
            <w:r>
              <w:rPr>
                <w:rFonts w:ascii="Arial" w:cs="Arial" w:eastAsia="Arial" w:hAnsi="Arial"/>
                <w:sz w:val="13"/>
                <w:szCs w:val="13"/>
                <w:b w:val="1"/>
                <w:bCs w:val="1"/>
                <w:color w:val="auto"/>
              </w:rPr>
              <w:t>Designated as Cash Flow Hedging Instruments</w:t>
            </w: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3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0" w:type="dxa"/>
            <w:vAlign w:val="bottom"/>
          </w:tcPr>
          <w:p>
            <w:pPr>
              <w:spacing w:after="0"/>
              <w:rPr>
                <w:sz w:val="4"/>
                <w:szCs w:val="4"/>
                <w:color w:val="auto"/>
              </w:rPr>
            </w:pPr>
          </w:p>
        </w:tc>
        <w:tc>
          <w:tcPr>
            <w:tcW w:w="9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35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w:t>
            </w:r>
          </w:p>
        </w:tc>
        <w:tc>
          <w:tcPr>
            <w:tcW w:w="36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96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96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00" w:type="dxa"/>
            <w:vAlign w:val="bottom"/>
          </w:tcPr>
          <w:p>
            <w:pPr>
              <w:ind w:left="200"/>
              <w:spacing w:after="0" w:line="174" w:lineRule="exact"/>
              <w:rPr>
                <w:sz w:val="20"/>
                <w:szCs w:val="20"/>
                <w:color w:val="auto"/>
              </w:rPr>
            </w:pPr>
            <w:r>
              <w:rPr>
                <w:rFonts w:ascii="Arial" w:cs="Arial" w:eastAsia="Arial" w:hAnsi="Arial"/>
                <w:sz w:val="18"/>
                <w:szCs w:val="18"/>
                <w:color w:val="auto"/>
              </w:rPr>
              <w:t>Amount reclassified from accumulated</w:t>
            </w:r>
          </w:p>
        </w:tc>
        <w:tc>
          <w:tcPr>
            <w:tcW w:w="360" w:type="dxa"/>
            <w:vAlign w:val="bottom"/>
          </w:tcPr>
          <w:p>
            <w:pPr>
              <w:spacing w:after="0"/>
              <w:rPr>
                <w:sz w:val="15"/>
                <w:szCs w:val="15"/>
                <w:color w:val="auto"/>
              </w:rPr>
            </w:pPr>
          </w:p>
        </w:tc>
        <w:tc>
          <w:tcPr>
            <w:tcW w:w="86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0</w:t>
            </w:r>
          </w:p>
        </w:tc>
        <w:tc>
          <w:tcPr>
            <w:tcW w:w="340" w:type="dxa"/>
            <w:vAlign w:val="bottom"/>
          </w:tcPr>
          <w:p>
            <w:pPr>
              <w:spacing w:after="0"/>
              <w:rPr>
                <w:sz w:val="15"/>
                <w:szCs w:val="15"/>
                <w:color w:val="auto"/>
              </w:rPr>
            </w:pPr>
          </w:p>
        </w:tc>
        <w:tc>
          <w:tcPr>
            <w:tcW w:w="960" w:type="dxa"/>
            <w:vAlign w:val="bottom"/>
            <w:vMerge w:val="restart"/>
          </w:tcPr>
          <w:p>
            <w:pPr>
              <w:jc w:val="right"/>
              <w:ind w:right="58"/>
              <w:spacing w:after="0"/>
              <w:rPr>
                <w:sz w:val="20"/>
                <w:szCs w:val="20"/>
                <w:color w:val="auto"/>
              </w:rPr>
            </w:pPr>
            <w:r>
              <w:rPr>
                <w:rFonts w:ascii="Arial" w:cs="Arial" w:eastAsia="Arial" w:hAnsi="Arial"/>
                <w:sz w:val="18"/>
                <w:szCs w:val="18"/>
                <w:b w:val="1"/>
                <w:bCs w:val="1"/>
                <w:color w:val="auto"/>
              </w:rPr>
              <w:t>17</w:t>
            </w: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tcPr>
          <w:p>
            <w:pPr>
              <w:ind w:left="420"/>
              <w:spacing w:after="0" w:line="202" w:lineRule="exact"/>
              <w:rPr>
                <w:sz w:val="20"/>
                <w:szCs w:val="20"/>
                <w:color w:val="auto"/>
              </w:rPr>
            </w:pPr>
            <w:r>
              <w:rPr>
                <w:rFonts w:ascii="Arial" w:cs="Arial" w:eastAsia="Arial" w:hAnsi="Arial"/>
                <w:sz w:val="18"/>
                <w:szCs w:val="18"/>
                <w:color w:val="auto"/>
              </w:rPr>
              <w:t>other comprehensive income</w:t>
            </w:r>
          </w:p>
        </w:tc>
        <w:tc>
          <w:tcPr>
            <w:tcW w:w="3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0</w:t>
            </w:r>
          </w:p>
        </w:tc>
        <w:tc>
          <w:tcPr>
            <w:tcW w:w="360" w:type="dxa"/>
            <w:vAlign w:val="bottom"/>
          </w:tcPr>
          <w:p>
            <w:pPr>
              <w:spacing w:after="0"/>
              <w:rPr>
                <w:sz w:val="17"/>
                <w:szCs w:val="17"/>
                <w:color w:val="auto"/>
              </w:rPr>
            </w:pPr>
          </w:p>
        </w:tc>
        <w:tc>
          <w:tcPr>
            <w:tcW w:w="960" w:type="dxa"/>
            <w:vAlign w:val="bottom"/>
          </w:tcPr>
          <w:p>
            <w:pPr>
              <w:jc w:val="right"/>
              <w:ind w:right="58"/>
              <w:spacing w:after="0" w:line="202" w:lineRule="exact"/>
              <w:rPr>
                <w:sz w:val="20"/>
                <w:szCs w:val="20"/>
                <w:color w:val="auto"/>
              </w:rPr>
            </w:pPr>
            <w:r>
              <w:rPr>
                <w:rFonts w:ascii="Arial" w:cs="Arial" w:eastAsia="Arial" w:hAnsi="Arial"/>
                <w:sz w:val="18"/>
                <w:szCs w:val="18"/>
                <w:color w:val="auto"/>
              </w:rPr>
              <w:t>0</w:t>
            </w:r>
          </w:p>
        </w:tc>
        <w:tc>
          <w:tcPr>
            <w:tcW w:w="400" w:type="dxa"/>
            <w:vAlign w:val="bottom"/>
          </w:tcPr>
          <w:p>
            <w:pPr>
              <w:spacing w:after="0"/>
              <w:rPr>
                <w:sz w:val="17"/>
                <w:szCs w:val="17"/>
                <w:color w:val="auto"/>
              </w:rPr>
            </w:pPr>
          </w:p>
        </w:tc>
        <w:tc>
          <w:tcPr>
            <w:tcW w:w="9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341</w:t>
            </w:r>
          </w:p>
        </w:tc>
        <w:tc>
          <w:tcPr>
            <w:tcW w:w="3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0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Excluded from effectiveness assessment</w:t>
            </w:r>
          </w:p>
        </w:tc>
        <w:tc>
          <w:tcPr>
            <w:tcW w:w="360" w:type="dxa"/>
            <w:vAlign w:val="bottom"/>
            <w:shd w:val="clear" w:color="auto" w:fill="E5E5E5"/>
          </w:tcPr>
          <w:p>
            <w:pPr>
              <w:spacing w:after="0"/>
              <w:rPr>
                <w:sz w:val="16"/>
                <w:szCs w:val="16"/>
                <w:color w:val="auto"/>
              </w:rPr>
            </w:pPr>
          </w:p>
        </w:tc>
        <w:tc>
          <w:tcPr>
            <w:tcW w:w="860" w:type="dxa"/>
            <w:vAlign w:val="bottom"/>
            <w:shd w:val="clear" w:color="auto" w:fill="E5E5E5"/>
          </w:tcPr>
          <w:p>
            <w:pPr>
              <w:jc w:val="right"/>
              <w:ind w:right="13"/>
              <w:spacing w:after="0" w:line="189" w:lineRule="exact"/>
              <w:rPr>
                <w:sz w:val="20"/>
                <w:szCs w:val="20"/>
                <w:color w:val="auto"/>
              </w:rPr>
            </w:pPr>
            <w:r>
              <w:rPr>
                <w:rFonts w:ascii="Arial" w:cs="Arial" w:eastAsia="Arial" w:hAnsi="Arial"/>
                <w:sz w:val="18"/>
                <w:szCs w:val="18"/>
                <w:b w:val="1"/>
                <w:bCs w:val="1"/>
                <w:color w:val="auto"/>
              </w:rPr>
              <w:t>0</w:t>
            </w:r>
          </w:p>
        </w:tc>
        <w:tc>
          <w:tcPr>
            <w:tcW w:w="340" w:type="dxa"/>
            <w:vAlign w:val="bottom"/>
            <w:shd w:val="clear" w:color="auto" w:fill="E5E5E5"/>
          </w:tcPr>
          <w:p>
            <w:pPr>
              <w:spacing w:after="0"/>
              <w:rPr>
                <w:sz w:val="16"/>
                <w:szCs w:val="16"/>
                <w:color w:val="auto"/>
              </w:rPr>
            </w:pPr>
          </w:p>
        </w:tc>
        <w:tc>
          <w:tcPr>
            <w:tcW w:w="960" w:type="dxa"/>
            <w:vAlign w:val="bottom"/>
            <w:shd w:val="clear" w:color="auto" w:fill="E5E5E5"/>
          </w:tcPr>
          <w:p>
            <w:pPr>
              <w:jc w:val="right"/>
              <w:ind w:right="58"/>
              <w:spacing w:after="0" w:line="189" w:lineRule="exact"/>
              <w:rPr>
                <w:sz w:val="20"/>
                <w:szCs w:val="20"/>
                <w:color w:val="auto"/>
              </w:rPr>
            </w:pPr>
            <w:r>
              <w:rPr>
                <w:rFonts w:ascii="Arial" w:cs="Arial" w:eastAsia="Arial" w:hAnsi="Arial"/>
                <w:sz w:val="18"/>
                <w:szCs w:val="18"/>
                <w:b w:val="1"/>
                <w:bCs w:val="1"/>
                <w:color w:val="auto"/>
              </w:rPr>
              <w:t>0</w:t>
            </w:r>
          </w:p>
        </w:tc>
        <w:tc>
          <w:tcPr>
            <w:tcW w:w="380" w:type="dxa"/>
            <w:vAlign w:val="bottom"/>
            <w:shd w:val="clear" w:color="auto" w:fill="E5E5E5"/>
          </w:tcPr>
          <w:p>
            <w:pPr>
              <w:spacing w:after="0"/>
              <w:rPr>
                <w:sz w:val="16"/>
                <w:szCs w:val="16"/>
                <w:color w:val="auto"/>
              </w:rPr>
            </w:pPr>
          </w:p>
        </w:tc>
        <w:tc>
          <w:tcPr>
            <w:tcW w:w="860" w:type="dxa"/>
            <w:vAlign w:val="bottom"/>
            <w:shd w:val="clear" w:color="auto" w:fill="E5E5E5"/>
          </w:tcPr>
          <w:p>
            <w:pPr>
              <w:jc w:val="right"/>
              <w:ind w:right="13"/>
              <w:spacing w:after="0" w:line="189" w:lineRule="exact"/>
              <w:rPr>
                <w:sz w:val="20"/>
                <w:szCs w:val="20"/>
                <w:color w:val="auto"/>
              </w:rPr>
            </w:pPr>
            <w:r>
              <w:rPr>
                <w:rFonts w:ascii="Arial" w:cs="Arial" w:eastAsia="Arial" w:hAnsi="Arial"/>
                <w:sz w:val="18"/>
                <w:szCs w:val="18"/>
                <w:color w:val="auto"/>
              </w:rPr>
              <w:t>0</w:t>
            </w:r>
          </w:p>
        </w:tc>
        <w:tc>
          <w:tcPr>
            <w:tcW w:w="360" w:type="dxa"/>
            <w:vAlign w:val="bottom"/>
            <w:shd w:val="clear" w:color="auto" w:fill="E5E5E5"/>
          </w:tcPr>
          <w:p>
            <w:pPr>
              <w:spacing w:after="0"/>
              <w:rPr>
                <w:sz w:val="16"/>
                <w:szCs w:val="16"/>
                <w:color w:val="auto"/>
              </w:rPr>
            </w:pPr>
          </w:p>
        </w:tc>
        <w:tc>
          <w:tcPr>
            <w:tcW w:w="960" w:type="dxa"/>
            <w:vAlign w:val="bottom"/>
            <w:shd w:val="clear" w:color="auto" w:fill="E5E5E5"/>
          </w:tcPr>
          <w:p>
            <w:pPr>
              <w:jc w:val="right"/>
              <w:ind w:right="58"/>
              <w:spacing w:after="0" w:line="189" w:lineRule="exact"/>
              <w:rPr>
                <w:sz w:val="20"/>
                <w:szCs w:val="20"/>
                <w:color w:val="auto"/>
              </w:rPr>
            </w:pPr>
            <w:r>
              <w:rPr>
                <w:rFonts w:ascii="Arial" w:cs="Arial" w:eastAsia="Arial" w:hAnsi="Arial"/>
                <w:sz w:val="18"/>
                <w:szCs w:val="18"/>
                <w:color w:val="auto"/>
              </w:rPr>
              <w:t>0</w:t>
            </w:r>
          </w:p>
        </w:tc>
        <w:tc>
          <w:tcPr>
            <w:tcW w:w="400" w:type="dxa"/>
            <w:vAlign w:val="bottom"/>
            <w:shd w:val="clear" w:color="auto" w:fill="E5E5E5"/>
          </w:tcPr>
          <w:p>
            <w:pPr>
              <w:spacing w:after="0"/>
              <w:rPr>
                <w:sz w:val="16"/>
                <w:szCs w:val="16"/>
                <w:color w:val="auto"/>
              </w:rPr>
            </w:pPr>
          </w:p>
        </w:tc>
        <w:tc>
          <w:tcPr>
            <w:tcW w:w="9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(64)</w:t>
            </w:r>
          </w:p>
        </w:tc>
        <w:tc>
          <w:tcPr>
            <w:tcW w:w="34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14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520" w:type="dxa"/>
            <w:vAlign w:val="bottom"/>
            <w:gridSpan w:val="2"/>
          </w:tcPr>
          <w:p>
            <w:pPr>
              <w:spacing w:after="0"/>
              <w:rPr>
                <w:sz w:val="20"/>
                <w:szCs w:val="20"/>
                <w:color w:val="auto"/>
              </w:rPr>
            </w:pPr>
            <w:r>
              <w:rPr>
                <w:rFonts w:ascii="Arial" w:cs="Arial" w:eastAsia="Arial" w:hAnsi="Arial"/>
                <w:sz w:val="13"/>
                <w:szCs w:val="13"/>
                <w:b w:val="1"/>
                <w:bCs w:val="1"/>
                <w:color w:val="auto"/>
              </w:rPr>
              <w:t>Not Designated as Hedging Instruments</w:t>
            </w: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3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0" w:type="dxa"/>
            <w:vAlign w:val="bottom"/>
          </w:tcPr>
          <w:p>
            <w:pPr>
              <w:spacing w:after="0"/>
              <w:rPr>
                <w:sz w:val="4"/>
                <w:szCs w:val="4"/>
                <w:color w:val="auto"/>
              </w:rPr>
            </w:pPr>
          </w:p>
        </w:tc>
        <w:tc>
          <w:tcPr>
            <w:tcW w:w="9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35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w:t>
            </w:r>
          </w:p>
        </w:tc>
        <w:tc>
          <w:tcPr>
            <w:tcW w:w="360" w:type="dxa"/>
            <w:vAlign w:val="bottom"/>
            <w:shd w:val="clear" w:color="auto" w:fill="E5E5E5"/>
          </w:tcPr>
          <w:p>
            <w:pPr>
              <w:spacing w:after="0"/>
              <w:rPr>
                <w:sz w:val="16"/>
                <w:szCs w:val="16"/>
                <w:color w:val="auto"/>
              </w:rPr>
            </w:pPr>
          </w:p>
        </w:tc>
        <w:tc>
          <w:tcPr>
            <w:tcW w:w="860" w:type="dxa"/>
            <w:vAlign w:val="bottom"/>
            <w:shd w:val="clear" w:color="auto" w:fill="E5E5E5"/>
          </w:tcPr>
          <w:p>
            <w:pPr>
              <w:jc w:val="right"/>
              <w:ind w:right="13"/>
              <w:spacing w:after="0" w:line="189" w:lineRule="exact"/>
              <w:rPr>
                <w:sz w:val="20"/>
                <w:szCs w:val="20"/>
                <w:color w:val="auto"/>
              </w:rPr>
            </w:pPr>
            <w:r>
              <w:rPr>
                <w:rFonts w:ascii="Arial" w:cs="Arial" w:eastAsia="Arial" w:hAnsi="Arial"/>
                <w:sz w:val="18"/>
                <w:szCs w:val="18"/>
                <w:b w:val="1"/>
                <w:bCs w:val="1"/>
                <w:color w:val="auto"/>
              </w:rPr>
              <w:t>0</w:t>
            </w:r>
          </w:p>
        </w:tc>
        <w:tc>
          <w:tcPr>
            <w:tcW w:w="340" w:type="dxa"/>
            <w:vAlign w:val="bottom"/>
            <w:shd w:val="clear" w:color="auto" w:fill="E5E5E5"/>
          </w:tcPr>
          <w:p>
            <w:pPr>
              <w:spacing w:after="0"/>
              <w:rPr>
                <w:sz w:val="16"/>
                <w:szCs w:val="16"/>
                <w:color w:val="auto"/>
              </w:rPr>
            </w:pPr>
          </w:p>
        </w:tc>
        <w:tc>
          <w:tcPr>
            <w:tcW w:w="960" w:type="dxa"/>
            <w:vAlign w:val="bottom"/>
            <w:shd w:val="clear" w:color="auto" w:fill="E5E5E5"/>
          </w:tcPr>
          <w:p>
            <w:pPr>
              <w:jc w:val="right"/>
              <w:ind w:right="58"/>
              <w:spacing w:after="0" w:line="189" w:lineRule="exact"/>
              <w:rPr>
                <w:sz w:val="20"/>
                <w:szCs w:val="20"/>
                <w:color w:val="auto"/>
              </w:rPr>
            </w:pPr>
            <w:r>
              <w:rPr>
                <w:rFonts w:ascii="Arial" w:cs="Arial" w:eastAsia="Arial" w:hAnsi="Arial"/>
                <w:sz w:val="18"/>
                <w:szCs w:val="18"/>
                <w:b w:val="1"/>
                <w:bCs w:val="1"/>
                <w:color w:val="auto"/>
              </w:rPr>
              <w:t>27</w:t>
            </w:r>
          </w:p>
        </w:tc>
        <w:tc>
          <w:tcPr>
            <w:tcW w:w="380" w:type="dxa"/>
            <w:vAlign w:val="bottom"/>
            <w:shd w:val="clear" w:color="auto" w:fill="E5E5E5"/>
          </w:tcPr>
          <w:p>
            <w:pPr>
              <w:spacing w:after="0"/>
              <w:rPr>
                <w:sz w:val="16"/>
                <w:szCs w:val="16"/>
                <w:color w:val="auto"/>
              </w:rPr>
            </w:pPr>
          </w:p>
        </w:tc>
        <w:tc>
          <w:tcPr>
            <w:tcW w:w="860" w:type="dxa"/>
            <w:vAlign w:val="bottom"/>
            <w:shd w:val="clear" w:color="auto" w:fill="E5E5E5"/>
          </w:tcPr>
          <w:p>
            <w:pPr>
              <w:jc w:val="right"/>
              <w:ind w:right="13"/>
              <w:spacing w:after="0" w:line="189" w:lineRule="exact"/>
              <w:rPr>
                <w:sz w:val="20"/>
                <w:szCs w:val="20"/>
                <w:color w:val="auto"/>
              </w:rPr>
            </w:pPr>
            <w:r>
              <w:rPr>
                <w:rFonts w:ascii="Arial" w:cs="Arial" w:eastAsia="Arial" w:hAnsi="Arial"/>
                <w:sz w:val="18"/>
                <w:szCs w:val="18"/>
                <w:color w:val="auto"/>
              </w:rPr>
              <w:t>0</w:t>
            </w:r>
          </w:p>
        </w:tc>
        <w:tc>
          <w:tcPr>
            <w:tcW w:w="360" w:type="dxa"/>
            <w:vAlign w:val="bottom"/>
            <w:shd w:val="clear" w:color="auto" w:fill="E5E5E5"/>
          </w:tcPr>
          <w:p>
            <w:pPr>
              <w:spacing w:after="0"/>
              <w:rPr>
                <w:sz w:val="16"/>
                <w:szCs w:val="16"/>
                <w:color w:val="auto"/>
              </w:rPr>
            </w:pPr>
          </w:p>
        </w:tc>
        <w:tc>
          <w:tcPr>
            <w:tcW w:w="9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(123)</w:t>
            </w:r>
          </w:p>
        </w:tc>
        <w:tc>
          <w:tcPr>
            <w:tcW w:w="400" w:type="dxa"/>
            <w:vAlign w:val="bottom"/>
            <w:shd w:val="clear" w:color="auto" w:fill="E5E5E5"/>
          </w:tcPr>
          <w:p>
            <w:pPr>
              <w:spacing w:after="0"/>
              <w:rPr>
                <w:sz w:val="16"/>
                <w:szCs w:val="16"/>
                <w:color w:val="auto"/>
              </w:rPr>
            </w:pPr>
          </w:p>
        </w:tc>
        <w:tc>
          <w:tcPr>
            <w:tcW w:w="920" w:type="dxa"/>
            <w:vAlign w:val="bottom"/>
            <w:shd w:val="clear" w:color="auto" w:fill="E5E5E5"/>
          </w:tcPr>
          <w:p>
            <w:pPr>
              <w:jc w:val="right"/>
              <w:ind w:right="53"/>
              <w:spacing w:after="0" w:line="189" w:lineRule="exact"/>
              <w:rPr>
                <w:sz w:val="20"/>
                <w:szCs w:val="20"/>
                <w:color w:val="auto"/>
              </w:rPr>
            </w:pPr>
            <w:r>
              <w:rPr>
                <w:rFonts w:ascii="Arial" w:cs="Arial" w:eastAsia="Arial" w:hAnsi="Arial"/>
                <w:sz w:val="18"/>
                <w:szCs w:val="18"/>
                <w:color w:val="auto"/>
              </w:rPr>
              <w:t>0</w:t>
            </w:r>
          </w:p>
        </w:tc>
        <w:tc>
          <w:tcPr>
            <w:tcW w:w="34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49"/>
        </w:trPr>
        <w:tc>
          <w:tcPr>
            <w:tcW w:w="20" w:type="dxa"/>
            <w:vAlign w:val="bottom"/>
            <w:tcBorders>
              <w:bottom w:val="single" w:sz="8" w:color="auto"/>
            </w:tcBorders>
          </w:tcPr>
          <w:p>
            <w:pPr>
              <w:spacing w:after="0"/>
              <w:rPr>
                <w:sz w:val="21"/>
                <w:szCs w:val="21"/>
                <w:color w:val="auto"/>
              </w:rPr>
            </w:pPr>
          </w:p>
        </w:tc>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contracts</w:t>
            </w:r>
          </w:p>
        </w:tc>
        <w:tc>
          <w:tcPr>
            <w:tcW w:w="3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0</w:t>
            </w:r>
          </w:p>
        </w:tc>
        <w:tc>
          <w:tcPr>
            <w:tcW w:w="3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b w:val="1"/>
                <w:bCs w:val="1"/>
                <w:color w:val="auto"/>
              </w:rPr>
              <w:t>9</w:t>
            </w: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w:t>
            </w:r>
          </w:p>
        </w:tc>
        <w:tc>
          <w:tcPr>
            <w:tcW w:w="3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50</w:t>
            </w:r>
          </w:p>
        </w:tc>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0</w:t>
            </w:r>
          </w:p>
        </w:tc>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Gains (losses), net of tax, on derivative instruments recognized in our consolidated comprehensive income statements were as follows:</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06437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560" w:type="dxa"/>
            <w:vAlign w:val="bottom"/>
            <w:gridSpan w:val="2"/>
          </w:tcPr>
          <w:p>
            <w:pPr>
              <w:spacing w:after="0"/>
              <w:rPr>
                <w:sz w:val="20"/>
                <w:szCs w:val="20"/>
                <w:color w:val="auto"/>
              </w:rPr>
            </w:pPr>
            <w:r>
              <w:rPr>
                <w:rFonts w:ascii="Arial" w:cs="Arial" w:eastAsia="Arial" w:hAnsi="Arial"/>
                <w:sz w:val="13"/>
                <w:szCs w:val="13"/>
                <w:b w:val="1"/>
                <w:bCs w:val="1"/>
                <w:color w:val="auto"/>
              </w:rPr>
              <w:t>Year Ended June 30,</w:t>
            </w:r>
          </w:p>
        </w:tc>
        <w:tc>
          <w:tcPr>
            <w:tcW w:w="21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2020</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215"/>
        </w:trPr>
        <w:tc>
          <w:tcPr>
            <w:tcW w:w="4560" w:type="dxa"/>
            <w:vAlign w:val="bottom"/>
            <w:gridSpan w:val="2"/>
          </w:tcPr>
          <w:p>
            <w:pPr>
              <w:spacing w:after="0"/>
              <w:rPr>
                <w:sz w:val="20"/>
                <w:szCs w:val="20"/>
                <w:color w:val="auto"/>
              </w:rPr>
            </w:pPr>
            <w:r>
              <w:rPr>
                <w:rFonts w:ascii="Arial" w:cs="Arial" w:eastAsia="Arial" w:hAnsi="Arial"/>
                <w:sz w:val="13"/>
                <w:szCs w:val="13"/>
                <w:b w:val="1"/>
                <w:bCs w:val="1"/>
                <w:color w:val="auto"/>
              </w:rPr>
              <w:t>Designated as Cash Flow Hedging Instruments</w:t>
            </w:r>
          </w:p>
        </w:tc>
        <w:tc>
          <w:tcPr>
            <w:tcW w:w="21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454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w:t>
            </w:r>
          </w:p>
        </w:tc>
        <w:tc>
          <w:tcPr>
            <w:tcW w:w="2140" w:type="dxa"/>
            <w:vAlign w:val="bottom"/>
            <w:shd w:val="clear" w:color="auto" w:fill="E5E5E5"/>
          </w:tcPr>
          <w:p>
            <w:pPr>
              <w:spacing w:after="0"/>
              <w:rPr>
                <w:sz w:val="16"/>
                <w:szCs w:val="16"/>
                <w:color w:val="auto"/>
              </w:rPr>
            </w:pPr>
          </w:p>
        </w:tc>
        <w:tc>
          <w:tcPr>
            <w:tcW w:w="198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Included in effectiveness assessment</w:t>
            </w:r>
          </w:p>
        </w:tc>
        <w:tc>
          <w:tcPr>
            <w:tcW w:w="43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38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   159</w:t>
            </w:r>
          </w:p>
        </w:tc>
        <w:tc>
          <w:tcPr>
            <w:tcW w:w="0" w:type="dxa"/>
            <w:vAlign w:val="bottom"/>
          </w:tcPr>
          <w:p>
            <w:pPr>
              <w:spacing w:after="0"/>
              <w:rPr>
                <w:sz w:val="1"/>
                <w:szCs w:val="1"/>
                <w:color w:val="auto"/>
              </w:rPr>
            </w:pPr>
          </w:p>
        </w:tc>
      </w:tr>
      <w:tr>
        <w:trPr>
          <w:trHeight w:val="511"/>
        </w:trPr>
        <w:tc>
          <w:tcPr>
            <w:tcW w:w="20" w:type="dxa"/>
            <w:vAlign w:val="bottom"/>
          </w:tcPr>
          <w:p>
            <w:pPr>
              <w:spacing w:after="0"/>
              <w:rPr>
                <w:sz w:val="24"/>
                <w:szCs w:val="24"/>
                <w:color w:val="auto"/>
              </w:rPr>
            </w:pPr>
          </w:p>
        </w:tc>
        <w:tc>
          <w:tcPr>
            <w:tcW w:w="4540" w:type="dxa"/>
            <w:vAlign w:val="bottom"/>
            <w:tcBorders>
              <w:top w:val="single" w:sz="8" w:color="auto"/>
            </w:tcBorders>
          </w:tcPr>
          <w:p>
            <w:pPr>
              <w:spacing w:after="0"/>
              <w:rPr>
                <w:sz w:val="24"/>
                <w:szCs w:val="24"/>
                <w:color w:val="auto"/>
              </w:rPr>
            </w:pPr>
          </w:p>
        </w:tc>
        <w:tc>
          <w:tcPr>
            <w:tcW w:w="4360" w:type="dxa"/>
            <w:vAlign w:val="bottom"/>
            <w:tcBorders>
              <w:top w:val="single" w:sz="8" w:color="auto"/>
            </w:tcBorders>
            <w:gridSpan w:val="3"/>
          </w:tcPr>
          <w:p>
            <w:pPr>
              <w:jc w:val="center"/>
              <w:ind w:right="2220"/>
              <w:spacing w:after="0"/>
              <w:rPr>
                <w:sz w:val="20"/>
                <w:szCs w:val="20"/>
                <w:color w:val="auto"/>
              </w:rPr>
            </w:pPr>
            <w:r>
              <w:rPr>
                <w:rFonts w:ascii="Arial" w:cs="Arial" w:eastAsia="Arial" w:hAnsi="Arial"/>
                <w:sz w:val="18"/>
                <w:szCs w:val="18"/>
                <w:color w:val="auto"/>
                <w:w w:val="99"/>
              </w:rPr>
              <w:t>NOTE 6 — INVENTORIES</w:t>
            </w:r>
          </w:p>
        </w:tc>
        <w:tc>
          <w:tcPr>
            <w:tcW w:w="5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4560" w:type="dxa"/>
            <w:vAlign w:val="bottom"/>
            <w:gridSpan w:val="2"/>
          </w:tcPr>
          <w:p>
            <w:pPr>
              <w:spacing w:after="0"/>
              <w:rPr>
                <w:sz w:val="20"/>
                <w:szCs w:val="20"/>
                <w:color w:val="auto"/>
              </w:rPr>
            </w:pPr>
            <w:r>
              <w:rPr>
                <w:rFonts w:ascii="Arial" w:cs="Arial" w:eastAsia="Arial" w:hAnsi="Arial"/>
                <w:sz w:val="18"/>
                <w:szCs w:val="18"/>
                <w:color w:val="auto"/>
              </w:rPr>
              <w:t>The components of inventories were as follows:</w:t>
            </w:r>
          </w:p>
        </w:tc>
        <w:tc>
          <w:tcPr>
            <w:tcW w:w="2140" w:type="dxa"/>
            <w:vAlign w:val="bottom"/>
            <w:tcBorders>
              <w:top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4560" w:type="dxa"/>
            <w:vAlign w:val="bottom"/>
            <w:gridSpan w:val="2"/>
          </w:tcPr>
          <w:p>
            <w:pPr>
              <w:spacing w:after="0"/>
              <w:rPr>
                <w:sz w:val="20"/>
                <w:szCs w:val="20"/>
                <w:color w:val="auto"/>
              </w:rPr>
            </w:pPr>
            <w:r>
              <w:rPr>
                <w:rFonts w:ascii="Arial" w:cs="Arial" w:eastAsia="Arial" w:hAnsi="Arial"/>
                <w:sz w:val="13"/>
                <w:szCs w:val="13"/>
                <w:b w:val="1"/>
                <w:bCs w:val="1"/>
                <w:color w:val="auto"/>
              </w:rPr>
              <w:t>(In millions)</w:t>
            </w:r>
          </w:p>
        </w:tc>
        <w:tc>
          <w:tcPr>
            <w:tcW w:w="21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560" w:type="dxa"/>
            <w:vAlign w:val="bottom"/>
            <w:tcBorders>
              <w:bottom w:val="single" w:sz="8" w:color="auto"/>
            </w:tcBorders>
            <w:gridSpan w:val="2"/>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4560" w:type="dxa"/>
            <w:vAlign w:val="bottom"/>
            <w:gridSpan w:val="2"/>
          </w:tcPr>
          <w:p>
            <w:pPr>
              <w:spacing w:after="0"/>
              <w:rPr>
                <w:sz w:val="20"/>
                <w:szCs w:val="20"/>
                <w:color w:val="auto"/>
              </w:rPr>
            </w:pPr>
            <w:r>
              <w:rPr>
                <w:rFonts w:ascii="Arial" w:cs="Arial" w:eastAsia="Arial" w:hAnsi="Arial"/>
                <w:sz w:val="13"/>
                <w:szCs w:val="13"/>
                <w:b w:val="1"/>
                <w:bCs w:val="1"/>
                <w:color w:val="auto"/>
              </w:rPr>
              <w:t>June 30,</w:t>
            </w:r>
          </w:p>
        </w:tc>
        <w:tc>
          <w:tcPr>
            <w:tcW w:w="21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454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Raw materials</w:t>
            </w:r>
          </w:p>
        </w:tc>
        <w:tc>
          <w:tcPr>
            <w:tcW w:w="4360" w:type="dxa"/>
            <w:vAlign w:val="bottom"/>
            <w:gridSpan w:val="3"/>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w:t>
            </w:r>
          </w:p>
        </w:tc>
        <w:tc>
          <w:tcPr>
            <w:tcW w:w="960" w:type="dxa"/>
            <w:vAlign w:val="bottom"/>
            <w:gridSpan w:val="3"/>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1,190</w:t>
            </w:r>
          </w:p>
        </w:tc>
        <w:tc>
          <w:tcPr>
            <w:tcW w:w="520" w:type="dxa"/>
            <w:vAlign w:val="bottom"/>
            <w:gridSpan w:val="2"/>
            <w:shd w:val="clear" w:color="auto" w:fill="E5E5E5"/>
          </w:tcPr>
          <w:p>
            <w:pPr>
              <w:jc w:val="right"/>
              <w:ind w:right="280"/>
              <w:spacing w:after="0" w:line="189"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540" w:type="dxa"/>
            <w:vAlign w:val="bottom"/>
          </w:tcPr>
          <w:p>
            <w:pPr>
              <w:spacing w:after="0" w:line="189" w:lineRule="exact"/>
              <w:rPr>
                <w:sz w:val="20"/>
                <w:szCs w:val="20"/>
                <w:color w:val="auto"/>
              </w:rPr>
            </w:pPr>
            <w:r>
              <w:rPr>
                <w:rFonts w:ascii="Arial" w:cs="Arial" w:eastAsia="Arial" w:hAnsi="Arial"/>
                <w:sz w:val="18"/>
                <w:szCs w:val="18"/>
                <w:color w:val="auto"/>
              </w:rPr>
              <w:t>Work in process</w:t>
            </w:r>
          </w:p>
        </w:tc>
        <w:tc>
          <w:tcPr>
            <w:tcW w:w="21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79</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Finished goods</w:t>
            </w:r>
          </w:p>
        </w:tc>
        <w:tc>
          <w:tcPr>
            <w:tcW w:w="2140" w:type="dxa"/>
            <w:vAlign w:val="bottom"/>
            <w:shd w:val="clear" w:color="auto" w:fill="E5E5E5"/>
          </w:tcPr>
          <w:p>
            <w:pPr>
              <w:spacing w:after="0"/>
              <w:rPr>
                <w:sz w:val="16"/>
                <w:szCs w:val="16"/>
                <w:color w:val="auto"/>
              </w:rPr>
            </w:pPr>
          </w:p>
        </w:tc>
        <w:tc>
          <w:tcPr>
            <w:tcW w:w="198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960" w:type="dxa"/>
            <w:vAlign w:val="bottom"/>
            <w:gridSpan w:val="3"/>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1,367</w:t>
            </w:r>
          </w:p>
        </w:tc>
        <w:tc>
          <w:tcPr>
            <w:tcW w:w="14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4540" w:type="dxa"/>
            <w:vAlign w:val="bottom"/>
            <w:tcBorders>
              <w:bottom w:val="single" w:sz="8" w:color="auto"/>
            </w:tcBorders>
          </w:tcPr>
          <w:p>
            <w:pPr>
              <w:spacing w:after="0"/>
              <w:rPr>
                <w:sz w:val="5"/>
                <w:szCs w:val="5"/>
                <w:color w:val="auto"/>
              </w:rPr>
            </w:pPr>
          </w:p>
        </w:tc>
        <w:tc>
          <w:tcPr>
            <w:tcW w:w="2140" w:type="dxa"/>
            <w:vAlign w:val="bottom"/>
            <w:tcBorders>
              <w:bottom w:val="single" w:sz="8" w:color="auto"/>
            </w:tcBorders>
          </w:tcPr>
          <w:p>
            <w:pPr>
              <w:spacing w:after="0"/>
              <w:rPr>
                <w:sz w:val="5"/>
                <w:szCs w:val="5"/>
                <w:color w:val="auto"/>
              </w:rPr>
            </w:pPr>
          </w:p>
        </w:tc>
        <w:tc>
          <w:tcPr>
            <w:tcW w:w="2220" w:type="dxa"/>
            <w:vAlign w:val="bottom"/>
            <w:tcBorders>
              <w:bottom w:val="single" w:sz="8" w:color="auto"/>
            </w:tcBorders>
            <w:gridSpan w:val="2"/>
          </w:tcPr>
          <w:p>
            <w:pPr>
              <w:spacing w:after="0"/>
              <w:rPr>
                <w:sz w:val="5"/>
                <w:szCs w:val="5"/>
                <w:color w:val="auto"/>
              </w:rPr>
            </w:pPr>
          </w:p>
        </w:tc>
        <w:tc>
          <w:tcPr>
            <w:tcW w:w="880" w:type="dxa"/>
            <w:vAlign w:val="bottom"/>
            <w:tcBorders>
              <w:bottom w:val="single" w:sz="8" w:color="auto"/>
            </w:tcBorders>
            <w:gridSpan w:val="2"/>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Total</w:t>
            </w:r>
          </w:p>
        </w:tc>
        <w:tc>
          <w:tcPr>
            <w:tcW w:w="43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2,636</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40" w:type="dxa"/>
            <w:vAlign w:val="bottom"/>
          </w:tcPr>
          <w:p>
            <w:pPr>
              <w:spacing w:after="0"/>
              <w:rPr>
                <w:sz w:val="5"/>
                <w:szCs w:val="5"/>
                <w:color w:val="auto"/>
              </w:rPr>
            </w:pPr>
          </w:p>
        </w:tc>
        <w:tc>
          <w:tcPr>
            <w:tcW w:w="2140" w:type="dxa"/>
            <w:vAlign w:val="bottom"/>
            <w:vMerge w:val="restart"/>
          </w:tcPr>
          <w:p>
            <w:pPr>
              <w:jc w:val="right"/>
              <w:ind w:right="914"/>
              <w:spacing w:after="0"/>
              <w:rPr>
                <w:sz w:val="20"/>
                <w:szCs w:val="20"/>
                <w:color w:val="auto"/>
              </w:rPr>
            </w:pPr>
            <w:r>
              <w:rPr>
                <w:rFonts w:ascii="Arial" w:cs="Arial" w:eastAsia="Arial" w:hAnsi="Arial"/>
                <w:sz w:val="14"/>
                <w:szCs w:val="14"/>
                <w:color w:val="auto"/>
              </w:rPr>
              <w:t>76</w:t>
            </w:r>
          </w:p>
        </w:tc>
        <w:tc>
          <w:tcPr>
            <w:tcW w:w="198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4"/>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1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540" w:type="dxa"/>
            <w:vAlign w:val="bottom"/>
            <w:tcBorders>
              <w:bottom w:val="single" w:sz="8" w:color="9A9A9A"/>
            </w:tcBorders>
          </w:tcPr>
          <w:p>
            <w:pPr>
              <w:spacing w:after="0"/>
              <w:rPr>
                <w:sz w:val="8"/>
                <w:szCs w:val="8"/>
                <w:color w:val="auto"/>
              </w:rPr>
            </w:pPr>
          </w:p>
        </w:tc>
        <w:tc>
          <w:tcPr>
            <w:tcW w:w="2140" w:type="dxa"/>
            <w:vAlign w:val="bottom"/>
            <w:tcBorders>
              <w:bottom w:val="single" w:sz="8" w:color="9A9A9A"/>
            </w:tcBorders>
          </w:tcPr>
          <w:p>
            <w:pPr>
              <w:spacing w:after="0"/>
              <w:rPr>
                <w:sz w:val="8"/>
                <w:szCs w:val="8"/>
                <w:color w:val="auto"/>
              </w:rPr>
            </w:pPr>
          </w:p>
        </w:tc>
        <w:tc>
          <w:tcPr>
            <w:tcW w:w="19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76" w:name="page77"/>
    <w:bookmarkEnd w:id="76"/>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267"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NOTE 7 — PROPERTY AND EQUIPMENT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property and equipment were as follows:</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06437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680" w:type="dxa"/>
            <w:vAlign w:val="bottom"/>
            <w:gridSpan w:val="2"/>
          </w:tcPr>
          <w:p>
            <w:pPr>
              <w:spacing w:after="0"/>
              <w:rPr>
                <w:sz w:val="20"/>
                <w:szCs w:val="20"/>
                <w:color w:val="auto"/>
              </w:rPr>
            </w:pPr>
            <w:r>
              <w:rPr>
                <w:rFonts w:ascii="Arial" w:cs="Arial" w:eastAsia="Arial" w:hAnsi="Arial"/>
                <w:sz w:val="13"/>
                <w:szCs w:val="13"/>
                <w:b w:val="1"/>
                <w:bCs w:val="1"/>
                <w:color w:val="auto"/>
              </w:rPr>
              <w:t>June 30,</w:t>
            </w:r>
          </w:p>
        </w:tc>
        <w:tc>
          <w:tcPr>
            <w:tcW w:w="28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2021</w:t>
            </w:r>
          </w:p>
        </w:tc>
        <w:tc>
          <w:tcPr>
            <w:tcW w:w="3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8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86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Land</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3,660</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1,823</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60" w:type="dxa"/>
            <w:vAlign w:val="bottom"/>
          </w:tcPr>
          <w:p>
            <w:pPr>
              <w:spacing w:after="0" w:line="189" w:lineRule="exact"/>
              <w:rPr>
                <w:sz w:val="20"/>
                <w:szCs w:val="20"/>
                <w:color w:val="auto"/>
              </w:rPr>
            </w:pPr>
            <w:r>
              <w:rPr>
                <w:rFonts w:ascii="Arial" w:cs="Arial" w:eastAsia="Arial" w:hAnsi="Arial"/>
                <w:sz w:val="18"/>
                <w:szCs w:val="18"/>
                <w:color w:val="auto"/>
              </w:rPr>
              <w:t>Buildings and improvements</w:t>
            </w:r>
          </w:p>
        </w:tc>
        <w:tc>
          <w:tcPr>
            <w:tcW w:w="28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43,928</w:t>
            </w:r>
          </w:p>
        </w:tc>
        <w:tc>
          <w:tcPr>
            <w:tcW w:w="3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33,995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Leasehold improvements</w:t>
            </w:r>
          </w:p>
        </w:tc>
        <w:tc>
          <w:tcPr>
            <w:tcW w:w="2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6,884</w:t>
            </w:r>
          </w:p>
        </w:tc>
        <w:tc>
          <w:tcPr>
            <w:tcW w:w="300" w:type="dxa"/>
            <w:vAlign w:val="bottom"/>
            <w:shd w:val="clear" w:color="auto" w:fill="E5E5E5"/>
          </w:tcPr>
          <w:p>
            <w:pPr>
              <w:spacing w:after="0"/>
              <w:rPr>
                <w:sz w:val="16"/>
                <w:szCs w:val="16"/>
                <w:color w:val="auto"/>
              </w:rPr>
            </w:pPr>
          </w:p>
        </w:tc>
        <w:tc>
          <w:tcPr>
            <w:tcW w:w="8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5,487</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60" w:type="dxa"/>
            <w:vAlign w:val="bottom"/>
          </w:tcPr>
          <w:p>
            <w:pPr>
              <w:spacing w:after="0" w:line="189" w:lineRule="exact"/>
              <w:rPr>
                <w:sz w:val="20"/>
                <w:szCs w:val="20"/>
                <w:color w:val="auto"/>
              </w:rPr>
            </w:pPr>
            <w:r>
              <w:rPr>
                <w:rFonts w:ascii="Arial" w:cs="Arial" w:eastAsia="Arial" w:hAnsi="Arial"/>
                <w:sz w:val="18"/>
                <w:szCs w:val="18"/>
                <w:color w:val="auto"/>
              </w:rPr>
              <w:t>Computer equipment and software</w:t>
            </w:r>
          </w:p>
        </w:tc>
        <w:tc>
          <w:tcPr>
            <w:tcW w:w="28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51,250</w:t>
            </w:r>
          </w:p>
        </w:tc>
        <w:tc>
          <w:tcPr>
            <w:tcW w:w="3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41,261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Furniture and equipment</w:t>
            </w:r>
          </w:p>
        </w:tc>
        <w:tc>
          <w:tcPr>
            <w:tcW w:w="2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5,344</w:t>
            </w:r>
          </w:p>
        </w:tc>
        <w:tc>
          <w:tcPr>
            <w:tcW w:w="300" w:type="dxa"/>
            <w:vAlign w:val="bottom"/>
            <w:shd w:val="clear" w:color="auto" w:fill="E5E5E5"/>
          </w:tcPr>
          <w:p>
            <w:pPr>
              <w:spacing w:after="0"/>
              <w:rPr>
                <w:sz w:val="16"/>
                <w:szCs w:val="16"/>
                <w:color w:val="auto"/>
              </w:rPr>
            </w:pPr>
          </w:p>
        </w:tc>
        <w:tc>
          <w:tcPr>
            <w:tcW w:w="8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4,782</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6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Total, at cost</w:t>
            </w:r>
          </w:p>
        </w:tc>
        <w:tc>
          <w:tcPr>
            <w:tcW w:w="2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111,066</w:t>
            </w: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87,348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Accumulated depreciation</w:t>
            </w:r>
          </w:p>
        </w:tc>
        <w:tc>
          <w:tcPr>
            <w:tcW w:w="2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(51,351)</w:t>
            </w:r>
          </w:p>
        </w:tc>
        <w:tc>
          <w:tcPr>
            <w:tcW w:w="3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(43,197)</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6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Total, net</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59,715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44,151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66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During fiscal years 2021, 2020, and 2019, depreciation expense was $9.3 billion, $10.7 billion, and $9.7 billion, respectively. Depreciation expense declined in fiscal year 2021 due to the change in estimated useful lives of our server and network equipment. We have committed $9.5 billion for the construction of new buildings, building improvements, and leasehold improvements as of June 30, 2021.</w:t>
      </w:r>
    </w:p>
    <w:p>
      <w:pPr>
        <w:spacing w:after="0" w:line="14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During fiscal year 2020, we recorded an impairment charge of $186 million to Property and Equipment, primarily to leasehold improvements, due to the closing of our Microsoft Store physical locations.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8 — BUSINESS COMBINATIONS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ZeniMax Media Inc.</w:t>
      </w:r>
    </w:p>
    <w:p>
      <w:pPr>
        <w:spacing w:after="0" w:line="17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 March 9, 2021, we completed our acquisition of ZeniMax Media Inc. (“ZeniMax”), the parent company of Bethesda Softworks LLC (“Bethesda”), for a total purchase price of $8.1 billion, consisting primarily of cash. The purchase price included $768 million of cash and cash equivalents acquired. Bethesda is one of the largest, privately held game developers and publishers in the world, and brings a broad portfolio of games, technology, and talent to Xbox. The financial results of ZeniMax have been included in our consolidated financial statements since the date of the acquisition. ZeniMax is reported as part of our More Personal Computing segment.</w:t>
      </w:r>
    </w:p>
    <w:p>
      <w:pPr>
        <w:spacing w:after="0" w:line="14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purchase price allocation as of the date of acquisition was based on a preliminary valuation and is subject to revision as more detailed analyses are completed and additional information about the fair value of assets acquired and liabilities assumed becomes available.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major classes of assets and liabilities to which we have preliminarily allocated the purchase price were as follows:</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0561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056120" cy="8255"/>
                    </a:xfrm>
                    <a:prstGeom prst="rect">
                      <a:avLst/>
                    </a:prstGeom>
                    <a:noFill/>
                  </pic:spPr>
                </pic:pic>
              </a:graphicData>
            </a:graphic>
          </wp:anchor>
        </w:drawing>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900" w:type="dxa"/>
            <w:vAlign w:val="bottom"/>
            <w:shd w:val="clear" w:color="auto" w:fill="E5E5E5"/>
          </w:tcPr>
          <w:p>
            <w:pPr>
              <w:spacing w:after="0"/>
              <w:rPr>
                <w:sz w:val="20"/>
                <w:szCs w:val="20"/>
                <w:color w:val="auto"/>
              </w:rPr>
            </w:pPr>
            <w:r>
              <w:rPr>
                <w:rFonts w:ascii="Arial" w:cs="Arial" w:eastAsia="Arial" w:hAnsi="Arial"/>
                <w:sz w:val="18"/>
                <w:szCs w:val="18"/>
                <w:color w:val="auto"/>
              </w:rPr>
              <w:t>Cash and cash equivalents</w:t>
            </w:r>
          </w:p>
        </w:tc>
        <w:tc>
          <w:tcPr>
            <w:tcW w:w="440" w:type="dxa"/>
            <w:vAlign w:val="bottom"/>
            <w:shd w:val="clear" w:color="auto" w:fill="E5E5E5"/>
          </w:tcPr>
          <w:p>
            <w:pPr>
              <w:jc w:val="right"/>
              <w:ind w:right="2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768</w:t>
            </w:r>
          </w:p>
        </w:tc>
        <w:tc>
          <w:tcPr>
            <w:tcW w:w="120" w:type="dxa"/>
            <w:vAlign w:val="bottom"/>
            <w:shd w:val="clear" w:color="auto" w:fill="E5E5E5"/>
          </w:tcPr>
          <w:p>
            <w:pPr>
              <w:spacing w:after="0"/>
              <w:rPr>
                <w:sz w:val="18"/>
                <w:szCs w:val="18"/>
                <w:color w:val="auto"/>
              </w:rPr>
            </w:pPr>
          </w:p>
        </w:tc>
      </w:tr>
      <w:tr>
        <w:trPr>
          <w:trHeight w:val="188"/>
        </w:trPr>
        <w:tc>
          <w:tcPr>
            <w:tcW w:w="9900" w:type="dxa"/>
            <w:vAlign w:val="bottom"/>
          </w:tcPr>
          <w:p>
            <w:pPr>
              <w:spacing w:after="0" w:line="189" w:lineRule="exact"/>
              <w:rPr>
                <w:sz w:val="20"/>
                <w:szCs w:val="20"/>
                <w:color w:val="auto"/>
              </w:rPr>
            </w:pPr>
            <w:r>
              <w:rPr>
                <w:rFonts w:ascii="Arial" w:cs="Arial" w:eastAsia="Arial" w:hAnsi="Arial"/>
                <w:sz w:val="18"/>
                <w:szCs w:val="18"/>
                <w:color w:val="auto"/>
              </w:rPr>
              <w:t>Goodwill</w:t>
            </w:r>
          </w:p>
        </w:tc>
        <w:tc>
          <w:tcPr>
            <w:tcW w:w="4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5,469</w:t>
            </w:r>
          </w:p>
        </w:tc>
        <w:tc>
          <w:tcPr>
            <w:tcW w:w="120" w:type="dxa"/>
            <w:vAlign w:val="bottom"/>
          </w:tcPr>
          <w:p>
            <w:pPr>
              <w:spacing w:after="0"/>
              <w:rPr>
                <w:sz w:val="16"/>
                <w:szCs w:val="16"/>
                <w:color w:val="auto"/>
              </w:rPr>
            </w:pPr>
          </w:p>
        </w:tc>
      </w:tr>
      <w:tr>
        <w:trPr>
          <w:trHeight w:val="188"/>
        </w:trPr>
        <w:tc>
          <w:tcPr>
            <w:tcW w:w="99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Intangible assets</w:t>
            </w:r>
          </w:p>
        </w:tc>
        <w:tc>
          <w:tcPr>
            <w:tcW w:w="44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1,968</w:t>
            </w:r>
          </w:p>
        </w:tc>
        <w:tc>
          <w:tcPr>
            <w:tcW w:w="120" w:type="dxa"/>
            <w:vAlign w:val="bottom"/>
            <w:shd w:val="clear" w:color="auto" w:fill="E5E5E5"/>
          </w:tcPr>
          <w:p>
            <w:pPr>
              <w:spacing w:after="0"/>
              <w:rPr>
                <w:sz w:val="16"/>
                <w:szCs w:val="16"/>
                <w:color w:val="auto"/>
              </w:rPr>
            </w:pPr>
          </w:p>
        </w:tc>
      </w:tr>
      <w:tr>
        <w:trPr>
          <w:trHeight w:val="188"/>
        </w:trPr>
        <w:tc>
          <w:tcPr>
            <w:tcW w:w="9900" w:type="dxa"/>
            <w:vAlign w:val="bottom"/>
          </w:tcPr>
          <w:p>
            <w:pPr>
              <w:spacing w:after="0" w:line="189" w:lineRule="exact"/>
              <w:rPr>
                <w:sz w:val="20"/>
                <w:szCs w:val="20"/>
                <w:color w:val="auto"/>
              </w:rPr>
            </w:pPr>
            <w:r>
              <w:rPr>
                <w:rFonts w:ascii="Arial" w:cs="Arial" w:eastAsia="Arial" w:hAnsi="Arial"/>
                <w:sz w:val="18"/>
                <w:szCs w:val="18"/>
                <w:color w:val="auto"/>
              </w:rPr>
              <w:t>Other assets</w:t>
            </w:r>
          </w:p>
        </w:tc>
        <w:tc>
          <w:tcPr>
            <w:tcW w:w="4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139</w:t>
            </w:r>
          </w:p>
        </w:tc>
        <w:tc>
          <w:tcPr>
            <w:tcW w:w="120" w:type="dxa"/>
            <w:vAlign w:val="bottom"/>
          </w:tcPr>
          <w:p>
            <w:pPr>
              <w:spacing w:after="0"/>
              <w:rPr>
                <w:sz w:val="16"/>
                <w:szCs w:val="16"/>
                <w:color w:val="auto"/>
              </w:rPr>
            </w:pPr>
          </w:p>
        </w:tc>
      </w:tr>
      <w:tr>
        <w:trPr>
          <w:trHeight w:val="188"/>
        </w:trPr>
        <w:tc>
          <w:tcPr>
            <w:tcW w:w="99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liabilities</w:t>
            </w:r>
          </w:p>
        </w:tc>
        <w:tc>
          <w:tcPr>
            <w:tcW w:w="4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(223)</w:t>
            </w:r>
          </w:p>
        </w:tc>
      </w:tr>
      <w:tr>
        <w:trPr>
          <w:trHeight w:val="67"/>
        </w:trPr>
        <w:tc>
          <w:tcPr>
            <w:tcW w:w="99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r>
      <w:tr>
        <w:trPr>
          <w:trHeight w:val="263"/>
        </w:trPr>
        <w:tc>
          <w:tcPr>
            <w:tcW w:w="9900" w:type="dxa"/>
            <w:vAlign w:val="bottom"/>
          </w:tcPr>
          <w:p>
            <w:pPr>
              <w:ind w:left="220"/>
              <w:spacing w:after="0"/>
              <w:rPr>
                <w:sz w:val="20"/>
                <w:szCs w:val="20"/>
                <w:color w:val="auto"/>
              </w:rPr>
            </w:pPr>
            <w:r>
              <w:rPr>
                <w:rFonts w:ascii="Arial" w:cs="Arial" w:eastAsia="Arial" w:hAnsi="Arial"/>
                <w:sz w:val="18"/>
                <w:szCs w:val="18"/>
                <w:color w:val="auto"/>
              </w:rPr>
              <w:t>Total</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8,121</w:t>
            </w:r>
          </w:p>
        </w:tc>
        <w:tc>
          <w:tcPr>
            <w:tcW w:w="120" w:type="dxa"/>
            <w:vAlign w:val="bottom"/>
          </w:tcPr>
          <w:p>
            <w:pPr>
              <w:spacing w:after="0"/>
              <w:rPr>
                <w:sz w:val="22"/>
                <w:szCs w:val="22"/>
                <w:color w:val="auto"/>
              </w:rPr>
            </w:pPr>
          </w:p>
        </w:tc>
      </w:tr>
      <w:tr>
        <w:trPr>
          <w:trHeight w:val="61"/>
        </w:trPr>
        <w:tc>
          <w:tcPr>
            <w:tcW w:w="990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r>
    </w:tbl>
    <w:p>
      <w:pPr>
        <w:spacing w:after="0" w:line="20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Goodwill was assigned to our More Personal Computing segment. The goodwill was primarily attributed to increased synergies that are expected to be achieved from the integration of ZeniMax. None of the goodwill is expected to be deductible for income tax purposes.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77" w:name="page78"/>
    <w:bookmarkEnd w:id="77"/>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Following are details of the purchase price allocated to the intangible assets acquired: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78"/>
        </w:trPr>
        <w:tc>
          <w:tcPr>
            <w:tcW w:w="8460" w:type="dxa"/>
            <w:vAlign w:val="bottom"/>
            <w:gridSpan w:val="2"/>
          </w:tcPr>
          <w:p>
            <w:pPr>
              <w:spacing w:after="0"/>
              <w:rPr>
                <w:sz w:val="20"/>
                <w:szCs w:val="20"/>
                <w:color w:val="auto"/>
              </w:rPr>
            </w:pPr>
            <w:r>
              <w:rPr>
                <w:rFonts w:ascii="Arial" w:cs="Arial" w:eastAsia="Arial" w:hAnsi="Arial"/>
                <w:sz w:val="13"/>
                <w:szCs w:val="13"/>
                <w:b w:val="1"/>
                <w:bCs w:val="1"/>
                <w:color w:val="auto"/>
              </w:rPr>
              <w:t>(In millions)</w:t>
            </w:r>
          </w:p>
        </w:tc>
        <w:tc>
          <w:tcPr>
            <w:tcW w:w="420" w:type="dxa"/>
            <w:vAlign w:val="bottom"/>
          </w:tcPr>
          <w:p>
            <w:pPr>
              <w:spacing w:after="0"/>
              <w:rPr>
                <w:sz w:val="15"/>
                <w:szCs w:val="15"/>
                <w:color w:val="auto"/>
              </w:rPr>
            </w:pPr>
          </w:p>
        </w:tc>
        <w:tc>
          <w:tcPr>
            <w:tcW w:w="1140" w:type="dxa"/>
            <w:vAlign w:val="bottom"/>
            <w:gridSpan w:val="2"/>
          </w:tcPr>
          <w:p>
            <w:pPr>
              <w:ind w:left="300"/>
              <w:spacing w:after="0"/>
              <w:rPr>
                <w:sz w:val="20"/>
                <w:szCs w:val="20"/>
                <w:color w:val="auto"/>
              </w:rPr>
            </w:pPr>
            <w:r>
              <w:rPr>
                <w:rFonts w:ascii="Arial" w:cs="Arial" w:eastAsia="Arial" w:hAnsi="Arial"/>
                <w:sz w:val="13"/>
                <w:szCs w:val="13"/>
                <w:b w:val="1"/>
                <w:bCs w:val="1"/>
                <w:color w:val="auto"/>
              </w:rPr>
              <w:t>Amount</w:t>
            </w:r>
          </w:p>
        </w:tc>
        <w:tc>
          <w:tcPr>
            <w:tcW w:w="12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Average Life</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4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8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84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Technology-based</w:t>
            </w:r>
          </w:p>
        </w:tc>
        <w:tc>
          <w:tcPr>
            <w:tcW w:w="420" w:type="dxa"/>
            <w:vAlign w:val="bottom"/>
            <w:shd w:val="clear" w:color="auto" w:fill="E5E5E5"/>
          </w:tcPr>
          <w:p>
            <w:pPr>
              <w:jc w:val="right"/>
              <w:ind w:right="230"/>
              <w:spacing w:after="0" w:line="189"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color w:val="auto"/>
              </w:rPr>
              <w:t>1,341</w:t>
            </w:r>
          </w:p>
        </w:tc>
        <w:tc>
          <w:tcPr>
            <w:tcW w:w="12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Marketing-related</w:t>
            </w:r>
          </w:p>
        </w:tc>
        <w:tc>
          <w:tcPr>
            <w:tcW w:w="4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627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 years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4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44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420" w:type="dxa"/>
            <w:vAlign w:val="bottom"/>
            <w:shd w:val="clear" w:color="auto" w:fill="E5E5E5"/>
          </w:tcPr>
          <w:p>
            <w:pPr>
              <w:jc w:val="right"/>
              <w:ind w:right="230"/>
              <w:spacing w:after="0" w:line="189"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color w:val="auto"/>
              </w:rPr>
              <w:t>1,968</w:t>
            </w:r>
          </w:p>
        </w:tc>
        <w:tc>
          <w:tcPr>
            <w:tcW w:w="12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6 years</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44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GitHub, Inc.</w:t>
      </w:r>
    </w:p>
    <w:p>
      <w:pPr>
        <w:spacing w:after="0" w:line="17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 October 25, 2018, we acquired GitHub, Inc. (“GitHub”), a software development platform, in a $7.5 billion stock transaction (inclusive of total cash payments of $1.3 billion in respect of vested GitHub equity awards and an indemnity escrow). The acquisition is expected to empower developers to achieve more at every stage of the development lifecycle, accelerate enterprise use of GitHub, and bring Microsoft’s developer tools and services to new audiences. The financial results of GitHub have been included in our consolidated financial statements since the date of the acquisition. GitHub is reported as part of our Intelligent Cloud segment.</w:t>
      </w:r>
    </w:p>
    <w:p>
      <w:pPr>
        <w:spacing w:after="0" w:line="148"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The allocation of the purchase price to goodwill was completed as of June 30, 2019. The major classes of assets and liabilities to which we allocated the purchase price were as follows: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06437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900" w:type="dxa"/>
            <w:vAlign w:val="bottom"/>
            <w:shd w:val="clear" w:color="auto" w:fill="E5E5E5"/>
          </w:tcPr>
          <w:p>
            <w:pPr>
              <w:spacing w:after="0"/>
              <w:rPr>
                <w:sz w:val="20"/>
                <w:szCs w:val="20"/>
                <w:color w:val="auto"/>
              </w:rPr>
            </w:pPr>
            <w:r>
              <w:rPr>
                <w:rFonts w:ascii="Arial" w:cs="Arial" w:eastAsia="Arial" w:hAnsi="Arial"/>
                <w:sz w:val="18"/>
                <w:szCs w:val="18"/>
                <w:color w:val="auto"/>
              </w:rPr>
              <w:t>Cash, cash equivalents, and short-term investments</w:t>
            </w:r>
          </w:p>
        </w:tc>
        <w:tc>
          <w:tcPr>
            <w:tcW w:w="440" w:type="dxa"/>
            <w:vAlign w:val="bottom"/>
            <w:shd w:val="clear" w:color="auto" w:fill="E5E5E5"/>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E5E5E5"/>
          </w:tcPr>
          <w:p>
            <w:pPr>
              <w:spacing w:after="0"/>
              <w:rPr>
                <w:sz w:val="17"/>
                <w:szCs w:val="17"/>
                <w:color w:val="auto"/>
              </w:rPr>
            </w:pPr>
          </w:p>
        </w:tc>
      </w:tr>
      <w:tr>
        <w:trPr>
          <w:trHeight w:val="188"/>
        </w:trPr>
        <w:tc>
          <w:tcPr>
            <w:tcW w:w="9900" w:type="dxa"/>
            <w:vAlign w:val="bottom"/>
          </w:tcPr>
          <w:p>
            <w:pPr>
              <w:spacing w:after="0" w:line="189" w:lineRule="exact"/>
              <w:rPr>
                <w:sz w:val="20"/>
                <w:szCs w:val="20"/>
                <w:color w:val="auto"/>
              </w:rPr>
            </w:pPr>
            <w:r>
              <w:rPr>
                <w:rFonts w:ascii="Arial" w:cs="Arial" w:eastAsia="Arial" w:hAnsi="Arial"/>
                <w:sz w:val="18"/>
                <w:szCs w:val="18"/>
                <w:color w:val="auto"/>
              </w:rPr>
              <w:t>Goodwill</w:t>
            </w:r>
          </w:p>
        </w:tc>
        <w:tc>
          <w:tcPr>
            <w:tcW w:w="4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5,497</w:t>
            </w:r>
          </w:p>
        </w:tc>
        <w:tc>
          <w:tcPr>
            <w:tcW w:w="100" w:type="dxa"/>
            <w:vAlign w:val="bottom"/>
          </w:tcPr>
          <w:p>
            <w:pPr>
              <w:spacing w:after="0"/>
              <w:rPr>
                <w:sz w:val="16"/>
                <w:szCs w:val="16"/>
                <w:color w:val="auto"/>
              </w:rPr>
            </w:pPr>
          </w:p>
        </w:tc>
      </w:tr>
      <w:tr>
        <w:trPr>
          <w:trHeight w:val="188"/>
        </w:trPr>
        <w:tc>
          <w:tcPr>
            <w:tcW w:w="99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Intangible assets</w:t>
            </w:r>
          </w:p>
        </w:tc>
        <w:tc>
          <w:tcPr>
            <w:tcW w:w="44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1,267</w:t>
            </w:r>
          </w:p>
        </w:tc>
        <w:tc>
          <w:tcPr>
            <w:tcW w:w="100" w:type="dxa"/>
            <w:vAlign w:val="bottom"/>
            <w:shd w:val="clear" w:color="auto" w:fill="E5E5E5"/>
          </w:tcPr>
          <w:p>
            <w:pPr>
              <w:spacing w:after="0"/>
              <w:rPr>
                <w:sz w:val="16"/>
                <w:szCs w:val="16"/>
                <w:color w:val="auto"/>
              </w:rPr>
            </w:pPr>
          </w:p>
        </w:tc>
      </w:tr>
      <w:tr>
        <w:trPr>
          <w:trHeight w:val="188"/>
        </w:trPr>
        <w:tc>
          <w:tcPr>
            <w:tcW w:w="9900" w:type="dxa"/>
            <w:vAlign w:val="bottom"/>
          </w:tcPr>
          <w:p>
            <w:pPr>
              <w:spacing w:after="0" w:line="189" w:lineRule="exact"/>
              <w:rPr>
                <w:sz w:val="20"/>
                <w:szCs w:val="20"/>
                <w:color w:val="auto"/>
              </w:rPr>
            </w:pPr>
            <w:r>
              <w:rPr>
                <w:rFonts w:ascii="Arial" w:cs="Arial" w:eastAsia="Arial" w:hAnsi="Arial"/>
                <w:sz w:val="18"/>
                <w:szCs w:val="18"/>
                <w:color w:val="auto"/>
              </w:rPr>
              <w:t>Other assets</w:t>
            </w:r>
          </w:p>
        </w:tc>
        <w:tc>
          <w:tcPr>
            <w:tcW w:w="4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143</w:t>
            </w:r>
          </w:p>
        </w:tc>
        <w:tc>
          <w:tcPr>
            <w:tcW w:w="100" w:type="dxa"/>
            <w:vAlign w:val="bottom"/>
          </w:tcPr>
          <w:p>
            <w:pPr>
              <w:spacing w:after="0"/>
              <w:rPr>
                <w:sz w:val="16"/>
                <w:szCs w:val="16"/>
                <w:color w:val="auto"/>
              </w:rPr>
            </w:pPr>
          </w:p>
        </w:tc>
      </w:tr>
      <w:tr>
        <w:trPr>
          <w:trHeight w:val="188"/>
        </w:trPr>
        <w:tc>
          <w:tcPr>
            <w:tcW w:w="99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liabilities</w:t>
            </w:r>
          </w:p>
        </w:tc>
        <w:tc>
          <w:tcPr>
            <w:tcW w:w="4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(217)</w:t>
            </w:r>
          </w:p>
        </w:tc>
      </w:tr>
      <w:tr>
        <w:trPr>
          <w:trHeight w:val="67"/>
        </w:trPr>
        <w:tc>
          <w:tcPr>
            <w:tcW w:w="99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63"/>
        </w:trPr>
        <w:tc>
          <w:tcPr>
            <w:tcW w:w="9900" w:type="dxa"/>
            <w:vAlign w:val="bottom"/>
          </w:tcPr>
          <w:p>
            <w:pPr>
              <w:ind w:left="220"/>
              <w:spacing w:after="0"/>
              <w:rPr>
                <w:sz w:val="20"/>
                <w:szCs w:val="20"/>
                <w:color w:val="auto"/>
              </w:rPr>
            </w:pPr>
            <w:r>
              <w:rPr>
                <w:rFonts w:ascii="Arial" w:cs="Arial" w:eastAsia="Arial" w:hAnsi="Arial"/>
                <w:sz w:val="18"/>
                <w:szCs w:val="18"/>
                <w:color w:val="auto"/>
              </w:rPr>
              <w:t>Total</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6,924</w:t>
            </w:r>
          </w:p>
        </w:tc>
        <w:tc>
          <w:tcPr>
            <w:tcW w:w="100" w:type="dxa"/>
            <w:vAlign w:val="bottom"/>
          </w:tcPr>
          <w:p>
            <w:pPr>
              <w:spacing w:after="0"/>
              <w:rPr>
                <w:sz w:val="22"/>
                <w:szCs w:val="22"/>
                <w:color w:val="auto"/>
              </w:rPr>
            </w:pPr>
          </w:p>
        </w:tc>
      </w:tr>
      <w:tr>
        <w:trPr>
          <w:trHeight w:val="61"/>
        </w:trPr>
        <w:tc>
          <w:tcPr>
            <w:tcW w:w="990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bl>
    <w:p>
      <w:pPr>
        <w:spacing w:after="0" w:line="20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goodwill recognized in connection with the acquisition is primarily attributable to anticipated synergies from future growth and is not expected to be deductible for tax purposes. We assigned the goodwill to our Intelligent Cloud segment.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Following are the details of the purchase price allocated to the intangible assets acquired: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78"/>
        </w:trPr>
        <w:tc>
          <w:tcPr>
            <w:tcW w:w="4960" w:type="dxa"/>
            <w:vAlign w:val="bottom"/>
            <w:gridSpan w:val="2"/>
          </w:tcPr>
          <w:p>
            <w:pPr>
              <w:spacing w:after="0"/>
              <w:rPr>
                <w:sz w:val="20"/>
                <w:szCs w:val="20"/>
                <w:color w:val="auto"/>
              </w:rPr>
            </w:pPr>
            <w:r>
              <w:rPr>
                <w:rFonts w:ascii="Arial" w:cs="Arial" w:eastAsia="Arial" w:hAnsi="Arial"/>
                <w:sz w:val="13"/>
                <w:szCs w:val="13"/>
                <w:b w:val="1"/>
                <w:bCs w:val="1"/>
                <w:color w:val="auto"/>
              </w:rPr>
              <w:t>(In millions)</w:t>
            </w:r>
          </w:p>
        </w:tc>
        <w:tc>
          <w:tcPr>
            <w:tcW w:w="3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gridSpan w:val="2"/>
          </w:tcPr>
          <w:p>
            <w:pPr>
              <w:ind w:left="320"/>
              <w:spacing w:after="0"/>
              <w:rPr>
                <w:sz w:val="20"/>
                <w:szCs w:val="20"/>
                <w:color w:val="auto"/>
              </w:rPr>
            </w:pPr>
            <w:r>
              <w:rPr>
                <w:rFonts w:ascii="Arial" w:cs="Arial" w:eastAsia="Arial" w:hAnsi="Arial"/>
                <w:sz w:val="13"/>
                <w:szCs w:val="13"/>
                <w:b w:val="1"/>
                <w:bCs w:val="1"/>
                <w:color w:val="auto"/>
              </w:rPr>
              <w:t>Amount</w:t>
            </w:r>
          </w:p>
        </w:tc>
        <w:tc>
          <w:tcPr>
            <w:tcW w:w="12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Average Life</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940" w:type="dxa"/>
            <w:vAlign w:val="bottom"/>
            <w:tcBorders>
              <w:bottom w:val="single" w:sz="8" w:color="auto"/>
            </w:tcBorders>
          </w:tcPr>
          <w:p>
            <w:pPr>
              <w:spacing w:after="0"/>
              <w:rPr>
                <w:sz w:val="4"/>
                <w:szCs w:val="4"/>
                <w:color w:val="auto"/>
              </w:rPr>
            </w:pPr>
          </w:p>
        </w:tc>
        <w:tc>
          <w:tcPr>
            <w:tcW w:w="34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940" w:type="dxa"/>
            <w:vAlign w:val="bottom"/>
          </w:tcPr>
          <w:p>
            <w:pPr>
              <w:spacing w:after="0"/>
              <w:rPr>
                <w:sz w:val="5"/>
                <w:szCs w:val="5"/>
                <w:color w:val="auto"/>
              </w:rPr>
            </w:pPr>
          </w:p>
        </w:tc>
        <w:tc>
          <w:tcPr>
            <w:tcW w:w="3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9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Customer-related</w:t>
            </w:r>
          </w:p>
        </w:tc>
        <w:tc>
          <w:tcPr>
            <w:tcW w:w="390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color w:val="auto"/>
              </w:rPr>
              <w:t>648</w:t>
            </w:r>
          </w:p>
        </w:tc>
        <w:tc>
          <w:tcPr>
            <w:tcW w:w="12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8 years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940" w:type="dxa"/>
            <w:vAlign w:val="bottom"/>
          </w:tcPr>
          <w:p>
            <w:pPr>
              <w:spacing w:after="0" w:line="189" w:lineRule="exact"/>
              <w:rPr>
                <w:sz w:val="20"/>
                <w:szCs w:val="20"/>
                <w:color w:val="auto"/>
              </w:rPr>
            </w:pPr>
            <w:r>
              <w:rPr>
                <w:rFonts w:ascii="Arial" w:cs="Arial" w:eastAsia="Arial" w:hAnsi="Arial"/>
                <w:sz w:val="18"/>
                <w:szCs w:val="18"/>
                <w:color w:val="auto"/>
              </w:rPr>
              <w:t>Technology-based</w:t>
            </w:r>
          </w:p>
        </w:tc>
        <w:tc>
          <w:tcPr>
            <w:tcW w:w="3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gridSpan w:val="2"/>
          </w:tcPr>
          <w:p>
            <w:pPr>
              <w:jc w:val="right"/>
              <w:ind w:right="320"/>
              <w:spacing w:after="0" w:line="189" w:lineRule="exact"/>
              <w:rPr>
                <w:sz w:val="20"/>
                <w:szCs w:val="20"/>
                <w:color w:val="auto"/>
              </w:rPr>
            </w:pPr>
            <w:r>
              <w:rPr>
                <w:rFonts w:ascii="Arial" w:cs="Arial" w:eastAsia="Arial" w:hAnsi="Arial"/>
                <w:sz w:val="18"/>
                <w:szCs w:val="18"/>
                <w:color w:val="auto"/>
              </w:rPr>
              <w:t>447</w:t>
            </w:r>
          </w:p>
        </w:tc>
        <w:tc>
          <w:tcPr>
            <w:tcW w:w="12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9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Marketing-related</w:t>
            </w:r>
          </w:p>
        </w:tc>
        <w:tc>
          <w:tcPr>
            <w:tcW w:w="348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116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color w:val="auto"/>
              </w:rPr>
              <w:t>170</w:t>
            </w:r>
          </w:p>
        </w:tc>
        <w:tc>
          <w:tcPr>
            <w:tcW w:w="12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Contract-based</w:t>
            </w:r>
          </w:p>
        </w:tc>
        <w:tc>
          <w:tcPr>
            <w:tcW w:w="3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 years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940" w:type="dxa"/>
            <w:vAlign w:val="bottom"/>
            <w:tcBorders>
              <w:bottom w:val="single" w:sz="8" w:color="auto"/>
            </w:tcBorders>
          </w:tcPr>
          <w:p>
            <w:pPr>
              <w:spacing w:after="0"/>
              <w:rPr>
                <w:sz w:val="3"/>
                <w:szCs w:val="3"/>
                <w:color w:val="auto"/>
              </w:rPr>
            </w:pPr>
          </w:p>
        </w:tc>
        <w:tc>
          <w:tcPr>
            <w:tcW w:w="34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40" w:type="dxa"/>
            <w:vAlign w:val="bottom"/>
          </w:tcPr>
          <w:p>
            <w:pPr>
              <w:spacing w:after="0"/>
              <w:rPr>
                <w:sz w:val="5"/>
                <w:szCs w:val="5"/>
                <w:color w:val="auto"/>
              </w:rPr>
            </w:pPr>
          </w:p>
        </w:tc>
        <w:tc>
          <w:tcPr>
            <w:tcW w:w="3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94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390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color w:val="auto"/>
              </w:rPr>
              <w:t>1,267</w:t>
            </w:r>
          </w:p>
        </w:tc>
        <w:tc>
          <w:tcPr>
            <w:tcW w:w="12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 years</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4940" w:type="dxa"/>
            <w:vAlign w:val="bottom"/>
          </w:tcPr>
          <w:p>
            <w:pPr>
              <w:spacing w:after="0"/>
              <w:rPr>
                <w:sz w:val="6"/>
                <w:szCs w:val="6"/>
                <w:color w:val="auto"/>
              </w:rPr>
            </w:pPr>
          </w:p>
        </w:tc>
        <w:tc>
          <w:tcPr>
            <w:tcW w:w="348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Transactions recognized separately from the purchase price allocation were approximately $600 million, primarily related to equity awards recognized as expense over the related service period.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Nuance Communications, Inc.</w:t>
      </w:r>
    </w:p>
    <w:p>
      <w:pPr>
        <w:spacing w:after="0" w:line="17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 April 11, 2021, we entered into a definitive agreement to acquire Nuance Communications, Inc. (“Nuance”) for $56.00 per share in an all-cash transaction valued at $19.7 billion, inclusive of Nuance’s net debt. Nuance is a cloud and artificial intelligence (“AI”) software provider with healthcare and enterprise AI experience, and the acquisition will build on our industry-specific cloud offerings. The acquisition has been approved by Nuance’s shareholders, and we expect it to close by the end of calendar year 2021, subject to the satisfaction of certain regulatory approvals and other customary closing conditions.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78" w:name="page79"/>
    <w:bookmarkEnd w:id="78"/>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line="229" w:lineRule="exact"/>
        <w:rPr>
          <w:sz w:val="20"/>
          <w:szCs w:val="20"/>
          <w:color w:val="auto"/>
        </w:rPr>
      </w:pPr>
    </w:p>
    <w:p>
      <w:pPr>
        <w:ind w:left="4680"/>
        <w:spacing w:after="0"/>
        <w:rPr>
          <w:sz w:val="20"/>
          <w:szCs w:val="20"/>
          <w:color w:val="auto"/>
        </w:rPr>
      </w:pPr>
      <w:r>
        <w:rPr>
          <w:rFonts w:ascii="Arial" w:cs="Arial" w:eastAsia="Arial" w:hAnsi="Arial"/>
          <w:sz w:val="18"/>
          <w:szCs w:val="18"/>
          <w:u w:val="single" w:color="auto"/>
          <w:color w:val="auto"/>
        </w:rPr>
        <w:t>NOTE 9 — GOODWILL</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gridSpan w:val="2"/>
          </w:tcPr>
          <w:p>
            <w:pPr>
              <w:ind w:left="200"/>
              <w:spacing w:after="0"/>
              <w:rPr>
                <w:sz w:val="20"/>
                <w:szCs w:val="20"/>
                <w:color w:val="auto"/>
              </w:rPr>
            </w:pPr>
            <w:r>
              <w:rPr>
                <w:rFonts w:ascii="Arial" w:cs="Arial" w:eastAsia="Arial" w:hAnsi="Arial"/>
                <w:sz w:val="13"/>
                <w:szCs w:val="13"/>
                <w:b w:val="1"/>
                <w:bCs w:val="1"/>
                <w:color w:val="auto"/>
              </w:rPr>
              <w:t>June 30,</w:t>
            </w: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gridSpan w:val="2"/>
          </w:tcPr>
          <w:p>
            <w:pPr>
              <w:ind w:left="220"/>
              <w:spacing w:after="0"/>
              <w:rPr>
                <w:sz w:val="20"/>
                <w:szCs w:val="20"/>
                <w:color w:val="auto"/>
              </w:rPr>
            </w:pPr>
            <w:r>
              <w:rPr>
                <w:rFonts w:ascii="Arial" w:cs="Arial" w:eastAsia="Arial" w:hAnsi="Arial"/>
                <w:sz w:val="13"/>
                <w:szCs w:val="13"/>
                <w:b w:val="1"/>
                <w:bCs w:val="1"/>
                <w:color w:val="auto"/>
              </w:rPr>
              <w:t>June 30,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gridSpan w:val="2"/>
          </w:tcPr>
          <w:p>
            <w:pPr>
              <w:ind w:left="22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78"/>
        </w:trPr>
        <w:tc>
          <w:tcPr>
            <w:tcW w:w="2200" w:type="dxa"/>
            <w:vAlign w:val="bottom"/>
            <w:gridSpan w:val="2"/>
          </w:tcPr>
          <w:p>
            <w:pPr>
              <w:spacing w:after="0"/>
              <w:rPr>
                <w:sz w:val="20"/>
                <w:szCs w:val="20"/>
                <w:color w:val="auto"/>
              </w:rPr>
            </w:pPr>
            <w:r>
              <w:rPr>
                <w:rFonts w:ascii="Arial" w:cs="Arial" w:eastAsia="Arial" w:hAnsi="Arial"/>
                <w:sz w:val="13"/>
                <w:szCs w:val="13"/>
                <w:b w:val="1"/>
                <w:bCs w:val="1"/>
                <w:color w:val="auto"/>
              </w:rPr>
              <w:t>(In millions)</w:t>
            </w:r>
          </w:p>
        </w:tc>
        <w:tc>
          <w:tcPr>
            <w:tcW w:w="44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2019</w:t>
            </w:r>
          </w:p>
        </w:tc>
        <w:tc>
          <w:tcPr>
            <w:tcW w:w="20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Acquisitions</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Other</w:t>
            </w: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Acquisitions</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Other</w:t>
            </w:r>
          </w:p>
        </w:tc>
        <w:tc>
          <w:tcPr>
            <w:tcW w:w="30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2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2180" w:type="dxa"/>
            <w:vAlign w:val="bottom"/>
            <w:shd w:val="clear" w:color="auto" w:fill="E5E5E5"/>
          </w:tcPr>
          <w:p>
            <w:pPr>
              <w:spacing w:after="0" w:line="174" w:lineRule="exact"/>
              <w:rPr>
                <w:sz w:val="20"/>
                <w:szCs w:val="20"/>
                <w:color w:val="auto"/>
              </w:rPr>
            </w:pPr>
            <w:r>
              <w:rPr>
                <w:rFonts w:ascii="Arial" w:cs="Arial" w:eastAsia="Arial" w:hAnsi="Arial"/>
                <w:sz w:val="18"/>
                <w:szCs w:val="18"/>
                <w:color w:val="auto"/>
              </w:rPr>
              <w:t>Productivity and Business</w:t>
            </w:r>
          </w:p>
        </w:tc>
        <w:tc>
          <w:tcPr>
            <w:tcW w:w="440" w:type="dxa"/>
            <w:vAlign w:val="bottom"/>
            <w:shd w:val="clear" w:color="auto" w:fill="E5E5E5"/>
          </w:tcPr>
          <w:p>
            <w:pPr>
              <w:spacing w:after="0"/>
              <w:rPr>
                <w:sz w:val="15"/>
                <w:szCs w:val="15"/>
                <w:color w:val="auto"/>
              </w:rPr>
            </w:pPr>
          </w:p>
        </w:tc>
        <w:tc>
          <w:tcPr>
            <w:tcW w:w="740" w:type="dxa"/>
            <w:vAlign w:val="bottom"/>
            <w:shd w:val="clear" w:color="auto" w:fill="E5E5E5"/>
          </w:tcPr>
          <w:p>
            <w:pPr>
              <w:spacing w:after="0"/>
              <w:rPr>
                <w:sz w:val="15"/>
                <w:szCs w:val="15"/>
                <w:color w:val="auto"/>
              </w:rPr>
            </w:pPr>
          </w:p>
        </w:tc>
        <w:tc>
          <w:tcPr>
            <w:tcW w:w="200" w:type="dxa"/>
            <w:vAlign w:val="bottom"/>
            <w:shd w:val="clear" w:color="auto" w:fill="E5E5E5"/>
          </w:tcPr>
          <w:p>
            <w:pPr>
              <w:spacing w:after="0"/>
              <w:rPr>
                <w:sz w:val="15"/>
                <w:szCs w:val="15"/>
                <w:color w:val="auto"/>
              </w:rPr>
            </w:pPr>
          </w:p>
        </w:tc>
        <w:tc>
          <w:tcPr>
            <w:tcW w:w="200" w:type="dxa"/>
            <w:vAlign w:val="bottom"/>
            <w:shd w:val="clear" w:color="auto" w:fill="E5E5E5"/>
          </w:tcPr>
          <w:p>
            <w:pPr>
              <w:spacing w:after="0"/>
              <w:rPr>
                <w:sz w:val="15"/>
                <w:szCs w:val="15"/>
                <w:color w:val="auto"/>
              </w:rPr>
            </w:pPr>
          </w:p>
        </w:tc>
        <w:tc>
          <w:tcPr>
            <w:tcW w:w="90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380" w:type="dxa"/>
            <w:vAlign w:val="bottom"/>
            <w:shd w:val="clear" w:color="auto" w:fill="E5E5E5"/>
          </w:tcPr>
          <w:p>
            <w:pPr>
              <w:spacing w:after="0"/>
              <w:rPr>
                <w:sz w:val="15"/>
                <w:szCs w:val="15"/>
                <w:color w:val="auto"/>
              </w:rPr>
            </w:pPr>
          </w:p>
        </w:tc>
        <w:tc>
          <w:tcPr>
            <w:tcW w:w="64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280" w:type="dxa"/>
            <w:vAlign w:val="bottom"/>
            <w:vMerge w:val="restart"/>
            <w:shd w:val="clear" w:color="auto" w:fill="E5E5E5"/>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vMerge w:val="restart"/>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24,190</w:t>
            </w:r>
          </w:p>
        </w:tc>
        <w:tc>
          <w:tcPr>
            <w:tcW w:w="320" w:type="dxa"/>
            <w:vAlign w:val="bottom"/>
            <w:gridSpan w:val="2"/>
            <w:vMerge w:val="restart"/>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vMerge w:val="restart"/>
            <w:shd w:val="clear" w:color="auto" w:fill="E5E5E5"/>
          </w:tcPr>
          <w:p>
            <w:pPr>
              <w:jc w:val="right"/>
              <w:ind w:right="220"/>
              <w:spacing w:after="0"/>
              <w:rPr>
                <w:sz w:val="20"/>
                <w:szCs w:val="20"/>
                <w:color w:val="auto"/>
              </w:rPr>
            </w:pPr>
            <w:r>
              <w:rPr>
                <w:rFonts w:ascii="Arial" w:cs="Arial" w:eastAsia="Arial" w:hAnsi="Arial"/>
                <w:sz w:val="18"/>
                <w:szCs w:val="18"/>
                <w:b w:val="1"/>
                <w:bCs w:val="1"/>
                <w:color w:val="auto"/>
              </w:rPr>
              <w:t>0</w:t>
            </w:r>
          </w:p>
        </w:tc>
        <w:tc>
          <w:tcPr>
            <w:tcW w:w="400" w:type="dxa"/>
            <w:vAlign w:val="bottom"/>
            <w:gridSpan w:val="2"/>
            <w:vMerge w:val="restart"/>
            <w:shd w:val="clear" w:color="auto" w:fill="E5E5E5"/>
          </w:tcPr>
          <w:p>
            <w:pPr>
              <w:jc w:val="right"/>
              <w:ind w:right="280"/>
              <w:spacing w:after="0"/>
              <w:rPr>
                <w:sz w:val="20"/>
                <w:szCs w:val="20"/>
                <w:color w:val="auto"/>
              </w:rPr>
            </w:pPr>
            <w:r>
              <w:rPr>
                <w:rFonts w:ascii="Arial" w:cs="Arial" w:eastAsia="Arial" w:hAnsi="Arial"/>
                <w:sz w:val="18"/>
                <w:szCs w:val="18"/>
                <w:b w:val="1"/>
                <w:bCs w:val="1"/>
                <w:color w:val="auto"/>
                <w:w w:val="99"/>
              </w:rPr>
              <w:t>$</w:t>
            </w:r>
          </w:p>
        </w:tc>
        <w:tc>
          <w:tcPr>
            <w:tcW w:w="920" w:type="dxa"/>
            <w:vAlign w:val="bottom"/>
            <w:gridSpan w:val="2"/>
            <w:vMerge w:val="restart"/>
            <w:shd w:val="clear" w:color="auto" w:fill="E5E5E5"/>
          </w:tcPr>
          <w:p>
            <w:pPr>
              <w:jc w:val="right"/>
              <w:ind w:right="260"/>
              <w:spacing w:after="0"/>
              <w:rPr>
                <w:sz w:val="20"/>
                <w:szCs w:val="20"/>
                <w:color w:val="auto"/>
              </w:rPr>
            </w:pPr>
            <w:r>
              <w:rPr>
                <w:rFonts w:ascii="Arial" w:cs="Arial" w:eastAsia="Arial" w:hAnsi="Arial"/>
                <w:sz w:val="18"/>
                <w:szCs w:val="18"/>
                <w:b w:val="1"/>
                <w:bCs w:val="1"/>
                <w:color w:val="auto"/>
              </w:rPr>
              <w:t>127</w:t>
            </w:r>
          </w:p>
        </w:tc>
        <w:tc>
          <w:tcPr>
            <w:tcW w:w="300" w:type="dxa"/>
            <w:vAlign w:val="bottom"/>
            <w:vMerge w:val="restart"/>
            <w:shd w:val="clear" w:color="auto" w:fill="E5E5E5"/>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vMerge w:val="restart"/>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24,317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8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Processes</w:t>
            </w:r>
          </w:p>
        </w:tc>
        <w:tc>
          <w:tcPr>
            <w:tcW w:w="440" w:type="dxa"/>
            <w:vAlign w:val="bottom"/>
            <w:shd w:val="clear" w:color="auto" w:fill="E5E5E5"/>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24,277</w:t>
            </w:r>
          </w:p>
        </w:tc>
        <w:tc>
          <w:tcPr>
            <w:tcW w:w="200" w:type="dxa"/>
            <w:vAlign w:val="bottom"/>
            <w:shd w:val="clear" w:color="auto" w:fill="E5E5E5"/>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7</w:t>
            </w:r>
          </w:p>
        </w:tc>
        <w:tc>
          <w:tcPr>
            <w:tcW w:w="48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(94)</w:t>
            </w:r>
          </w:p>
        </w:tc>
        <w:tc>
          <w:tcPr>
            <w:tcW w:w="280" w:type="dxa"/>
            <w:vAlign w:val="bottom"/>
            <w:vMerge w:val="continue"/>
            <w:shd w:val="clear" w:color="auto" w:fill="E5E5E5"/>
          </w:tcPr>
          <w:p>
            <w:pPr>
              <w:spacing w:after="0"/>
              <w:rPr>
                <w:sz w:val="17"/>
                <w:szCs w:val="17"/>
                <w:color w:val="auto"/>
              </w:rPr>
            </w:pPr>
          </w:p>
        </w:tc>
        <w:tc>
          <w:tcPr>
            <w:tcW w:w="860" w:type="dxa"/>
            <w:vAlign w:val="bottom"/>
            <w:gridSpan w:val="2"/>
            <w:vMerge w:val="continue"/>
            <w:shd w:val="clear" w:color="auto" w:fill="E5E5E5"/>
          </w:tcPr>
          <w:p>
            <w:pPr>
              <w:spacing w:after="0"/>
              <w:rPr>
                <w:sz w:val="17"/>
                <w:szCs w:val="17"/>
                <w:color w:val="auto"/>
              </w:rPr>
            </w:pPr>
          </w:p>
        </w:tc>
        <w:tc>
          <w:tcPr>
            <w:tcW w:w="320" w:type="dxa"/>
            <w:vAlign w:val="bottom"/>
            <w:gridSpan w:val="2"/>
            <w:vMerge w:val="continue"/>
            <w:shd w:val="clear" w:color="auto" w:fill="E5E5E5"/>
          </w:tcPr>
          <w:p>
            <w:pPr>
              <w:spacing w:after="0"/>
              <w:rPr>
                <w:sz w:val="17"/>
                <w:szCs w:val="17"/>
                <w:color w:val="auto"/>
              </w:rPr>
            </w:pPr>
          </w:p>
        </w:tc>
        <w:tc>
          <w:tcPr>
            <w:tcW w:w="1160" w:type="dxa"/>
            <w:vAlign w:val="bottom"/>
            <w:gridSpan w:val="2"/>
            <w:vMerge w:val="continue"/>
            <w:shd w:val="clear" w:color="auto" w:fill="E5E5E5"/>
          </w:tcPr>
          <w:p>
            <w:pPr>
              <w:spacing w:after="0"/>
              <w:rPr>
                <w:sz w:val="17"/>
                <w:szCs w:val="17"/>
                <w:color w:val="auto"/>
              </w:rPr>
            </w:pPr>
          </w:p>
        </w:tc>
        <w:tc>
          <w:tcPr>
            <w:tcW w:w="400" w:type="dxa"/>
            <w:vAlign w:val="bottom"/>
            <w:gridSpan w:val="2"/>
            <w:vMerge w:val="continue"/>
            <w:shd w:val="clear" w:color="auto" w:fill="E5E5E5"/>
          </w:tcPr>
          <w:p>
            <w:pPr>
              <w:spacing w:after="0"/>
              <w:rPr>
                <w:sz w:val="17"/>
                <w:szCs w:val="17"/>
                <w:color w:val="auto"/>
              </w:rPr>
            </w:pPr>
          </w:p>
        </w:tc>
        <w:tc>
          <w:tcPr>
            <w:tcW w:w="920" w:type="dxa"/>
            <w:vAlign w:val="bottom"/>
            <w:gridSpan w:val="2"/>
            <w:vMerge w:val="continue"/>
            <w:shd w:val="clear" w:color="auto" w:fill="E5E5E5"/>
          </w:tcPr>
          <w:p>
            <w:pPr>
              <w:spacing w:after="0"/>
              <w:rPr>
                <w:sz w:val="17"/>
                <w:szCs w:val="17"/>
                <w:color w:val="auto"/>
              </w:rPr>
            </w:pPr>
          </w:p>
        </w:tc>
        <w:tc>
          <w:tcPr>
            <w:tcW w:w="300" w:type="dxa"/>
            <w:vAlign w:val="bottom"/>
            <w:vMerge w:val="continue"/>
            <w:shd w:val="clear" w:color="auto" w:fill="E5E5E5"/>
          </w:tcPr>
          <w:p>
            <w:pPr>
              <w:spacing w:after="0"/>
              <w:rPr>
                <w:sz w:val="17"/>
                <w:szCs w:val="17"/>
                <w:color w:val="auto"/>
              </w:rPr>
            </w:pPr>
          </w:p>
        </w:tc>
        <w:tc>
          <w:tcPr>
            <w:tcW w:w="880" w:type="dxa"/>
            <w:vAlign w:val="bottom"/>
            <w:gridSpan w:val="2"/>
            <w:vMerge w:val="continue"/>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180" w:type="dxa"/>
            <w:vAlign w:val="bottom"/>
          </w:tcPr>
          <w:p>
            <w:pPr>
              <w:spacing w:after="0" w:line="189" w:lineRule="exact"/>
              <w:rPr>
                <w:sz w:val="20"/>
                <w:szCs w:val="20"/>
                <w:color w:val="auto"/>
              </w:rPr>
            </w:pPr>
            <w:r>
              <w:rPr>
                <w:rFonts w:ascii="Arial" w:cs="Arial" w:eastAsia="Arial" w:hAnsi="Arial"/>
                <w:sz w:val="18"/>
                <w:szCs w:val="18"/>
                <w:color w:val="auto"/>
              </w:rPr>
              <w:t>Intelligent Cloud</w:t>
            </w:r>
          </w:p>
        </w:tc>
        <w:tc>
          <w:tcPr>
            <w:tcW w:w="440" w:type="dxa"/>
            <w:vAlign w:val="bottom"/>
          </w:tcPr>
          <w:p>
            <w:pPr>
              <w:spacing w:after="0"/>
              <w:rPr>
                <w:sz w:val="16"/>
                <w:szCs w:val="16"/>
                <w:color w:val="auto"/>
              </w:rPr>
            </w:pPr>
          </w:p>
        </w:tc>
        <w:tc>
          <w:tcPr>
            <w:tcW w:w="94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11,351</w:t>
            </w:r>
          </w:p>
        </w:tc>
        <w:tc>
          <w:tcPr>
            <w:tcW w:w="200" w:type="dxa"/>
            <w:vAlign w:val="bottom"/>
          </w:tcPr>
          <w:p>
            <w:pPr>
              <w:spacing w:after="0"/>
              <w:rPr>
                <w:sz w:val="16"/>
                <w:szCs w:val="16"/>
                <w:color w:val="auto"/>
              </w:rPr>
            </w:pPr>
          </w:p>
        </w:tc>
        <w:tc>
          <w:tcPr>
            <w:tcW w:w="102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1,351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(5)</w:t>
            </w:r>
          </w:p>
        </w:tc>
        <w:tc>
          <w:tcPr>
            <w:tcW w:w="280" w:type="dxa"/>
            <w:vAlign w:val="bottom"/>
          </w:tcPr>
          <w:p>
            <w:pPr>
              <w:spacing w:after="0"/>
              <w:rPr>
                <w:sz w:val="16"/>
                <w:szCs w:val="16"/>
                <w:color w:val="auto"/>
              </w:rPr>
            </w:pPr>
          </w:p>
        </w:tc>
        <w:tc>
          <w:tcPr>
            <w:tcW w:w="86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12,697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505</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tcPr>
          <w:p>
            <w:pPr>
              <w:jc w:val="right"/>
              <w:ind w:right="260"/>
              <w:spacing w:after="0" w:line="189" w:lineRule="exact"/>
              <w:rPr>
                <w:sz w:val="20"/>
                <w:szCs w:val="20"/>
                <w:color w:val="auto"/>
              </w:rPr>
            </w:pPr>
            <w:r>
              <w:rPr>
                <w:rFonts w:ascii="Arial" w:cs="Arial" w:eastAsia="Arial" w:hAnsi="Arial"/>
                <w:sz w:val="18"/>
                <w:szCs w:val="18"/>
                <w:b w:val="1"/>
                <w:bCs w:val="1"/>
                <w:color w:val="auto"/>
              </w:rPr>
              <w:t>54</w:t>
            </w:r>
          </w:p>
        </w:tc>
        <w:tc>
          <w:tcPr>
            <w:tcW w:w="300" w:type="dxa"/>
            <w:vAlign w:val="bottom"/>
          </w:tcPr>
          <w:p>
            <w:pPr>
              <w:spacing w:after="0"/>
              <w:rPr>
                <w:sz w:val="16"/>
                <w:szCs w:val="16"/>
                <w:color w:val="auto"/>
              </w:rPr>
            </w:pPr>
          </w:p>
        </w:tc>
        <w:tc>
          <w:tcPr>
            <w:tcW w:w="88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13,256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1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44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6,398</w:t>
            </w:r>
          </w:p>
        </w:tc>
        <w:tc>
          <w:tcPr>
            <w:tcW w:w="20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96</w:t>
            </w:r>
          </w:p>
        </w:tc>
        <w:tc>
          <w:tcPr>
            <w:tcW w:w="10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(30)</w:t>
            </w:r>
          </w:p>
        </w:tc>
        <w:tc>
          <w:tcPr>
            <w:tcW w:w="28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6,464</w:t>
            </w:r>
          </w:p>
        </w:tc>
        <w:tc>
          <w:tcPr>
            <w:tcW w:w="1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1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5,556</w:t>
            </w:r>
            <w:r>
              <w:rPr>
                <w:rFonts w:ascii="Arial" w:cs="Arial" w:eastAsia="Arial" w:hAnsi="Arial"/>
                <w:sz w:val="15"/>
                <w:szCs w:val="15"/>
                <w:color w:val="auto"/>
              </w:rPr>
              <w:t>(a)</w:t>
            </w:r>
          </w:p>
        </w:tc>
        <w:tc>
          <w:tcPr>
            <w:tcW w:w="2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118</w:t>
            </w:r>
            <w:r>
              <w:rPr>
                <w:rFonts w:ascii="Arial" w:cs="Arial" w:eastAsia="Arial" w:hAnsi="Arial"/>
                <w:sz w:val="15"/>
                <w:szCs w:val="15"/>
                <w:color w:val="auto"/>
              </w:rPr>
              <w:t>(a)</w:t>
            </w:r>
          </w:p>
        </w:tc>
        <w:tc>
          <w:tcPr>
            <w:tcW w:w="30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12,138</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180" w:type="dxa"/>
            <w:vAlign w:val="bottom"/>
          </w:tcPr>
          <w:p>
            <w:pPr>
              <w:ind w:left="200"/>
              <w:spacing w:after="0"/>
              <w:rPr>
                <w:sz w:val="20"/>
                <w:szCs w:val="20"/>
                <w:color w:val="auto"/>
              </w:rPr>
            </w:pPr>
            <w:r>
              <w:rPr>
                <w:rFonts w:ascii="Arial" w:cs="Arial" w:eastAsia="Arial" w:hAnsi="Arial"/>
                <w:sz w:val="18"/>
                <w:szCs w:val="18"/>
                <w:color w:val="auto"/>
              </w:rPr>
              <w:t>Total</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42,026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1,454</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(129)</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43,351</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6,061</w:t>
            </w:r>
          </w:p>
        </w:tc>
        <w:tc>
          <w:tcPr>
            <w:tcW w:w="4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Pr>
          <w:p>
            <w:pPr>
              <w:jc w:val="right"/>
              <w:ind w:right="15"/>
              <w:spacing w:after="0"/>
              <w:rPr>
                <w:sz w:val="20"/>
                <w:szCs w:val="20"/>
                <w:color w:val="auto"/>
              </w:rPr>
            </w:pPr>
            <w:r>
              <w:rPr>
                <w:rFonts w:ascii="Arial" w:cs="Arial" w:eastAsia="Arial" w:hAnsi="Arial"/>
                <w:sz w:val="18"/>
                <w:szCs w:val="18"/>
                <w:b w:val="1"/>
                <w:bCs w:val="1"/>
                <w:color w:val="auto"/>
              </w:rPr>
              <w:t>299</w:t>
            </w:r>
          </w:p>
        </w:tc>
        <w:tc>
          <w:tcPr>
            <w:tcW w:w="26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49,711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1490980</wp:posOffset>
            </wp:positionH>
            <wp:positionV relativeFrom="paragraph">
              <wp:posOffset>34290</wp:posOffset>
            </wp:positionV>
            <wp:extent cx="559498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594985" cy="17145"/>
                    </a:xfrm>
                    <a:prstGeom prst="rect">
                      <a:avLst/>
                    </a:prstGeom>
                    <a:noFill/>
                  </pic:spPr>
                </pic:pic>
              </a:graphicData>
            </a:graphic>
          </wp:anchor>
        </w:drawing>
      </w:r>
    </w:p>
    <w:p>
      <w:pPr>
        <w:spacing w:after="0" w:line="122" w:lineRule="exact"/>
        <w:rPr>
          <w:sz w:val="20"/>
          <w:szCs w:val="20"/>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Includes goodwill of $5.5 billion related to ZeniMax. See Note 8 – Business Combinations for further information</w:t>
      </w:r>
      <w:r>
        <w:rPr>
          <w:rFonts w:ascii="Arial" w:cs="Arial" w:eastAsia="Arial" w:hAnsi="Arial"/>
          <w:sz w:val="18"/>
          <w:szCs w:val="18"/>
          <w:color w:val="auto"/>
        </w:rPr>
        <w:t>.</w:t>
      </w:r>
    </w:p>
    <w:p>
      <w:pPr>
        <w:spacing w:after="0" w:line="174" w:lineRule="exact"/>
        <w:rPr>
          <w:sz w:val="20"/>
          <w:szCs w:val="20"/>
          <w:color w:val="auto"/>
        </w:rPr>
      </w:pPr>
    </w:p>
    <w:p>
      <w:pPr>
        <w:jc w:val="both"/>
        <w:ind w:right="60"/>
        <w:spacing w:after="0" w:line="239" w:lineRule="auto"/>
        <w:rPr>
          <w:sz w:val="20"/>
          <w:szCs w:val="20"/>
          <w:color w:val="auto"/>
        </w:rPr>
      </w:pPr>
      <w:r>
        <w:rPr>
          <w:rFonts w:ascii="Arial" w:cs="Arial" w:eastAsia="Arial" w:hAnsi="Arial"/>
          <w:sz w:val="18"/>
          <w:szCs w:val="18"/>
          <w:color w:val="auto"/>
        </w:rPr>
        <w:t>The measurement periods for the valuation of assets acquired and liabilities assumed end as soon as information on the facts and circumstances that existed as of the acquisition dates becomes available, but do not exceed 12 months. Adjustments in purchase price allocations may require a change in the amounts allocated to goodwill during the periods in which the adjustments are determined.</w:t>
      </w:r>
    </w:p>
    <w:p>
      <w:pPr>
        <w:spacing w:after="0" w:line="148" w:lineRule="exact"/>
        <w:rPr>
          <w:sz w:val="20"/>
          <w:szCs w:val="20"/>
          <w:color w:val="auto"/>
        </w:rPr>
      </w:pPr>
    </w:p>
    <w:p>
      <w:pPr>
        <w:jc w:val="both"/>
        <w:ind w:right="40"/>
        <w:spacing w:after="0" w:line="239" w:lineRule="auto"/>
        <w:rPr>
          <w:sz w:val="20"/>
          <w:szCs w:val="20"/>
          <w:color w:val="auto"/>
        </w:rPr>
      </w:pPr>
      <w:r>
        <w:rPr>
          <w:rFonts w:ascii="Arial" w:cs="Arial" w:eastAsia="Arial" w:hAnsi="Arial"/>
          <w:sz w:val="18"/>
          <w:szCs w:val="18"/>
          <w:color w:val="auto"/>
        </w:rPr>
        <w:t>Any change in the goodwill amounts resulting from foreign currency translations and purchase accounting adjustments are presented as “Other” in the table above. Also included in “Other” are business dispositions and transfers between segments due to reorganizations, as applicable.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Impairment</w:t>
      </w:r>
    </w:p>
    <w:p>
      <w:pPr>
        <w:spacing w:after="0" w:line="178" w:lineRule="exact"/>
        <w:rPr>
          <w:sz w:val="20"/>
          <w:szCs w:val="20"/>
          <w:color w:val="auto"/>
        </w:rPr>
      </w:pPr>
    </w:p>
    <w:p>
      <w:pPr>
        <w:jc w:val="both"/>
        <w:ind w:right="40"/>
        <w:spacing w:after="0" w:line="239" w:lineRule="auto"/>
        <w:rPr>
          <w:sz w:val="20"/>
          <w:szCs w:val="20"/>
          <w:color w:val="auto"/>
        </w:rPr>
      </w:pPr>
      <w:r>
        <w:rPr>
          <w:rFonts w:ascii="Arial" w:cs="Arial" w:eastAsia="Arial" w:hAnsi="Arial"/>
          <w:sz w:val="18"/>
          <w:szCs w:val="18"/>
          <w:color w:val="auto"/>
        </w:rPr>
        <w:t>We test goodwill for impairment annually on May 1 at the reporting unit level, primarily using a discounted cash flow methodology with a peer-based, risk-adjusted weighted average cost of capital. We believe use of a discounted cash flow approach is the most reliable indicator of the fair values of the businesses.</w:t>
      </w:r>
    </w:p>
    <w:p>
      <w:pPr>
        <w:spacing w:after="0" w:line="148" w:lineRule="exact"/>
        <w:rPr>
          <w:sz w:val="20"/>
          <w:szCs w:val="20"/>
          <w:color w:val="auto"/>
        </w:rPr>
      </w:pPr>
    </w:p>
    <w:p>
      <w:pPr>
        <w:jc w:val="both"/>
        <w:ind w:right="60"/>
        <w:spacing w:after="0" w:line="244" w:lineRule="auto"/>
        <w:rPr>
          <w:sz w:val="20"/>
          <w:szCs w:val="20"/>
          <w:color w:val="auto"/>
        </w:rPr>
      </w:pPr>
      <w:r>
        <w:rPr>
          <w:rFonts w:ascii="Arial" w:cs="Arial" w:eastAsia="Arial" w:hAnsi="Arial"/>
          <w:sz w:val="18"/>
          <w:szCs w:val="18"/>
          <w:color w:val="auto"/>
        </w:rPr>
        <w:t>No instances of impairment were identified in our May 1, 2021, May 1, 2020, or May 1, 2019 tests. As of June 30, 2021 and 2020, accumulated goodwill impairment was $11.3 billion.</w:t>
      </w:r>
    </w:p>
    <w:p>
      <w:pPr>
        <w:spacing w:after="0" w:line="211" w:lineRule="exact"/>
        <w:rPr>
          <w:sz w:val="20"/>
          <w:szCs w:val="20"/>
          <w:color w:val="auto"/>
        </w:rPr>
      </w:pPr>
    </w:p>
    <w:p>
      <w:pPr>
        <w:ind w:left="4200"/>
        <w:spacing w:after="0"/>
        <w:rPr>
          <w:sz w:val="20"/>
          <w:szCs w:val="20"/>
          <w:color w:val="auto"/>
        </w:rPr>
      </w:pPr>
      <w:r>
        <w:rPr>
          <w:rFonts w:ascii="Arial" w:cs="Arial" w:eastAsia="Arial" w:hAnsi="Arial"/>
          <w:sz w:val="18"/>
          <w:szCs w:val="18"/>
          <w:u w:val="single" w:color="auto"/>
          <w:color w:val="auto"/>
        </w:rPr>
        <w:t>NOTE 10 — INTANGIBLE ASSETS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all of which are finite-lived,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Gross</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Gross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gridSpan w:val="2"/>
          </w:tcPr>
          <w:p>
            <w:pPr>
              <w:jc w:val="right"/>
              <w:ind w:right="240"/>
              <w:spacing w:after="0" w:line="148" w:lineRule="exact"/>
              <w:rPr>
                <w:sz w:val="20"/>
                <w:szCs w:val="20"/>
                <w:color w:val="auto"/>
              </w:rPr>
            </w:pPr>
            <w:r>
              <w:rPr>
                <w:rFonts w:ascii="Arial" w:cs="Arial" w:eastAsia="Arial" w:hAnsi="Arial"/>
                <w:sz w:val="13"/>
                <w:szCs w:val="13"/>
                <w:b w:val="1"/>
                <w:bCs w:val="1"/>
                <w:color w:val="auto"/>
              </w:rPr>
              <w:t>Carrying</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140"/>
              <w:spacing w:after="0" w:line="148" w:lineRule="exact"/>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right"/>
              <w:ind w:right="100"/>
              <w:spacing w:after="0" w:line="148" w:lineRule="exact"/>
              <w:rPr>
                <w:sz w:val="20"/>
                <w:szCs w:val="20"/>
                <w:color w:val="auto"/>
              </w:rPr>
            </w:pPr>
            <w:r>
              <w:rPr>
                <w:rFonts w:ascii="Arial" w:cs="Arial" w:eastAsia="Arial" w:hAnsi="Arial"/>
                <w:sz w:val="13"/>
                <w:szCs w:val="13"/>
                <w:b w:val="1"/>
                <w:bCs w:val="1"/>
                <w:color w:val="auto"/>
              </w:rPr>
              <w:t>Net Carrying</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right"/>
              <w:ind w:right="100"/>
              <w:spacing w:after="0" w:line="148" w:lineRule="exact"/>
              <w:rPr>
                <w:sz w:val="20"/>
                <w:szCs w:val="20"/>
                <w:color w:val="auto"/>
              </w:rPr>
            </w:pPr>
            <w:r>
              <w:rPr>
                <w:rFonts w:ascii="Arial" w:cs="Arial" w:eastAsia="Arial" w:hAnsi="Arial"/>
                <w:sz w:val="13"/>
                <w:szCs w:val="13"/>
                <w:b w:val="1"/>
                <w:bCs w:val="1"/>
                <w:color w:val="auto"/>
              </w:rPr>
              <w:t>Carrying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40"/>
              <w:spacing w:after="0" w:line="148" w:lineRule="exact"/>
              <w:rPr>
                <w:sz w:val="20"/>
                <w:szCs w:val="20"/>
                <w:color w:val="auto"/>
              </w:rPr>
            </w:pPr>
            <w:r>
              <w:rPr>
                <w:rFonts w:ascii="Arial" w:cs="Arial" w:eastAsia="Arial" w:hAnsi="Arial"/>
                <w:sz w:val="13"/>
                <w:szCs w:val="13"/>
                <w:b w:val="1"/>
                <w:bCs w:val="1"/>
                <w:color w:val="auto"/>
              </w:rPr>
              <w:t>Accumulated</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100"/>
              <w:spacing w:after="0" w:line="148" w:lineRule="exact"/>
              <w:rPr>
                <w:sz w:val="20"/>
                <w:szCs w:val="20"/>
                <w:color w:val="auto"/>
              </w:rPr>
            </w:pPr>
            <w:r>
              <w:rPr>
                <w:rFonts w:ascii="Arial" w:cs="Arial" w:eastAsia="Arial" w:hAnsi="Arial"/>
                <w:sz w:val="13"/>
                <w:szCs w:val="13"/>
                <w:b w:val="1"/>
                <w:bCs w:val="1"/>
                <w:color w:val="auto"/>
              </w:rPr>
              <w:t>Net Carrying</w:t>
            </w:r>
          </w:p>
        </w:tc>
        <w:tc>
          <w:tcPr>
            <w:tcW w:w="0" w:type="dxa"/>
            <w:vAlign w:val="bottom"/>
          </w:tcPr>
          <w:p>
            <w:pPr>
              <w:spacing w:after="0"/>
              <w:rPr>
                <w:sz w:val="1"/>
                <w:szCs w:val="1"/>
                <w:color w:val="auto"/>
              </w:rPr>
            </w:pPr>
          </w:p>
        </w:tc>
      </w:tr>
      <w:tr>
        <w:trPr>
          <w:trHeight w:val="178"/>
        </w:trPr>
        <w:tc>
          <w:tcPr>
            <w:tcW w:w="3280" w:type="dxa"/>
            <w:vAlign w:val="bottom"/>
            <w:gridSpan w:val="2"/>
          </w:tcPr>
          <w:p>
            <w:pPr>
              <w:spacing w:after="0"/>
              <w:rPr>
                <w:sz w:val="20"/>
                <w:szCs w:val="20"/>
                <w:color w:val="auto"/>
              </w:rPr>
            </w:pPr>
            <w:r>
              <w:rPr>
                <w:rFonts w:ascii="Arial" w:cs="Arial" w:eastAsia="Arial" w:hAnsi="Arial"/>
                <w:sz w:val="13"/>
                <w:szCs w:val="13"/>
                <w:b w:val="1"/>
                <w:bCs w:val="1"/>
                <w:color w:val="auto"/>
              </w:rPr>
              <w:t>(In millions)</w:t>
            </w:r>
          </w:p>
        </w:tc>
        <w:tc>
          <w:tcPr>
            <w:tcW w:w="34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Amortization</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Amortization</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54"/>
        </w:trPr>
        <w:tc>
          <w:tcPr>
            <w:tcW w:w="3280" w:type="dxa"/>
            <w:vAlign w:val="bottom"/>
            <w:tcBorders>
              <w:bottom w:val="single" w:sz="8" w:color="auto"/>
            </w:tcBorders>
            <w:gridSpan w:val="2"/>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3280" w:type="dxa"/>
            <w:vAlign w:val="bottom"/>
            <w:gridSpan w:val="2"/>
          </w:tcPr>
          <w:p>
            <w:pPr>
              <w:spacing w:after="0"/>
              <w:rPr>
                <w:sz w:val="20"/>
                <w:szCs w:val="20"/>
                <w:color w:val="auto"/>
              </w:rPr>
            </w:pPr>
            <w:r>
              <w:rPr>
                <w:rFonts w:ascii="Arial" w:cs="Arial" w:eastAsia="Arial" w:hAnsi="Arial"/>
                <w:sz w:val="13"/>
                <w:szCs w:val="13"/>
                <w:b w:val="1"/>
                <w:bCs w:val="1"/>
                <w:color w:val="auto"/>
              </w:rPr>
              <w:t>June 30,</w:t>
            </w: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3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32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Technology-based</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9,779</w:t>
            </w:r>
          </w:p>
        </w:tc>
        <w:tc>
          <w:tcPr>
            <w:tcW w:w="2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(7,007)</w:t>
            </w:r>
          </w:p>
        </w:tc>
        <w:tc>
          <w:tcPr>
            <w:tcW w:w="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2,772</w:t>
            </w:r>
          </w:p>
        </w:tc>
        <w:tc>
          <w:tcPr>
            <w:tcW w:w="46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8,160</w:t>
            </w:r>
          </w:p>
        </w:tc>
        <w:tc>
          <w:tcPr>
            <w:tcW w:w="28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(6,381)</w:t>
            </w:r>
          </w:p>
        </w:tc>
        <w:tc>
          <w:tcPr>
            <w:tcW w:w="2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1,779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60" w:type="dxa"/>
            <w:vAlign w:val="bottom"/>
          </w:tcPr>
          <w:p>
            <w:pPr>
              <w:spacing w:after="0" w:line="189" w:lineRule="exact"/>
              <w:rPr>
                <w:sz w:val="20"/>
                <w:szCs w:val="20"/>
                <w:color w:val="auto"/>
              </w:rPr>
            </w:pPr>
            <w:r>
              <w:rPr>
                <w:rFonts w:ascii="Arial" w:cs="Arial" w:eastAsia="Arial" w:hAnsi="Arial"/>
                <w:sz w:val="18"/>
                <w:szCs w:val="18"/>
                <w:color w:val="auto"/>
              </w:rPr>
              <w:t>Customer-related</w:t>
            </w:r>
          </w:p>
        </w:tc>
        <w:tc>
          <w:tcPr>
            <w:tcW w:w="340" w:type="dxa"/>
            <w:vAlign w:val="bottom"/>
          </w:tcPr>
          <w:p>
            <w:pPr>
              <w:spacing w:after="0"/>
              <w:rPr>
                <w:sz w:val="16"/>
                <w:szCs w:val="16"/>
                <w:color w:val="auto"/>
              </w:rPr>
            </w:pPr>
          </w:p>
        </w:tc>
        <w:tc>
          <w:tcPr>
            <w:tcW w:w="102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4,958</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(2,859)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2,099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4,967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(2,320)</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2,647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Marketing-related</w:t>
            </w:r>
          </w:p>
        </w:tc>
        <w:tc>
          <w:tcPr>
            <w:tcW w:w="34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4,792</w:t>
            </w:r>
          </w:p>
        </w:tc>
        <w:tc>
          <w:tcPr>
            <w:tcW w:w="4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(1,878)</w:t>
            </w: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2,914</w:t>
            </w:r>
          </w:p>
        </w:tc>
        <w:tc>
          <w:tcPr>
            <w:tcW w:w="10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4,158</w:t>
            </w:r>
          </w:p>
        </w:tc>
        <w:tc>
          <w:tcPr>
            <w:tcW w:w="10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(1,588)</w:t>
            </w:r>
          </w:p>
        </w:tc>
        <w:tc>
          <w:tcPr>
            <w:tcW w:w="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2,570</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Contract-based</w:t>
            </w:r>
          </w:p>
        </w:tc>
        <w:tc>
          <w:tcPr>
            <w:tcW w:w="34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446</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(431)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(432)</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326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19,975</w:t>
            </w:r>
            <w:r>
              <w:rPr>
                <w:rFonts w:ascii="Arial" w:cs="Arial" w:eastAsia="Arial" w:hAnsi="Arial"/>
                <w:sz w:val="15"/>
                <w:szCs w:val="15"/>
                <w:b w:val="1"/>
                <w:bCs w:val="1"/>
                <w:color w:val="auto"/>
              </w:rPr>
              <w:t>(a)</w:t>
            </w:r>
          </w:p>
        </w:tc>
        <w:tc>
          <w:tcPr>
            <w:tcW w:w="2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(12,175)</w:t>
            </w:r>
          </w:p>
        </w:tc>
        <w:tc>
          <w:tcPr>
            <w:tcW w:w="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7,800</w:t>
            </w:r>
          </w:p>
        </w:tc>
        <w:tc>
          <w:tcPr>
            <w:tcW w:w="46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17,759</w:t>
            </w:r>
          </w:p>
        </w:tc>
        <w:tc>
          <w:tcPr>
            <w:tcW w:w="28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(10,721)</w:t>
            </w:r>
          </w:p>
        </w:tc>
        <w:tc>
          <w:tcPr>
            <w:tcW w:w="2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7,038</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26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540" w:hanging="532"/>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Includes intangible assets of $2.0 billion related to ZeniMax. See Note 8 – Business Combinations for further information</w:t>
      </w:r>
      <w:r>
        <w:rPr>
          <w:rFonts w:ascii="Arial" w:cs="Arial" w:eastAsia="Arial" w:hAnsi="Arial"/>
          <w:sz w:val="18"/>
          <w:szCs w:val="18"/>
          <w:color w:val="auto"/>
        </w:rPr>
        <w:t>.</w:t>
      </w:r>
    </w:p>
    <w:p>
      <w:pPr>
        <w:spacing w:after="0" w:line="174"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No material impairments of intangible assets were identified during fiscal years 2021, 2020, or 2019. We estimate that we have no significant residual value related to our intangible assets.</w:t>
      </w: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80"/>
          </w:cols>
          <w:pgMar w:left="320" w:top="137" w:right="299" w:bottom="1440" w:gutter="0" w:footer="0" w:header="0"/>
        </w:sectPr>
      </w:pPr>
    </w:p>
    <w:bookmarkStart w:id="79" w:name="page80"/>
    <w:bookmarkEnd w:id="79"/>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acquired during the periods presented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117"/>
              <w:spacing w:after="0"/>
              <w:rPr>
                <w:sz w:val="20"/>
                <w:szCs w:val="20"/>
                <w:color w:val="auto"/>
              </w:rPr>
            </w:pPr>
            <w:r>
              <w:rPr>
                <w:rFonts w:ascii="Arial" w:cs="Arial" w:eastAsia="Arial" w:hAnsi="Arial"/>
                <w:sz w:val="13"/>
                <w:szCs w:val="13"/>
                <w:b w:val="1"/>
                <w:bCs w:val="1"/>
                <w:color w:val="auto"/>
              </w:rPr>
              <w:t>Weighted</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78"/>
        </w:trPr>
        <w:tc>
          <w:tcPr>
            <w:tcW w:w="3940" w:type="dxa"/>
            <w:vAlign w:val="bottom"/>
            <w:gridSpan w:val="2"/>
          </w:tcPr>
          <w:p>
            <w:pPr>
              <w:spacing w:after="0"/>
              <w:rPr>
                <w:sz w:val="20"/>
                <w:szCs w:val="20"/>
                <w:color w:val="auto"/>
              </w:rPr>
            </w:pPr>
            <w:r>
              <w:rPr>
                <w:rFonts w:ascii="Arial" w:cs="Arial" w:eastAsia="Arial" w:hAnsi="Arial"/>
                <w:sz w:val="13"/>
                <w:szCs w:val="13"/>
                <w:b w:val="1"/>
                <w:bCs w:val="1"/>
                <w:color w:val="auto"/>
              </w:rPr>
              <w:t>(In millions)</w:t>
            </w:r>
          </w:p>
        </w:tc>
        <w:tc>
          <w:tcPr>
            <w:tcW w:w="2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Amount</w:t>
            </w:r>
          </w:p>
        </w:tc>
        <w:tc>
          <w:tcPr>
            <w:tcW w:w="1240" w:type="dxa"/>
            <w:vAlign w:val="bottom"/>
          </w:tcPr>
          <w:p>
            <w:pPr>
              <w:jc w:val="right"/>
              <w:ind w:right="117"/>
              <w:spacing w:after="0"/>
              <w:rPr>
                <w:sz w:val="20"/>
                <w:szCs w:val="20"/>
                <w:color w:val="auto"/>
              </w:rPr>
            </w:pPr>
            <w:r>
              <w:rPr>
                <w:rFonts w:ascii="Arial" w:cs="Arial" w:eastAsia="Arial" w:hAnsi="Arial"/>
                <w:sz w:val="13"/>
                <w:szCs w:val="13"/>
                <w:b w:val="1"/>
                <w:bCs w:val="1"/>
                <w:color w:val="auto"/>
              </w:rPr>
              <w:t>Average Life</w:t>
            </w:r>
          </w:p>
        </w:tc>
        <w:tc>
          <w:tcPr>
            <w:tcW w:w="30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Amount</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Average Life</w:t>
            </w:r>
          </w:p>
        </w:tc>
        <w:tc>
          <w:tcPr>
            <w:tcW w:w="0" w:type="dxa"/>
            <w:vAlign w:val="bottom"/>
          </w:tcPr>
          <w:p>
            <w:pPr>
              <w:spacing w:after="0"/>
              <w:rPr>
                <w:sz w:val="1"/>
                <w:szCs w:val="1"/>
                <w:color w:val="auto"/>
              </w:rPr>
            </w:pPr>
          </w:p>
        </w:tc>
      </w:tr>
      <w:tr>
        <w:trPr>
          <w:trHeight w:val="54"/>
        </w:trPr>
        <w:tc>
          <w:tcPr>
            <w:tcW w:w="3940" w:type="dxa"/>
            <w:vAlign w:val="bottom"/>
            <w:tcBorders>
              <w:bottom w:val="single" w:sz="8" w:color="auto"/>
            </w:tcBorders>
            <w:gridSpan w:val="2"/>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3940" w:type="dxa"/>
            <w:vAlign w:val="bottom"/>
            <w:gridSpan w:val="2"/>
          </w:tcPr>
          <w:p>
            <w:pPr>
              <w:spacing w:after="0"/>
              <w:rPr>
                <w:sz w:val="20"/>
                <w:szCs w:val="20"/>
                <w:color w:val="auto"/>
              </w:rPr>
            </w:pPr>
            <w:r>
              <w:rPr>
                <w:rFonts w:ascii="Arial" w:cs="Arial" w:eastAsia="Arial" w:hAnsi="Arial"/>
                <w:sz w:val="13"/>
                <w:szCs w:val="13"/>
                <w:b w:val="1"/>
                <w:bCs w:val="1"/>
                <w:color w:val="auto"/>
              </w:rPr>
              <w:t>Year Ended June 30,</w:t>
            </w:r>
          </w:p>
        </w:tc>
        <w:tc>
          <w:tcPr>
            <w:tcW w:w="2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2020</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3920" w:type="dxa"/>
            <w:vAlign w:val="bottom"/>
          </w:tcPr>
          <w:p>
            <w:pPr>
              <w:spacing w:after="0"/>
              <w:rPr>
                <w:sz w:val="4"/>
                <w:szCs w:val="4"/>
                <w:color w:val="auto"/>
              </w:rPr>
            </w:pPr>
          </w:p>
        </w:tc>
        <w:tc>
          <w:tcPr>
            <w:tcW w:w="2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39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Technology-based</w:t>
            </w:r>
          </w:p>
        </w:tc>
        <w:tc>
          <w:tcPr>
            <w:tcW w:w="28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1,628</w:t>
            </w:r>
          </w:p>
        </w:tc>
        <w:tc>
          <w:tcPr>
            <w:tcW w:w="1240" w:type="dxa"/>
            <w:vAlign w:val="bottom"/>
            <w:shd w:val="clear" w:color="auto" w:fill="E5E5E5"/>
          </w:tcPr>
          <w:p>
            <w:pPr>
              <w:jc w:val="right"/>
              <w:ind w:right="117"/>
              <w:spacing w:after="0" w:line="189" w:lineRule="exact"/>
              <w:rPr>
                <w:sz w:val="20"/>
                <w:szCs w:val="20"/>
                <w:color w:val="auto"/>
              </w:rPr>
            </w:pPr>
            <w:r>
              <w:rPr>
                <w:rFonts w:ascii="Arial" w:cs="Arial" w:eastAsia="Arial" w:hAnsi="Arial"/>
                <w:sz w:val="18"/>
                <w:szCs w:val="18"/>
                <w:b w:val="1"/>
                <w:bCs w:val="1"/>
                <w:color w:val="auto"/>
              </w:rPr>
              <w:t>4 years</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531</w:t>
            </w:r>
          </w:p>
        </w:tc>
        <w:tc>
          <w:tcPr>
            <w:tcW w:w="20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6 years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920" w:type="dxa"/>
            <w:vAlign w:val="bottom"/>
          </w:tcPr>
          <w:p>
            <w:pPr>
              <w:spacing w:after="0" w:line="189" w:lineRule="exact"/>
              <w:rPr>
                <w:sz w:val="20"/>
                <w:szCs w:val="20"/>
                <w:color w:val="auto"/>
              </w:rPr>
            </w:pPr>
            <w:r>
              <w:rPr>
                <w:rFonts w:ascii="Arial" w:cs="Arial" w:eastAsia="Arial" w:hAnsi="Arial"/>
                <w:sz w:val="18"/>
                <w:szCs w:val="18"/>
                <w:color w:val="auto"/>
              </w:rPr>
              <w:t>Customer-related</w:t>
            </w:r>
          </w:p>
        </w:tc>
        <w:tc>
          <w:tcPr>
            <w:tcW w:w="2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96</w:t>
            </w:r>
          </w:p>
        </w:tc>
        <w:tc>
          <w:tcPr>
            <w:tcW w:w="1240" w:type="dxa"/>
            <w:vAlign w:val="bottom"/>
          </w:tcPr>
          <w:p>
            <w:pPr>
              <w:jc w:val="right"/>
              <w:ind w:right="117"/>
              <w:spacing w:after="0" w:line="189" w:lineRule="exact"/>
              <w:rPr>
                <w:sz w:val="20"/>
                <w:szCs w:val="20"/>
                <w:color w:val="auto"/>
              </w:rPr>
            </w:pPr>
            <w:r>
              <w:rPr>
                <w:rFonts w:ascii="Arial" w:cs="Arial" w:eastAsia="Arial" w:hAnsi="Arial"/>
                <w:sz w:val="18"/>
                <w:szCs w:val="18"/>
                <w:b w:val="1"/>
                <w:bCs w:val="1"/>
                <w:color w:val="auto"/>
              </w:rPr>
              <w:t>4 years</w:t>
            </w:r>
          </w:p>
        </w:tc>
        <w:tc>
          <w:tcPr>
            <w:tcW w:w="30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303</w:t>
            </w:r>
          </w:p>
        </w:tc>
        <w:tc>
          <w:tcPr>
            <w:tcW w:w="200" w:type="dxa"/>
            <w:vAlign w:val="bottom"/>
          </w:tcPr>
          <w:p>
            <w:pPr>
              <w:spacing w:after="0"/>
              <w:rPr>
                <w:sz w:val="16"/>
                <w:szCs w:val="16"/>
                <w:color w:val="auto"/>
              </w:rPr>
            </w:pPr>
          </w:p>
        </w:tc>
        <w:tc>
          <w:tcPr>
            <w:tcW w:w="11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9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Marketing-related</w:t>
            </w:r>
          </w:p>
        </w:tc>
        <w:tc>
          <w:tcPr>
            <w:tcW w:w="248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7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625</w:t>
            </w:r>
          </w:p>
        </w:tc>
        <w:tc>
          <w:tcPr>
            <w:tcW w:w="240" w:type="dxa"/>
            <w:vAlign w:val="bottom"/>
            <w:shd w:val="clear" w:color="auto" w:fill="E5E5E5"/>
          </w:tcPr>
          <w:p>
            <w:pPr>
              <w:spacing w:after="0"/>
              <w:rPr>
                <w:sz w:val="16"/>
                <w:szCs w:val="16"/>
                <w:color w:val="auto"/>
              </w:rPr>
            </w:pPr>
          </w:p>
        </w:tc>
        <w:tc>
          <w:tcPr>
            <w:tcW w:w="1240" w:type="dxa"/>
            <w:vAlign w:val="bottom"/>
            <w:shd w:val="clear" w:color="auto" w:fill="E5E5E5"/>
          </w:tcPr>
          <w:p>
            <w:pPr>
              <w:jc w:val="right"/>
              <w:ind w:right="117"/>
              <w:spacing w:after="0" w:line="189" w:lineRule="exact"/>
              <w:rPr>
                <w:sz w:val="20"/>
                <w:szCs w:val="20"/>
                <w:color w:val="auto"/>
              </w:rPr>
            </w:pPr>
            <w:r>
              <w:rPr>
                <w:rFonts w:ascii="Arial" w:cs="Arial" w:eastAsia="Arial" w:hAnsi="Arial"/>
                <w:sz w:val="18"/>
                <w:szCs w:val="18"/>
                <w:b w:val="1"/>
                <w:bCs w:val="1"/>
                <w:color w:val="auto"/>
              </w:rPr>
              <w:t>6 years</w:t>
            </w:r>
          </w:p>
        </w:tc>
        <w:tc>
          <w:tcPr>
            <w:tcW w:w="30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2</w:t>
            </w: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 years</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Contract-based</w:t>
            </w:r>
          </w:p>
        </w:tc>
        <w:tc>
          <w:tcPr>
            <w:tcW w:w="2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10</w:t>
            </w:r>
          </w:p>
        </w:tc>
        <w:tc>
          <w:tcPr>
            <w:tcW w:w="1240" w:type="dxa"/>
            <w:vAlign w:val="bottom"/>
          </w:tcPr>
          <w:p>
            <w:pPr>
              <w:jc w:val="right"/>
              <w:ind w:right="117"/>
              <w:spacing w:after="0"/>
              <w:rPr>
                <w:sz w:val="20"/>
                <w:szCs w:val="20"/>
                <w:color w:val="auto"/>
              </w:rPr>
            </w:pPr>
            <w:r>
              <w:rPr>
                <w:rFonts w:ascii="Arial" w:cs="Arial" w:eastAsia="Arial" w:hAnsi="Arial"/>
                <w:sz w:val="18"/>
                <w:szCs w:val="18"/>
                <w:b w:val="1"/>
                <w:bCs w:val="1"/>
                <w:color w:val="auto"/>
              </w:rPr>
              <w:t>3 years</w:t>
            </w:r>
          </w:p>
        </w:tc>
        <w:tc>
          <w:tcPr>
            <w:tcW w:w="30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 years</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3920" w:type="dxa"/>
            <w:vAlign w:val="bottom"/>
            <w:tcBorders>
              <w:top w:val="single" w:sz="8" w:color="auto"/>
            </w:tcBorders>
          </w:tcPr>
          <w:p>
            <w:pPr>
              <w:spacing w:after="0"/>
              <w:rPr>
                <w:sz w:val="5"/>
                <w:szCs w:val="5"/>
                <w:color w:val="auto"/>
              </w:rPr>
            </w:pPr>
          </w:p>
        </w:tc>
        <w:tc>
          <w:tcPr>
            <w:tcW w:w="248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92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28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2,359</w:t>
            </w:r>
          </w:p>
        </w:tc>
        <w:tc>
          <w:tcPr>
            <w:tcW w:w="1240" w:type="dxa"/>
            <w:vAlign w:val="bottom"/>
            <w:shd w:val="clear" w:color="auto" w:fill="E5E5E5"/>
          </w:tcPr>
          <w:p>
            <w:pPr>
              <w:jc w:val="right"/>
              <w:ind w:right="117"/>
              <w:spacing w:after="0" w:line="189" w:lineRule="exact"/>
              <w:rPr>
                <w:sz w:val="20"/>
                <w:szCs w:val="20"/>
                <w:color w:val="auto"/>
              </w:rPr>
            </w:pPr>
            <w:r>
              <w:rPr>
                <w:rFonts w:ascii="Arial" w:cs="Arial" w:eastAsia="Arial" w:hAnsi="Arial"/>
                <w:sz w:val="18"/>
                <w:szCs w:val="18"/>
                <w:b w:val="1"/>
                <w:bCs w:val="1"/>
                <w:color w:val="auto"/>
              </w:rPr>
              <w:t>5 years</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836</w:t>
            </w:r>
          </w:p>
        </w:tc>
        <w:tc>
          <w:tcPr>
            <w:tcW w:w="20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920" w:type="dxa"/>
            <w:vAlign w:val="bottom"/>
          </w:tcPr>
          <w:p>
            <w:pPr>
              <w:spacing w:after="0"/>
              <w:rPr>
                <w:sz w:val="6"/>
                <w:szCs w:val="6"/>
                <w:color w:val="auto"/>
              </w:rPr>
            </w:pPr>
          </w:p>
        </w:tc>
        <w:tc>
          <w:tcPr>
            <w:tcW w:w="248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amortization expense was $1.6 billion, $1.6 billion, and $1.9 billion for fiscal years 2021, 2020, and 2019,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the estimated future amortization expense related to intangible assets held as of June 30, 2021:</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06437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460" w:type="dxa"/>
            <w:vAlign w:val="bottom"/>
            <w:gridSpan w:val="2"/>
          </w:tcPr>
          <w:p>
            <w:pPr>
              <w:spacing w:after="0"/>
              <w:rPr>
                <w:sz w:val="20"/>
                <w:szCs w:val="20"/>
                <w:color w:val="auto"/>
              </w:rPr>
            </w:pPr>
            <w:r>
              <w:rPr>
                <w:rFonts w:ascii="Arial" w:cs="Arial" w:eastAsia="Arial" w:hAnsi="Arial"/>
                <w:sz w:val="13"/>
                <w:szCs w:val="13"/>
                <w:b w:val="1"/>
                <w:bCs w:val="1"/>
                <w:color w:val="auto"/>
              </w:rPr>
              <w:t>Year Ending June 30,</w:t>
            </w:r>
          </w:p>
        </w:tc>
        <w:tc>
          <w:tcPr>
            <w:tcW w:w="5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3440" w:type="dxa"/>
            <w:vAlign w:val="bottom"/>
          </w:tcPr>
          <w:p>
            <w:pPr>
              <w:spacing w:after="0"/>
              <w:rPr>
                <w:sz w:val="4"/>
                <w:szCs w:val="4"/>
                <w:color w:val="auto"/>
              </w:rPr>
            </w:pPr>
          </w:p>
        </w:tc>
        <w:tc>
          <w:tcPr>
            <w:tcW w:w="58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34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2022</w:t>
            </w:r>
          </w:p>
        </w:tc>
        <w:tc>
          <w:tcPr>
            <w:tcW w:w="6600" w:type="dxa"/>
            <w:vAlign w:val="bottom"/>
            <w:gridSpan w:val="2"/>
            <w:shd w:val="clear" w:color="auto" w:fill="E5E5E5"/>
          </w:tcPr>
          <w:p>
            <w:pPr>
              <w:jc w:val="right"/>
              <w:ind w:right="620"/>
              <w:spacing w:after="0" w:line="189" w:lineRule="exact"/>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1,683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440" w:type="dxa"/>
            <w:vAlign w:val="bottom"/>
          </w:tcPr>
          <w:p>
            <w:pPr>
              <w:spacing w:after="0" w:line="189" w:lineRule="exact"/>
              <w:rPr>
                <w:sz w:val="20"/>
                <w:szCs w:val="20"/>
                <w:color w:val="auto"/>
              </w:rPr>
            </w:pPr>
            <w:r>
              <w:rPr>
                <w:rFonts w:ascii="Arial" w:cs="Arial" w:eastAsia="Arial" w:hAnsi="Arial"/>
                <w:sz w:val="18"/>
                <w:szCs w:val="18"/>
                <w:color w:val="auto"/>
              </w:rPr>
              <w:t>2023</w:t>
            </w:r>
          </w:p>
        </w:tc>
        <w:tc>
          <w:tcPr>
            <w:tcW w:w="5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1,722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4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2024</w:t>
            </w:r>
          </w:p>
        </w:tc>
        <w:tc>
          <w:tcPr>
            <w:tcW w:w="588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11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1,415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440" w:type="dxa"/>
            <w:vAlign w:val="bottom"/>
          </w:tcPr>
          <w:p>
            <w:pPr>
              <w:spacing w:after="0" w:line="189" w:lineRule="exact"/>
              <w:rPr>
                <w:sz w:val="20"/>
                <w:szCs w:val="20"/>
                <w:color w:val="auto"/>
              </w:rPr>
            </w:pPr>
            <w:r>
              <w:rPr>
                <w:rFonts w:ascii="Arial" w:cs="Arial" w:eastAsia="Arial" w:hAnsi="Arial"/>
                <w:sz w:val="18"/>
                <w:szCs w:val="18"/>
                <w:color w:val="auto"/>
              </w:rPr>
              <w:t>2025</w:t>
            </w:r>
          </w:p>
        </w:tc>
        <w:tc>
          <w:tcPr>
            <w:tcW w:w="5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755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4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2026</w:t>
            </w:r>
          </w:p>
        </w:tc>
        <w:tc>
          <w:tcPr>
            <w:tcW w:w="588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11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498</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Thereafter</w:t>
            </w:r>
          </w:p>
        </w:tc>
        <w:tc>
          <w:tcPr>
            <w:tcW w:w="58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1,727</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3440" w:type="dxa"/>
            <w:vAlign w:val="bottom"/>
            <w:tcBorders>
              <w:top w:val="single" w:sz="8" w:color="auto"/>
            </w:tcBorders>
          </w:tcPr>
          <w:p>
            <w:pPr>
              <w:spacing w:after="0"/>
              <w:rPr>
                <w:sz w:val="5"/>
                <w:szCs w:val="5"/>
                <w:color w:val="auto"/>
              </w:rPr>
            </w:pPr>
          </w:p>
        </w:tc>
        <w:tc>
          <w:tcPr>
            <w:tcW w:w="588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10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44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6600" w:type="dxa"/>
            <w:vAlign w:val="bottom"/>
            <w:gridSpan w:val="2"/>
            <w:shd w:val="clear" w:color="auto" w:fill="E5E5E5"/>
          </w:tcPr>
          <w:p>
            <w:pPr>
              <w:jc w:val="right"/>
              <w:ind w:right="620"/>
              <w:spacing w:after="0" w:line="189" w:lineRule="exact"/>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7,800</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440" w:type="dxa"/>
            <w:vAlign w:val="bottom"/>
          </w:tcPr>
          <w:p>
            <w:pPr>
              <w:spacing w:after="0"/>
              <w:rPr>
                <w:sz w:val="6"/>
                <w:szCs w:val="6"/>
                <w:color w:val="auto"/>
              </w:rPr>
            </w:pPr>
          </w:p>
        </w:tc>
        <w:tc>
          <w:tcPr>
            <w:tcW w:w="5880" w:type="dxa"/>
            <w:vAlign w:val="bottom"/>
            <w:vMerge w:val="restart"/>
          </w:tcPr>
          <w:p>
            <w:pPr>
              <w:jc w:val="right"/>
              <w:ind w:right="3556"/>
              <w:spacing w:after="0"/>
              <w:rPr>
                <w:sz w:val="20"/>
                <w:szCs w:val="20"/>
                <w:color w:val="auto"/>
              </w:rPr>
            </w:pPr>
            <w:r>
              <w:rPr>
                <w:rFonts w:ascii="Arial" w:cs="Arial" w:eastAsia="Arial" w:hAnsi="Arial"/>
                <w:sz w:val="14"/>
                <w:szCs w:val="14"/>
                <w:color w:val="auto"/>
              </w:rPr>
              <w:t>80</w:t>
            </w:r>
          </w:p>
        </w:tc>
        <w:tc>
          <w:tcPr>
            <w:tcW w:w="7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94"/>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88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440" w:type="dxa"/>
            <w:vAlign w:val="bottom"/>
            <w:tcBorders>
              <w:bottom w:val="single" w:sz="8" w:color="9A9A9A"/>
            </w:tcBorders>
          </w:tcPr>
          <w:p>
            <w:pPr>
              <w:spacing w:after="0"/>
              <w:rPr>
                <w:sz w:val="8"/>
                <w:szCs w:val="8"/>
                <w:color w:val="auto"/>
              </w:rPr>
            </w:pPr>
          </w:p>
        </w:tc>
        <w:tc>
          <w:tcPr>
            <w:tcW w:w="588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80" w:name="page81"/>
    <w:bookmarkEnd w:id="80"/>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11 — DEBT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debt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600" w:type="dxa"/>
            <w:vAlign w:val="bottom"/>
          </w:tcPr>
          <w:p>
            <w:pPr>
              <w:jc w:val="right"/>
              <w:ind w:right="514"/>
              <w:spacing w:after="0"/>
              <w:rPr>
                <w:sz w:val="20"/>
                <w:szCs w:val="20"/>
                <w:color w:val="auto"/>
              </w:rPr>
            </w:pPr>
            <w:r>
              <w:rPr>
                <w:rFonts w:ascii="Arial" w:cs="Arial" w:eastAsia="Arial" w:hAnsi="Arial"/>
                <w:sz w:val="13"/>
                <w:szCs w:val="13"/>
                <w:b w:val="1"/>
                <w:bCs w:val="1"/>
                <w:color w:val="auto"/>
              </w:rPr>
              <w:t>Maturities</w:t>
            </w:r>
          </w:p>
        </w:tc>
        <w:tc>
          <w:tcPr>
            <w:tcW w:w="1720" w:type="dxa"/>
            <w:vAlign w:val="bottom"/>
          </w:tcPr>
          <w:p>
            <w:pPr>
              <w:jc w:val="right"/>
              <w:ind w:right="394"/>
              <w:spacing w:after="0"/>
              <w:rPr>
                <w:sz w:val="20"/>
                <w:szCs w:val="20"/>
                <w:color w:val="auto"/>
              </w:rPr>
            </w:pPr>
            <w:r>
              <w:rPr>
                <w:rFonts w:ascii="Arial" w:cs="Arial" w:eastAsia="Arial" w:hAnsi="Arial"/>
                <w:sz w:val="13"/>
                <w:szCs w:val="13"/>
                <w:b w:val="1"/>
                <w:bCs w:val="1"/>
                <w:color w:val="auto"/>
              </w:rPr>
              <w:t>Stated Interest</w:t>
            </w:r>
          </w:p>
        </w:tc>
        <w:tc>
          <w:tcPr>
            <w:tcW w:w="1640" w:type="dxa"/>
            <w:vAlign w:val="bottom"/>
          </w:tcPr>
          <w:p>
            <w:pPr>
              <w:jc w:val="right"/>
              <w:ind w:right="154"/>
              <w:spacing w:after="0"/>
              <w:rPr>
                <w:sz w:val="20"/>
                <w:szCs w:val="20"/>
                <w:color w:val="auto"/>
              </w:rPr>
            </w:pPr>
            <w:r>
              <w:rPr>
                <w:rFonts w:ascii="Arial" w:cs="Arial" w:eastAsia="Arial" w:hAnsi="Arial"/>
                <w:sz w:val="13"/>
                <w:szCs w:val="13"/>
                <w:b w:val="1"/>
                <w:bCs w:val="1"/>
                <w:color w:val="auto"/>
              </w:rPr>
              <w:t>Effective Interest</w:t>
            </w:r>
          </w:p>
        </w:tc>
        <w:tc>
          <w:tcPr>
            <w:tcW w:w="520" w:type="dxa"/>
            <w:vAlign w:val="bottom"/>
          </w:tcPr>
          <w:p>
            <w:pPr>
              <w:spacing w:after="0"/>
              <w:rPr>
                <w:sz w:val="13"/>
                <w:szCs w:val="1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June 30,</w:t>
            </w:r>
          </w:p>
        </w:tc>
        <w:tc>
          <w:tcPr>
            <w:tcW w:w="340" w:type="dxa"/>
            <w:vAlign w:val="bottom"/>
          </w:tcPr>
          <w:p>
            <w:pPr>
              <w:spacing w:after="0"/>
              <w:rPr>
                <w:sz w:val="13"/>
                <w:szCs w:val="1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78"/>
        </w:trPr>
        <w:tc>
          <w:tcPr>
            <w:tcW w:w="3540" w:type="dxa"/>
            <w:vAlign w:val="bottom"/>
            <w:gridSpan w:val="2"/>
          </w:tcPr>
          <w:p>
            <w:pPr>
              <w:spacing w:after="0"/>
              <w:rPr>
                <w:sz w:val="20"/>
                <w:szCs w:val="20"/>
                <w:color w:val="auto"/>
              </w:rPr>
            </w:pPr>
            <w:r>
              <w:rPr>
                <w:rFonts w:ascii="Arial" w:cs="Arial" w:eastAsia="Arial" w:hAnsi="Arial"/>
                <w:sz w:val="13"/>
                <w:szCs w:val="13"/>
                <w:b w:val="1"/>
                <w:bCs w:val="1"/>
                <w:color w:val="auto"/>
              </w:rPr>
              <w:t>(In millions, issuance by calendar year)</w:t>
            </w:r>
          </w:p>
        </w:tc>
        <w:tc>
          <w:tcPr>
            <w:tcW w:w="1600" w:type="dxa"/>
            <w:vAlign w:val="bottom"/>
          </w:tcPr>
          <w:p>
            <w:pPr>
              <w:jc w:val="right"/>
              <w:ind w:right="334"/>
              <w:spacing w:after="0"/>
              <w:rPr>
                <w:sz w:val="20"/>
                <w:szCs w:val="20"/>
                <w:color w:val="auto"/>
              </w:rPr>
            </w:pPr>
            <w:r>
              <w:rPr>
                <w:rFonts w:ascii="Arial" w:cs="Arial" w:eastAsia="Arial" w:hAnsi="Arial"/>
                <w:sz w:val="13"/>
                <w:szCs w:val="13"/>
                <w:b w:val="1"/>
                <w:bCs w:val="1"/>
                <w:color w:val="auto"/>
              </w:rPr>
              <w:t>(calendar year)</w:t>
            </w:r>
          </w:p>
        </w:tc>
        <w:tc>
          <w:tcPr>
            <w:tcW w:w="1720" w:type="dxa"/>
            <w:vAlign w:val="bottom"/>
          </w:tcPr>
          <w:p>
            <w:pPr>
              <w:jc w:val="right"/>
              <w:ind w:right="714"/>
              <w:spacing w:after="0"/>
              <w:rPr>
                <w:sz w:val="20"/>
                <w:szCs w:val="20"/>
                <w:color w:val="auto"/>
              </w:rPr>
            </w:pPr>
            <w:r>
              <w:rPr>
                <w:rFonts w:ascii="Arial" w:cs="Arial" w:eastAsia="Arial" w:hAnsi="Arial"/>
                <w:sz w:val="13"/>
                <w:szCs w:val="13"/>
                <w:b w:val="1"/>
                <w:bCs w:val="1"/>
                <w:color w:val="auto"/>
              </w:rPr>
              <w:t>Rate</w:t>
            </w:r>
          </w:p>
        </w:tc>
        <w:tc>
          <w:tcPr>
            <w:tcW w:w="1640" w:type="dxa"/>
            <w:vAlign w:val="bottom"/>
          </w:tcPr>
          <w:p>
            <w:pPr>
              <w:jc w:val="right"/>
              <w:ind w:right="554"/>
              <w:spacing w:after="0"/>
              <w:rPr>
                <w:sz w:val="20"/>
                <w:szCs w:val="20"/>
                <w:color w:val="auto"/>
              </w:rPr>
            </w:pPr>
            <w:r>
              <w:rPr>
                <w:rFonts w:ascii="Arial" w:cs="Arial" w:eastAsia="Arial" w:hAnsi="Arial"/>
                <w:sz w:val="13"/>
                <w:szCs w:val="13"/>
                <w:b w:val="1"/>
                <w:bCs w:val="1"/>
                <w:color w:val="auto"/>
              </w:rPr>
              <w:t>Rate</w:t>
            </w:r>
          </w:p>
        </w:tc>
        <w:tc>
          <w:tcPr>
            <w:tcW w:w="520" w:type="dxa"/>
            <w:vAlign w:val="bottom"/>
          </w:tcPr>
          <w:p>
            <w:pPr>
              <w:spacing w:after="0"/>
              <w:rPr>
                <w:sz w:val="15"/>
                <w:szCs w:val="15"/>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2021</w:t>
            </w:r>
          </w:p>
        </w:tc>
        <w:tc>
          <w:tcPr>
            <w:tcW w:w="34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5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35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2009 issuance of $3.8 billion </w:t>
            </w:r>
            <w:r>
              <w:rPr>
                <w:rFonts w:ascii="Arial" w:cs="Arial" w:eastAsia="Arial" w:hAnsi="Arial"/>
                <w:sz w:val="15"/>
                <w:szCs w:val="15"/>
                <w:color w:val="auto"/>
              </w:rPr>
              <w:t>(a)</w:t>
            </w:r>
          </w:p>
        </w:tc>
        <w:tc>
          <w:tcPr>
            <w:tcW w:w="1600" w:type="dxa"/>
            <w:vAlign w:val="bottom"/>
            <w:shd w:val="clear" w:color="auto" w:fill="E5E5E5"/>
          </w:tcPr>
          <w:p>
            <w:pPr>
              <w:jc w:val="right"/>
              <w:ind w:right="194"/>
              <w:spacing w:after="0" w:line="189" w:lineRule="exact"/>
              <w:rPr>
                <w:sz w:val="20"/>
                <w:szCs w:val="20"/>
                <w:color w:val="auto"/>
              </w:rPr>
            </w:pPr>
            <w:r>
              <w:rPr>
                <w:rFonts w:ascii="Arial" w:cs="Arial" w:eastAsia="Arial" w:hAnsi="Arial"/>
                <w:sz w:val="18"/>
                <w:szCs w:val="18"/>
                <w:b w:val="1"/>
                <w:bCs w:val="1"/>
                <w:color w:val="auto"/>
              </w:rPr>
              <w:t>2039</w:t>
            </w:r>
          </w:p>
        </w:tc>
        <w:tc>
          <w:tcPr>
            <w:tcW w:w="1720" w:type="dxa"/>
            <w:vAlign w:val="bottom"/>
            <w:shd w:val="clear" w:color="auto" w:fill="E5E5E5"/>
          </w:tcPr>
          <w:p>
            <w:pPr>
              <w:jc w:val="right"/>
              <w:ind w:right="154"/>
              <w:spacing w:after="0" w:line="189" w:lineRule="exact"/>
              <w:rPr>
                <w:sz w:val="20"/>
                <w:szCs w:val="20"/>
                <w:color w:val="auto"/>
              </w:rPr>
            </w:pPr>
            <w:r>
              <w:rPr>
                <w:rFonts w:ascii="Arial" w:cs="Arial" w:eastAsia="Arial" w:hAnsi="Arial"/>
                <w:sz w:val="18"/>
                <w:szCs w:val="18"/>
                <w:b w:val="1"/>
                <w:bCs w:val="1"/>
                <w:color w:val="auto"/>
              </w:rPr>
              <w:t>5.20%</w:t>
            </w:r>
          </w:p>
        </w:tc>
        <w:tc>
          <w:tcPr>
            <w:tcW w:w="1640" w:type="dxa"/>
            <w:vAlign w:val="bottom"/>
            <w:shd w:val="clear" w:color="auto" w:fill="E5E5E5"/>
          </w:tcPr>
          <w:p>
            <w:pPr>
              <w:jc w:val="right"/>
              <w:ind w:right="114"/>
              <w:spacing w:after="0" w:line="189" w:lineRule="exact"/>
              <w:rPr>
                <w:sz w:val="20"/>
                <w:szCs w:val="20"/>
                <w:color w:val="auto"/>
              </w:rPr>
            </w:pPr>
            <w:r>
              <w:rPr>
                <w:rFonts w:ascii="Arial" w:cs="Arial" w:eastAsia="Arial" w:hAnsi="Arial"/>
                <w:sz w:val="18"/>
                <w:szCs w:val="18"/>
                <w:b w:val="1"/>
                <w:bCs w:val="1"/>
                <w:color w:val="auto"/>
              </w:rPr>
              <w:t>5.24%</w:t>
            </w:r>
          </w:p>
        </w:tc>
        <w:tc>
          <w:tcPr>
            <w:tcW w:w="520" w:type="dxa"/>
            <w:vAlign w:val="bottom"/>
            <w:shd w:val="clear" w:color="auto" w:fill="E5E5E5"/>
          </w:tcPr>
          <w:p>
            <w:pPr>
              <w:jc w:val="right"/>
              <w:ind w:right="130"/>
              <w:spacing w:after="0" w:line="189" w:lineRule="exact"/>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520</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559</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20" w:type="dxa"/>
            <w:vAlign w:val="bottom"/>
          </w:tcPr>
          <w:p>
            <w:pPr>
              <w:spacing w:after="0" w:line="189" w:lineRule="exact"/>
              <w:rPr>
                <w:sz w:val="20"/>
                <w:szCs w:val="20"/>
                <w:color w:val="auto"/>
              </w:rPr>
            </w:pPr>
            <w:r>
              <w:rPr>
                <w:rFonts w:ascii="Arial" w:cs="Arial" w:eastAsia="Arial" w:hAnsi="Arial"/>
                <w:sz w:val="18"/>
                <w:szCs w:val="18"/>
                <w:color w:val="auto"/>
              </w:rPr>
              <w:t xml:space="preserve">2010 issuance of $4.8 billion </w:t>
            </w:r>
            <w:r>
              <w:rPr>
                <w:rFonts w:ascii="Arial" w:cs="Arial" w:eastAsia="Arial" w:hAnsi="Arial"/>
                <w:sz w:val="15"/>
                <w:szCs w:val="15"/>
                <w:color w:val="auto"/>
              </w:rPr>
              <w:t>(a)</w:t>
            </w:r>
          </w:p>
        </w:tc>
        <w:tc>
          <w:tcPr>
            <w:tcW w:w="1600" w:type="dxa"/>
            <w:vAlign w:val="bottom"/>
          </w:tcPr>
          <w:p>
            <w:pPr>
              <w:jc w:val="right"/>
              <w:ind w:right="194"/>
              <w:spacing w:after="0" w:line="189" w:lineRule="exact"/>
              <w:rPr>
                <w:sz w:val="20"/>
                <w:szCs w:val="20"/>
                <w:color w:val="auto"/>
              </w:rPr>
            </w:pPr>
            <w:r>
              <w:rPr>
                <w:rFonts w:ascii="Arial" w:cs="Arial" w:eastAsia="Arial" w:hAnsi="Arial"/>
                <w:sz w:val="18"/>
                <w:szCs w:val="18"/>
                <w:b w:val="1"/>
                <w:bCs w:val="1"/>
                <w:color w:val="auto"/>
              </w:rPr>
              <w:t>2040</w:t>
            </w:r>
          </w:p>
        </w:tc>
        <w:tc>
          <w:tcPr>
            <w:tcW w:w="1720" w:type="dxa"/>
            <w:vAlign w:val="bottom"/>
          </w:tcPr>
          <w:p>
            <w:pPr>
              <w:jc w:val="right"/>
              <w:ind w:right="154"/>
              <w:spacing w:after="0" w:line="189" w:lineRule="exact"/>
              <w:rPr>
                <w:sz w:val="20"/>
                <w:szCs w:val="20"/>
                <w:color w:val="auto"/>
              </w:rPr>
            </w:pPr>
            <w:r>
              <w:rPr>
                <w:rFonts w:ascii="Arial" w:cs="Arial" w:eastAsia="Arial" w:hAnsi="Arial"/>
                <w:sz w:val="18"/>
                <w:szCs w:val="18"/>
                <w:b w:val="1"/>
                <w:bCs w:val="1"/>
                <w:color w:val="auto"/>
              </w:rPr>
              <w:t>4.50%</w:t>
            </w:r>
          </w:p>
        </w:tc>
        <w:tc>
          <w:tcPr>
            <w:tcW w:w="1640" w:type="dxa"/>
            <w:vAlign w:val="bottom"/>
          </w:tcPr>
          <w:p>
            <w:pPr>
              <w:jc w:val="right"/>
              <w:ind w:right="114"/>
              <w:spacing w:after="0" w:line="189" w:lineRule="exact"/>
              <w:rPr>
                <w:sz w:val="20"/>
                <w:szCs w:val="20"/>
                <w:color w:val="auto"/>
              </w:rPr>
            </w:pPr>
            <w:r>
              <w:rPr>
                <w:rFonts w:ascii="Arial" w:cs="Arial" w:eastAsia="Arial" w:hAnsi="Arial"/>
                <w:sz w:val="18"/>
                <w:szCs w:val="18"/>
                <w:b w:val="1"/>
                <w:bCs w:val="1"/>
                <w:color w:val="auto"/>
              </w:rPr>
              <w:t>4.57%</w:t>
            </w:r>
          </w:p>
        </w:tc>
        <w:tc>
          <w:tcPr>
            <w:tcW w:w="520" w:type="dxa"/>
            <w:vAlign w:val="bottom"/>
          </w:tcPr>
          <w:p>
            <w:pPr>
              <w:spacing w:after="0"/>
              <w:rPr>
                <w:sz w:val="16"/>
                <w:szCs w:val="16"/>
                <w:color w:val="auto"/>
              </w:rPr>
            </w:pPr>
          </w:p>
        </w:tc>
        <w:tc>
          <w:tcPr>
            <w:tcW w:w="1020" w:type="dxa"/>
            <w:vAlign w:val="bottom"/>
            <w:gridSpan w:val="2"/>
          </w:tcPr>
          <w:p>
            <w:pPr>
              <w:jc w:val="right"/>
              <w:ind w:right="260"/>
              <w:spacing w:after="0" w:line="189" w:lineRule="exact"/>
              <w:rPr>
                <w:sz w:val="20"/>
                <w:szCs w:val="20"/>
                <w:color w:val="auto"/>
              </w:rPr>
            </w:pPr>
            <w:r>
              <w:rPr>
                <w:rFonts w:ascii="Arial" w:cs="Arial" w:eastAsia="Arial" w:hAnsi="Arial"/>
                <w:sz w:val="18"/>
                <w:szCs w:val="18"/>
                <w:b w:val="1"/>
                <w:bCs w:val="1"/>
                <w:color w:val="auto"/>
              </w:rPr>
              <w:t>486</w:t>
            </w:r>
          </w:p>
        </w:tc>
        <w:tc>
          <w:tcPr>
            <w:tcW w:w="340" w:type="dxa"/>
            <w:vAlign w:val="bottom"/>
          </w:tcPr>
          <w:p>
            <w:pPr>
              <w:spacing w:after="0"/>
              <w:rPr>
                <w:sz w:val="16"/>
                <w:szCs w:val="16"/>
                <w:color w:val="auto"/>
              </w:rPr>
            </w:pPr>
          </w:p>
        </w:tc>
        <w:tc>
          <w:tcPr>
            <w:tcW w:w="8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2011 issuance of $2.3 billion </w:t>
            </w:r>
            <w:r>
              <w:rPr>
                <w:rFonts w:ascii="Arial" w:cs="Arial" w:eastAsia="Arial" w:hAnsi="Arial"/>
                <w:sz w:val="15"/>
                <w:szCs w:val="15"/>
                <w:color w:val="auto"/>
              </w:rPr>
              <w:t>(a)</w:t>
            </w:r>
          </w:p>
        </w:tc>
        <w:tc>
          <w:tcPr>
            <w:tcW w:w="1600" w:type="dxa"/>
            <w:vAlign w:val="bottom"/>
            <w:shd w:val="clear" w:color="auto" w:fill="E5E5E5"/>
          </w:tcPr>
          <w:p>
            <w:pPr>
              <w:jc w:val="right"/>
              <w:ind w:right="194"/>
              <w:spacing w:after="0" w:line="189" w:lineRule="exact"/>
              <w:rPr>
                <w:sz w:val="20"/>
                <w:szCs w:val="20"/>
                <w:color w:val="auto"/>
              </w:rPr>
            </w:pPr>
            <w:r>
              <w:rPr>
                <w:rFonts w:ascii="Arial" w:cs="Arial" w:eastAsia="Arial" w:hAnsi="Arial"/>
                <w:sz w:val="18"/>
                <w:szCs w:val="18"/>
                <w:b w:val="1"/>
                <w:bCs w:val="1"/>
                <w:color w:val="auto"/>
              </w:rPr>
              <w:t>2041</w:t>
            </w:r>
          </w:p>
        </w:tc>
        <w:tc>
          <w:tcPr>
            <w:tcW w:w="1720" w:type="dxa"/>
            <w:vAlign w:val="bottom"/>
            <w:shd w:val="clear" w:color="auto" w:fill="E5E5E5"/>
          </w:tcPr>
          <w:p>
            <w:pPr>
              <w:jc w:val="right"/>
              <w:ind w:right="154"/>
              <w:spacing w:after="0" w:line="189" w:lineRule="exact"/>
              <w:rPr>
                <w:sz w:val="20"/>
                <w:szCs w:val="20"/>
                <w:color w:val="auto"/>
              </w:rPr>
            </w:pPr>
            <w:r>
              <w:rPr>
                <w:rFonts w:ascii="Arial" w:cs="Arial" w:eastAsia="Arial" w:hAnsi="Arial"/>
                <w:sz w:val="18"/>
                <w:szCs w:val="18"/>
                <w:b w:val="1"/>
                <w:bCs w:val="1"/>
                <w:color w:val="auto"/>
              </w:rPr>
              <w:t>5.30%</w:t>
            </w:r>
          </w:p>
        </w:tc>
        <w:tc>
          <w:tcPr>
            <w:tcW w:w="1640" w:type="dxa"/>
            <w:vAlign w:val="bottom"/>
            <w:shd w:val="clear" w:color="auto" w:fill="E5E5E5"/>
          </w:tcPr>
          <w:p>
            <w:pPr>
              <w:jc w:val="right"/>
              <w:ind w:right="114"/>
              <w:spacing w:after="0" w:line="189" w:lineRule="exact"/>
              <w:rPr>
                <w:sz w:val="20"/>
                <w:szCs w:val="20"/>
                <w:color w:val="auto"/>
              </w:rPr>
            </w:pPr>
            <w:r>
              <w:rPr>
                <w:rFonts w:ascii="Arial" w:cs="Arial" w:eastAsia="Arial" w:hAnsi="Arial"/>
                <w:sz w:val="18"/>
                <w:szCs w:val="18"/>
                <w:b w:val="1"/>
                <w:bCs w:val="1"/>
                <w:color w:val="auto"/>
              </w:rPr>
              <w:t>5.36%</w:t>
            </w:r>
          </w:p>
        </w:tc>
        <w:tc>
          <w:tcPr>
            <w:tcW w:w="52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718</w:t>
            </w:r>
          </w:p>
        </w:tc>
        <w:tc>
          <w:tcPr>
            <w:tcW w:w="3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2012 issuance of $2.3 billion (a)</w:t>
            </w:r>
          </w:p>
        </w:tc>
        <w:tc>
          <w:tcPr>
            <w:tcW w:w="1600" w:type="dxa"/>
            <w:vAlign w:val="bottom"/>
          </w:tcPr>
          <w:p>
            <w:pPr>
              <w:jc w:val="right"/>
              <w:ind w:right="194"/>
              <w:spacing w:after="0"/>
              <w:rPr>
                <w:sz w:val="20"/>
                <w:szCs w:val="20"/>
                <w:color w:val="auto"/>
              </w:rPr>
            </w:pPr>
            <w:r>
              <w:rPr>
                <w:rFonts w:ascii="Arial" w:cs="Arial" w:eastAsia="Arial" w:hAnsi="Arial"/>
                <w:sz w:val="18"/>
                <w:szCs w:val="18"/>
                <w:b w:val="1"/>
                <w:bCs w:val="1"/>
                <w:color w:val="auto"/>
              </w:rPr>
              <w:t>2022 – 2042</w:t>
            </w:r>
          </w:p>
        </w:tc>
        <w:tc>
          <w:tcPr>
            <w:tcW w:w="1720" w:type="dxa"/>
            <w:vAlign w:val="bottom"/>
          </w:tcPr>
          <w:p>
            <w:pPr>
              <w:jc w:val="right"/>
              <w:ind w:right="154"/>
              <w:spacing w:after="0"/>
              <w:rPr>
                <w:sz w:val="20"/>
                <w:szCs w:val="20"/>
                <w:color w:val="auto"/>
              </w:rPr>
            </w:pPr>
            <w:r>
              <w:rPr>
                <w:rFonts w:ascii="Arial" w:cs="Arial" w:eastAsia="Arial" w:hAnsi="Arial"/>
                <w:sz w:val="18"/>
                <w:szCs w:val="18"/>
                <w:b w:val="1"/>
                <w:bCs w:val="1"/>
                <w:color w:val="auto"/>
              </w:rPr>
              <w:t>2.13% – 3.50%</w:t>
            </w:r>
          </w:p>
        </w:tc>
        <w:tc>
          <w:tcPr>
            <w:tcW w:w="1640" w:type="dxa"/>
            <w:vAlign w:val="bottom"/>
          </w:tcPr>
          <w:p>
            <w:pPr>
              <w:jc w:val="right"/>
              <w:ind w:right="114"/>
              <w:spacing w:after="0"/>
              <w:rPr>
                <w:sz w:val="20"/>
                <w:szCs w:val="20"/>
                <w:color w:val="auto"/>
              </w:rPr>
            </w:pPr>
            <w:r>
              <w:rPr>
                <w:rFonts w:ascii="Arial" w:cs="Arial" w:eastAsia="Arial" w:hAnsi="Arial"/>
                <w:sz w:val="18"/>
                <w:szCs w:val="18"/>
                <w:b w:val="1"/>
                <w:bCs w:val="1"/>
                <w:color w:val="auto"/>
              </w:rPr>
              <w:t>2.24% – 3.57%</w:t>
            </w:r>
          </w:p>
        </w:tc>
        <w:tc>
          <w:tcPr>
            <w:tcW w:w="5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1,204</w:t>
            </w:r>
          </w:p>
        </w:tc>
        <w:tc>
          <w:tcPr>
            <w:tcW w:w="3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2013 issuance of $5.2 billion </w:t>
            </w:r>
            <w:r>
              <w:rPr>
                <w:rFonts w:ascii="Arial" w:cs="Arial" w:eastAsia="Arial" w:hAnsi="Arial"/>
                <w:sz w:val="15"/>
                <w:szCs w:val="15"/>
                <w:color w:val="auto"/>
              </w:rPr>
              <w:t>(a)</w:t>
            </w:r>
          </w:p>
        </w:tc>
        <w:tc>
          <w:tcPr>
            <w:tcW w:w="1600" w:type="dxa"/>
            <w:vAlign w:val="bottom"/>
            <w:shd w:val="clear" w:color="auto" w:fill="E5E5E5"/>
          </w:tcPr>
          <w:p>
            <w:pPr>
              <w:jc w:val="right"/>
              <w:ind w:right="194"/>
              <w:spacing w:after="0" w:line="189" w:lineRule="exact"/>
              <w:rPr>
                <w:sz w:val="20"/>
                <w:szCs w:val="20"/>
                <w:color w:val="auto"/>
              </w:rPr>
            </w:pPr>
            <w:r>
              <w:rPr>
                <w:rFonts w:ascii="Arial" w:cs="Arial" w:eastAsia="Arial" w:hAnsi="Arial"/>
                <w:sz w:val="18"/>
                <w:szCs w:val="18"/>
                <w:b w:val="1"/>
                <w:bCs w:val="1"/>
                <w:color w:val="auto"/>
              </w:rPr>
              <w:t>2023 – 2043</w:t>
            </w:r>
          </w:p>
        </w:tc>
        <w:tc>
          <w:tcPr>
            <w:tcW w:w="1720" w:type="dxa"/>
            <w:vAlign w:val="bottom"/>
            <w:shd w:val="clear" w:color="auto" w:fill="E5E5E5"/>
          </w:tcPr>
          <w:p>
            <w:pPr>
              <w:jc w:val="right"/>
              <w:ind w:right="154"/>
              <w:spacing w:after="0" w:line="189" w:lineRule="exact"/>
              <w:rPr>
                <w:sz w:val="20"/>
                <w:szCs w:val="20"/>
                <w:color w:val="auto"/>
              </w:rPr>
            </w:pPr>
            <w:r>
              <w:rPr>
                <w:rFonts w:ascii="Arial" w:cs="Arial" w:eastAsia="Arial" w:hAnsi="Arial"/>
                <w:sz w:val="18"/>
                <w:szCs w:val="18"/>
                <w:b w:val="1"/>
                <w:bCs w:val="1"/>
                <w:color w:val="auto"/>
              </w:rPr>
              <w:t>2.38% – 4.88%</w:t>
            </w:r>
          </w:p>
        </w:tc>
        <w:tc>
          <w:tcPr>
            <w:tcW w:w="1640" w:type="dxa"/>
            <w:vAlign w:val="bottom"/>
            <w:shd w:val="clear" w:color="auto" w:fill="E5E5E5"/>
          </w:tcPr>
          <w:p>
            <w:pPr>
              <w:jc w:val="right"/>
              <w:ind w:right="114"/>
              <w:spacing w:after="0" w:line="189" w:lineRule="exact"/>
              <w:rPr>
                <w:sz w:val="20"/>
                <w:szCs w:val="20"/>
                <w:color w:val="auto"/>
              </w:rPr>
            </w:pPr>
            <w:r>
              <w:rPr>
                <w:rFonts w:ascii="Arial" w:cs="Arial" w:eastAsia="Arial" w:hAnsi="Arial"/>
                <w:sz w:val="18"/>
                <w:szCs w:val="18"/>
                <w:b w:val="1"/>
                <w:bCs w:val="1"/>
                <w:color w:val="auto"/>
              </w:rPr>
              <w:t>2.47% – 4.92%</w:t>
            </w:r>
          </w:p>
        </w:tc>
        <w:tc>
          <w:tcPr>
            <w:tcW w:w="52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2,814</w:t>
            </w:r>
          </w:p>
        </w:tc>
        <w:tc>
          <w:tcPr>
            <w:tcW w:w="3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2,919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20" w:type="dxa"/>
            <w:vAlign w:val="bottom"/>
          </w:tcPr>
          <w:p>
            <w:pPr>
              <w:spacing w:after="0" w:line="189" w:lineRule="exact"/>
              <w:rPr>
                <w:sz w:val="20"/>
                <w:szCs w:val="20"/>
                <w:color w:val="auto"/>
              </w:rPr>
            </w:pPr>
            <w:r>
              <w:rPr>
                <w:rFonts w:ascii="Arial" w:cs="Arial" w:eastAsia="Arial" w:hAnsi="Arial"/>
                <w:sz w:val="18"/>
                <w:szCs w:val="18"/>
                <w:color w:val="auto"/>
              </w:rPr>
              <w:t>2013 issuance of €4.1 billion</w:t>
            </w:r>
          </w:p>
        </w:tc>
        <w:tc>
          <w:tcPr>
            <w:tcW w:w="1600" w:type="dxa"/>
            <w:vAlign w:val="bottom"/>
          </w:tcPr>
          <w:p>
            <w:pPr>
              <w:jc w:val="right"/>
              <w:ind w:right="194"/>
              <w:spacing w:after="0" w:line="189" w:lineRule="exact"/>
              <w:rPr>
                <w:sz w:val="20"/>
                <w:szCs w:val="20"/>
                <w:color w:val="auto"/>
              </w:rPr>
            </w:pPr>
            <w:r>
              <w:rPr>
                <w:rFonts w:ascii="Arial" w:cs="Arial" w:eastAsia="Arial" w:hAnsi="Arial"/>
                <w:sz w:val="18"/>
                <w:szCs w:val="18"/>
                <w:b w:val="1"/>
                <w:bCs w:val="1"/>
                <w:color w:val="auto"/>
              </w:rPr>
              <w:t>2021 – 2033</w:t>
            </w:r>
          </w:p>
        </w:tc>
        <w:tc>
          <w:tcPr>
            <w:tcW w:w="1720" w:type="dxa"/>
            <w:vAlign w:val="bottom"/>
          </w:tcPr>
          <w:p>
            <w:pPr>
              <w:jc w:val="right"/>
              <w:ind w:right="154"/>
              <w:spacing w:after="0" w:line="189" w:lineRule="exact"/>
              <w:rPr>
                <w:sz w:val="20"/>
                <w:szCs w:val="20"/>
                <w:color w:val="auto"/>
              </w:rPr>
            </w:pPr>
            <w:r>
              <w:rPr>
                <w:rFonts w:ascii="Arial" w:cs="Arial" w:eastAsia="Arial" w:hAnsi="Arial"/>
                <w:sz w:val="18"/>
                <w:szCs w:val="18"/>
                <w:b w:val="1"/>
                <w:bCs w:val="1"/>
                <w:color w:val="auto"/>
              </w:rPr>
              <w:t>2.13% – 3.13%</w:t>
            </w:r>
          </w:p>
        </w:tc>
        <w:tc>
          <w:tcPr>
            <w:tcW w:w="1640" w:type="dxa"/>
            <w:vAlign w:val="bottom"/>
          </w:tcPr>
          <w:p>
            <w:pPr>
              <w:jc w:val="right"/>
              <w:ind w:right="114"/>
              <w:spacing w:after="0" w:line="189" w:lineRule="exact"/>
              <w:rPr>
                <w:sz w:val="20"/>
                <w:szCs w:val="20"/>
                <w:color w:val="auto"/>
              </w:rPr>
            </w:pPr>
            <w:r>
              <w:rPr>
                <w:rFonts w:ascii="Arial" w:cs="Arial" w:eastAsia="Arial" w:hAnsi="Arial"/>
                <w:sz w:val="18"/>
                <w:szCs w:val="18"/>
                <w:b w:val="1"/>
                <w:bCs w:val="1"/>
                <w:color w:val="auto"/>
              </w:rPr>
              <w:t>2.23% – 3.22%</w:t>
            </w:r>
          </w:p>
        </w:tc>
        <w:tc>
          <w:tcPr>
            <w:tcW w:w="520" w:type="dxa"/>
            <w:vAlign w:val="bottom"/>
          </w:tcPr>
          <w:p>
            <w:pPr>
              <w:spacing w:after="0"/>
              <w:rPr>
                <w:sz w:val="16"/>
                <w:szCs w:val="16"/>
                <w:color w:val="auto"/>
              </w:rPr>
            </w:pPr>
          </w:p>
        </w:tc>
        <w:tc>
          <w:tcPr>
            <w:tcW w:w="1020" w:type="dxa"/>
            <w:vAlign w:val="bottom"/>
            <w:gridSpan w:val="2"/>
          </w:tcPr>
          <w:p>
            <w:pPr>
              <w:jc w:val="right"/>
              <w:ind w:right="260"/>
              <w:spacing w:after="0" w:line="189" w:lineRule="exact"/>
              <w:rPr>
                <w:sz w:val="20"/>
                <w:szCs w:val="20"/>
                <w:color w:val="auto"/>
              </w:rPr>
            </w:pPr>
            <w:r>
              <w:rPr>
                <w:rFonts w:ascii="Arial" w:cs="Arial" w:eastAsia="Arial" w:hAnsi="Arial"/>
                <w:sz w:val="18"/>
                <w:szCs w:val="18"/>
                <w:b w:val="1"/>
                <w:bCs w:val="1"/>
                <w:color w:val="auto"/>
              </w:rPr>
              <w:t>4,803</w:t>
            </w:r>
          </w:p>
        </w:tc>
        <w:tc>
          <w:tcPr>
            <w:tcW w:w="340" w:type="dxa"/>
            <w:vAlign w:val="bottom"/>
          </w:tcPr>
          <w:p>
            <w:pPr>
              <w:spacing w:after="0"/>
              <w:rPr>
                <w:sz w:val="16"/>
                <w:szCs w:val="16"/>
                <w:color w:val="auto"/>
              </w:rPr>
            </w:pPr>
          </w:p>
        </w:tc>
        <w:tc>
          <w:tcPr>
            <w:tcW w:w="8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4,549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2015 issuance of $23.8 billion </w:t>
            </w:r>
            <w:r>
              <w:rPr>
                <w:rFonts w:ascii="Arial" w:cs="Arial" w:eastAsia="Arial" w:hAnsi="Arial"/>
                <w:sz w:val="15"/>
                <w:szCs w:val="15"/>
                <w:color w:val="auto"/>
              </w:rPr>
              <w:t>(a)</w:t>
            </w:r>
          </w:p>
        </w:tc>
        <w:tc>
          <w:tcPr>
            <w:tcW w:w="1600" w:type="dxa"/>
            <w:vAlign w:val="bottom"/>
            <w:shd w:val="clear" w:color="auto" w:fill="E5E5E5"/>
          </w:tcPr>
          <w:p>
            <w:pPr>
              <w:jc w:val="right"/>
              <w:ind w:right="194"/>
              <w:spacing w:after="0" w:line="189" w:lineRule="exact"/>
              <w:rPr>
                <w:sz w:val="20"/>
                <w:szCs w:val="20"/>
                <w:color w:val="auto"/>
              </w:rPr>
            </w:pPr>
            <w:r>
              <w:rPr>
                <w:rFonts w:ascii="Arial" w:cs="Arial" w:eastAsia="Arial" w:hAnsi="Arial"/>
                <w:sz w:val="18"/>
                <w:szCs w:val="18"/>
                <w:b w:val="1"/>
                <w:bCs w:val="1"/>
                <w:color w:val="auto"/>
              </w:rPr>
              <w:t>2022 – 2055</w:t>
            </w:r>
          </w:p>
        </w:tc>
        <w:tc>
          <w:tcPr>
            <w:tcW w:w="1720" w:type="dxa"/>
            <w:vAlign w:val="bottom"/>
            <w:shd w:val="clear" w:color="auto" w:fill="E5E5E5"/>
          </w:tcPr>
          <w:p>
            <w:pPr>
              <w:jc w:val="right"/>
              <w:ind w:right="154"/>
              <w:spacing w:after="0" w:line="189" w:lineRule="exact"/>
              <w:rPr>
                <w:sz w:val="20"/>
                <w:szCs w:val="20"/>
                <w:color w:val="auto"/>
              </w:rPr>
            </w:pPr>
            <w:r>
              <w:rPr>
                <w:rFonts w:ascii="Arial" w:cs="Arial" w:eastAsia="Arial" w:hAnsi="Arial"/>
                <w:sz w:val="18"/>
                <w:szCs w:val="18"/>
                <w:b w:val="1"/>
                <w:bCs w:val="1"/>
                <w:color w:val="auto"/>
              </w:rPr>
              <w:t>2.38% – 4.75%</w:t>
            </w:r>
          </w:p>
        </w:tc>
        <w:tc>
          <w:tcPr>
            <w:tcW w:w="1640" w:type="dxa"/>
            <w:vAlign w:val="bottom"/>
            <w:shd w:val="clear" w:color="auto" w:fill="E5E5E5"/>
          </w:tcPr>
          <w:p>
            <w:pPr>
              <w:jc w:val="right"/>
              <w:ind w:right="114"/>
              <w:spacing w:after="0" w:line="189" w:lineRule="exact"/>
              <w:rPr>
                <w:sz w:val="20"/>
                <w:szCs w:val="20"/>
                <w:color w:val="auto"/>
              </w:rPr>
            </w:pPr>
            <w:r>
              <w:rPr>
                <w:rFonts w:ascii="Arial" w:cs="Arial" w:eastAsia="Arial" w:hAnsi="Arial"/>
                <w:sz w:val="18"/>
                <w:szCs w:val="18"/>
                <w:b w:val="1"/>
                <w:bCs w:val="1"/>
                <w:color w:val="auto"/>
              </w:rPr>
              <w:t>2.47% – 4.78%</w:t>
            </w:r>
          </w:p>
        </w:tc>
        <w:tc>
          <w:tcPr>
            <w:tcW w:w="52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12,305</w:t>
            </w:r>
          </w:p>
        </w:tc>
        <w:tc>
          <w:tcPr>
            <w:tcW w:w="3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15,549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20" w:type="dxa"/>
            <w:vAlign w:val="bottom"/>
          </w:tcPr>
          <w:p>
            <w:pPr>
              <w:spacing w:after="0" w:line="189" w:lineRule="exact"/>
              <w:rPr>
                <w:sz w:val="20"/>
                <w:szCs w:val="20"/>
                <w:color w:val="auto"/>
              </w:rPr>
            </w:pPr>
            <w:r>
              <w:rPr>
                <w:rFonts w:ascii="Arial" w:cs="Arial" w:eastAsia="Arial" w:hAnsi="Arial"/>
                <w:sz w:val="18"/>
                <w:szCs w:val="18"/>
                <w:color w:val="auto"/>
              </w:rPr>
              <w:t xml:space="preserve">2016 issuance of $19.8 billion </w:t>
            </w:r>
            <w:r>
              <w:rPr>
                <w:rFonts w:ascii="Arial" w:cs="Arial" w:eastAsia="Arial" w:hAnsi="Arial"/>
                <w:sz w:val="15"/>
                <w:szCs w:val="15"/>
                <w:color w:val="auto"/>
              </w:rPr>
              <w:t>(a)</w:t>
            </w:r>
          </w:p>
        </w:tc>
        <w:tc>
          <w:tcPr>
            <w:tcW w:w="1600" w:type="dxa"/>
            <w:vAlign w:val="bottom"/>
          </w:tcPr>
          <w:p>
            <w:pPr>
              <w:jc w:val="right"/>
              <w:ind w:right="194"/>
              <w:spacing w:after="0" w:line="189" w:lineRule="exact"/>
              <w:rPr>
                <w:sz w:val="20"/>
                <w:szCs w:val="20"/>
                <w:color w:val="auto"/>
              </w:rPr>
            </w:pPr>
            <w:r>
              <w:rPr>
                <w:rFonts w:ascii="Arial" w:cs="Arial" w:eastAsia="Arial" w:hAnsi="Arial"/>
                <w:sz w:val="18"/>
                <w:szCs w:val="18"/>
                <w:b w:val="1"/>
                <w:bCs w:val="1"/>
                <w:color w:val="auto"/>
              </w:rPr>
              <w:t>2021 – 2056</w:t>
            </w:r>
          </w:p>
        </w:tc>
        <w:tc>
          <w:tcPr>
            <w:tcW w:w="1720" w:type="dxa"/>
            <w:vAlign w:val="bottom"/>
          </w:tcPr>
          <w:p>
            <w:pPr>
              <w:jc w:val="right"/>
              <w:ind w:right="154"/>
              <w:spacing w:after="0" w:line="189" w:lineRule="exact"/>
              <w:rPr>
                <w:sz w:val="20"/>
                <w:szCs w:val="20"/>
                <w:color w:val="auto"/>
              </w:rPr>
            </w:pPr>
            <w:r>
              <w:rPr>
                <w:rFonts w:ascii="Arial" w:cs="Arial" w:eastAsia="Arial" w:hAnsi="Arial"/>
                <w:sz w:val="18"/>
                <w:szCs w:val="18"/>
                <w:b w:val="1"/>
                <w:bCs w:val="1"/>
                <w:color w:val="auto"/>
              </w:rPr>
              <w:t>1.55% – 3.95%</w:t>
            </w:r>
          </w:p>
        </w:tc>
        <w:tc>
          <w:tcPr>
            <w:tcW w:w="1640" w:type="dxa"/>
            <w:vAlign w:val="bottom"/>
          </w:tcPr>
          <w:p>
            <w:pPr>
              <w:jc w:val="right"/>
              <w:ind w:right="114"/>
              <w:spacing w:after="0" w:line="189" w:lineRule="exact"/>
              <w:rPr>
                <w:sz w:val="20"/>
                <w:szCs w:val="20"/>
                <w:color w:val="auto"/>
              </w:rPr>
            </w:pPr>
            <w:r>
              <w:rPr>
                <w:rFonts w:ascii="Arial" w:cs="Arial" w:eastAsia="Arial" w:hAnsi="Arial"/>
                <w:sz w:val="18"/>
                <w:szCs w:val="18"/>
                <w:b w:val="1"/>
                <w:bCs w:val="1"/>
                <w:color w:val="auto"/>
              </w:rPr>
              <w:t>1.64% – 4.03%</w:t>
            </w:r>
          </w:p>
        </w:tc>
        <w:tc>
          <w:tcPr>
            <w:tcW w:w="520" w:type="dxa"/>
            <w:vAlign w:val="bottom"/>
          </w:tcPr>
          <w:p>
            <w:pPr>
              <w:spacing w:after="0"/>
              <w:rPr>
                <w:sz w:val="16"/>
                <w:szCs w:val="16"/>
                <w:color w:val="auto"/>
              </w:rPr>
            </w:pPr>
          </w:p>
        </w:tc>
        <w:tc>
          <w:tcPr>
            <w:tcW w:w="1020" w:type="dxa"/>
            <w:vAlign w:val="bottom"/>
            <w:gridSpan w:val="2"/>
          </w:tcPr>
          <w:p>
            <w:pPr>
              <w:jc w:val="right"/>
              <w:ind w:right="260"/>
              <w:spacing w:after="0" w:line="189" w:lineRule="exact"/>
              <w:rPr>
                <w:sz w:val="20"/>
                <w:szCs w:val="20"/>
                <w:color w:val="auto"/>
              </w:rPr>
            </w:pPr>
            <w:r>
              <w:rPr>
                <w:rFonts w:ascii="Arial" w:cs="Arial" w:eastAsia="Arial" w:hAnsi="Arial"/>
                <w:sz w:val="18"/>
                <w:szCs w:val="18"/>
                <w:b w:val="1"/>
                <w:bCs w:val="1"/>
                <w:color w:val="auto"/>
              </w:rPr>
              <w:t>12,180</w:t>
            </w:r>
          </w:p>
        </w:tc>
        <w:tc>
          <w:tcPr>
            <w:tcW w:w="340" w:type="dxa"/>
            <w:vAlign w:val="bottom"/>
          </w:tcPr>
          <w:p>
            <w:pPr>
              <w:spacing w:after="0"/>
              <w:rPr>
                <w:sz w:val="16"/>
                <w:szCs w:val="16"/>
                <w:color w:val="auto"/>
              </w:rPr>
            </w:pPr>
          </w:p>
        </w:tc>
        <w:tc>
          <w:tcPr>
            <w:tcW w:w="8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16,955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2017 issuance of $17.0 billion </w:t>
            </w:r>
            <w:r>
              <w:rPr>
                <w:rFonts w:ascii="Arial" w:cs="Arial" w:eastAsia="Arial" w:hAnsi="Arial"/>
                <w:sz w:val="15"/>
                <w:szCs w:val="15"/>
                <w:color w:val="auto"/>
              </w:rPr>
              <w:t>(a)</w:t>
            </w:r>
          </w:p>
        </w:tc>
        <w:tc>
          <w:tcPr>
            <w:tcW w:w="1600" w:type="dxa"/>
            <w:vAlign w:val="bottom"/>
            <w:shd w:val="clear" w:color="auto" w:fill="E5E5E5"/>
          </w:tcPr>
          <w:p>
            <w:pPr>
              <w:jc w:val="right"/>
              <w:ind w:right="194"/>
              <w:spacing w:after="0" w:line="189" w:lineRule="exact"/>
              <w:rPr>
                <w:sz w:val="20"/>
                <w:szCs w:val="20"/>
                <w:color w:val="auto"/>
              </w:rPr>
            </w:pPr>
            <w:r>
              <w:rPr>
                <w:rFonts w:ascii="Arial" w:cs="Arial" w:eastAsia="Arial" w:hAnsi="Arial"/>
                <w:sz w:val="18"/>
                <w:szCs w:val="18"/>
                <w:b w:val="1"/>
                <w:bCs w:val="1"/>
                <w:color w:val="auto"/>
              </w:rPr>
              <w:t>2022 – 2057</w:t>
            </w:r>
          </w:p>
        </w:tc>
        <w:tc>
          <w:tcPr>
            <w:tcW w:w="1720" w:type="dxa"/>
            <w:vAlign w:val="bottom"/>
            <w:shd w:val="clear" w:color="auto" w:fill="E5E5E5"/>
          </w:tcPr>
          <w:p>
            <w:pPr>
              <w:jc w:val="right"/>
              <w:ind w:right="154"/>
              <w:spacing w:after="0" w:line="189" w:lineRule="exact"/>
              <w:rPr>
                <w:sz w:val="20"/>
                <w:szCs w:val="20"/>
                <w:color w:val="auto"/>
              </w:rPr>
            </w:pPr>
            <w:r>
              <w:rPr>
                <w:rFonts w:ascii="Arial" w:cs="Arial" w:eastAsia="Arial" w:hAnsi="Arial"/>
                <w:sz w:val="18"/>
                <w:szCs w:val="18"/>
                <w:b w:val="1"/>
                <w:bCs w:val="1"/>
                <w:color w:val="auto"/>
              </w:rPr>
              <w:t>2.40% – 4.50%</w:t>
            </w:r>
          </w:p>
        </w:tc>
        <w:tc>
          <w:tcPr>
            <w:tcW w:w="1640" w:type="dxa"/>
            <w:vAlign w:val="bottom"/>
            <w:shd w:val="clear" w:color="auto" w:fill="E5E5E5"/>
          </w:tcPr>
          <w:p>
            <w:pPr>
              <w:jc w:val="right"/>
              <w:ind w:right="114"/>
              <w:spacing w:after="0" w:line="189" w:lineRule="exact"/>
              <w:rPr>
                <w:sz w:val="20"/>
                <w:szCs w:val="20"/>
                <w:color w:val="auto"/>
              </w:rPr>
            </w:pPr>
            <w:r>
              <w:rPr>
                <w:rFonts w:ascii="Arial" w:cs="Arial" w:eastAsia="Arial" w:hAnsi="Arial"/>
                <w:sz w:val="18"/>
                <w:szCs w:val="18"/>
                <w:b w:val="1"/>
                <w:bCs w:val="1"/>
                <w:color w:val="auto"/>
              </w:rPr>
              <w:t>2.52% – 4.53%</w:t>
            </w:r>
          </w:p>
        </w:tc>
        <w:tc>
          <w:tcPr>
            <w:tcW w:w="52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10,695</w:t>
            </w:r>
          </w:p>
        </w:tc>
        <w:tc>
          <w:tcPr>
            <w:tcW w:w="3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12,385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20" w:type="dxa"/>
            <w:vAlign w:val="bottom"/>
          </w:tcPr>
          <w:p>
            <w:pPr>
              <w:spacing w:after="0" w:line="189" w:lineRule="exact"/>
              <w:rPr>
                <w:sz w:val="20"/>
                <w:szCs w:val="20"/>
                <w:color w:val="auto"/>
              </w:rPr>
            </w:pPr>
            <w:r>
              <w:rPr>
                <w:rFonts w:ascii="Arial" w:cs="Arial" w:eastAsia="Arial" w:hAnsi="Arial"/>
                <w:sz w:val="18"/>
                <w:szCs w:val="18"/>
                <w:color w:val="auto"/>
              </w:rPr>
              <w:t xml:space="preserve">2020 issuance of $10.0 billion </w:t>
            </w:r>
            <w:r>
              <w:rPr>
                <w:rFonts w:ascii="Arial" w:cs="Arial" w:eastAsia="Arial" w:hAnsi="Arial"/>
                <w:sz w:val="15"/>
                <w:szCs w:val="15"/>
                <w:color w:val="auto"/>
              </w:rPr>
              <w:t>(a)</w:t>
            </w:r>
          </w:p>
        </w:tc>
        <w:tc>
          <w:tcPr>
            <w:tcW w:w="1600" w:type="dxa"/>
            <w:vAlign w:val="bottom"/>
          </w:tcPr>
          <w:p>
            <w:pPr>
              <w:jc w:val="right"/>
              <w:ind w:right="194"/>
              <w:spacing w:after="0" w:line="189" w:lineRule="exact"/>
              <w:rPr>
                <w:sz w:val="20"/>
                <w:szCs w:val="20"/>
                <w:color w:val="auto"/>
              </w:rPr>
            </w:pPr>
            <w:r>
              <w:rPr>
                <w:rFonts w:ascii="Arial" w:cs="Arial" w:eastAsia="Arial" w:hAnsi="Arial"/>
                <w:sz w:val="18"/>
                <w:szCs w:val="18"/>
                <w:b w:val="1"/>
                <w:bCs w:val="1"/>
                <w:color w:val="auto"/>
              </w:rPr>
              <w:t>2050 – 2060</w:t>
            </w:r>
          </w:p>
        </w:tc>
        <w:tc>
          <w:tcPr>
            <w:tcW w:w="1720" w:type="dxa"/>
            <w:vAlign w:val="bottom"/>
          </w:tcPr>
          <w:p>
            <w:pPr>
              <w:jc w:val="right"/>
              <w:ind w:right="154"/>
              <w:spacing w:after="0" w:line="189" w:lineRule="exact"/>
              <w:rPr>
                <w:sz w:val="20"/>
                <w:szCs w:val="20"/>
                <w:color w:val="auto"/>
              </w:rPr>
            </w:pPr>
            <w:r>
              <w:rPr>
                <w:rFonts w:ascii="Arial" w:cs="Arial" w:eastAsia="Arial" w:hAnsi="Arial"/>
                <w:sz w:val="18"/>
                <w:szCs w:val="18"/>
                <w:b w:val="1"/>
                <w:bCs w:val="1"/>
                <w:color w:val="auto"/>
              </w:rPr>
              <w:t>2.53% – 2.68%</w:t>
            </w:r>
          </w:p>
        </w:tc>
        <w:tc>
          <w:tcPr>
            <w:tcW w:w="1640" w:type="dxa"/>
            <w:vAlign w:val="bottom"/>
          </w:tcPr>
          <w:p>
            <w:pPr>
              <w:jc w:val="right"/>
              <w:ind w:right="114"/>
              <w:spacing w:after="0" w:line="189" w:lineRule="exact"/>
              <w:rPr>
                <w:sz w:val="20"/>
                <w:szCs w:val="20"/>
                <w:color w:val="auto"/>
              </w:rPr>
            </w:pPr>
            <w:r>
              <w:rPr>
                <w:rFonts w:ascii="Arial" w:cs="Arial" w:eastAsia="Arial" w:hAnsi="Arial"/>
                <w:sz w:val="18"/>
                <w:szCs w:val="18"/>
                <w:b w:val="1"/>
                <w:bCs w:val="1"/>
                <w:color w:val="auto"/>
              </w:rPr>
              <w:t>2.53% – 2.68%</w:t>
            </w:r>
          </w:p>
        </w:tc>
        <w:tc>
          <w:tcPr>
            <w:tcW w:w="520" w:type="dxa"/>
            <w:vAlign w:val="bottom"/>
          </w:tcPr>
          <w:p>
            <w:pPr>
              <w:spacing w:after="0"/>
              <w:rPr>
                <w:sz w:val="16"/>
                <w:szCs w:val="16"/>
                <w:color w:val="auto"/>
              </w:rPr>
            </w:pPr>
          </w:p>
        </w:tc>
        <w:tc>
          <w:tcPr>
            <w:tcW w:w="1020" w:type="dxa"/>
            <w:vAlign w:val="bottom"/>
            <w:gridSpan w:val="2"/>
          </w:tcPr>
          <w:p>
            <w:pPr>
              <w:jc w:val="right"/>
              <w:ind w:right="260"/>
              <w:spacing w:after="0" w:line="189" w:lineRule="exact"/>
              <w:rPr>
                <w:sz w:val="20"/>
                <w:szCs w:val="20"/>
                <w:color w:val="auto"/>
              </w:rPr>
            </w:pPr>
            <w:r>
              <w:rPr>
                <w:rFonts w:ascii="Arial" w:cs="Arial" w:eastAsia="Arial" w:hAnsi="Arial"/>
                <w:sz w:val="18"/>
                <w:szCs w:val="18"/>
                <w:b w:val="1"/>
                <w:bCs w:val="1"/>
                <w:color w:val="auto"/>
              </w:rPr>
              <w:t>10,000</w:t>
            </w:r>
          </w:p>
        </w:tc>
        <w:tc>
          <w:tcPr>
            <w:tcW w:w="340" w:type="dxa"/>
            <w:vAlign w:val="bottom"/>
          </w:tcPr>
          <w:p>
            <w:pPr>
              <w:spacing w:after="0"/>
              <w:rPr>
                <w:sz w:val="16"/>
                <w:szCs w:val="16"/>
                <w:color w:val="auto"/>
              </w:rPr>
            </w:pPr>
          </w:p>
        </w:tc>
        <w:tc>
          <w:tcPr>
            <w:tcW w:w="8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2021 issuance of $8.2 billion </w:t>
            </w:r>
            <w:r>
              <w:rPr>
                <w:rFonts w:ascii="Arial" w:cs="Arial" w:eastAsia="Arial" w:hAnsi="Arial"/>
                <w:sz w:val="15"/>
                <w:szCs w:val="15"/>
                <w:color w:val="auto"/>
              </w:rPr>
              <w:t>(a)</w:t>
            </w:r>
          </w:p>
        </w:tc>
        <w:tc>
          <w:tcPr>
            <w:tcW w:w="1600" w:type="dxa"/>
            <w:vAlign w:val="bottom"/>
            <w:shd w:val="clear" w:color="auto" w:fill="E5E5E5"/>
          </w:tcPr>
          <w:p>
            <w:pPr>
              <w:jc w:val="right"/>
              <w:ind w:right="194"/>
              <w:spacing w:after="0" w:line="189" w:lineRule="exact"/>
              <w:rPr>
                <w:sz w:val="20"/>
                <w:szCs w:val="20"/>
                <w:color w:val="auto"/>
              </w:rPr>
            </w:pPr>
            <w:r>
              <w:rPr>
                <w:rFonts w:ascii="Arial" w:cs="Arial" w:eastAsia="Arial" w:hAnsi="Arial"/>
                <w:sz w:val="18"/>
                <w:szCs w:val="18"/>
                <w:b w:val="1"/>
                <w:bCs w:val="1"/>
                <w:color w:val="auto"/>
              </w:rPr>
              <w:t>2052 – 2062</w:t>
            </w:r>
          </w:p>
        </w:tc>
        <w:tc>
          <w:tcPr>
            <w:tcW w:w="1720" w:type="dxa"/>
            <w:vAlign w:val="bottom"/>
            <w:shd w:val="clear" w:color="auto" w:fill="E5E5E5"/>
          </w:tcPr>
          <w:p>
            <w:pPr>
              <w:jc w:val="right"/>
              <w:ind w:right="154"/>
              <w:spacing w:after="0" w:line="189" w:lineRule="exact"/>
              <w:rPr>
                <w:sz w:val="20"/>
                <w:szCs w:val="20"/>
                <w:color w:val="auto"/>
              </w:rPr>
            </w:pPr>
            <w:r>
              <w:rPr>
                <w:rFonts w:ascii="Arial" w:cs="Arial" w:eastAsia="Arial" w:hAnsi="Arial"/>
                <w:sz w:val="18"/>
                <w:szCs w:val="18"/>
                <w:b w:val="1"/>
                <w:bCs w:val="1"/>
                <w:color w:val="auto"/>
              </w:rPr>
              <w:t>2.92% – 3.04%</w:t>
            </w:r>
          </w:p>
        </w:tc>
        <w:tc>
          <w:tcPr>
            <w:tcW w:w="1640" w:type="dxa"/>
            <w:vAlign w:val="bottom"/>
            <w:shd w:val="clear" w:color="auto" w:fill="E5E5E5"/>
          </w:tcPr>
          <w:p>
            <w:pPr>
              <w:jc w:val="right"/>
              <w:ind w:right="114"/>
              <w:spacing w:after="0" w:line="189" w:lineRule="exact"/>
              <w:rPr>
                <w:sz w:val="20"/>
                <w:szCs w:val="20"/>
                <w:color w:val="auto"/>
              </w:rPr>
            </w:pPr>
            <w:r>
              <w:rPr>
                <w:rFonts w:ascii="Arial" w:cs="Arial" w:eastAsia="Arial" w:hAnsi="Arial"/>
                <w:sz w:val="18"/>
                <w:szCs w:val="18"/>
                <w:b w:val="1"/>
                <w:bCs w:val="1"/>
                <w:color w:val="auto"/>
              </w:rPr>
              <w:t>2.92% – 3.04%</w:t>
            </w:r>
          </w:p>
        </w:tc>
        <w:tc>
          <w:tcPr>
            <w:tcW w:w="52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8,185</w:t>
            </w:r>
          </w:p>
        </w:tc>
        <w:tc>
          <w:tcPr>
            <w:tcW w:w="3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352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520" w:type="dxa"/>
            <w:vAlign w:val="bottom"/>
          </w:tcPr>
          <w:p>
            <w:pPr>
              <w:ind w:left="200"/>
              <w:spacing w:after="0"/>
              <w:rPr>
                <w:sz w:val="20"/>
                <w:szCs w:val="20"/>
                <w:color w:val="auto"/>
              </w:rPr>
            </w:pPr>
            <w:r>
              <w:rPr>
                <w:rFonts w:ascii="Arial" w:cs="Arial" w:eastAsia="Arial" w:hAnsi="Arial"/>
                <w:sz w:val="18"/>
                <w:szCs w:val="18"/>
                <w:color w:val="auto"/>
              </w:rPr>
              <w:t>Total face value</w:t>
            </w:r>
          </w:p>
        </w:tc>
        <w:tc>
          <w:tcPr>
            <w:tcW w:w="16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63,910</w:t>
            </w:r>
          </w:p>
        </w:tc>
        <w:tc>
          <w:tcPr>
            <w:tcW w:w="34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67,407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Unamortized discount and issuance costs</w:t>
            </w:r>
          </w:p>
        </w:tc>
        <w:tc>
          <w:tcPr>
            <w:tcW w:w="1600" w:type="dxa"/>
            <w:vAlign w:val="bottom"/>
            <w:shd w:val="clear" w:color="auto" w:fill="E5E5E5"/>
          </w:tcPr>
          <w:p>
            <w:pPr>
              <w:spacing w:after="0"/>
              <w:rPr>
                <w:sz w:val="16"/>
                <w:szCs w:val="16"/>
                <w:color w:val="auto"/>
              </w:rPr>
            </w:pPr>
          </w:p>
        </w:tc>
        <w:tc>
          <w:tcPr>
            <w:tcW w:w="1720" w:type="dxa"/>
            <w:vAlign w:val="bottom"/>
            <w:shd w:val="clear" w:color="auto" w:fill="E5E5E5"/>
          </w:tcPr>
          <w:p>
            <w:pPr>
              <w:spacing w:after="0"/>
              <w:rPr>
                <w:sz w:val="16"/>
                <w:szCs w:val="16"/>
                <w:color w:val="auto"/>
              </w:rPr>
            </w:pPr>
          </w:p>
        </w:tc>
        <w:tc>
          <w:tcPr>
            <w:tcW w:w="1640" w:type="dxa"/>
            <w:vAlign w:val="bottom"/>
            <w:shd w:val="clear" w:color="auto" w:fill="E5E5E5"/>
          </w:tcPr>
          <w:p>
            <w:pPr>
              <w:spacing w:after="0"/>
              <w:rPr>
                <w:sz w:val="16"/>
                <w:szCs w:val="16"/>
                <w:color w:val="auto"/>
              </w:rPr>
            </w:pPr>
          </w:p>
        </w:tc>
        <w:tc>
          <w:tcPr>
            <w:tcW w:w="52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(511)</w:t>
            </w:r>
          </w:p>
        </w:tc>
        <w:tc>
          <w:tcPr>
            <w:tcW w:w="3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20" w:type="dxa"/>
            <w:vAlign w:val="bottom"/>
          </w:tcPr>
          <w:p>
            <w:pPr>
              <w:spacing w:after="0" w:line="189" w:lineRule="exact"/>
              <w:rPr>
                <w:sz w:val="20"/>
                <w:szCs w:val="20"/>
                <w:color w:val="auto"/>
              </w:rPr>
            </w:pPr>
            <w:r>
              <w:rPr>
                <w:rFonts w:ascii="Arial" w:cs="Arial" w:eastAsia="Arial" w:hAnsi="Arial"/>
                <w:sz w:val="18"/>
                <w:szCs w:val="18"/>
                <w:color w:val="auto"/>
              </w:rPr>
              <w:t xml:space="preserve">Hedge fair value adjustments </w:t>
            </w:r>
            <w:r>
              <w:rPr>
                <w:rFonts w:ascii="Arial" w:cs="Arial" w:eastAsia="Arial" w:hAnsi="Arial"/>
                <w:sz w:val="15"/>
                <w:szCs w:val="15"/>
                <w:color w:val="auto"/>
              </w:rPr>
              <w:t>(b)</w:t>
            </w:r>
          </w:p>
        </w:tc>
        <w:tc>
          <w:tcPr>
            <w:tcW w:w="16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gridSpan w:val="2"/>
          </w:tcPr>
          <w:p>
            <w:pPr>
              <w:jc w:val="right"/>
              <w:ind w:right="260"/>
              <w:spacing w:after="0" w:line="189" w:lineRule="exact"/>
              <w:rPr>
                <w:sz w:val="20"/>
                <w:szCs w:val="20"/>
                <w:color w:val="auto"/>
              </w:rPr>
            </w:pPr>
            <w:r>
              <w:rPr>
                <w:rFonts w:ascii="Arial" w:cs="Arial" w:eastAsia="Arial" w:hAnsi="Arial"/>
                <w:sz w:val="18"/>
                <w:szCs w:val="18"/>
                <w:b w:val="1"/>
                <w:bCs w:val="1"/>
                <w:color w:val="auto"/>
              </w:rPr>
              <w:t>40</w:t>
            </w:r>
          </w:p>
        </w:tc>
        <w:tc>
          <w:tcPr>
            <w:tcW w:w="340" w:type="dxa"/>
            <w:vAlign w:val="bottom"/>
          </w:tcPr>
          <w:p>
            <w:pPr>
              <w:spacing w:after="0"/>
              <w:rPr>
                <w:sz w:val="16"/>
                <w:szCs w:val="16"/>
                <w:color w:val="auto"/>
              </w:rPr>
            </w:pPr>
          </w:p>
        </w:tc>
        <w:tc>
          <w:tcPr>
            <w:tcW w:w="8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Premium on debt exchange </w:t>
            </w:r>
            <w:r>
              <w:rPr>
                <w:rFonts w:ascii="Arial" w:cs="Arial" w:eastAsia="Arial" w:hAnsi="Arial"/>
                <w:sz w:val="15"/>
                <w:szCs w:val="15"/>
                <w:color w:val="auto"/>
              </w:rPr>
              <w:t>(a)</w:t>
            </w:r>
          </w:p>
        </w:tc>
        <w:tc>
          <w:tcPr>
            <w:tcW w:w="1600" w:type="dxa"/>
            <w:vAlign w:val="bottom"/>
            <w:shd w:val="clear" w:color="auto" w:fill="E5E5E5"/>
          </w:tcPr>
          <w:p>
            <w:pPr>
              <w:spacing w:after="0"/>
              <w:rPr>
                <w:sz w:val="16"/>
                <w:szCs w:val="16"/>
                <w:color w:val="auto"/>
              </w:rPr>
            </w:pPr>
          </w:p>
        </w:tc>
        <w:tc>
          <w:tcPr>
            <w:tcW w:w="1720" w:type="dxa"/>
            <w:vAlign w:val="bottom"/>
            <w:shd w:val="clear" w:color="auto" w:fill="E5E5E5"/>
          </w:tcPr>
          <w:p>
            <w:pPr>
              <w:spacing w:after="0"/>
              <w:rPr>
                <w:sz w:val="16"/>
                <w:szCs w:val="16"/>
                <w:color w:val="auto"/>
              </w:rPr>
            </w:pPr>
          </w:p>
        </w:tc>
        <w:tc>
          <w:tcPr>
            <w:tcW w:w="1640" w:type="dxa"/>
            <w:vAlign w:val="bottom"/>
            <w:shd w:val="clear" w:color="auto" w:fill="E5E5E5"/>
          </w:tcPr>
          <w:p>
            <w:pPr>
              <w:spacing w:after="0"/>
              <w:rPr>
                <w:sz w:val="16"/>
                <w:szCs w:val="16"/>
                <w:color w:val="auto"/>
              </w:rPr>
            </w:pPr>
          </w:p>
        </w:tc>
        <w:tc>
          <w:tcPr>
            <w:tcW w:w="52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(5,293)</w:t>
            </w:r>
          </w:p>
        </w:tc>
        <w:tc>
          <w:tcPr>
            <w:tcW w:w="3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(3,619)</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352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520" w:type="dxa"/>
            <w:vAlign w:val="bottom"/>
          </w:tcPr>
          <w:p>
            <w:pPr>
              <w:ind w:left="200"/>
              <w:spacing w:after="0"/>
              <w:rPr>
                <w:sz w:val="20"/>
                <w:szCs w:val="20"/>
                <w:color w:val="auto"/>
              </w:rPr>
            </w:pPr>
            <w:r>
              <w:rPr>
                <w:rFonts w:ascii="Arial" w:cs="Arial" w:eastAsia="Arial" w:hAnsi="Arial"/>
                <w:sz w:val="18"/>
                <w:szCs w:val="18"/>
                <w:color w:val="auto"/>
              </w:rPr>
              <w:t>Total debt</w:t>
            </w:r>
          </w:p>
        </w:tc>
        <w:tc>
          <w:tcPr>
            <w:tcW w:w="16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58,146</w:t>
            </w:r>
          </w:p>
        </w:tc>
        <w:tc>
          <w:tcPr>
            <w:tcW w:w="34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63,327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Current portion of long-term debt</w:t>
            </w:r>
          </w:p>
        </w:tc>
        <w:tc>
          <w:tcPr>
            <w:tcW w:w="1600" w:type="dxa"/>
            <w:vAlign w:val="bottom"/>
            <w:shd w:val="clear" w:color="auto" w:fill="E5E5E5"/>
          </w:tcPr>
          <w:p>
            <w:pPr>
              <w:spacing w:after="0"/>
              <w:rPr>
                <w:sz w:val="16"/>
                <w:szCs w:val="16"/>
                <w:color w:val="auto"/>
              </w:rPr>
            </w:pPr>
          </w:p>
        </w:tc>
        <w:tc>
          <w:tcPr>
            <w:tcW w:w="1720" w:type="dxa"/>
            <w:vAlign w:val="bottom"/>
            <w:shd w:val="clear" w:color="auto" w:fill="E5E5E5"/>
          </w:tcPr>
          <w:p>
            <w:pPr>
              <w:spacing w:after="0"/>
              <w:rPr>
                <w:sz w:val="16"/>
                <w:szCs w:val="16"/>
                <w:color w:val="auto"/>
              </w:rPr>
            </w:pPr>
          </w:p>
        </w:tc>
        <w:tc>
          <w:tcPr>
            <w:tcW w:w="1640" w:type="dxa"/>
            <w:vAlign w:val="bottom"/>
            <w:shd w:val="clear" w:color="auto" w:fill="E5E5E5"/>
          </w:tcPr>
          <w:p>
            <w:pPr>
              <w:spacing w:after="0"/>
              <w:rPr>
                <w:sz w:val="16"/>
                <w:szCs w:val="16"/>
                <w:color w:val="auto"/>
              </w:rPr>
            </w:pPr>
          </w:p>
        </w:tc>
        <w:tc>
          <w:tcPr>
            <w:tcW w:w="52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(8,072)</w:t>
            </w:r>
          </w:p>
        </w:tc>
        <w:tc>
          <w:tcPr>
            <w:tcW w:w="3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(3,749)</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352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520" w:type="dxa"/>
            <w:vAlign w:val="bottom"/>
          </w:tcPr>
          <w:p>
            <w:pPr>
              <w:ind w:left="200"/>
              <w:spacing w:after="0"/>
              <w:rPr>
                <w:sz w:val="20"/>
                <w:szCs w:val="20"/>
                <w:color w:val="auto"/>
              </w:rPr>
            </w:pPr>
            <w:r>
              <w:rPr>
                <w:rFonts w:ascii="Arial" w:cs="Arial" w:eastAsia="Arial" w:hAnsi="Arial"/>
                <w:sz w:val="18"/>
                <w:szCs w:val="18"/>
                <w:color w:val="auto"/>
              </w:rPr>
              <w:t>Long-term debt</w:t>
            </w:r>
          </w:p>
        </w:tc>
        <w:tc>
          <w:tcPr>
            <w:tcW w:w="16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52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50,074</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59,578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5523230</wp:posOffset>
            </wp:positionH>
            <wp:positionV relativeFrom="paragraph">
              <wp:posOffset>34290</wp:posOffset>
            </wp:positionV>
            <wp:extent cx="156337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563370" cy="17145"/>
                    </a:xfrm>
                    <a:prstGeom prst="rect">
                      <a:avLst/>
                    </a:prstGeom>
                    <a:noFill/>
                  </pic:spPr>
                </pic:pic>
              </a:graphicData>
            </a:graphic>
          </wp:anchor>
        </w:drawing>
      </w:r>
    </w:p>
    <w:p>
      <w:pPr>
        <w:spacing w:after="0" w:line="122" w:lineRule="exact"/>
        <w:rPr>
          <w:sz w:val="20"/>
          <w:szCs w:val="20"/>
          <w:color w:val="auto"/>
        </w:rPr>
      </w:pPr>
    </w:p>
    <w:p>
      <w:pPr>
        <w:ind w:left="540" w:hanging="532"/>
        <w:spacing w:after="0" w:line="244"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In March 2021 and June 2020, we exchanged a portion of our existing debt at a premium for cash and new debt with longer maturities. The premiums are amortized over the terms of the new debt.</w:t>
      </w:r>
    </w:p>
    <w:p>
      <w:pPr>
        <w:ind w:left="540" w:hanging="532"/>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Refer to Note 5 – Derivatives for further information on the interest rate swaps related to fixed-rate debt.</w:t>
      </w:r>
    </w:p>
    <w:p>
      <w:pPr>
        <w:spacing w:after="0" w:line="15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As of June 30, 2021 and 2020, the estimated fair value of long-term debt, including the current portion, was $70.0 billion and $77.1 billion, respectively. The estimated fair values are based on Level 2 inputs.</w:t>
      </w:r>
    </w:p>
    <w:p>
      <w:pPr>
        <w:spacing w:after="0" w:line="14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Debt in the table above is comprised of senior unsecured obligations and ranks equally with our other outstanding obligations. Interest is paid semi-annually, except for the Euro-denominated debt, which is paid annually. Cash paid for interest on our debt for fiscal years 2021, 2020, and 2019 was $2.0 billion, $2.4 billion, and $2.4 billion, respectively.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maturities of our long-term debt, including the current portion, as of June 30, 2021:</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0561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056120" cy="8255"/>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460" w:type="dxa"/>
            <w:vAlign w:val="bottom"/>
            <w:gridSpan w:val="2"/>
          </w:tcPr>
          <w:p>
            <w:pPr>
              <w:spacing w:after="0"/>
              <w:rPr>
                <w:sz w:val="20"/>
                <w:szCs w:val="20"/>
                <w:color w:val="auto"/>
              </w:rPr>
            </w:pPr>
            <w:r>
              <w:rPr>
                <w:rFonts w:ascii="Arial" w:cs="Arial" w:eastAsia="Arial" w:hAnsi="Arial"/>
                <w:sz w:val="13"/>
                <w:szCs w:val="13"/>
                <w:b w:val="1"/>
                <w:bCs w:val="1"/>
                <w:color w:val="auto"/>
              </w:rPr>
              <w:t>Year Ending June 30,</w:t>
            </w:r>
          </w:p>
        </w:tc>
        <w:tc>
          <w:tcPr>
            <w:tcW w:w="6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3440" w:type="dxa"/>
            <w:vAlign w:val="bottom"/>
          </w:tcPr>
          <w:p>
            <w:pPr>
              <w:spacing w:after="0"/>
              <w:rPr>
                <w:sz w:val="4"/>
                <w:szCs w:val="4"/>
                <w:color w:val="auto"/>
              </w:rPr>
            </w:pPr>
          </w:p>
        </w:tc>
        <w:tc>
          <w:tcPr>
            <w:tcW w:w="6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34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2022</w:t>
            </w:r>
          </w:p>
        </w:tc>
        <w:tc>
          <w:tcPr>
            <w:tcW w:w="6660" w:type="dxa"/>
            <w:vAlign w:val="bottom"/>
            <w:gridSpan w:val="2"/>
            <w:shd w:val="clear" w:color="auto" w:fill="E5E5E5"/>
          </w:tcPr>
          <w:p>
            <w:pPr>
              <w:jc w:val="right"/>
              <w:ind w:right="460"/>
              <w:spacing w:after="0" w:line="189" w:lineRule="exact"/>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8,075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440" w:type="dxa"/>
            <w:vAlign w:val="bottom"/>
          </w:tcPr>
          <w:p>
            <w:pPr>
              <w:spacing w:after="0" w:line="189" w:lineRule="exact"/>
              <w:rPr>
                <w:sz w:val="20"/>
                <w:szCs w:val="20"/>
                <w:color w:val="auto"/>
              </w:rPr>
            </w:pPr>
            <w:r>
              <w:rPr>
                <w:rFonts w:ascii="Arial" w:cs="Arial" w:eastAsia="Arial" w:hAnsi="Arial"/>
                <w:sz w:val="18"/>
                <w:szCs w:val="18"/>
                <w:color w:val="auto"/>
              </w:rPr>
              <w:t>2023</w:t>
            </w:r>
          </w:p>
        </w:tc>
        <w:tc>
          <w:tcPr>
            <w:tcW w:w="6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2,750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4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2024</w:t>
            </w:r>
          </w:p>
        </w:tc>
        <w:tc>
          <w:tcPr>
            <w:tcW w:w="610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5,250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440" w:type="dxa"/>
            <w:vAlign w:val="bottom"/>
          </w:tcPr>
          <w:p>
            <w:pPr>
              <w:spacing w:after="0" w:line="189" w:lineRule="exact"/>
              <w:rPr>
                <w:sz w:val="20"/>
                <w:szCs w:val="20"/>
                <w:color w:val="auto"/>
              </w:rPr>
            </w:pPr>
            <w:r>
              <w:rPr>
                <w:rFonts w:ascii="Arial" w:cs="Arial" w:eastAsia="Arial" w:hAnsi="Arial"/>
                <w:sz w:val="18"/>
                <w:szCs w:val="18"/>
                <w:color w:val="auto"/>
              </w:rPr>
              <w:t>2025</w:t>
            </w:r>
          </w:p>
        </w:tc>
        <w:tc>
          <w:tcPr>
            <w:tcW w:w="6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2,250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4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2026</w:t>
            </w:r>
          </w:p>
        </w:tc>
        <w:tc>
          <w:tcPr>
            <w:tcW w:w="610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3,000</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Thereafter</w:t>
            </w:r>
          </w:p>
        </w:tc>
        <w:tc>
          <w:tcPr>
            <w:tcW w:w="6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42,585</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3440" w:type="dxa"/>
            <w:vAlign w:val="bottom"/>
            <w:tcBorders>
              <w:top w:val="single" w:sz="8" w:color="auto"/>
            </w:tcBorders>
          </w:tcPr>
          <w:p>
            <w:pPr>
              <w:spacing w:after="0"/>
              <w:rPr>
                <w:sz w:val="5"/>
                <w:szCs w:val="5"/>
                <w:color w:val="auto"/>
              </w:rPr>
            </w:pPr>
          </w:p>
        </w:tc>
        <w:tc>
          <w:tcPr>
            <w:tcW w:w="610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44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6660" w:type="dxa"/>
            <w:vAlign w:val="bottom"/>
            <w:gridSpan w:val="2"/>
            <w:shd w:val="clear" w:color="auto" w:fill="E5E5E5"/>
          </w:tcPr>
          <w:p>
            <w:pPr>
              <w:jc w:val="right"/>
              <w:ind w:right="460"/>
              <w:spacing w:after="0" w:line="189" w:lineRule="exact"/>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63,910</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440" w:type="dxa"/>
            <w:vAlign w:val="bottom"/>
          </w:tcPr>
          <w:p>
            <w:pPr>
              <w:spacing w:after="0"/>
              <w:rPr>
                <w:sz w:val="6"/>
                <w:szCs w:val="6"/>
                <w:color w:val="auto"/>
              </w:rPr>
            </w:pPr>
          </w:p>
        </w:tc>
        <w:tc>
          <w:tcPr>
            <w:tcW w:w="6100" w:type="dxa"/>
            <w:vAlign w:val="bottom"/>
            <w:vMerge w:val="restart"/>
          </w:tcPr>
          <w:p>
            <w:pPr>
              <w:jc w:val="right"/>
              <w:ind w:right="3776"/>
              <w:spacing w:after="0"/>
              <w:rPr>
                <w:sz w:val="20"/>
                <w:szCs w:val="20"/>
                <w:color w:val="auto"/>
              </w:rPr>
            </w:pPr>
            <w:r>
              <w:rPr>
                <w:rFonts w:ascii="Arial" w:cs="Arial" w:eastAsia="Arial" w:hAnsi="Arial"/>
                <w:sz w:val="14"/>
                <w:szCs w:val="14"/>
                <w:color w:val="auto"/>
              </w:rPr>
              <w:t>81</w:t>
            </w:r>
          </w:p>
        </w:tc>
        <w:tc>
          <w:tcPr>
            <w:tcW w:w="5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94"/>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1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440" w:type="dxa"/>
            <w:vAlign w:val="bottom"/>
            <w:tcBorders>
              <w:bottom w:val="single" w:sz="8" w:color="9A9A9A"/>
            </w:tcBorders>
          </w:tcPr>
          <w:p>
            <w:pPr>
              <w:spacing w:after="0"/>
              <w:rPr>
                <w:sz w:val="8"/>
                <w:szCs w:val="8"/>
                <w:color w:val="auto"/>
              </w:rPr>
            </w:pPr>
          </w:p>
        </w:tc>
        <w:tc>
          <w:tcPr>
            <w:tcW w:w="6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81" w:name="page82"/>
    <w:bookmarkEnd w:id="81"/>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12 — INCOME TAXES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Cuts and Jobs Act</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December 22, 2017, the Tax Cuts and Jobs Act (“TCJA”) was enacted into law, which significantly changed existing U.S. tax law and included numerous provisions that affect our business. We recorded a provisional net charge of $13.7 billion related to the enactment of the TCJA in fiscal year 2018 and adjusted the provisional net charge by recording additional tax expense of $157 million in fiscal year 2019 pursuant to Securities and Exchange Commission Staff Accounting Bulletin No. 118.</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fiscal year 2019, in response to the TCJA and recently issued regulations, we transferred certain intangible properties held by our foreign subsidiaries to the U.S. and Ireland. The transfers of intangible properties resulted in a $2.6 billion net income tax benefit recorded in the fourth quarter of fiscal year 2019, as the value of future tax deductions exceeded the current tax liability from foreign jurisdictions and U.S. global intangible low-taxed income (“GILTI”) tax.</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provision for income taxes were as follows:</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06437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900" w:type="dxa"/>
            <w:vAlign w:val="bottom"/>
            <w:gridSpan w:val="2"/>
          </w:tcPr>
          <w:p>
            <w:pPr>
              <w:spacing w:after="0"/>
              <w:rPr>
                <w:sz w:val="20"/>
                <w:szCs w:val="20"/>
                <w:color w:val="auto"/>
              </w:rPr>
            </w:pPr>
            <w:r>
              <w:rPr>
                <w:rFonts w:ascii="Arial" w:cs="Arial" w:eastAsia="Arial" w:hAnsi="Arial"/>
                <w:sz w:val="13"/>
                <w:szCs w:val="13"/>
                <w:b w:val="1"/>
                <w:bCs w:val="1"/>
                <w:color w:val="auto"/>
              </w:rPr>
              <w:t>Year Ended June 30,</w:t>
            </w: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215"/>
        </w:trPr>
        <w:tc>
          <w:tcPr>
            <w:tcW w:w="6900" w:type="dxa"/>
            <w:vAlign w:val="bottom"/>
            <w:gridSpan w:val="2"/>
          </w:tcPr>
          <w:p>
            <w:pPr>
              <w:spacing w:after="0"/>
              <w:rPr>
                <w:sz w:val="20"/>
                <w:szCs w:val="20"/>
                <w:color w:val="auto"/>
              </w:rPr>
            </w:pPr>
            <w:r>
              <w:rPr>
                <w:rFonts w:ascii="Arial" w:cs="Arial" w:eastAsia="Arial" w:hAnsi="Arial"/>
                <w:sz w:val="13"/>
                <w:szCs w:val="13"/>
                <w:b w:val="1"/>
                <w:bCs w:val="1"/>
                <w:color w:val="auto"/>
              </w:rPr>
              <w:t>Current Taxes</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68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8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U.S. federal</w:t>
            </w:r>
          </w:p>
        </w:tc>
        <w:tc>
          <w:tcPr>
            <w:tcW w:w="104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3,285</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3,537</w:t>
            </w:r>
          </w:p>
        </w:tc>
        <w:tc>
          <w:tcPr>
            <w:tcW w:w="3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4,718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880" w:type="dxa"/>
            <w:vAlign w:val="bottom"/>
          </w:tcPr>
          <w:p>
            <w:pPr>
              <w:spacing w:after="0" w:line="189" w:lineRule="exact"/>
              <w:rPr>
                <w:sz w:val="20"/>
                <w:szCs w:val="20"/>
                <w:color w:val="auto"/>
              </w:rPr>
            </w:pPr>
            <w:r>
              <w:rPr>
                <w:rFonts w:ascii="Arial" w:cs="Arial" w:eastAsia="Arial" w:hAnsi="Arial"/>
                <w:sz w:val="18"/>
                <w:szCs w:val="18"/>
                <w:color w:val="auto"/>
              </w:rPr>
              <w:t>U.S. state and local</w:t>
            </w: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1,229</w:t>
            </w:r>
          </w:p>
        </w:tc>
        <w:tc>
          <w:tcPr>
            <w:tcW w:w="28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763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8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w:t>
            </w:r>
          </w:p>
        </w:tc>
        <w:tc>
          <w:tcPr>
            <w:tcW w:w="76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5,467</w:t>
            </w:r>
          </w:p>
        </w:tc>
        <w:tc>
          <w:tcPr>
            <w:tcW w:w="28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4,444</w:t>
            </w:r>
          </w:p>
        </w:tc>
        <w:tc>
          <w:tcPr>
            <w:tcW w:w="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5,531</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8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gridSpan w:val="2"/>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Current taxes</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9,981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8,744</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10,911</w:t>
            </w:r>
          </w:p>
        </w:tc>
        <w:tc>
          <w:tcPr>
            <w:tcW w:w="0" w:type="dxa"/>
            <w:vAlign w:val="bottom"/>
          </w:tcPr>
          <w:p>
            <w:pPr>
              <w:spacing w:after="0"/>
              <w:rPr>
                <w:sz w:val="1"/>
                <w:szCs w:val="1"/>
                <w:color w:val="auto"/>
              </w:rPr>
            </w:pPr>
          </w:p>
        </w:tc>
      </w:tr>
      <w:tr>
        <w:trPr>
          <w:trHeight w:val="215"/>
        </w:trPr>
        <w:tc>
          <w:tcPr>
            <w:tcW w:w="6900" w:type="dxa"/>
            <w:vAlign w:val="bottom"/>
            <w:gridSpan w:val="2"/>
          </w:tcPr>
          <w:p>
            <w:pPr>
              <w:spacing w:after="0"/>
              <w:rPr>
                <w:sz w:val="20"/>
                <w:szCs w:val="20"/>
                <w:color w:val="auto"/>
              </w:rPr>
            </w:pPr>
            <w:r>
              <w:rPr>
                <w:rFonts w:ascii="Arial" w:cs="Arial" w:eastAsia="Arial" w:hAnsi="Arial"/>
                <w:sz w:val="13"/>
                <w:szCs w:val="13"/>
                <w:b w:val="1"/>
                <w:bCs w:val="1"/>
                <w:color w:val="auto"/>
              </w:rPr>
              <w:t>Deferred Taxes</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68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8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U.S. federal</w:t>
            </w:r>
          </w:p>
        </w:tc>
        <w:tc>
          <w:tcPr>
            <w:tcW w:w="104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25</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58</w:t>
            </w:r>
          </w:p>
        </w:tc>
        <w:tc>
          <w:tcPr>
            <w:tcW w:w="3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(5,647)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880" w:type="dxa"/>
            <w:vAlign w:val="bottom"/>
          </w:tcPr>
          <w:p>
            <w:pPr>
              <w:spacing w:after="0" w:line="189" w:lineRule="exact"/>
              <w:rPr>
                <w:sz w:val="20"/>
                <w:szCs w:val="20"/>
                <w:color w:val="auto"/>
              </w:rPr>
            </w:pPr>
            <w:r>
              <w:rPr>
                <w:rFonts w:ascii="Arial" w:cs="Arial" w:eastAsia="Arial" w:hAnsi="Arial"/>
                <w:sz w:val="18"/>
                <w:szCs w:val="18"/>
                <w:color w:val="auto"/>
              </w:rPr>
              <w:t>U.S. state and local</w:t>
            </w: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tcPr>
          <w:p>
            <w:pPr>
              <w:jc w:val="right"/>
              <w:ind w:right="180"/>
              <w:spacing w:after="0" w:line="189" w:lineRule="exact"/>
              <w:rPr>
                <w:sz w:val="20"/>
                <w:szCs w:val="20"/>
                <w:color w:val="auto"/>
              </w:rPr>
            </w:pPr>
            <w:r>
              <w:rPr>
                <w:rFonts w:ascii="Arial" w:cs="Arial" w:eastAsia="Arial" w:hAnsi="Arial"/>
                <w:sz w:val="18"/>
                <w:szCs w:val="18"/>
                <w:b w:val="1"/>
                <w:bCs w:val="1"/>
                <w:color w:val="auto"/>
              </w:rPr>
              <w:t>(204)</w:t>
            </w:r>
          </w:p>
        </w:tc>
        <w:tc>
          <w:tcPr>
            <w:tcW w:w="280" w:type="dxa"/>
            <w:vAlign w:val="bottom"/>
          </w:tcPr>
          <w:p>
            <w:pPr>
              <w:spacing w:after="0"/>
              <w:rPr>
                <w:sz w:val="16"/>
                <w:szCs w:val="16"/>
                <w:color w:val="auto"/>
              </w:rPr>
            </w:pPr>
          </w:p>
        </w:tc>
        <w:tc>
          <w:tcPr>
            <w:tcW w:w="8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8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w:t>
            </w:r>
          </w:p>
        </w:tc>
        <w:tc>
          <w:tcPr>
            <w:tcW w:w="76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29</w:t>
            </w:r>
          </w:p>
        </w:tc>
        <w:tc>
          <w:tcPr>
            <w:tcW w:w="28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(41)</w:t>
            </w:r>
          </w:p>
        </w:tc>
        <w:tc>
          <w:tcPr>
            <w:tcW w:w="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8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gridSpan w:val="2"/>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Deferred taxes</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(150)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(6,463)</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68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8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88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Provision for income taxes</w:t>
            </w:r>
          </w:p>
        </w:tc>
        <w:tc>
          <w:tcPr>
            <w:tcW w:w="104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9,831</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8,755</w:t>
            </w:r>
          </w:p>
        </w:tc>
        <w:tc>
          <w:tcPr>
            <w:tcW w:w="3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4,448</w:t>
            </w:r>
          </w:p>
        </w:tc>
        <w:tc>
          <w:tcPr>
            <w:tcW w:w="0" w:type="dxa"/>
            <w:vAlign w:val="bottom"/>
          </w:tcPr>
          <w:p>
            <w:pPr>
              <w:spacing w:after="0"/>
              <w:rPr>
                <w:sz w:val="1"/>
                <w:szCs w:val="1"/>
                <w:color w:val="auto"/>
              </w:rPr>
            </w:pPr>
          </w:p>
        </w:tc>
      </w:tr>
      <w:tr>
        <w:trPr>
          <w:trHeight w:val="74"/>
        </w:trPr>
        <w:tc>
          <w:tcPr>
            <w:tcW w:w="6900" w:type="dxa"/>
            <w:vAlign w:val="bottom"/>
            <w:gridSpan w:val="2"/>
            <w:vMerge w:val="restart"/>
          </w:tcPr>
          <w:p>
            <w:pPr>
              <w:spacing w:after="0"/>
              <w:rPr>
                <w:sz w:val="20"/>
                <w:szCs w:val="20"/>
                <w:color w:val="auto"/>
              </w:rPr>
            </w:pPr>
            <w:r>
              <w:rPr>
                <w:rFonts w:ascii="Arial" w:cs="Arial" w:eastAsia="Arial" w:hAnsi="Arial"/>
                <w:sz w:val="18"/>
                <w:szCs w:val="18"/>
                <w:color w:val="auto"/>
              </w:rPr>
              <w:t>U.S. and foreign components of income before income taxes were as follows:</w:t>
            </w:r>
          </w:p>
        </w:tc>
        <w:tc>
          <w:tcPr>
            <w:tcW w:w="76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7"/>
        </w:trPr>
        <w:tc>
          <w:tcPr>
            <w:tcW w:w="690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6900" w:type="dxa"/>
            <w:vAlign w:val="bottom"/>
            <w:gridSpan w:val="2"/>
          </w:tcPr>
          <w:p>
            <w:pPr>
              <w:spacing w:after="0"/>
              <w:rPr>
                <w:sz w:val="20"/>
                <w:szCs w:val="20"/>
                <w:color w:val="auto"/>
              </w:rPr>
            </w:pPr>
            <w:r>
              <w:rPr>
                <w:rFonts w:ascii="Arial" w:cs="Arial" w:eastAsia="Arial" w:hAnsi="Arial"/>
                <w:sz w:val="13"/>
                <w:szCs w:val="13"/>
                <w:b w:val="1"/>
                <w:bCs w:val="1"/>
                <w:color w:val="auto"/>
              </w:rPr>
              <w:t>(In millions)</w:t>
            </w: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900" w:type="dxa"/>
            <w:vAlign w:val="bottom"/>
            <w:tcBorders>
              <w:bottom w:val="single" w:sz="8" w:color="auto"/>
            </w:tcBorders>
            <w:gridSpan w:val="2"/>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6900" w:type="dxa"/>
            <w:vAlign w:val="bottom"/>
            <w:gridSpan w:val="2"/>
          </w:tcPr>
          <w:p>
            <w:pPr>
              <w:spacing w:after="0"/>
              <w:rPr>
                <w:sz w:val="20"/>
                <w:szCs w:val="20"/>
                <w:color w:val="auto"/>
              </w:rPr>
            </w:pPr>
            <w:r>
              <w:rPr>
                <w:rFonts w:ascii="Arial" w:cs="Arial" w:eastAsia="Arial" w:hAnsi="Arial"/>
                <w:sz w:val="13"/>
                <w:szCs w:val="13"/>
                <w:b w:val="1"/>
                <w:bCs w:val="1"/>
                <w:color w:val="auto"/>
              </w:rPr>
              <w:t>Year Ended June 30,</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6880" w:type="dxa"/>
            <w:vAlign w:val="bottom"/>
          </w:tcPr>
          <w:p>
            <w:pPr>
              <w:spacing w:after="0"/>
              <w:rPr>
                <w:sz w:val="4"/>
                <w:szCs w:val="4"/>
                <w:color w:val="auto"/>
              </w:rPr>
            </w:pPr>
          </w:p>
        </w:tc>
        <w:tc>
          <w:tcPr>
            <w:tcW w:w="1040" w:type="dxa"/>
            <w:vAlign w:val="bottom"/>
            <w:gridSpan w:val="2"/>
          </w:tcPr>
          <w:p>
            <w:pPr>
              <w:spacing w:after="0"/>
              <w:rPr>
                <w:sz w:val="4"/>
                <w:szCs w:val="4"/>
                <w:color w:val="auto"/>
              </w:rPr>
            </w:pPr>
          </w:p>
        </w:tc>
        <w:tc>
          <w:tcPr>
            <w:tcW w:w="980" w:type="dxa"/>
            <w:vAlign w:val="bottom"/>
            <w:gridSpan w:val="2"/>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gridSpan w:val="2"/>
          </w:tcPr>
          <w:p>
            <w:pPr>
              <w:spacing w:after="0"/>
              <w:rPr>
                <w:sz w:val="4"/>
                <w:szCs w:val="4"/>
                <w:color w:val="auto"/>
              </w:rPr>
            </w:pPr>
          </w:p>
        </w:tc>
        <w:tc>
          <w:tcPr>
            <w:tcW w:w="360" w:type="dxa"/>
            <w:vAlign w:val="bottom"/>
            <w:gridSpan w:val="2"/>
          </w:tcPr>
          <w:p>
            <w:pPr>
              <w:spacing w:after="0"/>
              <w:rPr>
                <w:sz w:val="4"/>
                <w:szCs w:val="4"/>
                <w:color w:val="auto"/>
              </w:rPr>
            </w:pPr>
          </w:p>
        </w:tc>
        <w:tc>
          <w:tcPr>
            <w:tcW w:w="8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8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U.S.</w:t>
            </w:r>
          </w:p>
        </w:tc>
        <w:tc>
          <w:tcPr>
            <w:tcW w:w="104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34,972</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24,116</w:t>
            </w:r>
          </w:p>
        </w:tc>
        <w:tc>
          <w:tcPr>
            <w:tcW w:w="3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15,799</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Foreign</w:t>
            </w: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36,130</w:t>
            </w:r>
          </w:p>
        </w:tc>
        <w:tc>
          <w:tcPr>
            <w:tcW w:w="2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28,920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27,889</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88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88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Income before income taxes</w:t>
            </w:r>
          </w:p>
        </w:tc>
        <w:tc>
          <w:tcPr>
            <w:tcW w:w="104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71,102</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53,036</w:t>
            </w:r>
          </w:p>
        </w:tc>
        <w:tc>
          <w:tcPr>
            <w:tcW w:w="3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43,688</w:t>
            </w:r>
          </w:p>
        </w:tc>
        <w:tc>
          <w:tcPr>
            <w:tcW w:w="0" w:type="dxa"/>
            <w:vAlign w:val="bottom"/>
          </w:tcPr>
          <w:p>
            <w:pPr>
              <w:spacing w:after="0"/>
              <w:rPr>
                <w:sz w:val="1"/>
                <w:szCs w:val="1"/>
                <w:color w:val="auto"/>
              </w:rPr>
            </w:pPr>
          </w:p>
        </w:tc>
      </w:tr>
      <w:tr>
        <w:trPr>
          <w:trHeight w:val="74"/>
        </w:trPr>
        <w:tc>
          <w:tcPr>
            <w:tcW w:w="6900" w:type="dxa"/>
            <w:vAlign w:val="bottom"/>
            <w:gridSpan w:val="2"/>
            <w:vMerge w:val="restart"/>
          </w:tcPr>
          <w:p>
            <w:pPr>
              <w:ind w:left="5540"/>
              <w:spacing w:after="0"/>
              <w:rPr>
                <w:sz w:val="20"/>
                <w:szCs w:val="20"/>
                <w:color w:val="auto"/>
              </w:rPr>
            </w:pPr>
            <w:r>
              <w:rPr>
                <w:rFonts w:ascii="Arial" w:cs="Arial" w:eastAsia="Arial" w:hAnsi="Arial"/>
                <w:sz w:val="14"/>
                <w:szCs w:val="14"/>
                <w:color w:val="auto"/>
              </w:rPr>
              <w:t>82</w:t>
            </w:r>
          </w:p>
        </w:tc>
        <w:tc>
          <w:tcPr>
            <w:tcW w:w="76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94"/>
        </w:trPr>
        <w:tc>
          <w:tcPr>
            <w:tcW w:w="690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88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82" w:name="page83"/>
    <w:bookmarkEnd w:id="82"/>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Tax Rate</w:t>
      </w:r>
    </w:p>
    <w:p>
      <w:pPr>
        <w:spacing w:after="0" w:line="17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items accounting for the difference between income taxes computed at the U.S. federal statutory rate and our effective rate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06437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660" w:type="dxa"/>
            <w:vAlign w:val="bottom"/>
            <w:gridSpan w:val="2"/>
          </w:tcPr>
          <w:p>
            <w:pPr>
              <w:spacing w:after="0"/>
              <w:rPr>
                <w:sz w:val="20"/>
                <w:szCs w:val="20"/>
                <w:color w:val="auto"/>
              </w:rPr>
            </w:pPr>
            <w:r>
              <w:rPr>
                <w:rFonts w:ascii="Arial" w:cs="Arial" w:eastAsia="Arial" w:hAnsi="Arial"/>
                <w:sz w:val="13"/>
                <w:szCs w:val="13"/>
                <w:b w:val="1"/>
                <w:bCs w:val="1"/>
                <w:color w:val="auto"/>
              </w:rPr>
              <w:t>Year Ended June 30,</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2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2020</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76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76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Federal statutory rate</w:t>
            </w:r>
          </w:p>
        </w:tc>
        <w:tc>
          <w:tcPr>
            <w:tcW w:w="12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21.0%</w:t>
            </w:r>
          </w:p>
        </w:tc>
        <w:tc>
          <w:tcPr>
            <w:tcW w:w="12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21.0%</w:t>
            </w:r>
          </w:p>
        </w:tc>
        <w:tc>
          <w:tcPr>
            <w:tcW w:w="10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21.0%</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640" w:type="dxa"/>
            <w:vAlign w:val="bottom"/>
          </w:tcPr>
          <w:p>
            <w:pPr>
              <w:spacing w:after="0" w:line="189" w:lineRule="exact"/>
              <w:rPr>
                <w:sz w:val="20"/>
                <w:szCs w:val="20"/>
                <w:color w:val="auto"/>
              </w:rPr>
            </w:pPr>
            <w:r>
              <w:rPr>
                <w:rFonts w:ascii="Arial" w:cs="Arial" w:eastAsia="Arial" w:hAnsi="Arial"/>
                <w:sz w:val="18"/>
                <w:szCs w:val="18"/>
                <w:color w:val="auto"/>
              </w:rPr>
              <w:t>Effect of:</w:t>
            </w: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64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Foreign earnings taxed at lower rates</w:t>
            </w:r>
          </w:p>
        </w:tc>
        <w:tc>
          <w:tcPr>
            <w:tcW w:w="10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(2.7)%</w:t>
            </w:r>
          </w:p>
        </w:tc>
        <w:tc>
          <w:tcPr>
            <w:tcW w:w="240" w:type="dxa"/>
            <w:vAlign w:val="bottom"/>
            <w:shd w:val="clear" w:color="auto" w:fill="E5E5E5"/>
          </w:tcPr>
          <w:p>
            <w:pPr>
              <w:spacing w:after="0"/>
              <w:rPr>
                <w:sz w:val="16"/>
                <w:szCs w:val="16"/>
                <w:color w:val="auto"/>
              </w:rPr>
            </w:pPr>
          </w:p>
        </w:tc>
        <w:tc>
          <w:tcPr>
            <w:tcW w:w="12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(3.7)%</w:t>
            </w:r>
          </w:p>
        </w:tc>
        <w:tc>
          <w:tcPr>
            <w:tcW w:w="10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(4.1)%</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640" w:type="dxa"/>
            <w:vAlign w:val="bottom"/>
          </w:tcPr>
          <w:p>
            <w:pPr>
              <w:ind w:left="200"/>
              <w:spacing w:after="0" w:line="189" w:lineRule="exact"/>
              <w:rPr>
                <w:sz w:val="20"/>
                <w:szCs w:val="20"/>
                <w:color w:val="auto"/>
              </w:rPr>
            </w:pPr>
            <w:r>
              <w:rPr>
                <w:rFonts w:ascii="Arial" w:cs="Arial" w:eastAsia="Arial" w:hAnsi="Arial"/>
                <w:sz w:val="18"/>
                <w:szCs w:val="18"/>
                <w:color w:val="auto"/>
              </w:rPr>
              <w:t>Impact of the enactment of the TCJA</w:t>
            </w:r>
          </w:p>
        </w:tc>
        <w:tc>
          <w:tcPr>
            <w:tcW w:w="126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0%</w:t>
            </w:r>
          </w:p>
        </w:tc>
        <w:tc>
          <w:tcPr>
            <w:tcW w:w="122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0.4%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64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Impact of intangible property transfers</w:t>
            </w:r>
          </w:p>
        </w:tc>
        <w:tc>
          <w:tcPr>
            <w:tcW w:w="12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0%</w:t>
            </w:r>
          </w:p>
        </w:tc>
        <w:tc>
          <w:tcPr>
            <w:tcW w:w="12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10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(5.9)%</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640" w:type="dxa"/>
            <w:vAlign w:val="bottom"/>
          </w:tcPr>
          <w:p>
            <w:pPr>
              <w:ind w:left="200"/>
              <w:spacing w:after="0" w:line="189" w:lineRule="exact"/>
              <w:rPr>
                <w:sz w:val="20"/>
                <w:szCs w:val="20"/>
                <w:color w:val="auto"/>
              </w:rPr>
            </w:pPr>
            <w:r>
              <w:rPr>
                <w:rFonts w:ascii="Arial" w:cs="Arial" w:eastAsia="Arial" w:hAnsi="Arial"/>
                <w:sz w:val="18"/>
                <w:szCs w:val="18"/>
                <w:color w:val="auto"/>
              </w:rPr>
              <w:t>Foreign-derived intangible income deduction</w:t>
            </w: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(1.3)%</w:t>
            </w:r>
          </w:p>
        </w:tc>
        <w:tc>
          <w:tcPr>
            <w:tcW w:w="240" w:type="dxa"/>
            <w:vAlign w:val="bottom"/>
          </w:tcPr>
          <w:p>
            <w:pPr>
              <w:spacing w:after="0"/>
              <w:rPr>
                <w:sz w:val="16"/>
                <w:szCs w:val="16"/>
                <w:color w:val="auto"/>
              </w:rPr>
            </w:pPr>
          </w:p>
        </w:tc>
        <w:tc>
          <w:tcPr>
            <w:tcW w:w="122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(1.1)%</w:t>
            </w: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(1.4)%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64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State income taxes, net of federal benefit</w:t>
            </w:r>
          </w:p>
        </w:tc>
        <w:tc>
          <w:tcPr>
            <w:tcW w:w="10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1.4%</w:t>
            </w:r>
          </w:p>
        </w:tc>
        <w:tc>
          <w:tcPr>
            <w:tcW w:w="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1.3%</w:t>
            </w:r>
          </w:p>
        </w:tc>
        <w:tc>
          <w:tcPr>
            <w:tcW w:w="22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0.7%</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640" w:type="dxa"/>
            <w:vAlign w:val="bottom"/>
          </w:tcPr>
          <w:p>
            <w:pPr>
              <w:ind w:left="200"/>
              <w:spacing w:after="0" w:line="189" w:lineRule="exact"/>
              <w:rPr>
                <w:sz w:val="20"/>
                <w:szCs w:val="20"/>
                <w:color w:val="auto"/>
              </w:rPr>
            </w:pPr>
            <w:r>
              <w:rPr>
                <w:rFonts w:ascii="Arial" w:cs="Arial" w:eastAsia="Arial" w:hAnsi="Arial"/>
                <w:sz w:val="18"/>
                <w:szCs w:val="18"/>
                <w:color w:val="auto"/>
              </w:rPr>
              <w:t>Research and development credit</w:t>
            </w: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(0.9)%</w:t>
            </w:r>
          </w:p>
        </w:tc>
        <w:tc>
          <w:tcPr>
            <w:tcW w:w="240" w:type="dxa"/>
            <w:vAlign w:val="bottom"/>
          </w:tcPr>
          <w:p>
            <w:pPr>
              <w:spacing w:after="0"/>
              <w:rPr>
                <w:sz w:val="16"/>
                <w:szCs w:val="16"/>
                <w:color w:val="auto"/>
              </w:rPr>
            </w:pPr>
          </w:p>
        </w:tc>
        <w:tc>
          <w:tcPr>
            <w:tcW w:w="122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(1.1)%</w:t>
            </w: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(1.1)%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64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Excess tax benefits relating to stock-based compensation</w:t>
            </w:r>
          </w:p>
        </w:tc>
        <w:tc>
          <w:tcPr>
            <w:tcW w:w="10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(2.4)%</w:t>
            </w:r>
          </w:p>
        </w:tc>
        <w:tc>
          <w:tcPr>
            <w:tcW w:w="240" w:type="dxa"/>
            <w:vAlign w:val="bottom"/>
            <w:shd w:val="clear" w:color="auto" w:fill="E5E5E5"/>
          </w:tcPr>
          <w:p>
            <w:pPr>
              <w:spacing w:after="0"/>
              <w:rPr>
                <w:sz w:val="16"/>
                <w:szCs w:val="16"/>
                <w:color w:val="auto"/>
              </w:rPr>
            </w:pPr>
          </w:p>
        </w:tc>
        <w:tc>
          <w:tcPr>
            <w:tcW w:w="12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(2.2)%</w:t>
            </w:r>
          </w:p>
        </w:tc>
        <w:tc>
          <w:tcPr>
            <w:tcW w:w="10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(2.2)%</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640" w:type="dxa"/>
            <w:vAlign w:val="bottom"/>
          </w:tcPr>
          <w:p>
            <w:pPr>
              <w:ind w:left="200"/>
              <w:spacing w:after="0" w:line="189" w:lineRule="exact"/>
              <w:rPr>
                <w:sz w:val="20"/>
                <w:szCs w:val="20"/>
                <w:color w:val="auto"/>
              </w:rPr>
            </w:pPr>
            <w:r>
              <w:rPr>
                <w:rFonts w:ascii="Arial" w:cs="Arial" w:eastAsia="Arial" w:hAnsi="Arial"/>
                <w:sz w:val="18"/>
                <w:szCs w:val="18"/>
                <w:color w:val="auto"/>
              </w:rPr>
              <w:t>Interest, net</w:t>
            </w: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0.5%</w:t>
            </w:r>
          </w:p>
        </w:tc>
        <w:tc>
          <w:tcPr>
            <w:tcW w:w="24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1.0%</w:t>
            </w:r>
          </w:p>
        </w:tc>
        <w:tc>
          <w:tcPr>
            <w:tcW w:w="22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1.0%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64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Other reconciling items, net</w:t>
            </w:r>
          </w:p>
        </w:tc>
        <w:tc>
          <w:tcPr>
            <w:tcW w:w="10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(1.8)%</w:t>
            </w:r>
          </w:p>
        </w:tc>
        <w:tc>
          <w:tcPr>
            <w:tcW w:w="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1.3%</w:t>
            </w:r>
          </w:p>
        </w:tc>
        <w:tc>
          <w:tcPr>
            <w:tcW w:w="22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1.8%</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6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Effective rate</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13.8%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16.5%</w:t>
            </w:r>
          </w:p>
        </w:tc>
        <w:tc>
          <w:tcPr>
            <w:tcW w:w="100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640" w:type="dxa"/>
            <w:vAlign w:val="bottom"/>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historically paid India withholding taxes on software sales through distributor withholding and tax audit assessments in India. In March 2021, the India Supreme Court ruled favorably in the case of Engineering Analysis Centre of Excellence Private Limited vs The Commissioner of Income Tax for companies in 86 separate appeals, some dating back to 2012, holding that software sales are not subject to India withholding taxes. Although we were not a party to the appeals, our software sales in India were determined to be not subject to withholding taxes. Therefore, we recorded a net income tax benefit of $ 620 million in the third quarter of fiscal year 2021 to reflect the results of the India Supreme Court decision impacting fiscal year 1996 through fiscal year 2016.</w:t>
      </w:r>
    </w:p>
    <w:p>
      <w:pPr>
        <w:spacing w:after="0" w:line="15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decrease from the federal statutory rate in fiscal year 2021 is primarily due to earnings taxed at lower rates in foreign jurisdictions resulting from producing and distributing our products and services through our foreign regional operations centers in Ireland and Puerto Rico, tax benefits relating to stock-based compensation, and tax benefits from the India Supreme Court decision on withholding taxes. The decrease from the federal statutory rate in fiscal year 2020 is primarily due to earnings taxed at lower rates in foreign jurisdictions resulting from producing and distributing our products and services through our foreign regional operations centers in Ireland and Puerto Rico, and tax benefits relating to stock-based compensation. The decrease from the federal statutory rate in fiscal year 2019 is primarily due to a $2.6 billion net income tax benefit related to intangible property transfers, and earnings taxed at lower rates in foreign jurisdictions resulting from producing and distributing our products and services through our foreign regional operations centers in Ireland, Singapore, and Puerto Rico. In fiscal year 2021 and 2020, our foreign regional operating centers in Ireland and Puerto Rico, which are taxed at rates lower than the U.S. rate, generated 82% and 86% of our foreign income before tax. In fiscal years 2019, our foreign regional operating centers in Ireland, Singapore, and Puerto Rico, which are taxed at rates lower than the U.S. rate, generated 82% of our foreign income before tax, respectively. Other reconciling items, net consists primarily of tax credits and GILTI tax, and in fiscal year 2021, includes tax benefits from the India Supreme Court decision on withholding taxes. In fiscal years 2021, 2020, and 2019, there were no individually significant other reconciling items.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83" w:name="page84"/>
    <w:bookmarkEnd w:id="83"/>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36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decrease in our effective tax rate for fiscal year 2021 compared to fiscal year 2020 was primarily due to tax benefits from the India Supreme Court decision on withholding taxes, an agreement between the U.S. and India tax authorities related to transfer pricing, final TCJA regulations, and an increase in tax benefits relating to stock-based compensation. The increase in our effective tax rate for fiscal year 2020 compared to fiscal year 2019 was primarily due to a $2.6 billion net income tax benefit in the fourth quarter of fiscal year 2019 related to intangible property transfers.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deferred income tax assets and liabilities were as follows:</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06437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740" w:type="dxa"/>
            <w:vAlign w:val="bottom"/>
            <w:gridSpan w:val="2"/>
          </w:tcPr>
          <w:p>
            <w:pPr>
              <w:spacing w:after="0"/>
              <w:rPr>
                <w:sz w:val="20"/>
                <w:szCs w:val="20"/>
                <w:color w:val="auto"/>
              </w:rPr>
            </w:pPr>
            <w:r>
              <w:rPr>
                <w:rFonts w:ascii="Arial" w:cs="Arial" w:eastAsia="Arial" w:hAnsi="Arial"/>
                <w:sz w:val="13"/>
                <w:szCs w:val="13"/>
                <w:b w:val="1"/>
                <w:bCs w:val="1"/>
                <w:color w:val="auto"/>
              </w:rPr>
              <w:t>June 30,</w:t>
            </w:r>
          </w:p>
        </w:tc>
        <w:tc>
          <w:tcPr>
            <w:tcW w:w="2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215"/>
        </w:trPr>
        <w:tc>
          <w:tcPr>
            <w:tcW w:w="6740" w:type="dxa"/>
            <w:vAlign w:val="bottom"/>
            <w:gridSpan w:val="2"/>
          </w:tcPr>
          <w:p>
            <w:pPr>
              <w:spacing w:after="0"/>
              <w:rPr>
                <w:sz w:val="20"/>
                <w:szCs w:val="20"/>
                <w:color w:val="auto"/>
              </w:rPr>
            </w:pPr>
            <w:r>
              <w:rPr>
                <w:rFonts w:ascii="Arial" w:cs="Arial" w:eastAsia="Arial" w:hAnsi="Arial"/>
                <w:sz w:val="13"/>
                <w:szCs w:val="13"/>
                <w:b w:val="1"/>
                <w:bCs w:val="1"/>
                <w:color w:val="auto"/>
              </w:rPr>
              <w:t>Deferred Income Tax Assets</w:t>
            </w:r>
          </w:p>
        </w:tc>
        <w:tc>
          <w:tcPr>
            <w:tcW w:w="2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67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7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Stock-based compensation expense</w:t>
            </w:r>
          </w:p>
        </w:tc>
        <w:tc>
          <w:tcPr>
            <w:tcW w:w="242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502</w:t>
            </w:r>
          </w:p>
        </w:tc>
        <w:tc>
          <w:tcPr>
            <w:tcW w:w="140" w:type="dxa"/>
            <w:vAlign w:val="bottom"/>
            <w:shd w:val="clear" w:color="auto" w:fill="E5E5E5"/>
          </w:tcPr>
          <w:p>
            <w:pPr>
              <w:spacing w:after="0"/>
              <w:rPr>
                <w:sz w:val="16"/>
                <w:szCs w:val="16"/>
                <w:color w:val="auto"/>
              </w:rPr>
            </w:pPr>
          </w:p>
        </w:tc>
        <w:tc>
          <w:tcPr>
            <w:tcW w:w="3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20" w:type="dxa"/>
            <w:vAlign w:val="bottom"/>
          </w:tcPr>
          <w:p>
            <w:pPr>
              <w:spacing w:after="0" w:line="189" w:lineRule="exact"/>
              <w:rPr>
                <w:sz w:val="20"/>
                <w:szCs w:val="20"/>
                <w:color w:val="auto"/>
              </w:rPr>
            </w:pPr>
            <w:r>
              <w:rPr>
                <w:rFonts w:ascii="Arial" w:cs="Arial" w:eastAsia="Arial" w:hAnsi="Arial"/>
                <w:sz w:val="18"/>
                <w:szCs w:val="18"/>
                <w:color w:val="auto"/>
              </w:rPr>
              <w:t>Accruals, reserves, and other expenses</w:t>
            </w:r>
          </w:p>
        </w:tc>
        <w:tc>
          <w:tcPr>
            <w:tcW w:w="2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2,960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2,721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Loss and credit carryforwards</w:t>
            </w:r>
          </w:p>
        </w:tc>
        <w:tc>
          <w:tcPr>
            <w:tcW w:w="216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1,090</w:t>
            </w:r>
          </w:p>
        </w:tc>
        <w:tc>
          <w:tcPr>
            <w:tcW w:w="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20" w:type="dxa"/>
            <w:vAlign w:val="bottom"/>
          </w:tcPr>
          <w:p>
            <w:pPr>
              <w:spacing w:after="0" w:line="189" w:lineRule="exact"/>
              <w:rPr>
                <w:sz w:val="20"/>
                <w:szCs w:val="20"/>
                <w:color w:val="auto"/>
              </w:rPr>
            </w:pPr>
            <w:r>
              <w:rPr>
                <w:rFonts w:ascii="Arial" w:cs="Arial" w:eastAsia="Arial" w:hAnsi="Arial"/>
                <w:sz w:val="18"/>
                <w:szCs w:val="18"/>
                <w:color w:val="auto"/>
              </w:rPr>
              <w:t>Amortization</w:t>
            </w:r>
          </w:p>
        </w:tc>
        <w:tc>
          <w:tcPr>
            <w:tcW w:w="2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6,346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6,737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Leasing liabilities</w:t>
            </w:r>
          </w:p>
        </w:tc>
        <w:tc>
          <w:tcPr>
            <w:tcW w:w="216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4,060</w:t>
            </w:r>
          </w:p>
        </w:tc>
        <w:tc>
          <w:tcPr>
            <w:tcW w:w="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3,025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20" w:type="dxa"/>
            <w:vAlign w:val="bottom"/>
          </w:tcPr>
          <w:p>
            <w:pPr>
              <w:spacing w:after="0" w:line="189" w:lineRule="exact"/>
              <w:rPr>
                <w:sz w:val="20"/>
                <w:szCs w:val="20"/>
                <w:color w:val="auto"/>
              </w:rPr>
            </w:pPr>
            <w:r>
              <w:rPr>
                <w:rFonts w:ascii="Arial" w:cs="Arial" w:eastAsia="Arial" w:hAnsi="Arial"/>
                <w:sz w:val="18"/>
                <w:szCs w:val="18"/>
                <w:color w:val="auto"/>
              </w:rPr>
              <w:t>Unearned revenue</w:t>
            </w:r>
          </w:p>
        </w:tc>
        <w:tc>
          <w:tcPr>
            <w:tcW w:w="2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2,659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w:t>
            </w:r>
          </w:p>
        </w:tc>
        <w:tc>
          <w:tcPr>
            <w:tcW w:w="216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7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543</w:t>
            </w:r>
          </w:p>
        </w:tc>
        <w:tc>
          <w:tcPr>
            <w:tcW w:w="1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720" w:type="dxa"/>
            <w:vAlign w:val="bottom"/>
            <w:tcBorders>
              <w:bottom w:val="single" w:sz="8" w:color="auto"/>
            </w:tcBorders>
          </w:tcPr>
          <w:p>
            <w:pPr>
              <w:spacing w:after="0"/>
              <w:rPr>
                <w:sz w:val="5"/>
                <w:szCs w:val="5"/>
                <w:color w:val="auto"/>
              </w:rPr>
            </w:pPr>
          </w:p>
        </w:tc>
        <w:tc>
          <w:tcPr>
            <w:tcW w:w="21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720" w:type="dxa"/>
            <w:vAlign w:val="bottom"/>
          </w:tcPr>
          <w:p>
            <w:pPr>
              <w:ind w:left="200"/>
              <w:spacing w:after="0"/>
              <w:rPr>
                <w:sz w:val="20"/>
                <w:szCs w:val="20"/>
                <w:color w:val="auto"/>
              </w:rPr>
            </w:pPr>
            <w:r>
              <w:rPr>
                <w:rFonts w:ascii="Arial" w:cs="Arial" w:eastAsia="Arial" w:hAnsi="Arial"/>
                <w:sz w:val="18"/>
                <w:szCs w:val="18"/>
                <w:color w:val="auto"/>
              </w:rPr>
              <w:t>Deferred income tax assets</w:t>
            </w:r>
          </w:p>
        </w:tc>
        <w:tc>
          <w:tcPr>
            <w:tcW w:w="2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18,160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15,716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Less valuation allowance</w:t>
            </w:r>
          </w:p>
        </w:tc>
        <w:tc>
          <w:tcPr>
            <w:tcW w:w="216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(769)</w:t>
            </w:r>
          </w:p>
        </w:tc>
        <w:tc>
          <w:tcPr>
            <w:tcW w:w="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720" w:type="dxa"/>
            <w:vAlign w:val="bottom"/>
            <w:tcBorders>
              <w:bottom w:val="single" w:sz="8" w:color="auto"/>
            </w:tcBorders>
          </w:tcPr>
          <w:p>
            <w:pPr>
              <w:spacing w:after="0"/>
              <w:rPr>
                <w:sz w:val="5"/>
                <w:szCs w:val="5"/>
                <w:color w:val="auto"/>
              </w:rPr>
            </w:pPr>
          </w:p>
        </w:tc>
        <w:tc>
          <w:tcPr>
            <w:tcW w:w="2420" w:type="dxa"/>
            <w:vAlign w:val="bottom"/>
            <w:tcBorders>
              <w:bottom w:val="single" w:sz="8" w:color="auto"/>
            </w:tcBorders>
            <w:gridSpan w:val="2"/>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720" w:type="dxa"/>
            <w:vAlign w:val="bottom"/>
          </w:tcPr>
          <w:p>
            <w:pPr>
              <w:ind w:left="200"/>
              <w:spacing w:after="0"/>
              <w:rPr>
                <w:sz w:val="20"/>
                <w:szCs w:val="20"/>
                <w:color w:val="auto"/>
              </w:rPr>
            </w:pPr>
            <w:r>
              <w:rPr>
                <w:rFonts w:ascii="Arial" w:cs="Arial" w:eastAsia="Arial" w:hAnsi="Arial"/>
                <w:sz w:val="18"/>
                <w:szCs w:val="18"/>
                <w:color w:val="auto"/>
              </w:rPr>
              <w:t>Deferred income tax assets, net of valuation allowance</w:t>
            </w:r>
          </w:p>
        </w:tc>
        <w:tc>
          <w:tcPr>
            <w:tcW w:w="24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17,391</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14,961</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672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6740" w:type="dxa"/>
            <w:vAlign w:val="bottom"/>
            <w:gridSpan w:val="2"/>
          </w:tcPr>
          <w:p>
            <w:pPr>
              <w:spacing w:after="0"/>
              <w:rPr>
                <w:sz w:val="20"/>
                <w:szCs w:val="20"/>
                <w:color w:val="auto"/>
              </w:rPr>
            </w:pPr>
            <w:r>
              <w:rPr>
                <w:rFonts w:ascii="Arial" w:cs="Arial" w:eastAsia="Arial" w:hAnsi="Arial"/>
                <w:sz w:val="13"/>
                <w:szCs w:val="13"/>
                <w:b w:val="1"/>
                <w:bCs w:val="1"/>
                <w:color w:val="auto"/>
              </w:rPr>
              <w:t>Deferred Income Tax Liabilities</w:t>
            </w:r>
          </w:p>
        </w:tc>
        <w:tc>
          <w:tcPr>
            <w:tcW w:w="2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67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7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Book/tax basis differences in investments and debt</w:t>
            </w:r>
          </w:p>
        </w:tc>
        <w:tc>
          <w:tcPr>
            <w:tcW w:w="242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(2,605)</w:t>
            </w:r>
          </w:p>
        </w:tc>
        <w:tc>
          <w:tcPr>
            <w:tcW w:w="3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(2,642)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20" w:type="dxa"/>
            <w:vAlign w:val="bottom"/>
          </w:tcPr>
          <w:p>
            <w:pPr>
              <w:spacing w:after="0" w:line="189" w:lineRule="exact"/>
              <w:rPr>
                <w:sz w:val="20"/>
                <w:szCs w:val="20"/>
                <w:color w:val="auto"/>
              </w:rPr>
            </w:pPr>
            <w:r>
              <w:rPr>
                <w:rFonts w:ascii="Arial" w:cs="Arial" w:eastAsia="Arial" w:hAnsi="Arial"/>
                <w:sz w:val="18"/>
                <w:szCs w:val="18"/>
                <w:color w:val="auto"/>
              </w:rPr>
              <w:t>Leasing assets</w:t>
            </w:r>
          </w:p>
        </w:tc>
        <w:tc>
          <w:tcPr>
            <w:tcW w:w="2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(3,834)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(2,817)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Depreciation</w:t>
            </w:r>
          </w:p>
        </w:tc>
        <w:tc>
          <w:tcPr>
            <w:tcW w:w="216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(1,010)</w:t>
            </w:r>
          </w:p>
        </w:tc>
        <w:tc>
          <w:tcPr>
            <w:tcW w:w="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20" w:type="dxa"/>
            <w:vAlign w:val="bottom"/>
          </w:tcPr>
          <w:p>
            <w:pPr>
              <w:spacing w:after="0" w:line="189" w:lineRule="exact"/>
              <w:rPr>
                <w:sz w:val="20"/>
                <w:szCs w:val="20"/>
                <w:color w:val="auto"/>
              </w:rPr>
            </w:pPr>
            <w:r>
              <w:rPr>
                <w:rFonts w:ascii="Arial" w:cs="Arial" w:eastAsia="Arial" w:hAnsi="Arial"/>
                <w:sz w:val="18"/>
                <w:szCs w:val="18"/>
                <w:color w:val="auto"/>
              </w:rPr>
              <w:t>Deferred GILTI tax liabilities</w:t>
            </w:r>
          </w:p>
        </w:tc>
        <w:tc>
          <w:tcPr>
            <w:tcW w:w="2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(2,815)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(2,581)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w:t>
            </w:r>
          </w:p>
        </w:tc>
        <w:tc>
          <w:tcPr>
            <w:tcW w:w="216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(144)</w:t>
            </w:r>
          </w:p>
        </w:tc>
        <w:tc>
          <w:tcPr>
            <w:tcW w:w="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720" w:type="dxa"/>
            <w:vAlign w:val="bottom"/>
            <w:tcBorders>
              <w:bottom w:val="single" w:sz="8" w:color="auto"/>
            </w:tcBorders>
          </w:tcPr>
          <w:p>
            <w:pPr>
              <w:spacing w:after="0"/>
              <w:rPr>
                <w:sz w:val="5"/>
                <w:szCs w:val="5"/>
                <w:color w:val="auto"/>
              </w:rPr>
            </w:pPr>
          </w:p>
        </w:tc>
        <w:tc>
          <w:tcPr>
            <w:tcW w:w="2420" w:type="dxa"/>
            <w:vAlign w:val="bottom"/>
            <w:tcBorders>
              <w:bottom w:val="single" w:sz="8" w:color="auto"/>
            </w:tcBorders>
            <w:gridSpan w:val="2"/>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720" w:type="dxa"/>
            <w:vAlign w:val="bottom"/>
          </w:tcPr>
          <w:p>
            <w:pPr>
              <w:ind w:left="200"/>
              <w:spacing w:after="0"/>
              <w:rPr>
                <w:sz w:val="20"/>
                <w:szCs w:val="20"/>
                <w:color w:val="auto"/>
              </w:rPr>
            </w:pPr>
            <w:r>
              <w:rPr>
                <w:rFonts w:ascii="Arial" w:cs="Arial" w:eastAsia="Arial" w:hAnsi="Arial"/>
                <w:sz w:val="18"/>
                <w:szCs w:val="18"/>
                <w:color w:val="auto"/>
              </w:rPr>
              <w:t>Deferred income tax liabilities</w:t>
            </w:r>
          </w:p>
        </w:tc>
        <w:tc>
          <w:tcPr>
            <w:tcW w:w="24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(10,408)</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(8,760)</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672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720" w:type="dxa"/>
            <w:vAlign w:val="bottom"/>
          </w:tcPr>
          <w:p>
            <w:pPr>
              <w:spacing w:after="0"/>
              <w:rPr>
                <w:sz w:val="5"/>
                <w:szCs w:val="5"/>
                <w:color w:val="auto"/>
              </w:rPr>
            </w:pPr>
          </w:p>
        </w:tc>
        <w:tc>
          <w:tcPr>
            <w:tcW w:w="2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20" w:type="dxa"/>
            <w:vAlign w:val="bottom"/>
            <w:shd w:val="clear" w:color="auto" w:fill="E5E5E5"/>
          </w:tcPr>
          <w:p>
            <w:pPr>
              <w:ind w:left="420"/>
              <w:spacing w:after="0" w:line="189" w:lineRule="exact"/>
              <w:rPr>
                <w:sz w:val="20"/>
                <w:szCs w:val="20"/>
                <w:color w:val="auto"/>
              </w:rPr>
            </w:pPr>
            <w:r>
              <w:rPr>
                <w:rFonts w:ascii="Arial" w:cs="Arial" w:eastAsia="Arial" w:hAnsi="Arial"/>
                <w:sz w:val="18"/>
                <w:szCs w:val="18"/>
                <w:color w:val="auto"/>
              </w:rPr>
              <w:t>Net deferred income tax assets</w:t>
            </w:r>
          </w:p>
        </w:tc>
        <w:tc>
          <w:tcPr>
            <w:tcW w:w="242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6,983</w:t>
            </w:r>
          </w:p>
        </w:tc>
        <w:tc>
          <w:tcPr>
            <w:tcW w:w="3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6,201</w:t>
            </w:r>
          </w:p>
        </w:tc>
        <w:tc>
          <w:tcPr>
            <w:tcW w:w="0" w:type="dxa"/>
            <w:vAlign w:val="bottom"/>
          </w:tcPr>
          <w:p>
            <w:pPr>
              <w:spacing w:after="0"/>
              <w:rPr>
                <w:sz w:val="1"/>
                <w:szCs w:val="1"/>
                <w:color w:val="auto"/>
              </w:rPr>
            </w:pPr>
          </w:p>
        </w:tc>
      </w:tr>
      <w:tr>
        <w:trPr>
          <w:trHeight w:val="74"/>
        </w:trPr>
        <w:tc>
          <w:tcPr>
            <w:tcW w:w="67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Reported As</w:t>
            </w:r>
          </w:p>
        </w:tc>
        <w:tc>
          <w:tcPr>
            <w:tcW w:w="216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6740" w:type="dxa"/>
            <w:vAlign w:val="bottom"/>
            <w:gridSpan w:val="2"/>
            <w:vMerge w:val="continue"/>
          </w:tcPr>
          <w:p>
            <w:pPr>
              <w:spacing w:after="0"/>
              <w:rPr>
                <w:sz w:val="19"/>
                <w:szCs w:val="19"/>
                <w:color w:val="auto"/>
              </w:rPr>
            </w:pPr>
          </w:p>
        </w:tc>
        <w:tc>
          <w:tcPr>
            <w:tcW w:w="2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67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7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long-term assets</w:t>
            </w:r>
          </w:p>
        </w:tc>
        <w:tc>
          <w:tcPr>
            <w:tcW w:w="242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7,181</w:t>
            </w:r>
          </w:p>
        </w:tc>
        <w:tc>
          <w:tcPr>
            <w:tcW w:w="3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6,405</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Long-term deferred income tax liabilities</w:t>
            </w:r>
          </w:p>
        </w:tc>
        <w:tc>
          <w:tcPr>
            <w:tcW w:w="2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(198)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720" w:type="dxa"/>
            <w:vAlign w:val="bottom"/>
            <w:tcBorders>
              <w:top w:val="single" w:sz="8" w:color="auto"/>
            </w:tcBorders>
          </w:tcPr>
          <w:p>
            <w:pPr>
              <w:spacing w:after="0"/>
              <w:rPr>
                <w:sz w:val="5"/>
                <w:szCs w:val="5"/>
                <w:color w:val="auto"/>
              </w:rPr>
            </w:pPr>
          </w:p>
        </w:tc>
        <w:tc>
          <w:tcPr>
            <w:tcW w:w="216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20" w:type="dxa"/>
            <w:vAlign w:val="bottom"/>
            <w:shd w:val="clear" w:color="auto" w:fill="E5E5E5"/>
          </w:tcPr>
          <w:p>
            <w:pPr>
              <w:ind w:left="420"/>
              <w:spacing w:after="0" w:line="189" w:lineRule="exact"/>
              <w:rPr>
                <w:sz w:val="20"/>
                <w:szCs w:val="20"/>
                <w:color w:val="auto"/>
              </w:rPr>
            </w:pPr>
            <w:r>
              <w:rPr>
                <w:rFonts w:ascii="Arial" w:cs="Arial" w:eastAsia="Arial" w:hAnsi="Arial"/>
                <w:sz w:val="18"/>
                <w:szCs w:val="18"/>
                <w:color w:val="auto"/>
              </w:rPr>
              <w:t>Net deferred income tax assets</w:t>
            </w:r>
          </w:p>
        </w:tc>
        <w:tc>
          <w:tcPr>
            <w:tcW w:w="242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6,983</w:t>
            </w:r>
          </w:p>
        </w:tc>
        <w:tc>
          <w:tcPr>
            <w:tcW w:w="3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6,201</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720" w:type="dxa"/>
            <w:vAlign w:val="bottom"/>
          </w:tcPr>
          <w:p>
            <w:pPr>
              <w:spacing w:after="0"/>
              <w:rPr>
                <w:sz w:val="6"/>
                <w:szCs w:val="6"/>
                <w:color w:val="auto"/>
              </w:rPr>
            </w:pPr>
          </w:p>
        </w:tc>
        <w:tc>
          <w:tcPr>
            <w:tcW w:w="216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Deferred income tax balances reflect the effects of temporary differences between the carrying amounts of assets and liabilities and their tax bases and are stated at enacted tax rates expected to be in effect when the taxes are paid or recovered.</w:t>
      </w:r>
    </w:p>
    <w:p>
      <w:pPr>
        <w:spacing w:after="0" w:line="14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June 30, 2021, we had federal, state, and foreign net operating loss carryforwards of $304 million, $ 1.3 billion, and $2.0 billion, respectively. The federal and state net operating loss carryforwards will expire in various years from fiscal 2022 through 2041, if not utilized. The majority of our foreign net operating loss carryforwards do not expire. Certain acquired net operating loss carryforwards are subject to an annual limitation but are expected to be realized with the exception of those which have a valuation allowance.</w:t>
      </w:r>
    </w:p>
    <w:p>
      <w:pPr>
        <w:spacing w:after="0" w:line="14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valuation allowance disclosed in the table above relates to the foreign net operating loss carryforwards and other net deferred tax assets that may not be realized. In fiscal year 2020, we removed $2.0 billion of foreign net operating losses and corresponding valuation allowances as a result of the liquidation of a foreign subsidiary. There was no impact to our consolidated financial statements.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Income taxes paid, net of refunds, were $13.4 billion, $12.5 billion, and $8.4 billion in fiscal years 2021, 2020, and 2019, respectively.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84" w:name="page85"/>
    <w:bookmarkEnd w:id="84"/>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Gross unrecognized tax benefits related to uncertain tax positions as of June 30, 2021, 2020, and 2019, were $14.6 billion, $13.8 billion, and $13.1 billion, respectively, which were primarily included in long-term income taxes in our consolidated balance sheets. If recognized, the resulting tax benefit would affect our effective tax rates for fiscal years 2021, 2020, and 2019 by $12.5 billion, $12.1 billion, and $12.0 billion, respectively.</w:t>
      </w:r>
    </w:p>
    <w:p>
      <w:pPr>
        <w:spacing w:after="0" w:line="14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of June 30, 2021, 2020, and 2019, we had accrued interest expense related to uncertain tax positions of $4.3 billion, $4.0 billion, and $3.4 billion, respectively, net of income tax benefits. The provision for income taxes for fiscal years 2021, 2020, and 2019 included interest expense related to uncertain tax positions of $274 million, $579 million, and $515 million, respectively, net of income tax benefits.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aggregate changes in the gross unrecognized tax benefits related to uncertain tax positions were as follows:</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06437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040" w:type="dxa"/>
            <w:vAlign w:val="bottom"/>
            <w:gridSpan w:val="2"/>
          </w:tcPr>
          <w:p>
            <w:pPr>
              <w:spacing w:after="0"/>
              <w:rPr>
                <w:sz w:val="20"/>
                <w:szCs w:val="20"/>
                <w:color w:val="auto"/>
              </w:rPr>
            </w:pPr>
            <w:r>
              <w:rPr>
                <w:rFonts w:ascii="Arial" w:cs="Arial" w:eastAsia="Arial" w:hAnsi="Arial"/>
                <w:sz w:val="13"/>
                <w:szCs w:val="13"/>
                <w:b w:val="1"/>
                <w:bCs w:val="1"/>
                <w:color w:val="auto"/>
              </w:rPr>
              <w:t>Year Ended June 30,</w:t>
            </w:r>
          </w:p>
        </w:tc>
        <w:tc>
          <w:tcPr>
            <w:tcW w:w="1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60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0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Beginning unrecognized tax benefits</w:t>
            </w:r>
          </w:p>
        </w:tc>
        <w:tc>
          <w:tcPr>
            <w:tcW w:w="190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13,792</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13,146</w:t>
            </w:r>
          </w:p>
        </w:tc>
        <w:tc>
          <w:tcPr>
            <w:tcW w:w="3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11,961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20" w:type="dxa"/>
            <w:vAlign w:val="bottom"/>
          </w:tcPr>
          <w:p>
            <w:pPr>
              <w:ind w:left="200"/>
              <w:spacing w:after="0" w:line="189" w:lineRule="exact"/>
              <w:rPr>
                <w:sz w:val="20"/>
                <w:szCs w:val="20"/>
                <w:color w:val="auto"/>
              </w:rPr>
            </w:pPr>
            <w:r>
              <w:rPr>
                <w:rFonts w:ascii="Arial" w:cs="Arial" w:eastAsia="Arial" w:hAnsi="Arial"/>
                <w:sz w:val="18"/>
                <w:szCs w:val="18"/>
                <w:color w:val="auto"/>
              </w:rPr>
              <w:t>Decreases related to settlements</w:t>
            </w:r>
          </w:p>
        </w:tc>
        <w:tc>
          <w:tcPr>
            <w:tcW w:w="1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tcPr>
          <w:p>
            <w:pPr>
              <w:jc w:val="right"/>
              <w:ind w:right="180"/>
              <w:spacing w:after="0" w:line="189" w:lineRule="exact"/>
              <w:rPr>
                <w:sz w:val="20"/>
                <w:szCs w:val="20"/>
                <w:color w:val="auto"/>
              </w:rPr>
            </w:pPr>
            <w:r>
              <w:rPr>
                <w:rFonts w:ascii="Arial" w:cs="Arial" w:eastAsia="Arial" w:hAnsi="Arial"/>
                <w:sz w:val="18"/>
                <w:szCs w:val="18"/>
                <w:b w:val="1"/>
                <w:bCs w:val="1"/>
                <w:color w:val="auto"/>
              </w:rPr>
              <w:t>(195)</w:t>
            </w:r>
          </w:p>
        </w:tc>
        <w:tc>
          <w:tcPr>
            <w:tcW w:w="280" w:type="dxa"/>
            <w:vAlign w:val="bottom"/>
          </w:tcPr>
          <w:p>
            <w:pPr>
              <w:spacing w:after="0"/>
              <w:rPr>
                <w:sz w:val="16"/>
                <w:szCs w:val="16"/>
                <w:color w:val="auto"/>
              </w:rPr>
            </w:pPr>
          </w:p>
        </w:tc>
        <w:tc>
          <w:tcPr>
            <w:tcW w:w="8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(31)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2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Increases for tax positions related to the current year</w:t>
            </w:r>
          </w:p>
        </w:tc>
        <w:tc>
          <w:tcPr>
            <w:tcW w:w="162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7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790</w:t>
            </w:r>
          </w:p>
        </w:tc>
        <w:tc>
          <w:tcPr>
            <w:tcW w:w="24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7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647</w:t>
            </w:r>
          </w:p>
        </w:tc>
        <w:tc>
          <w:tcPr>
            <w:tcW w:w="1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2,106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20" w:type="dxa"/>
            <w:vAlign w:val="bottom"/>
          </w:tcPr>
          <w:p>
            <w:pPr>
              <w:ind w:left="200"/>
              <w:spacing w:after="0" w:line="189" w:lineRule="exact"/>
              <w:rPr>
                <w:sz w:val="20"/>
                <w:szCs w:val="20"/>
                <w:color w:val="auto"/>
              </w:rPr>
            </w:pPr>
            <w:r>
              <w:rPr>
                <w:rFonts w:ascii="Arial" w:cs="Arial" w:eastAsia="Arial" w:hAnsi="Arial"/>
                <w:sz w:val="18"/>
                <w:szCs w:val="18"/>
                <w:color w:val="auto"/>
              </w:rPr>
              <w:t>Increases for tax positions related to prior years</w:t>
            </w:r>
          </w:p>
        </w:tc>
        <w:tc>
          <w:tcPr>
            <w:tcW w:w="1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461</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366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2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Decreases for tax positions related to prior years</w:t>
            </w:r>
          </w:p>
        </w:tc>
        <w:tc>
          <w:tcPr>
            <w:tcW w:w="162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(297)</w:t>
            </w:r>
          </w:p>
        </w:tc>
        <w:tc>
          <w:tcPr>
            <w:tcW w:w="28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(331)</w:t>
            </w:r>
          </w:p>
        </w:tc>
        <w:tc>
          <w:tcPr>
            <w:tcW w:w="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020" w:type="dxa"/>
            <w:vAlign w:val="bottom"/>
          </w:tcPr>
          <w:p>
            <w:pPr>
              <w:ind w:left="200"/>
              <w:spacing w:after="0"/>
              <w:rPr>
                <w:sz w:val="20"/>
                <w:szCs w:val="20"/>
                <w:color w:val="auto"/>
              </w:rPr>
            </w:pPr>
            <w:r>
              <w:rPr>
                <w:rFonts w:ascii="Arial" w:cs="Arial" w:eastAsia="Arial" w:hAnsi="Arial"/>
                <w:sz w:val="18"/>
                <w:szCs w:val="18"/>
                <w:color w:val="auto"/>
              </w:rPr>
              <w:t>Decreases due to lapsed statutes of limitations</w:t>
            </w:r>
          </w:p>
        </w:tc>
        <w:tc>
          <w:tcPr>
            <w:tcW w:w="1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w:t>
            </w:r>
          </w:p>
        </w:tc>
        <w:tc>
          <w:tcPr>
            <w:tcW w:w="28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6020" w:type="dxa"/>
            <w:vAlign w:val="bottom"/>
            <w:tcBorders>
              <w:top w:val="single" w:sz="8" w:color="auto"/>
            </w:tcBorders>
          </w:tcPr>
          <w:p>
            <w:pPr>
              <w:spacing w:after="0"/>
              <w:rPr>
                <w:sz w:val="5"/>
                <w:szCs w:val="5"/>
                <w:color w:val="auto"/>
              </w:rPr>
            </w:pPr>
          </w:p>
        </w:tc>
        <w:tc>
          <w:tcPr>
            <w:tcW w:w="162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0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Ending unrecognized tax benefits</w:t>
            </w:r>
          </w:p>
        </w:tc>
        <w:tc>
          <w:tcPr>
            <w:tcW w:w="190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14,550</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13,792</w:t>
            </w:r>
          </w:p>
        </w:tc>
        <w:tc>
          <w:tcPr>
            <w:tcW w:w="3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13,146</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0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settled a portion of the Internal Revenue Service (“IRS”) audit for tax years 2004 to 2006 in fiscal year 2011. In February 2012, the IRS withdrew its 2011 Revenue Agents Report related to unresolved issues for tax years 2004 to 2006 and reopened the audit phase of the examination. We also settled a portion of the IRS audit for tax years 2007 to 2009 in fiscal year 2016, and a portion of the IRS audit for tax years 2010 to 2013 in fiscal year 2018. In the second quarter of fiscal year 2021, we settled an additional portion of the IRS audits for tax years 2004 to 2013 and made a payment of $1.7 billion, including tax and interest. We remain under audit for tax years 2004 to 2017.</w:t>
      </w:r>
    </w:p>
    <w:p>
      <w:pPr>
        <w:spacing w:after="0" w:line="14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of June 30, 2021, the primary unresolved issues for the IRS audits relate to transfer pricing, which could have a material impact in our consolidated financial statements when the matters are resolved. We believe our allowances for income tax contingencies are adequate. We have not received a proposed assessment for the unresolved key transfer pricing issues and do not expect a final resolution of these issues in the next 12 months. Based on the information currently available, we do not anticipate a significant increase or decrease to our tax contingencies for these issues within the next 12 months.</w:t>
      </w:r>
    </w:p>
    <w:p>
      <w:pPr>
        <w:spacing w:after="0" w:line="14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are subject to income tax in many jurisdictions outside the U.S. Our operations in certain jurisdictions remain subject to examination for tax years 1996 to 2020, some of which are currently under audit by local tax authorities. The resolution of each of these audits is not expected to be material to our consolidated financial statements.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13 — UNEARNED REVENUE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Unearned revenue by segment was as follows: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06437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240" w:type="dxa"/>
            <w:vAlign w:val="bottom"/>
            <w:gridSpan w:val="2"/>
          </w:tcPr>
          <w:p>
            <w:pPr>
              <w:spacing w:after="0"/>
              <w:rPr>
                <w:sz w:val="20"/>
                <w:szCs w:val="20"/>
                <w:color w:val="auto"/>
              </w:rPr>
            </w:pPr>
            <w:r>
              <w:rPr>
                <w:rFonts w:ascii="Arial" w:cs="Arial" w:eastAsia="Arial" w:hAnsi="Arial"/>
                <w:sz w:val="13"/>
                <w:szCs w:val="13"/>
                <w:b w:val="1"/>
                <w:bCs w:val="1"/>
                <w:color w:val="auto"/>
              </w:rPr>
              <w:t>June 30,</w:t>
            </w:r>
          </w:p>
        </w:tc>
        <w:tc>
          <w:tcPr>
            <w:tcW w:w="4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4220" w:type="dxa"/>
            <w:vAlign w:val="bottom"/>
          </w:tcPr>
          <w:p>
            <w:pPr>
              <w:spacing w:after="0"/>
              <w:rPr>
                <w:sz w:val="4"/>
                <w:szCs w:val="4"/>
                <w:color w:val="auto"/>
              </w:rPr>
            </w:pPr>
          </w:p>
        </w:tc>
        <w:tc>
          <w:tcPr>
            <w:tcW w:w="4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2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Productivity and Business Processes</w:t>
            </w:r>
          </w:p>
        </w:tc>
        <w:tc>
          <w:tcPr>
            <w:tcW w:w="47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22,120</w:t>
            </w:r>
          </w:p>
        </w:tc>
        <w:tc>
          <w:tcPr>
            <w:tcW w:w="4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18,643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220" w:type="dxa"/>
            <w:vAlign w:val="bottom"/>
          </w:tcPr>
          <w:p>
            <w:pPr>
              <w:spacing w:after="0" w:line="189" w:lineRule="exact"/>
              <w:rPr>
                <w:sz w:val="20"/>
                <w:szCs w:val="20"/>
                <w:color w:val="auto"/>
              </w:rPr>
            </w:pPr>
            <w:r>
              <w:rPr>
                <w:rFonts w:ascii="Arial" w:cs="Arial" w:eastAsia="Arial" w:hAnsi="Arial"/>
                <w:sz w:val="18"/>
                <w:szCs w:val="18"/>
                <w:color w:val="auto"/>
              </w:rPr>
              <w:t>Intelligent Cloud</w:t>
            </w:r>
          </w:p>
        </w:tc>
        <w:tc>
          <w:tcPr>
            <w:tcW w:w="4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17,710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16,620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2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444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4,311</w:t>
            </w:r>
          </w:p>
        </w:tc>
        <w:tc>
          <w:tcPr>
            <w:tcW w:w="12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3,917</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4220" w:type="dxa"/>
            <w:vAlign w:val="bottom"/>
            <w:tcBorders>
              <w:bottom w:val="single" w:sz="8" w:color="auto"/>
            </w:tcBorders>
          </w:tcPr>
          <w:p>
            <w:pPr>
              <w:spacing w:after="0"/>
              <w:rPr>
                <w:sz w:val="5"/>
                <w:szCs w:val="5"/>
                <w:color w:val="auto"/>
              </w:rPr>
            </w:pPr>
          </w:p>
        </w:tc>
        <w:tc>
          <w:tcPr>
            <w:tcW w:w="4780" w:type="dxa"/>
            <w:vAlign w:val="bottom"/>
            <w:tcBorders>
              <w:bottom w:val="single" w:sz="8" w:color="auto"/>
            </w:tcBorders>
            <w:gridSpan w:val="2"/>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Total</w:t>
            </w:r>
          </w:p>
        </w:tc>
        <w:tc>
          <w:tcPr>
            <w:tcW w:w="47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44,141</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39,180</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220" w:type="dxa"/>
            <w:vAlign w:val="bottom"/>
          </w:tcPr>
          <w:p>
            <w:pPr>
              <w:spacing w:after="0"/>
              <w:rPr>
                <w:sz w:val="5"/>
                <w:szCs w:val="5"/>
                <w:color w:val="auto"/>
              </w:rPr>
            </w:pPr>
          </w:p>
        </w:tc>
        <w:tc>
          <w:tcPr>
            <w:tcW w:w="4440" w:type="dxa"/>
            <w:vAlign w:val="bottom"/>
            <w:vMerge w:val="restart"/>
          </w:tcPr>
          <w:p>
            <w:pPr>
              <w:jc w:val="right"/>
              <w:ind w:right="2896"/>
              <w:spacing w:after="0"/>
              <w:rPr>
                <w:sz w:val="20"/>
                <w:szCs w:val="20"/>
                <w:color w:val="auto"/>
              </w:rPr>
            </w:pPr>
            <w:r>
              <w:rPr>
                <w:rFonts w:ascii="Arial" w:cs="Arial" w:eastAsia="Arial" w:hAnsi="Arial"/>
                <w:sz w:val="14"/>
                <w:szCs w:val="14"/>
                <w:color w:val="auto"/>
              </w:rPr>
              <w:t>85</w:t>
            </w:r>
          </w:p>
        </w:tc>
        <w:tc>
          <w:tcPr>
            <w:tcW w:w="3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4"/>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220" w:type="dxa"/>
            <w:vAlign w:val="bottom"/>
            <w:tcBorders>
              <w:bottom w:val="single" w:sz="8" w:color="9A9A9A"/>
            </w:tcBorders>
          </w:tcPr>
          <w:p>
            <w:pPr>
              <w:spacing w:after="0"/>
              <w:rPr>
                <w:sz w:val="8"/>
                <w:szCs w:val="8"/>
                <w:color w:val="auto"/>
              </w:rPr>
            </w:pPr>
          </w:p>
        </w:tc>
        <w:tc>
          <w:tcPr>
            <w:tcW w:w="44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5780" w:type="dxa"/>
            <w:vAlign w:val="bottom"/>
            <w:gridSpan w:val="4"/>
          </w:tcPr>
          <w:p>
            <w:pPr>
              <w:jc w:val="center"/>
              <w:ind w:right="3640"/>
              <w:spacing w:after="0"/>
              <w:rPr>
                <w:sz w:val="20"/>
                <w:szCs w:val="20"/>
                <w:color w:val="auto"/>
              </w:rPr>
            </w:pPr>
            <w:r>
              <w:rPr>
                <w:rFonts w:ascii="Arial" w:cs="Arial" w:eastAsia="Arial" w:hAnsi="Arial"/>
                <w:sz w:val="13"/>
                <w:szCs w:val="13"/>
                <w:color w:val="auto"/>
              </w:rPr>
              <w:t>PART II</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rPr>
              <w:t>Item 8</w:t>
            </w:r>
          </w:p>
        </w:tc>
        <w:tc>
          <w:tcPr>
            <w:tcW w:w="448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3"/>
        </w:trPr>
        <w:tc>
          <w:tcPr>
            <w:tcW w:w="4560" w:type="dxa"/>
            <w:vAlign w:val="bottom"/>
            <w:gridSpan w:val="2"/>
          </w:tcPr>
          <w:p>
            <w:pPr>
              <w:spacing w:after="0"/>
              <w:rPr>
                <w:sz w:val="20"/>
                <w:szCs w:val="20"/>
                <w:color w:val="auto"/>
              </w:rPr>
            </w:pPr>
            <w:r>
              <w:rPr>
                <w:rFonts w:ascii="Arial" w:cs="Arial" w:eastAsia="Arial" w:hAnsi="Arial"/>
                <w:sz w:val="18"/>
                <w:szCs w:val="18"/>
                <w:color w:val="auto"/>
              </w:rPr>
              <w:t>Changes in unearned revenue were as follows:</w:t>
            </w: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4560" w:type="dxa"/>
            <w:vAlign w:val="bottom"/>
            <w:gridSpan w:val="2"/>
          </w:tcPr>
          <w:p>
            <w:pPr>
              <w:spacing w:after="0"/>
              <w:rPr>
                <w:sz w:val="20"/>
                <w:szCs w:val="20"/>
                <w:color w:val="auto"/>
              </w:rPr>
            </w:pPr>
            <w:r>
              <w:rPr>
                <w:rFonts w:ascii="Arial" w:cs="Arial" w:eastAsia="Arial" w:hAnsi="Arial"/>
                <w:sz w:val="13"/>
                <w:szCs w:val="13"/>
                <w:b w:val="1"/>
                <w:bCs w:val="1"/>
                <w:color w:val="auto"/>
              </w:rPr>
              <w:t>(In millions)</w:t>
            </w: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560" w:type="dxa"/>
            <w:vAlign w:val="bottom"/>
            <w:tcBorders>
              <w:bottom w:val="single" w:sz="8" w:color="auto"/>
            </w:tcBorders>
            <w:gridSpan w:val="2"/>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1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4560" w:type="dxa"/>
            <w:vAlign w:val="bottom"/>
            <w:gridSpan w:val="2"/>
          </w:tcPr>
          <w:p>
            <w:pPr>
              <w:spacing w:after="0"/>
              <w:rPr>
                <w:sz w:val="20"/>
                <w:szCs w:val="20"/>
                <w:color w:val="auto"/>
              </w:rPr>
            </w:pPr>
            <w:r>
              <w:rPr>
                <w:rFonts w:ascii="Arial" w:cs="Arial" w:eastAsia="Arial" w:hAnsi="Arial"/>
                <w:sz w:val="13"/>
                <w:szCs w:val="13"/>
                <w:b w:val="1"/>
                <w:bCs w:val="1"/>
                <w:color w:val="auto"/>
              </w:rPr>
              <w:t>Year Ended June 30, 2021</w:t>
            </w: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4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60" w:type="dxa"/>
            <w:vAlign w:val="bottom"/>
          </w:tcPr>
          <w:p>
            <w:pPr>
              <w:spacing w:after="0"/>
              <w:rPr>
                <w:sz w:val="4"/>
                <w:szCs w:val="4"/>
                <w:color w:val="auto"/>
              </w:rPr>
            </w:pPr>
          </w:p>
        </w:tc>
        <w:tc>
          <w:tcPr>
            <w:tcW w:w="4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5780" w:type="dxa"/>
            <w:vAlign w:val="bottom"/>
            <w:gridSpan w:val="4"/>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39,180</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540" w:type="dxa"/>
            <w:vAlign w:val="bottom"/>
          </w:tcPr>
          <w:p>
            <w:pPr>
              <w:ind w:left="200"/>
              <w:spacing w:after="0" w:line="189" w:lineRule="exact"/>
              <w:rPr>
                <w:sz w:val="20"/>
                <w:szCs w:val="20"/>
                <w:color w:val="auto"/>
              </w:rPr>
            </w:pPr>
            <w:r>
              <w:rPr>
                <w:rFonts w:ascii="Arial" w:cs="Arial" w:eastAsia="Arial" w:hAnsi="Arial"/>
                <w:sz w:val="18"/>
                <w:szCs w:val="18"/>
                <w:color w:val="auto"/>
              </w:rPr>
              <w:t>Deferral of revenue</w:t>
            </w: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94,565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54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Recognition of unearned revenue</w:t>
            </w:r>
          </w:p>
        </w:tc>
        <w:tc>
          <w:tcPr>
            <w:tcW w:w="84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418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(89,604)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45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4480" w:type="dxa"/>
            <w:vAlign w:val="bottom"/>
            <w:tcBorders>
              <w:bottom w:val="single" w:sz="8" w:color="auto"/>
            </w:tcBorders>
            <w:gridSpan w:val="2"/>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560" w:type="dxa"/>
            <w:vAlign w:val="bottom"/>
            <w:gridSpan w:val="2"/>
          </w:tcPr>
          <w:p>
            <w:pPr>
              <w:spacing w:after="0"/>
              <w:rPr>
                <w:sz w:val="20"/>
                <w:szCs w:val="20"/>
                <w:color w:val="auto"/>
              </w:rPr>
            </w:pPr>
            <w:r>
              <w:rPr>
                <w:rFonts w:ascii="Arial" w:cs="Arial" w:eastAsia="Arial" w:hAnsi="Arial"/>
                <w:sz w:val="18"/>
                <w:szCs w:val="18"/>
                <w:color w:val="auto"/>
              </w:rPr>
              <w:t>Balance, end of period</w:t>
            </w:r>
          </w:p>
        </w:tc>
        <w:tc>
          <w:tcPr>
            <w:tcW w:w="578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44,141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18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Revenue allocated to remaining performance obligations, which includes unearned revenue and amounts that will be invoiced and recognized as revenue in future periods, was $146 billion as of June 30, 2021, of which $141 billion is related to the commercial portion of revenue. We expect to recognize approximately 50% of this revenue over the next 12 months and the remainder thereafter.</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14 — LEASES</w:t>
      </w:r>
    </w:p>
    <w:p>
      <w:pPr>
        <w:spacing w:after="0" w:line="15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have operating and finance leases for datacenters, corporate offices, research and development facilities, Microsoft Experience Centers, and certain equipment. Our leases have remaining lease terms of 1 year to 15 years, some of which include options to extend the leases for up to 5 years, and some of which include options to terminate the leases within 1 year.</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06437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040" w:type="dxa"/>
            <w:vAlign w:val="bottom"/>
            <w:gridSpan w:val="2"/>
          </w:tcPr>
          <w:p>
            <w:pPr>
              <w:spacing w:after="0"/>
              <w:rPr>
                <w:sz w:val="20"/>
                <w:szCs w:val="20"/>
                <w:color w:val="auto"/>
              </w:rPr>
            </w:pPr>
            <w:r>
              <w:rPr>
                <w:rFonts w:ascii="Arial" w:cs="Arial" w:eastAsia="Arial" w:hAnsi="Arial"/>
                <w:sz w:val="13"/>
                <w:szCs w:val="13"/>
                <w:b w:val="1"/>
                <w:bCs w:val="1"/>
                <w:color w:val="auto"/>
              </w:rPr>
              <w:t>Year Ended June 30,</w:t>
            </w:r>
          </w:p>
        </w:tc>
        <w:tc>
          <w:tcPr>
            <w:tcW w:w="1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70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70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lease cost</w:t>
            </w:r>
          </w:p>
        </w:tc>
        <w:tc>
          <w:tcPr>
            <w:tcW w:w="15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2,127</w:t>
            </w:r>
          </w:p>
        </w:tc>
        <w:tc>
          <w:tcPr>
            <w:tcW w:w="3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2,043</w:t>
            </w:r>
          </w:p>
        </w:tc>
        <w:tc>
          <w:tcPr>
            <w:tcW w:w="200" w:type="dxa"/>
            <w:vAlign w:val="bottom"/>
            <w:shd w:val="clear" w:color="auto" w:fill="E5E5E5"/>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74"/>
        </w:trPr>
        <w:tc>
          <w:tcPr>
            <w:tcW w:w="7040" w:type="dxa"/>
            <w:vAlign w:val="bottom"/>
            <w:gridSpan w:val="2"/>
            <w:vMerge w:val="restart"/>
          </w:tcPr>
          <w:p>
            <w:pPr>
              <w:spacing w:after="0"/>
              <w:rPr>
                <w:sz w:val="20"/>
                <w:szCs w:val="20"/>
                <w:color w:val="auto"/>
              </w:rPr>
            </w:pPr>
            <w:r>
              <w:rPr>
                <w:rFonts w:ascii="Arial" w:cs="Arial" w:eastAsia="Arial" w:hAnsi="Arial"/>
                <w:sz w:val="18"/>
                <w:szCs w:val="18"/>
                <w:color w:val="auto"/>
              </w:rPr>
              <w:t>Finance lease cost:</w:t>
            </w:r>
          </w:p>
        </w:tc>
        <w:tc>
          <w:tcPr>
            <w:tcW w:w="134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7040" w:type="dxa"/>
            <w:vAlign w:val="bottom"/>
            <w:gridSpan w:val="2"/>
            <w:vMerge w:val="continue"/>
          </w:tcPr>
          <w:p>
            <w:pPr>
              <w:spacing w:after="0"/>
              <w:rPr>
                <w:sz w:val="22"/>
                <w:szCs w:val="22"/>
                <w:color w:val="auto"/>
              </w:rPr>
            </w:pPr>
          </w:p>
        </w:tc>
        <w:tc>
          <w:tcPr>
            <w:tcW w:w="1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20" w:type="dxa"/>
            <w:vAlign w:val="bottom"/>
            <w:shd w:val="clear" w:color="auto" w:fill="E5E5E5"/>
          </w:tcPr>
          <w:p>
            <w:pPr>
              <w:ind w:left="260"/>
              <w:spacing w:after="0" w:line="189" w:lineRule="exact"/>
              <w:rPr>
                <w:sz w:val="20"/>
                <w:szCs w:val="20"/>
                <w:color w:val="auto"/>
              </w:rPr>
            </w:pPr>
            <w:r>
              <w:rPr>
                <w:rFonts w:ascii="Arial" w:cs="Arial" w:eastAsia="Arial" w:hAnsi="Arial"/>
                <w:sz w:val="18"/>
                <w:szCs w:val="18"/>
                <w:color w:val="auto"/>
              </w:rPr>
              <w:t>Amortization of right-of-use assets</w:t>
            </w:r>
          </w:p>
        </w:tc>
        <w:tc>
          <w:tcPr>
            <w:tcW w:w="15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921</w:t>
            </w:r>
          </w:p>
        </w:tc>
        <w:tc>
          <w:tcPr>
            <w:tcW w:w="100" w:type="dxa"/>
            <w:vAlign w:val="bottom"/>
            <w:shd w:val="clear" w:color="auto" w:fill="E5E5E5"/>
          </w:tcPr>
          <w:p>
            <w:pPr>
              <w:spacing w:after="0"/>
              <w:rPr>
                <w:sz w:val="16"/>
                <w:szCs w:val="16"/>
                <w:color w:val="auto"/>
              </w:rPr>
            </w:pPr>
          </w:p>
        </w:tc>
        <w:tc>
          <w:tcPr>
            <w:tcW w:w="3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611</w:t>
            </w:r>
          </w:p>
        </w:tc>
        <w:tc>
          <w:tcPr>
            <w:tcW w:w="200" w:type="dxa"/>
            <w:vAlign w:val="bottom"/>
            <w:shd w:val="clear" w:color="auto" w:fill="E5E5E5"/>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020" w:type="dxa"/>
            <w:vAlign w:val="bottom"/>
          </w:tcPr>
          <w:p>
            <w:pPr>
              <w:ind w:left="260"/>
              <w:spacing w:after="0"/>
              <w:rPr>
                <w:sz w:val="20"/>
                <w:szCs w:val="20"/>
                <w:color w:val="auto"/>
              </w:rPr>
            </w:pPr>
            <w:r>
              <w:rPr>
                <w:rFonts w:ascii="Arial" w:cs="Arial" w:eastAsia="Arial" w:hAnsi="Arial"/>
                <w:sz w:val="18"/>
                <w:szCs w:val="18"/>
                <w:color w:val="auto"/>
              </w:rPr>
              <w:t>Interest on lease liabilities</w:t>
            </w: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386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336</w:t>
            </w:r>
          </w:p>
        </w:tc>
        <w:tc>
          <w:tcPr>
            <w:tcW w:w="200" w:type="dxa"/>
            <w:vAlign w:val="bottom"/>
          </w:tcPr>
          <w:p>
            <w:pPr>
              <w:spacing w:after="0"/>
              <w:rPr>
                <w:sz w:val="21"/>
                <w:szCs w:val="2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20" w:type="dxa"/>
            <w:vAlign w:val="bottom"/>
            <w:tcBorders>
              <w:top w:val="single" w:sz="8" w:color="auto"/>
            </w:tcBorders>
          </w:tcPr>
          <w:p>
            <w:pPr>
              <w:spacing w:after="0"/>
              <w:rPr>
                <w:sz w:val="5"/>
                <w:szCs w:val="5"/>
                <w:color w:val="auto"/>
              </w:rPr>
            </w:pPr>
          </w:p>
        </w:tc>
        <w:tc>
          <w:tcPr>
            <w:tcW w:w="134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20" w:type="dxa"/>
            <w:vAlign w:val="bottom"/>
            <w:shd w:val="clear" w:color="auto" w:fill="E5E5E5"/>
          </w:tcPr>
          <w:p>
            <w:pPr>
              <w:ind w:left="260"/>
              <w:spacing w:after="0" w:line="189" w:lineRule="exact"/>
              <w:rPr>
                <w:sz w:val="20"/>
                <w:szCs w:val="20"/>
                <w:color w:val="auto"/>
              </w:rPr>
            </w:pPr>
            <w:r>
              <w:rPr>
                <w:rFonts w:ascii="Arial" w:cs="Arial" w:eastAsia="Arial" w:hAnsi="Arial"/>
                <w:sz w:val="18"/>
                <w:szCs w:val="18"/>
                <w:color w:val="auto"/>
              </w:rPr>
              <w:t>Total finance lease cost</w:t>
            </w:r>
          </w:p>
        </w:tc>
        <w:tc>
          <w:tcPr>
            <w:tcW w:w="15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1,307</w:t>
            </w:r>
          </w:p>
        </w:tc>
        <w:tc>
          <w:tcPr>
            <w:tcW w:w="3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947</w:t>
            </w:r>
          </w:p>
        </w:tc>
        <w:tc>
          <w:tcPr>
            <w:tcW w:w="200" w:type="dxa"/>
            <w:vAlign w:val="bottom"/>
            <w:shd w:val="clear" w:color="auto" w:fill="E5E5E5"/>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74"/>
        </w:trPr>
        <w:tc>
          <w:tcPr>
            <w:tcW w:w="704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134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7"/>
        </w:trPr>
        <w:tc>
          <w:tcPr>
            <w:tcW w:w="7040" w:type="dxa"/>
            <w:vAlign w:val="bottom"/>
            <w:gridSpan w:val="2"/>
            <w:vMerge w:val="continue"/>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7040" w:type="dxa"/>
            <w:vAlign w:val="bottom"/>
            <w:gridSpan w:val="2"/>
          </w:tcPr>
          <w:p>
            <w:pPr>
              <w:spacing w:after="0"/>
              <w:rPr>
                <w:sz w:val="20"/>
                <w:szCs w:val="20"/>
                <w:color w:val="auto"/>
              </w:rPr>
            </w:pPr>
            <w:r>
              <w:rPr>
                <w:rFonts w:ascii="Arial" w:cs="Arial" w:eastAsia="Arial" w:hAnsi="Arial"/>
                <w:sz w:val="13"/>
                <w:szCs w:val="13"/>
                <w:b w:val="1"/>
                <w:bCs w:val="1"/>
                <w:color w:val="auto"/>
              </w:rPr>
              <w:t>(In millions)</w:t>
            </w: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040" w:type="dxa"/>
            <w:vAlign w:val="bottom"/>
            <w:tcBorders>
              <w:bottom w:val="single" w:sz="8" w:color="auto"/>
            </w:tcBorders>
            <w:gridSpan w:val="2"/>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7040" w:type="dxa"/>
            <w:vAlign w:val="bottom"/>
            <w:gridSpan w:val="2"/>
          </w:tcPr>
          <w:p>
            <w:pPr>
              <w:spacing w:after="0"/>
              <w:rPr>
                <w:sz w:val="20"/>
                <w:szCs w:val="20"/>
                <w:color w:val="auto"/>
              </w:rPr>
            </w:pPr>
            <w:r>
              <w:rPr>
                <w:rFonts w:ascii="Arial" w:cs="Arial" w:eastAsia="Arial" w:hAnsi="Arial"/>
                <w:sz w:val="13"/>
                <w:szCs w:val="13"/>
                <w:b w:val="1"/>
                <w:bCs w:val="1"/>
                <w:color w:val="auto"/>
              </w:rPr>
              <w:t>Year Ended June 30,</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70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70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134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5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20" w:type="dxa"/>
            <w:vAlign w:val="bottom"/>
          </w:tcPr>
          <w:p>
            <w:pPr>
              <w:ind w:left="200"/>
              <w:spacing w:after="0" w:line="189" w:lineRule="exact"/>
              <w:rPr>
                <w:sz w:val="20"/>
                <w:szCs w:val="20"/>
                <w:color w:val="auto"/>
              </w:rPr>
            </w:pPr>
            <w:r>
              <w:rPr>
                <w:rFonts w:ascii="Arial" w:cs="Arial" w:eastAsia="Arial" w:hAnsi="Arial"/>
                <w:sz w:val="18"/>
                <w:szCs w:val="18"/>
                <w:color w:val="auto"/>
              </w:rPr>
              <w:t>Operating cash flows from operating leases</w:t>
            </w:r>
          </w:p>
        </w:tc>
        <w:tc>
          <w:tcPr>
            <w:tcW w:w="156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2,052</w:t>
            </w:r>
          </w:p>
        </w:tc>
        <w:tc>
          <w:tcPr>
            <w:tcW w:w="3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1,829</w:t>
            </w:r>
          </w:p>
        </w:tc>
        <w:tc>
          <w:tcPr>
            <w:tcW w:w="200" w:type="dxa"/>
            <w:vAlign w:val="bottom"/>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2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Operating cash flows from finance leases</w:t>
            </w:r>
          </w:p>
        </w:tc>
        <w:tc>
          <w:tcPr>
            <w:tcW w:w="134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5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386</w:t>
            </w:r>
          </w:p>
        </w:tc>
        <w:tc>
          <w:tcPr>
            <w:tcW w:w="1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336</w:t>
            </w:r>
          </w:p>
        </w:tc>
        <w:tc>
          <w:tcPr>
            <w:tcW w:w="200" w:type="dxa"/>
            <w:vAlign w:val="bottom"/>
            <w:shd w:val="clear" w:color="auto" w:fill="E5E5E5"/>
          </w:tcPr>
          <w:p>
            <w:pPr>
              <w:spacing w:after="0"/>
              <w:rPr>
                <w:sz w:val="16"/>
                <w:szCs w:val="16"/>
                <w:color w:val="auto"/>
              </w:rPr>
            </w:pPr>
          </w:p>
        </w:tc>
        <w:tc>
          <w:tcPr>
            <w:tcW w:w="6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Financing cash flows from finance leases</w:t>
            </w: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648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409</w:t>
            </w:r>
          </w:p>
        </w:tc>
        <w:tc>
          <w:tcPr>
            <w:tcW w:w="2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20" w:type="dxa"/>
            <w:vAlign w:val="bottom"/>
            <w:shd w:val="clear" w:color="auto" w:fill="E5E5E5"/>
          </w:tcPr>
          <w:p>
            <w:pPr>
              <w:spacing w:after="0" w:line="206" w:lineRule="exact"/>
              <w:rPr>
                <w:sz w:val="20"/>
                <w:szCs w:val="20"/>
                <w:color w:val="auto"/>
              </w:rPr>
            </w:pPr>
            <w:r>
              <w:rPr>
                <w:rFonts w:ascii="Arial" w:cs="Arial" w:eastAsia="Arial" w:hAnsi="Arial"/>
                <w:sz w:val="18"/>
                <w:szCs w:val="18"/>
                <w:color w:val="auto"/>
              </w:rPr>
              <w:t>Right-of-use assets obtained in exchange for lease obligations:</w:t>
            </w:r>
          </w:p>
        </w:tc>
        <w:tc>
          <w:tcPr>
            <w:tcW w:w="134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20" w:type="dxa"/>
            <w:vAlign w:val="bottom"/>
          </w:tcPr>
          <w:p>
            <w:pPr>
              <w:ind w:left="200"/>
              <w:spacing w:after="0" w:line="189" w:lineRule="exact"/>
              <w:rPr>
                <w:sz w:val="20"/>
                <w:szCs w:val="20"/>
                <w:color w:val="auto"/>
              </w:rPr>
            </w:pPr>
            <w:r>
              <w:rPr>
                <w:rFonts w:ascii="Arial" w:cs="Arial" w:eastAsia="Arial" w:hAnsi="Arial"/>
                <w:sz w:val="18"/>
                <w:szCs w:val="18"/>
                <w:color w:val="auto"/>
              </w:rPr>
              <w:t>Operating leases</w:t>
            </w: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4,380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3,677</w:t>
            </w:r>
          </w:p>
        </w:tc>
        <w:tc>
          <w:tcPr>
            <w:tcW w:w="200" w:type="dxa"/>
            <w:vAlign w:val="bottom"/>
          </w:tcPr>
          <w:p>
            <w:pPr>
              <w:spacing w:after="0"/>
              <w:rPr>
                <w:sz w:val="16"/>
                <w:szCs w:val="16"/>
                <w:color w:val="auto"/>
              </w:rPr>
            </w:pPr>
          </w:p>
        </w:tc>
        <w:tc>
          <w:tcPr>
            <w:tcW w:w="6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2,303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2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Finance leases</w:t>
            </w:r>
          </w:p>
        </w:tc>
        <w:tc>
          <w:tcPr>
            <w:tcW w:w="134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6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3,290</w:t>
            </w:r>
          </w:p>
        </w:tc>
        <w:tc>
          <w:tcPr>
            <w:tcW w:w="1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3,467</w:t>
            </w:r>
          </w:p>
        </w:tc>
        <w:tc>
          <w:tcPr>
            <w:tcW w:w="200" w:type="dxa"/>
            <w:vAlign w:val="bottom"/>
            <w:shd w:val="clear" w:color="auto" w:fill="E5E5E5"/>
          </w:tcPr>
          <w:p>
            <w:pPr>
              <w:spacing w:after="0"/>
              <w:rPr>
                <w:sz w:val="16"/>
                <w:szCs w:val="16"/>
                <w:color w:val="auto"/>
              </w:rPr>
            </w:pPr>
          </w:p>
        </w:tc>
        <w:tc>
          <w:tcPr>
            <w:tcW w:w="6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2,532</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87"/>
        </w:trPr>
        <w:tc>
          <w:tcPr>
            <w:tcW w:w="7040" w:type="dxa"/>
            <w:vAlign w:val="bottom"/>
            <w:gridSpan w:val="2"/>
          </w:tcPr>
          <w:p>
            <w:pPr>
              <w:ind w:left="5540"/>
              <w:spacing w:after="0"/>
              <w:rPr>
                <w:sz w:val="20"/>
                <w:szCs w:val="20"/>
                <w:color w:val="auto"/>
              </w:rPr>
            </w:pPr>
            <w:r>
              <w:rPr>
                <w:rFonts w:ascii="Arial" w:cs="Arial" w:eastAsia="Arial" w:hAnsi="Arial"/>
                <w:sz w:val="14"/>
                <w:szCs w:val="14"/>
                <w:color w:val="auto"/>
              </w:rPr>
              <w:t>86</w:t>
            </w: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 except lease term and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95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640" w:type="dxa"/>
            <w:vAlign w:val="bottom"/>
            <w:gridSpan w:val="2"/>
          </w:tcPr>
          <w:p>
            <w:pPr>
              <w:spacing w:after="0"/>
              <w:rPr>
                <w:sz w:val="20"/>
                <w:szCs w:val="20"/>
                <w:color w:val="auto"/>
              </w:rPr>
            </w:pPr>
            <w:r>
              <w:rPr>
                <w:rFonts w:ascii="Arial" w:cs="Arial" w:eastAsia="Arial" w:hAnsi="Arial"/>
                <w:sz w:val="13"/>
                <w:szCs w:val="13"/>
                <w:b w:val="1"/>
                <w:bCs w:val="1"/>
                <w:color w:val="auto"/>
              </w:rPr>
              <w:t>June 30,</w:t>
            </w:r>
          </w:p>
        </w:tc>
        <w:tc>
          <w:tcPr>
            <w:tcW w:w="1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7640" w:type="dxa"/>
            <w:vAlign w:val="bottom"/>
            <w:gridSpan w:val="2"/>
          </w:tcPr>
          <w:p>
            <w:pPr>
              <w:spacing w:after="0"/>
              <w:rPr>
                <w:sz w:val="20"/>
                <w:szCs w:val="20"/>
                <w:color w:val="auto"/>
              </w:rPr>
            </w:pPr>
            <w:r>
              <w:rPr>
                <w:rFonts w:ascii="Arial" w:cs="Arial" w:eastAsia="Arial" w:hAnsi="Arial"/>
                <w:sz w:val="13"/>
                <w:szCs w:val="13"/>
                <w:b w:val="1"/>
                <w:bCs w:val="1"/>
                <w:color w:val="auto"/>
              </w:rPr>
              <w:t>Operating Leases</w:t>
            </w: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76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7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lease right-of-use assets</w:t>
            </w:r>
          </w:p>
        </w:tc>
        <w:tc>
          <w:tcPr>
            <w:tcW w:w="1480" w:type="dxa"/>
            <w:vAlign w:val="bottom"/>
            <w:gridSpan w:val="3"/>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11,088</w:t>
            </w:r>
          </w:p>
        </w:tc>
        <w:tc>
          <w:tcPr>
            <w:tcW w:w="140" w:type="dxa"/>
            <w:vAlign w:val="bottom"/>
            <w:shd w:val="clear" w:color="auto" w:fill="E5E5E5"/>
          </w:tcPr>
          <w:p>
            <w:pPr>
              <w:spacing w:after="0"/>
              <w:rPr>
                <w:sz w:val="16"/>
                <w:szCs w:val="16"/>
                <w:color w:val="auto"/>
              </w:rPr>
            </w:pPr>
          </w:p>
        </w:tc>
        <w:tc>
          <w:tcPr>
            <w:tcW w:w="280" w:type="dxa"/>
            <w:vAlign w:val="bottom"/>
            <w:gridSpan w:val="3"/>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8,753</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7640" w:type="dxa"/>
            <w:vAlign w:val="bottom"/>
            <w:gridSpan w:val="2"/>
          </w:tcPr>
          <w:p>
            <w:pPr>
              <w:spacing w:after="0"/>
              <w:rPr>
                <w:sz w:val="6"/>
                <w:szCs w:val="6"/>
                <w:color w:val="auto"/>
              </w:rPr>
            </w:pPr>
          </w:p>
        </w:tc>
        <w:tc>
          <w:tcPr>
            <w:tcW w:w="1260" w:type="dxa"/>
            <w:vAlign w:val="bottom"/>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764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14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1,962</w:t>
            </w:r>
          </w:p>
        </w:tc>
        <w:tc>
          <w:tcPr>
            <w:tcW w:w="140" w:type="dxa"/>
            <w:vAlign w:val="bottom"/>
          </w:tcPr>
          <w:p>
            <w:pPr>
              <w:spacing w:after="0"/>
              <w:rPr>
                <w:sz w:val="22"/>
                <w:szCs w:val="22"/>
                <w:color w:val="auto"/>
              </w:rPr>
            </w:pPr>
          </w:p>
        </w:tc>
        <w:tc>
          <w:tcPr>
            <w:tcW w:w="2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1,616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lease liabilities</w:t>
            </w:r>
          </w:p>
        </w:tc>
        <w:tc>
          <w:tcPr>
            <w:tcW w:w="1260" w:type="dxa"/>
            <w:vAlign w:val="bottom"/>
            <w:shd w:val="clear" w:color="auto" w:fill="E5E5E5"/>
          </w:tcPr>
          <w:p>
            <w:pPr>
              <w:spacing w:after="0"/>
              <w:rPr>
                <w:sz w:val="16"/>
                <w:szCs w:val="16"/>
                <w:color w:val="auto"/>
              </w:rPr>
            </w:pPr>
          </w:p>
        </w:tc>
        <w:tc>
          <w:tcPr>
            <w:tcW w:w="4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9,629</w:t>
            </w:r>
          </w:p>
        </w:tc>
        <w:tc>
          <w:tcPr>
            <w:tcW w:w="14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7,671</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6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gridSpan w:val="2"/>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Total operating lease liabilities</w:t>
            </w:r>
          </w:p>
        </w:tc>
        <w:tc>
          <w:tcPr>
            <w:tcW w:w="14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11,591</w:t>
            </w:r>
          </w:p>
        </w:tc>
        <w:tc>
          <w:tcPr>
            <w:tcW w:w="140" w:type="dxa"/>
            <w:vAlign w:val="bottom"/>
          </w:tcPr>
          <w:p>
            <w:pPr>
              <w:spacing w:after="0"/>
              <w:rPr>
                <w:sz w:val="22"/>
                <w:szCs w:val="22"/>
                <w:color w:val="auto"/>
              </w:rPr>
            </w:pPr>
          </w:p>
        </w:tc>
        <w:tc>
          <w:tcPr>
            <w:tcW w:w="2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9,287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76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Finance Leases</w:t>
            </w:r>
          </w:p>
        </w:tc>
        <w:tc>
          <w:tcPr>
            <w:tcW w:w="1260" w:type="dxa"/>
            <w:vAlign w:val="bottom"/>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7640" w:type="dxa"/>
            <w:vAlign w:val="bottom"/>
            <w:gridSpan w:val="2"/>
            <w:vMerge w:val="continue"/>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76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7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Property and equipment, at cost</w:t>
            </w:r>
          </w:p>
        </w:tc>
        <w:tc>
          <w:tcPr>
            <w:tcW w:w="1480" w:type="dxa"/>
            <w:vAlign w:val="bottom"/>
            <w:gridSpan w:val="3"/>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14,107</w:t>
            </w:r>
          </w:p>
        </w:tc>
        <w:tc>
          <w:tcPr>
            <w:tcW w:w="140" w:type="dxa"/>
            <w:vAlign w:val="bottom"/>
            <w:shd w:val="clear" w:color="auto" w:fill="E5E5E5"/>
          </w:tcPr>
          <w:p>
            <w:pPr>
              <w:spacing w:after="0"/>
              <w:rPr>
                <w:sz w:val="16"/>
                <w:szCs w:val="16"/>
                <w:color w:val="auto"/>
              </w:rPr>
            </w:pPr>
          </w:p>
        </w:tc>
        <w:tc>
          <w:tcPr>
            <w:tcW w:w="280" w:type="dxa"/>
            <w:vAlign w:val="bottom"/>
            <w:gridSpan w:val="3"/>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10,371</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(2,306)</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620" w:type="dxa"/>
            <w:vAlign w:val="bottom"/>
            <w:tcBorders>
              <w:top w:val="single" w:sz="8" w:color="auto"/>
            </w:tcBorders>
          </w:tcPr>
          <w:p>
            <w:pPr>
              <w:spacing w:after="0"/>
              <w:rPr>
                <w:sz w:val="5"/>
                <w:szCs w:val="5"/>
                <w:color w:val="auto"/>
              </w:rPr>
            </w:pPr>
          </w:p>
        </w:tc>
        <w:tc>
          <w:tcPr>
            <w:tcW w:w="126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62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Property and equipment, net</w:t>
            </w:r>
          </w:p>
        </w:tc>
        <w:tc>
          <w:tcPr>
            <w:tcW w:w="1480" w:type="dxa"/>
            <w:vAlign w:val="bottom"/>
            <w:gridSpan w:val="3"/>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11,801</w:t>
            </w:r>
          </w:p>
        </w:tc>
        <w:tc>
          <w:tcPr>
            <w:tcW w:w="140" w:type="dxa"/>
            <w:vAlign w:val="bottom"/>
            <w:shd w:val="clear" w:color="auto" w:fill="E5E5E5"/>
          </w:tcPr>
          <w:p>
            <w:pPr>
              <w:spacing w:after="0"/>
              <w:rPr>
                <w:sz w:val="16"/>
                <w:szCs w:val="16"/>
                <w:color w:val="auto"/>
              </w:rPr>
            </w:pPr>
          </w:p>
        </w:tc>
        <w:tc>
          <w:tcPr>
            <w:tcW w:w="280" w:type="dxa"/>
            <w:vAlign w:val="bottom"/>
            <w:gridSpan w:val="3"/>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8,986</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7640" w:type="dxa"/>
            <w:vAlign w:val="bottom"/>
            <w:gridSpan w:val="2"/>
          </w:tcPr>
          <w:p>
            <w:pPr>
              <w:spacing w:after="0"/>
              <w:rPr>
                <w:sz w:val="6"/>
                <w:szCs w:val="6"/>
                <w:color w:val="auto"/>
              </w:rPr>
            </w:pPr>
          </w:p>
        </w:tc>
        <w:tc>
          <w:tcPr>
            <w:tcW w:w="1260" w:type="dxa"/>
            <w:vAlign w:val="bottom"/>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764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14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791</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540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long-term liabilities</w:t>
            </w:r>
          </w:p>
        </w:tc>
        <w:tc>
          <w:tcPr>
            <w:tcW w:w="1260" w:type="dxa"/>
            <w:vAlign w:val="bottom"/>
            <w:shd w:val="clear" w:color="auto" w:fill="E5E5E5"/>
          </w:tcPr>
          <w:p>
            <w:pPr>
              <w:spacing w:after="0"/>
              <w:rPr>
                <w:sz w:val="16"/>
                <w:szCs w:val="16"/>
                <w:color w:val="auto"/>
              </w:rPr>
            </w:pPr>
          </w:p>
        </w:tc>
        <w:tc>
          <w:tcPr>
            <w:tcW w:w="4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11,750</w:t>
            </w:r>
          </w:p>
        </w:tc>
        <w:tc>
          <w:tcPr>
            <w:tcW w:w="14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8,956</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6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gridSpan w:val="2"/>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Total finance lease liabilities</w:t>
            </w:r>
          </w:p>
        </w:tc>
        <w:tc>
          <w:tcPr>
            <w:tcW w:w="14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12,541</w:t>
            </w:r>
          </w:p>
        </w:tc>
        <w:tc>
          <w:tcPr>
            <w:tcW w:w="140" w:type="dxa"/>
            <w:vAlign w:val="bottom"/>
          </w:tcPr>
          <w:p>
            <w:pPr>
              <w:spacing w:after="0"/>
              <w:rPr>
                <w:sz w:val="22"/>
                <w:szCs w:val="22"/>
                <w:color w:val="auto"/>
              </w:rPr>
            </w:pPr>
          </w:p>
        </w:tc>
        <w:tc>
          <w:tcPr>
            <w:tcW w:w="2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9,496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76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Weighted Average Remaining Lease Term</w:t>
            </w:r>
          </w:p>
        </w:tc>
        <w:tc>
          <w:tcPr>
            <w:tcW w:w="1260" w:type="dxa"/>
            <w:vAlign w:val="bottom"/>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7640" w:type="dxa"/>
            <w:vAlign w:val="bottom"/>
            <w:gridSpan w:val="2"/>
            <w:vMerge w:val="continue"/>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6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62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Operating leases</w:t>
            </w:r>
          </w:p>
        </w:tc>
        <w:tc>
          <w:tcPr>
            <w:tcW w:w="1260" w:type="dxa"/>
            <w:vAlign w:val="bottom"/>
            <w:shd w:val="clear" w:color="auto" w:fill="E5E5E5"/>
          </w:tcPr>
          <w:p>
            <w:pPr>
              <w:spacing w:after="0"/>
              <w:rPr>
                <w:sz w:val="16"/>
                <w:szCs w:val="16"/>
                <w:color w:val="auto"/>
              </w:rPr>
            </w:pPr>
          </w:p>
        </w:tc>
        <w:tc>
          <w:tcPr>
            <w:tcW w:w="4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960" w:type="dxa"/>
            <w:vAlign w:val="bottom"/>
            <w:gridSpan w:val="3"/>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8 years</w:t>
            </w:r>
          </w:p>
        </w:tc>
        <w:tc>
          <w:tcPr>
            <w:tcW w:w="6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80" w:type="dxa"/>
            <w:vAlign w:val="bottom"/>
            <w:gridSpan w:val="3"/>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8 years</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Finance leases</w:t>
            </w: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12 years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13 years</w:t>
            </w:r>
          </w:p>
        </w:tc>
        <w:tc>
          <w:tcPr>
            <w:tcW w:w="0" w:type="dxa"/>
            <w:vAlign w:val="bottom"/>
          </w:tcPr>
          <w:p>
            <w:pPr>
              <w:spacing w:after="0"/>
              <w:rPr>
                <w:sz w:val="1"/>
                <w:szCs w:val="1"/>
                <w:color w:val="auto"/>
              </w:rPr>
            </w:pPr>
          </w:p>
        </w:tc>
      </w:tr>
      <w:tr>
        <w:trPr>
          <w:trHeight w:val="178"/>
        </w:trPr>
        <w:tc>
          <w:tcPr>
            <w:tcW w:w="7640" w:type="dxa"/>
            <w:vAlign w:val="bottom"/>
            <w:gridSpan w:val="2"/>
          </w:tcPr>
          <w:p>
            <w:pPr>
              <w:spacing w:after="0"/>
              <w:rPr>
                <w:sz w:val="20"/>
                <w:szCs w:val="20"/>
                <w:color w:val="auto"/>
              </w:rPr>
            </w:pPr>
            <w:r>
              <w:rPr>
                <w:rFonts w:ascii="Arial" w:cs="Arial" w:eastAsia="Arial" w:hAnsi="Arial"/>
                <w:sz w:val="13"/>
                <w:szCs w:val="13"/>
                <w:b w:val="1"/>
                <w:bCs w:val="1"/>
                <w:color w:val="auto"/>
              </w:rPr>
              <w:t>Weighted Average Discount Rate</w:t>
            </w:r>
          </w:p>
        </w:tc>
        <w:tc>
          <w:tcPr>
            <w:tcW w:w="1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6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62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Operating leases</w:t>
            </w:r>
          </w:p>
        </w:tc>
        <w:tc>
          <w:tcPr>
            <w:tcW w:w="1260" w:type="dxa"/>
            <w:vAlign w:val="bottom"/>
            <w:shd w:val="clear" w:color="auto" w:fill="E5E5E5"/>
          </w:tcPr>
          <w:p>
            <w:pPr>
              <w:spacing w:after="0"/>
              <w:rPr>
                <w:sz w:val="16"/>
                <w:szCs w:val="16"/>
                <w:color w:val="auto"/>
              </w:rPr>
            </w:pPr>
          </w:p>
        </w:tc>
        <w:tc>
          <w:tcPr>
            <w:tcW w:w="4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2.2%</w:t>
            </w:r>
          </w:p>
        </w:tc>
        <w:tc>
          <w:tcPr>
            <w:tcW w:w="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2.7%</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6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Finance leases</w:t>
            </w:r>
          </w:p>
        </w:tc>
        <w:tc>
          <w:tcPr>
            <w:tcW w:w="12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7"/>
        </w:trPr>
        <w:tc>
          <w:tcPr>
            <w:tcW w:w="7640" w:type="dxa"/>
            <w:vAlign w:val="bottom"/>
            <w:gridSpan w:val="2"/>
          </w:tcPr>
          <w:p>
            <w:pPr>
              <w:spacing w:after="0"/>
              <w:rPr>
                <w:sz w:val="20"/>
                <w:szCs w:val="20"/>
                <w:color w:val="auto"/>
              </w:rPr>
            </w:pPr>
            <w:r>
              <w:rPr>
                <w:rFonts w:ascii="Arial" w:cs="Arial" w:eastAsia="Arial" w:hAnsi="Arial"/>
                <w:sz w:val="18"/>
                <w:szCs w:val="18"/>
                <w:color w:val="auto"/>
              </w:rPr>
              <w:t>The following table outlines maturities of our lease liabilities as of June 30, 2021:</w:t>
            </w: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7640" w:type="dxa"/>
            <w:vAlign w:val="bottom"/>
            <w:gridSpan w:val="2"/>
          </w:tcPr>
          <w:p>
            <w:pPr>
              <w:spacing w:after="0"/>
              <w:rPr>
                <w:sz w:val="20"/>
                <w:szCs w:val="20"/>
                <w:color w:val="auto"/>
              </w:rPr>
            </w:pPr>
            <w:r>
              <w:rPr>
                <w:rFonts w:ascii="Arial" w:cs="Arial" w:eastAsia="Arial" w:hAnsi="Arial"/>
                <w:sz w:val="13"/>
                <w:szCs w:val="13"/>
                <w:b w:val="1"/>
                <w:bCs w:val="1"/>
                <w:color w:val="auto"/>
              </w:rPr>
              <w:t>(In millions)</w:t>
            </w: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6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3"/>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rPr>
              <w:t>Operating</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Finance</w:t>
            </w:r>
          </w:p>
        </w:tc>
        <w:tc>
          <w:tcPr>
            <w:tcW w:w="0" w:type="dxa"/>
            <w:vAlign w:val="bottom"/>
          </w:tcPr>
          <w:p>
            <w:pPr>
              <w:spacing w:after="0"/>
              <w:rPr>
                <w:sz w:val="1"/>
                <w:szCs w:val="1"/>
                <w:color w:val="auto"/>
              </w:rPr>
            </w:pPr>
          </w:p>
        </w:tc>
      </w:tr>
      <w:tr>
        <w:trPr>
          <w:trHeight w:val="178"/>
        </w:trPr>
        <w:tc>
          <w:tcPr>
            <w:tcW w:w="7640" w:type="dxa"/>
            <w:vAlign w:val="bottom"/>
            <w:gridSpan w:val="2"/>
          </w:tcPr>
          <w:p>
            <w:pPr>
              <w:spacing w:after="0"/>
              <w:rPr>
                <w:sz w:val="20"/>
                <w:szCs w:val="20"/>
                <w:color w:val="auto"/>
              </w:rPr>
            </w:pPr>
            <w:r>
              <w:rPr>
                <w:rFonts w:ascii="Arial" w:cs="Arial" w:eastAsia="Arial" w:hAnsi="Arial"/>
                <w:sz w:val="13"/>
                <w:szCs w:val="13"/>
                <w:b w:val="1"/>
                <w:bCs w:val="1"/>
                <w:color w:val="auto"/>
              </w:rPr>
              <w:t>Year Ending June 30,</w:t>
            </w:r>
          </w:p>
        </w:tc>
        <w:tc>
          <w:tcPr>
            <w:tcW w:w="1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rPr>
              <w:t>Leases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Leases</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7620" w:type="dxa"/>
            <w:vAlign w:val="bottom"/>
          </w:tcPr>
          <w:p>
            <w:pPr>
              <w:spacing w:after="0"/>
              <w:rPr>
                <w:sz w:val="4"/>
                <w:szCs w:val="4"/>
                <w:color w:val="auto"/>
              </w:rPr>
            </w:pPr>
          </w:p>
        </w:tc>
        <w:tc>
          <w:tcPr>
            <w:tcW w:w="130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7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2022</w:t>
            </w:r>
          </w:p>
        </w:tc>
        <w:tc>
          <w:tcPr>
            <w:tcW w:w="1480" w:type="dxa"/>
            <w:vAlign w:val="bottom"/>
            <w:gridSpan w:val="3"/>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w:t>
            </w:r>
          </w:p>
        </w:tc>
        <w:tc>
          <w:tcPr>
            <w:tcW w:w="960" w:type="dxa"/>
            <w:vAlign w:val="bottom"/>
            <w:gridSpan w:val="3"/>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2,125</w:t>
            </w:r>
          </w:p>
        </w:tc>
        <w:tc>
          <w:tcPr>
            <w:tcW w:w="280" w:type="dxa"/>
            <w:vAlign w:val="bottom"/>
            <w:gridSpan w:val="3"/>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w:t>
            </w:r>
          </w:p>
        </w:tc>
        <w:tc>
          <w:tcPr>
            <w:tcW w:w="880" w:type="dxa"/>
            <w:vAlign w:val="bottom"/>
            <w:gridSpan w:val="3"/>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1,179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620" w:type="dxa"/>
            <w:vAlign w:val="bottom"/>
          </w:tcPr>
          <w:p>
            <w:pPr>
              <w:spacing w:after="0" w:line="189" w:lineRule="exact"/>
              <w:rPr>
                <w:sz w:val="20"/>
                <w:szCs w:val="20"/>
                <w:color w:val="auto"/>
              </w:rPr>
            </w:pPr>
            <w:r>
              <w:rPr>
                <w:rFonts w:ascii="Arial" w:cs="Arial" w:eastAsia="Arial" w:hAnsi="Arial"/>
                <w:sz w:val="18"/>
                <w:szCs w:val="18"/>
                <w:color w:val="auto"/>
              </w:rPr>
              <w:t>2023</w:t>
            </w:r>
          </w:p>
        </w:tc>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3"/>
          </w:tcPr>
          <w:p>
            <w:pPr>
              <w:jc w:val="right"/>
              <w:ind w:right="140"/>
              <w:spacing w:after="0" w:line="189" w:lineRule="exact"/>
              <w:rPr>
                <w:sz w:val="20"/>
                <w:szCs w:val="20"/>
                <w:color w:val="auto"/>
              </w:rPr>
            </w:pPr>
            <w:r>
              <w:rPr>
                <w:rFonts w:ascii="Arial" w:cs="Arial" w:eastAsia="Arial" w:hAnsi="Arial"/>
                <w:sz w:val="18"/>
                <w:szCs w:val="18"/>
                <w:b w:val="1"/>
                <w:bCs w:val="1"/>
                <w:color w:val="auto"/>
              </w:rPr>
              <w:t>1,954</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3"/>
          </w:tcPr>
          <w:p>
            <w:pPr>
              <w:jc w:val="right"/>
              <w:ind w:right="80"/>
              <w:spacing w:after="0" w:line="189" w:lineRule="exact"/>
              <w:rPr>
                <w:sz w:val="20"/>
                <w:szCs w:val="20"/>
                <w:color w:val="auto"/>
              </w:rPr>
            </w:pPr>
            <w:r>
              <w:rPr>
                <w:rFonts w:ascii="Arial" w:cs="Arial" w:eastAsia="Arial" w:hAnsi="Arial"/>
                <w:sz w:val="18"/>
                <w:szCs w:val="18"/>
                <w:b w:val="1"/>
                <w:bCs w:val="1"/>
                <w:color w:val="auto"/>
              </w:rPr>
              <w:t>1,198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2024</w:t>
            </w:r>
          </w:p>
        </w:tc>
        <w:tc>
          <w:tcPr>
            <w:tcW w:w="1260" w:type="dxa"/>
            <w:vAlign w:val="bottom"/>
            <w:shd w:val="clear" w:color="auto" w:fill="E5E5E5"/>
          </w:tcPr>
          <w:p>
            <w:pPr>
              <w:spacing w:after="0"/>
              <w:rPr>
                <w:sz w:val="16"/>
                <w:szCs w:val="16"/>
                <w:color w:val="auto"/>
              </w:rPr>
            </w:pPr>
          </w:p>
        </w:tc>
        <w:tc>
          <w:tcPr>
            <w:tcW w:w="4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960" w:type="dxa"/>
            <w:vAlign w:val="bottom"/>
            <w:gridSpan w:val="3"/>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1,751</w:t>
            </w:r>
          </w:p>
        </w:tc>
        <w:tc>
          <w:tcPr>
            <w:tcW w:w="6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80" w:type="dxa"/>
            <w:vAlign w:val="bottom"/>
            <w:gridSpan w:val="3"/>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1,211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620" w:type="dxa"/>
            <w:vAlign w:val="bottom"/>
          </w:tcPr>
          <w:p>
            <w:pPr>
              <w:spacing w:after="0" w:line="189" w:lineRule="exact"/>
              <w:rPr>
                <w:sz w:val="20"/>
                <w:szCs w:val="20"/>
                <w:color w:val="auto"/>
              </w:rPr>
            </w:pPr>
            <w:r>
              <w:rPr>
                <w:rFonts w:ascii="Arial" w:cs="Arial" w:eastAsia="Arial" w:hAnsi="Arial"/>
                <w:sz w:val="18"/>
                <w:szCs w:val="18"/>
                <w:color w:val="auto"/>
              </w:rPr>
              <w:t>2025</w:t>
            </w:r>
          </w:p>
        </w:tc>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3"/>
          </w:tcPr>
          <w:p>
            <w:pPr>
              <w:jc w:val="right"/>
              <w:ind w:right="140"/>
              <w:spacing w:after="0" w:line="189" w:lineRule="exact"/>
              <w:rPr>
                <w:sz w:val="20"/>
                <w:szCs w:val="20"/>
                <w:color w:val="auto"/>
              </w:rPr>
            </w:pPr>
            <w:r>
              <w:rPr>
                <w:rFonts w:ascii="Arial" w:cs="Arial" w:eastAsia="Arial" w:hAnsi="Arial"/>
                <w:sz w:val="18"/>
                <w:szCs w:val="18"/>
                <w:b w:val="1"/>
                <w:bCs w:val="1"/>
                <w:color w:val="auto"/>
              </w:rPr>
              <w:t>1,463</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3"/>
          </w:tcPr>
          <w:p>
            <w:pPr>
              <w:jc w:val="right"/>
              <w:ind w:right="80"/>
              <w:spacing w:after="0" w:line="189" w:lineRule="exact"/>
              <w:rPr>
                <w:sz w:val="20"/>
                <w:szCs w:val="20"/>
                <w:color w:val="auto"/>
              </w:rPr>
            </w:pPr>
            <w:r>
              <w:rPr>
                <w:rFonts w:ascii="Arial" w:cs="Arial" w:eastAsia="Arial" w:hAnsi="Arial"/>
                <w:sz w:val="18"/>
                <w:szCs w:val="18"/>
                <w:b w:val="1"/>
                <w:bCs w:val="1"/>
                <w:color w:val="auto"/>
              </w:rPr>
              <w:t>1,537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2026</w:t>
            </w:r>
          </w:p>
        </w:tc>
        <w:tc>
          <w:tcPr>
            <w:tcW w:w="1260" w:type="dxa"/>
            <w:vAlign w:val="bottom"/>
            <w:shd w:val="clear" w:color="auto" w:fill="E5E5E5"/>
          </w:tcPr>
          <w:p>
            <w:pPr>
              <w:spacing w:after="0"/>
              <w:rPr>
                <w:sz w:val="16"/>
                <w:szCs w:val="16"/>
                <w:color w:val="auto"/>
              </w:rPr>
            </w:pPr>
          </w:p>
        </w:tc>
        <w:tc>
          <w:tcPr>
            <w:tcW w:w="4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960" w:type="dxa"/>
            <w:vAlign w:val="bottom"/>
            <w:gridSpan w:val="3"/>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1,133</w:t>
            </w:r>
          </w:p>
        </w:tc>
        <w:tc>
          <w:tcPr>
            <w:tcW w:w="6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80" w:type="dxa"/>
            <w:vAlign w:val="bottom"/>
            <w:gridSpan w:val="3"/>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1,220</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Thereafter</w:t>
            </w:r>
          </w:p>
        </w:tc>
        <w:tc>
          <w:tcPr>
            <w:tcW w:w="1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4,111</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8,856</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620" w:type="dxa"/>
            <w:vAlign w:val="bottom"/>
            <w:tcBorders>
              <w:top w:val="single" w:sz="8" w:color="auto"/>
            </w:tcBorders>
          </w:tcPr>
          <w:p>
            <w:pPr>
              <w:spacing w:after="0"/>
              <w:rPr>
                <w:sz w:val="5"/>
                <w:szCs w:val="5"/>
                <w:color w:val="auto"/>
              </w:rPr>
            </w:pPr>
          </w:p>
        </w:tc>
        <w:tc>
          <w:tcPr>
            <w:tcW w:w="126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62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 lease payments</w:t>
            </w:r>
          </w:p>
        </w:tc>
        <w:tc>
          <w:tcPr>
            <w:tcW w:w="1260" w:type="dxa"/>
            <w:vAlign w:val="bottom"/>
            <w:shd w:val="clear" w:color="auto" w:fill="E5E5E5"/>
          </w:tcPr>
          <w:p>
            <w:pPr>
              <w:spacing w:after="0"/>
              <w:rPr>
                <w:sz w:val="16"/>
                <w:szCs w:val="16"/>
                <w:color w:val="auto"/>
              </w:rPr>
            </w:pPr>
          </w:p>
        </w:tc>
        <w:tc>
          <w:tcPr>
            <w:tcW w:w="4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960" w:type="dxa"/>
            <w:vAlign w:val="bottom"/>
            <w:gridSpan w:val="3"/>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12,537</w:t>
            </w:r>
          </w:p>
        </w:tc>
        <w:tc>
          <w:tcPr>
            <w:tcW w:w="6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80" w:type="dxa"/>
            <w:vAlign w:val="bottom"/>
            <w:gridSpan w:val="3"/>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15,201</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Less imputed interest</w:t>
            </w:r>
          </w:p>
        </w:tc>
        <w:tc>
          <w:tcPr>
            <w:tcW w:w="1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(946)</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(2,660)</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620" w:type="dxa"/>
            <w:vAlign w:val="bottom"/>
            <w:tcBorders>
              <w:top w:val="single" w:sz="8" w:color="auto"/>
            </w:tcBorders>
          </w:tcPr>
          <w:p>
            <w:pPr>
              <w:spacing w:after="0"/>
              <w:rPr>
                <w:sz w:val="5"/>
                <w:szCs w:val="5"/>
                <w:color w:val="auto"/>
              </w:rPr>
            </w:pPr>
          </w:p>
        </w:tc>
        <w:tc>
          <w:tcPr>
            <w:tcW w:w="126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62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1480" w:type="dxa"/>
            <w:vAlign w:val="bottom"/>
            <w:gridSpan w:val="3"/>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w:t>
            </w:r>
          </w:p>
        </w:tc>
        <w:tc>
          <w:tcPr>
            <w:tcW w:w="960" w:type="dxa"/>
            <w:vAlign w:val="bottom"/>
            <w:gridSpan w:val="3"/>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11,591</w:t>
            </w:r>
          </w:p>
        </w:tc>
        <w:tc>
          <w:tcPr>
            <w:tcW w:w="280" w:type="dxa"/>
            <w:vAlign w:val="bottom"/>
            <w:gridSpan w:val="3"/>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w:t>
            </w:r>
          </w:p>
        </w:tc>
        <w:tc>
          <w:tcPr>
            <w:tcW w:w="880" w:type="dxa"/>
            <w:vAlign w:val="bottom"/>
            <w:gridSpan w:val="3"/>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12,541</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6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of June 30, 2021, we have additional operating and finance leases, primarily for datacenters, that have not yet commenced of $5.4 billion and $ 7.3 billion, respectively. These operating and finance leases will commence between fiscal year 2022 and fiscal year 2026 with lease terms of 1 year to 15 years.</w:t>
      </w:r>
    </w:p>
    <w:p>
      <w:pPr>
        <w:spacing w:after="0" w:line="14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During fiscal year 2020, we recorded an impairment charge of $161 million to operating lease right-of-use assets due to the closing of our Microsoft Store physical locations.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87" w:name="page88"/>
    <w:bookmarkEnd w:id="87"/>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15 — CONTINGENCIES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and Intellectual Property Claims</w:t>
      </w:r>
    </w:p>
    <w:p>
      <w:pPr>
        <w:spacing w:after="0" w:line="17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There were 63 patent infringement cases pending against Microsoft as of June 30, 2021, none of which are material individually or in aggregate.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Antitrust, Unfair Competition, and Overcharge Class Actions</w:t>
      </w:r>
    </w:p>
    <w:p>
      <w:pPr>
        <w:spacing w:after="0" w:line="17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Antitrust and unfair competition class action lawsuits were filed against us in British Columbia, Ontario, and Quebec, Canada. All three have been certified on behalf of Canadian indirect purchasers who acquired licenses for Microsoft operating system software and/or productivity application software between 1998 and 2010.</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trial of the British Columbia action commenced in May 2016. Following a mediation, the parties agreed to a global settlement of all three Canadian actions and submitted the proposed settlement agreement to the courts in all three jurisdictions for approval. The final settlement and form of notice have been approved by the courts in British Columbia, Ontario, and Quebec. The ten-month claims period commenced on November 23, 2020 and will close on September 23,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Antitrust Litigation and Claims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China State Administration for Market Regulation Investigatio</w:t>
      </w:r>
      <w:r>
        <w:rPr>
          <w:rFonts w:ascii="Arial" w:cs="Arial" w:eastAsia="Arial" w:hAnsi="Arial"/>
          <w:sz w:val="18"/>
          <w:szCs w:val="18"/>
          <w:b w:val="1"/>
          <w:bCs w:val="1"/>
          <w:color w:val="auto"/>
        </w:rPr>
        <w:t>n</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2014, Microsoft was informed that China’s State Agency for Market Regulation (“SAMR”) (formerly State Administration for Industry and Commerce) had begun a formal investigation relating to China’s Anti-Monopoly Law, and the SAMR conducted onsite inspections of Microsoft offices in Beijing, Shanghai, Guangzhou, and Chengdu. In 2019, the SAMR presented preliminary views as to certain possible violations of China’s Anti-Monopoly Law.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Product-Related Litigation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Cell Phone Litigation</w:t>
      </w:r>
    </w:p>
    <w:p>
      <w:pPr>
        <w:spacing w:after="0" w:line="17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Microsoft Mobile Oy, a subsidiary of Microsoft, along with other handset manufacturers and network operators, is a defendant in 46 lawsuits, including 45 lawsuits filed in the Superior Court for the District of Columbia by individual plaintiffs who allege that radio emissions from cellular handsets caused their brain tumors and other adverse health effects. We assumed responsibility for these claims in our agreement to acquire Nokia’s Devices and Services business and have been substituted for the Nokia defendants. Nine of these cases were filed in 2002 and are consolidated for certain pre-trial proceedings; the remaining cases are stayed. In a separate 2009 decision, the Court of Appeals for the District of Columbia held that adverse health effect claims arising from the use of cellular handsets that operate within the U.S. Federal Communications Commission radio frequency emission guidelines (“FCC Guidelines”) are pre-empted by federal law. The plaintiffs allege that their handsets either operated outside the FCC Guidelines or were manufactured before the FCC Guidelines went into effect. The lawsuits also allege an industry-wide conspiracy to manipulate the science and testing around emission guidelines.</w:t>
      </w:r>
    </w:p>
    <w:p>
      <w:pPr>
        <w:spacing w:after="0" w:line="15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2013, the defendants in the consolidated cases moved to exclude the plaintiffs’ expert evidence of general causation on the basis of flawed scientific methodologies. In 2014, the trial court granted in part and denied in part the defendants’ motion to exclude the plaintiffs’ general causation experts. The defendants filed an interlocutory appeal to the District of Columbia Court of Appeals challenging the standard for evaluating expert scientific evidence. In October 2016, the Court of Appeals issued its decision adopting the standard advocated by the defendants and remanding the cases to the trial court for further proceedings under that standard. The plaintiffs have filed supplemental expert evidence, portions of which the defendants have moved to strike. In August 2018, the trial court issued an order striking portions of the plaintiffs’ expert reports. A hearing on general causation is scheduled for January and February of 2022.</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88" w:name="page89"/>
    <w:bookmarkEnd w:id="88"/>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Contingencies</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also are subject to a variety of other claims and suits that arise from time to time in the ordinary course of our business. Although management currently believes that resolving claims against us, individually or in aggregate, will not have a material adverse impact in our consolidated financial statements, these matters are subject to inherent uncertainties and management’s view of these matters may change in the future.</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June 30, 2021, we accrued aggregate legal liabilities of $339 million. While we intend to defend these matters vigorously, adverse outcomes that we estimate could reach approximately $500 million in aggregate beyond recorded amounts are reasonably possible. Were unfavorable final outcomes to occur, there exists the possibility of a material adverse impact in our consolidated financial statements for the period in which the effects become reasonably estimable.</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16 — STOCKHOLDERS’ EQUITY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Outstanding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Shares of common stock outstanding were as follows: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06437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460" w:type="dxa"/>
            <w:vAlign w:val="bottom"/>
            <w:gridSpan w:val="2"/>
          </w:tcPr>
          <w:p>
            <w:pPr>
              <w:spacing w:after="0"/>
              <w:rPr>
                <w:sz w:val="20"/>
                <w:szCs w:val="20"/>
                <w:color w:val="auto"/>
              </w:rPr>
            </w:pPr>
            <w:r>
              <w:rPr>
                <w:rFonts w:ascii="Arial" w:cs="Arial" w:eastAsia="Arial" w:hAnsi="Arial"/>
                <w:sz w:val="13"/>
                <w:szCs w:val="13"/>
                <w:b w:val="1"/>
                <w:bCs w:val="1"/>
                <w:color w:val="auto"/>
              </w:rPr>
              <w:t>Year Ended June 30,</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320" w:type="dxa"/>
            <w:vAlign w:val="bottom"/>
          </w:tcPr>
          <w:p>
            <w:pPr>
              <w:spacing w:after="0"/>
              <w:rPr>
                <w:sz w:val="15"/>
                <w:szCs w:val="15"/>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2020</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8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84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year</w:t>
            </w:r>
          </w:p>
        </w:tc>
        <w:tc>
          <w:tcPr>
            <w:tcW w:w="100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b w:val="1"/>
                <w:bCs w:val="1"/>
                <w:color w:val="auto"/>
              </w:rPr>
              <w:t>7,571</w:t>
            </w:r>
          </w:p>
        </w:tc>
        <w:tc>
          <w:tcPr>
            <w:tcW w:w="100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color w:val="auto"/>
              </w:rPr>
              <w:t>7,643</w:t>
            </w:r>
          </w:p>
        </w:tc>
        <w:tc>
          <w:tcPr>
            <w:tcW w:w="6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7,677</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440" w:type="dxa"/>
            <w:vAlign w:val="bottom"/>
          </w:tcPr>
          <w:p>
            <w:pPr>
              <w:ind w:left="200"/>
              <w:spacing w:after="0" w:line="189" w:lineRule="exact"/>
              <w:rPr>
                <w:sz w:val="20"/>
                <w:szCs w:val="20"/>
                <w:color w:val="auto"/>
              </w:rPr>
            </w:pPr>
            <w:r>
              <w:rPr>
                <w:rFonts w:ascii="Arial" w:cs="Arial" w:eastAsia="Arial" w:hAnsi="Arial"/>
                <w:sz w:val="18"/>
                <w:szCs w:val="18"/>
                <w:color w:val="auto"/>
              </w:rPr>
              <w:t>Issued</w:t>
            </w:r>
          </w:p>
        </w:tc>
        <w:tc>
          <w:tcPr>
            <w:tcW w:w="1000" w:type="dxa"/>
            <w:vAlign w:val="bottom"/>
            <w:gridSpan w:val="2"/>
          </w:tcPr>
          <w:p>
            <w:pPr>
              <w:jc w:val="right"/>
              <w:ind w:right="320"/>
              <w:spacing w:after="0" w:line="189" w:lineRule="exact"/>
              <w:rPr>
                <w:sz w:val="20"/>
                <w:szCs w:val="20"/>
                <w:color w:val="auto"/>
              </w:rPr>
            </w:pPr>
            <w:r>
              <w:rPr>
                <w:rFonts w:ascii="Arial" w:cs="Arial" w:eastAsia="Arial" w:hAnsi="Arial"/>
                <w:sz w:val="18"/>
                <w:szCs w:val="18"/>
                <w:b w:val="1"/>
                <w:bCs w:val="1"/>
                <w:color w:val="auto"/>
              </w:rPr>
              <w:t>49</w:t>
            </w:r>
          </w:p>
        </w:tc>
        <w:tc>
          <w:tcPr>
            <w:tcW w:w="1000" w:type="dxa"/>
            <w:vAlign w:val="bottom"/>
            <w:gridSpan w:val="2"/>
          </w:tcPr>
          <w:p>
            <w:pPr>
              <w:jc w:val="right"/>
              <w:ind w:right="320"/>
              <w:spacing w:after="0" w:line="189" w:lineRule="exact"/>
              <w:rPr>
                <w:sz w:val="20"/>
                <w:szCs w:val="20"/>
                <w:color w:val="auto"/>
              </w:rPr>
            </w:pPr>
            <w:r>
              <w:rPr>
                <w:rFonts w:ascii="Arial" w:cs="Arial" w:eastAsia="Arial" w:hAnsi="Arial"/>
                <w:sz w:val="18"/>
                <w:szCs w:val="18"/>
                <w:color w:val="auto"/>
              </w:rPr>
              <w:t>54</w:t>
            </w:r>
          </w:p>
        </w:tc>
        <w:tc>
          <w:tcPr>
            <w:tcW w:w="680" w:type="dxa"/>
            <w:vAlign w:val="bottom"/>
          </w:tcPr>
          <w:p>
            <w:pPr>
              <w:jc w:val="right"/>
              <w:spacing w:after="0" w:line="189" w:lineRule="exact"/>
              <w:rPr>
                <w:sz w:val="20"/>
                <w:szCs w:val="20"/>
                <w:color w:val="auto"/>
              </w:rPr>
            </w:pPr>
            <w:r>
              <w:rPr>
                <w:rFonts w:ascii="Arial" w:cs="Arial" w:eastAsia="Arial" w:hAnsi="Arial"/>
                <w:sz w:val="18"/>
                <w:szCs w:val="18"/>
                <w:color w:val="auto"/>
              </w:rPr>
              <w:t>116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44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Repurchased</w:t>
            </w:r>
          </w:p>
        </w:tc>
        <w:tc>
          <w:tcPr>
            <w:tcW w:w="10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(101)</w:t>
            </w:r>
          </w:p>
        </w:tc>
        <w:tc>
          <w:tcPr>
            <w:tcW w:w="10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(126)</w:t>
            </w:r>
          </w:p>
        </w:tc>
        <w:tc>
          <w:tcPr>
            <w:tcW w:w="7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4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8460" w:type="dxa"/>
            <w:vAlign w:val="bottom"/>
            <w:gridSpan w:val="2"/>
          </w:tcPr>
          <w:p>
            <w:pPr>
              <w:spacing w:after="0"/>
              <w:rPr>
                <w:sz w:val="20"/>
                <w:szCs w:val="20"/>
                <w:color w:val="auto"/>
              </w:rPr>
            </w:pPr>
            <w:r>
              <w:rPr>
                <w:rFonts w:ascii="Arial" w:cs="Arial" w:eastAsia="Arial" w:hAnsi="Arial"/>
                <w:sz w:val="18"/>
                <w:szCs w:val="18"/>
                <w:color w:val="auto"/>
              </w:rPr>
              <w:t>Balance, end of year</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7,519</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7,571</w:t>
            </w:r>
          </w:p>
        </w:tc>
        <w:tc>
          <w:tcPr>
            <w:tcW w:w="680" w:type="dxa"/>
            <w:vAlign w:val="bottom"/>
          </w:tcPr>
          <w:p>
            <w:pPr>
              <w:jc w:val="right"/>
              <w:spacing w:after="0"/>
              <w:rPr>
                <w:sz w:val="20"/>
                <w:szCs w:val="20"/>
                <w:color w:val="auto"/>
              </w:rPr>
            </w:pPr>
            <w:r>
              <w:rPr>
                <w:rFonts w:ascii="Arial" w:cs="Arial" w:eastAsia="Arial" w:hAnsi="Arial"/>
                <w:sz w:val="18"/>
                <w:szCs w:val="18"/>
                <w:color w:val="auto"/>
              </w:rPr>
              <w:t>7,643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44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On September 20, 2016, our Board of Directors approved a share repurchase program authorizing up to $40.0 billion in share repurchases.</w:t>
      </w:r>
    </w:p>
    <w:p>
      <w:pPr>
        <w:spacing w:after="0"/>
        <w:rPr>
          <w:sz w:val="20"/>
          <w:szCs w:val="20"/>
          <w:color w:val="auto"/>
        </w:rPr>
      </w:pPr>
      <w:r>
        <w:rPr>
          <w:rFonts w:ascii="Arial" w:cs="Arial" w:eastAsia="Arial" w:hAnsi="Arial"/>
          <w:sz w:val="18"/>
          <w:szCs w:val="18"/>
          <w:color w:val="auto"/>
        </w:rPr>
        <w:t>This share repurchase program commenced in December 2016 and was completed in February 2020.</w:t>
      </w:r>
    </w:p>
    <w:p>
      <w:pPr>
        <w:spacing w:after="0" w:line="15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On September 18, 2019, our Board of Directors approved a share repurchase program authorizing up to $40.0 billion in share repurchases. This share repurchase program commenced in February 2020, following completion of the program approved on September 20, 2016, has no expiration date, and may be terminated at any time. As of June 30, 2021, $8.7 billion remained of this $40.0 billion share repurchase program.</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89" w:name="page90"/>
    <w:bookmarkEnd w:id="89"/>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We repurchased the following shares of common stock under the share repurchase programs: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760" w:type="dxa"/>
            <w:vAlign w:val="bottom"/>
            <w:gridSpan w:val="2"/>
          </w:tcPr>
          <w:p>
            <w:pPr>
              <w:spacing w:after="0"/>
              <w:rPr>
                <w:sz w:val="20"/>
                <w:szCs w:val="20"/>
                <w:color w:val="auto"/>
              </w:rPr>
            </w:pPr>
            <w:r>
              <w:rPr>
                <w:rFonts w:ascii="Arial" w:cs="Arial" w:eastAsia="Arial" w:hAnsi="Arial"/>
                <w:sz w:val="13"/>
                <w:szCs w:val="13"/>
                <w:b w:val="1"/>
                <w:bCs w:val="1"/>
                <w:color w:val="auto"/>
              </w:rPr>
              <w:t>(In millions)</w:t>
            </w:r>
          </w:p>
        </w:tc>
        <w:tc>
          <w:tcPr>
            <w:tcW w:w="900" w:type="dxa"/>
            <w:vAlign w:val="bottom"/>
            <w:gridSpan w:val="2"/>
          </w:tcPr>
          <w:p>
            <w:pPr>
              <w:ind w:left="3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Amount</w:t>
            </w:r>
          </w:p>
        </w:tc>
        <w:tc>
          <w:tcPr>
            <w:tcW w:w="10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15"/>
                <w:szCs w:val="15"/>
                <w:color w:val="auto"/>
              </w:rPr>
            </w:pPr>
          </w:p>
        </w:tc>
        <w:tc>
          <w:tcPr>
            <w:tcW w:w="1000" w:type="dxa"/>
            <w:vAlign w:val="bottom"/>
            <w:gridSpan w:val="2"/>
          </w:tcPr>
          <w:p>
            <w:pPr>
              <w:ind w:left="180"/>
              <w:spacing w:after="0"/>
              <w:rPr>
                <w:sz w:val="20"/>
                <w:szCs w:val="20"/>
                <w:color w:val="auto"/>
              </w:rPr>
            </w:pPr>
            <w:r>
              <w:rPr>
                <w:rFonts w:ascii="Arial" w:cs="Arial" w:eastAsia="Arial" w:hAnsi="Arial"/>
                <w:sz w:val="13"/>
                <w:szCs w:val="13"/>
                <w:b w:val="1"/>
                <w:bCs w:val="1"/>
                <w:color w:val="auto"/>
              </w:rPr>
              <w:t>Amount</w:t>
            </w:r>
          </w:p>
        </w:tc>
        <w:tc>
          <w:tcPr>
            <w:tcW w:w="900" w:type="dxa"/>
            <w:vAlign w:val="bottom"/>
            <w:gridSpan w:val="2"/>
          </w:tcPr>
          <w:p>
            <w:pPr>
              <w:ind w:left="34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54"/>
        </w:trPr>
        <w:tc>
          <w:tcPr>
            <w:tcW w:w="4760" w:type="dxa"/>
            <w:vAlign w:val="bottom"/>
            <w:tcBorders>
              <w:bottom w:val="single" w:sz="8" w:color="auto"/>
            </w:tcBorders>
            <w:gridSpan w:val="2"/>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4760" w:type="dxa"/>
            <w:vAlign w:val="bottom"/>
            <w:gridSpan w:val="2"/>
          </w:tcPr>
          <w:p>
            <w:pPr>
              <w:spacing w:after="0"/>
              <w:rPr>
                <w:sz w:val="20"/>
                <w:szCs w:val="20"/>
                <w:color w:val="auto"/>
              </w:rPr>
            </w:pPr>
            <w:r>
              <w:rPr>
                <w:rFonts w:ascii="Arial" w:cs="Arial" w:eastAsia="Arial" w:hAnsi="Arial"/>
                <w:sz w:val="13"/>
                <w:szCs w:val="13"/>
                <w:b w:val="1"/>
                <w:bCs w:val="1"/>
                <w:color w:val="auto"/>
              </w:rPr>
              <w:t>Year Ended June 30,</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2021</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2020</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4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7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First Quarter</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25</w:t>
            </w:r>
          </w:p>
        </w:tc>
        <w:tc>
          <w:tcPr>
            <w:tcW w:w="3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b w:val="1"/>
                <w:bCs w:val="1"/>
                <w:color w:val="auto"/>
              </w:rPr>
              <w:t>5,270</w:t>
            </w: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29</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color w:val="auto"/>
              </w:rPr>
              <w:t>4,000</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24</w:t>
            </w:r>
          </w:p>
        </w:tc>
        <w:tc>
          <w:tcPr>
            <w:tcW w:w="3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2,600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740" w:type="dxa"/>
            <w:vAlign w:val="bottom"/>
          </w:tcPr>
          <w:p>
            <w:pPr>
              <w:spacing w:after="0" w:line="189" w:lineRule="exact"/>
              <w:rPr>
                <w:sz w:val="20"/>
                <w:szCs w:val="20"/>
                <w:color w:val="auto"/>
              </w:rPr>
            </w:pPr>
            <w:r>
              <w:rPr>
                <w:rFonts w:ascii="Arial" w:cs="Arial" w:eastAsia="Arial" w:hAnsi="Arial"/>
                <w:sz w:val="18"/>
                <w:szCs w:val="18"/>
                <w:color w:val="auto"/>
              </w:rPr>
              <w:t>Second Quarter</w:t>
            </w: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27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320"/>
              <w:spacing w:after="0" w:line="189" w:lineRule="exact"/>
              <w:rPr>
                <w:sz w:val="20"/>
                <w:szCs w:val="20"/>
                <w:color w:val="auto"/>
              </w:rPr>
            </w:pPr>
            <w:r>
              <w:rPr>
                <w:rFonts w:ascii="Arial" w:cs="Arial" w:eastAsia="Arial" w:hAnsi="Arial"/>
                <w:sz w:val="18"/>
                <w:szCs w:val="18"/>
                <w:b w:val="1"/>
                <w:bCs w:val="1"/>
                <w:color w:val="auto"/>
              </w:rPr>
              <w:t>5,750</w:t>
            </w:r>
          </w:p>
        </w:tc>
        <w:tc>
          <w:tcPr>
            <w:tcW w:w="102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32</w:t>
            </w:r>
          </w:p>
        </w:tc>
        <w:tc>
          <w:tcPr>
            <w:tcW w:w="220" w:type="dxa"/>
            <w:vAlign w:val="bottom"/>
          </w:tcPr>
          <w:p>
            <w:pPr>
              <w:spacing w:after="0"/>
              <w:rPr>
                <w:sz w:val="16"/>
                <w:szCs w:val="16"/>
                <w:color w:val="auto"/>
              </w:rPr>
            </w:pPr>
          </w:p>
        </w:tc>
        <w:tc>
          <w:tcPr>
            <w:tcW w:w="1000" w:type="dxa"/>
            <w:vAlign w:val="bottom"/>
            <w:gridSpan w:val="2"/>
          </w:tcPr>
          <w:p>
            <w:pPr>
              <w:jc w:val="right"/>
              <w:ind w:right="320"/>
              <w:spacing w:after="0" w:line="189" w:lineRule="exact"/>
              <w:rPr>
                <w:sz w:val="20"/>
                <w:szCs w:val="20"/>
                <w:color w:val="auto"/>
              </w:rPr>
            </w:pPr>
            <w:r>
              <w:rPr>
                <w:rFonts w:ascii="Arial" w:cs="Arial" w:eastAsia="Arial" w:hAnsi="Arial"/>
                <w:sz w:val="18"/>
                <w:szCs w:val="18"/>
                <w:color w:val="auto"/>
              </w:rPr>
              <w:t>4,600</w:t>
            </w: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57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6,100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7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Third Quarter</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25</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b w:val="1"/>
                <w:bCs w:val="1"/>
                <w:color w:val="auto"/>
              </w:rPr>
              <w:t>5,750</w:t>
            </w: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37</w:t>
            </w: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color w:val="auto"/>
              </w:rPr>
              <w:t>6,000</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36</w:t>
            </w: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3,899</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Fourth Quarter</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6,200</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1"/>
                <w:szCs w:val="21"/>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5,088</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4,200</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474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74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101</w:t>
            </w:r>
          </w:p>
        </w:tc>
        <w:tc>
          <w:tcPr>
            <w:tcW w:w="100" w:type="dxa"/>
            <w:vAlign w:val="bottom"/>
            <w:shd w:val="clear" w:color="auto" w:fill="E5E5E5"/>
          </w:tcPr>
          <w:p>
            <w:pPr>
              <w:spacing w:after="0"/>
              <w:rPr>
                <w:sz w:val="16"/>
                <w:szCs w:val="16"/>
                <w:color w:val="auto"/>
              </w:rPr>
            </w:pPr>
          </w:p>
        </w:tc>
        <w:tc>
          <w:tcPr>
            <w:tcW w:w="3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b w:val="1"/>
                <w:bCs w:val="1"/>
                <w:color w:val="auto"/>
              </w:rPr>
              <w:t>22,970</w:t>
            </w: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126</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color w:val="auto"/>
              </w:rPr>
              <w:t>19,688</w:t>
            </w: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150</w:t>
            </w:r>
          </w:p>
        </w:tc>
        <w:tc>
          <w:tcPr>
            <w:tcW w:w="100" w:type="dxa"/>
            <w:vAlign w:val="bottom"/>
            <w:shd w:val="clear" w:color="auto" w:fill="E5E5E5"/>
          </w:tcPr>
          <w:p>
            <w:pPr>
              <w:spacing w:after="0"/>
              <w:rPr>
                <w:sz w:val="16"/>
                <w:szCs w:val="16"/>
                <w:color w:val="auto"/>
              </w:rPr>
            </w:pPr>
          </w:p>
        </w:tc>
        <w:tc>
          <w:tcPr>
            <w:tcW w:w="3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16,799</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4740" w:type="dxa"/>
            <w:vAlign w:val="bottom"/>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Shares repurchased during fiscal year 2021 and the fourth quarter of fiscal year 2020 were under the share repurchase program approved on September 18, 2019. Shares repurchased during the third quarter of fiscal year 2020 were under the share repurchase programs approved on both September 20, 2016 and September 18, 2019. All other shares repurchased were under the share repurchase program approved on September 20, 2016. The above table excludes shares repurchased to settle employee tax withholding related to the vesting of stock awards of $4.4 billion, $3.3 billion, and $2.7 billion for fiscal years 2021, 2020, and 2019, respectively. All share repurchases were made using cash resources.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declared the following dividends: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Dividend</w:t>
            </w:r>
          </w:p>
        </w:tc>
        <w:tc>
          <w:tcPr>
            <w:tcW w:w="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420" w:type="dxa"/>
            <w:vAlign w:val="bottom"/>
            <w:gridSpan w:val="2"/>
          </w:tcPr>
          <w:p>
            <w:pPr>
              <w:spacing w:after="0"/>
              <w:rPr>
                <w:sz w:val="20"/>
                <w:szCs w:val="20"/>
                <w:color w:val="auto"/>
              </w:rPr>
            </w:pPr>
            <w:r>
              <w:rPr>
                <w:rFonts w:ascii="Arial" w:cs="Arial" w:eastAsia="Arial" w:hAnsi="Arial"/>
                <w:sz w:val="13"/>
                <w:szCs w:val="13"/>
                <w:b w:val="1"/>
                <w:bCs w:val="1"/>
                <w:color w:val="auto"/>
              </w:rPr>
              <w:t>Declaration Date</w:t>
            </w:r>
          </w:p>
        </w:tc>
        <w:tc>
          <w:tcPr>
            <w:tcW w:w="2880" w:type="dxa"/>
            <w:vAlign w:val="bottom"/>
          </w:tcPr>
          <w:p>
            <w:pPr>
              <w:jc w:val="right"/>
              <w:ind w:right="413"/>
              <w:spacing w:after="0"/>
              <w:rPr>
                <w:sz w:val="20"/>
                <w:szCs w:val="20"/>
                <w:color w:val="auto"/>
              </w:rPr>
            </w:pPr>
            <w:r>
              <w:rPr>
                <w:rFonts w:ascii="Arial" w:cs="Arial" w:eastAsia="Arial" w:hAnsi="Arial"/>
                <w:sz w:val="13"/>
                <w:szCs w:val="13"/>
                <w:b w:val="1"/>
                <w:bCs w:val="1"/>
                <w:color w:val="auto"/>
              </w:rPr>
              <w:t>Record Date</w:t>
            </w:r>
          </w:p>
        </w:tc>
        <w:tc>
          <w:tcPr>
            <w:tcW w:w="2240" w:type="dxa"/>
            <w:vAlign w:val="bottom"/>
          </w:tcPr>
          <w:p>
            <w:pPr>
              <w:jc w:val="right"/>
              <w:ind w:right="13"/>
              <w:spacing w:after="0"/>
              <w:rPr>
                <w:sz w:val="20"/>
                <w:szCs w:val="20"/>
                <w:color w:val="auto"/>
              </w:rPr>
            </w:pPr>
            <w:r>
              <w:rPr>
                <w:rFonts w:ascii="Arial" w:cs="Arial" w:eastAsia="Arial" w:hAnsi="Arial"/>
                <w:sz w:val="13"/>
                <w:szCs w:val="13"/>
                <w:b w:val="1"/>
                <w:bCs w:val="1"/>
                <w:color w:val="auto"/>
              </w:rPr>
              <w:t>Payment Date</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Per Share</w:t>
            </w:r>
          </w:p>
        </w:tc>
        <w:tc>
          <w:tcPr>
            <w:tcW w:w="46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54"/>
        </w:trPr>
        <w:tc>
          <w:tcPr>
            <w:tcW w:w="2420" w:type="dxa"/>
            <w:vAlign w:val="bottom"/>
            <w:tcBorders>
              <w:bottom w:val="single" w:sz="8" w:color="auto"/>
            </w:tcBorders>
            <w:gridSpan w:val="2"/>
          </w:tcPr>
          <w:p>
            <w:pPr>
              <w:spacing w:after="0"/>
              <w:rPr>
                <w:sz w:val="4"/>
                <w:szCs w:val="4"/>
                <w:color w:val="auto"/>
              </w:rPr>
            </w:pPr>
          </w:p>
        </w:tc>
        <w:tc>
          <w:tcPr>
            <w:tcW w:w="288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420" w:type="dxa"/>
            <w:vAlign w:val="bottom"/>
            <w:gridSpan w:val="2"/>
          </w:tcPr>
          <w:p>
            <w:pPr>
              <w:spacing w:after="0"/>
              <w:rPr>
                <w:sz w:val="20"/>
                <w:szCs w:val="20"/>
                <w:color w:val="auto"/>
              </w:rPr>
            </w:pPr>
            <w:r>
              <w:rPr>
                <w:rFonts w:ascii="Arial" w:cs="Arial" w:eastAsia="Arial" w:hAnsi="Arial"/>
                <w:sz w:val="13"/>
                <w:szCs w:val="13"/>
                <w:b w:val="1"/>
                <w:bCs w:val="1"/>
                <w:color w:val="auto"/>
              </w:rPr>
              <w:t>Fiscal Year 2021</w:t>
            </w:r>
          </w:p>
        </w:tc>
        <w:tc>
          <w:tcPr>
            <w:tcW w:w="28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(In millions)</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24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240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September 15, 2020</w:t>
            </w:r>
          </w:p>
        </w:tc>
        <w:tc>
          <w:tcPr>
            <w:tcW w:w="2880" w:type="dxa"/>
            <w:vAlign w:val="bottom"/>
            <w:shd w:val="clear" w:color="auto" w:fill="E5E5E5"/>
          </w:tcPr>
          <w:p>
            <w:pPr>
              <w:jc w:val="right"/>
              <w:ind w:right="413"/>
              <w:spacing w:after="0" w:line="189" w:lineRule="exact"/>
              <w:rPr>
                <w:sz w:val="20"/>
                <w:szCs w:val="20"/>
                <w:color w:val="auto"/>
              </w:rPr>
            </w:pPr>
            <w:r>
              <w:rPr>
                <w:rFonts w:ascii="Arial" w:cs="Arial" w:eastAsia="Arial" w:hAnsi="Arial"/>
                <w:sz w:val="18"/>
                <w:szCs w:val="18"/>
                <w:b w:val="1"/>
                <w:bCs w:val="1"/>
                <w:color w:val="auto"/>
              </w:rPr>
              <w:t>November 19, 2020</w:t>
            </w:r>
          </w:p>
        </w:tc>
        <w:tc>
          <w:tcPr>
            <w:tcW w:w="2240" w:type="dxa"/>
            <w:vAlign w:val="bottom"/>
            <w:shd w:val="clear" w:color="auto" w:fill="E5E5E5"/>
          </w:tcPr>
          <w:p>
            <w:pPr>
              <w:jc w:val="right"/>
              <w:ind w:right="13"/>
              <w:spacing w:after="0" w:line="189" w:lineRule="exact"/>
              <w:rPr>
                <w:sz w:val="20"/>
                <w:szCs w:val="20"/>
                <w:color w:val="auto"/>
              </w:rPr>
            </w:pPr>
            <w:r>
              <w:rPr>
                <w:rFonts w:ascii="Arial" w:cs="Arial" w:eastAsia="Arial" w:hAnsi="Arial"/>
                <w:sz w:val="18"/>
                <w:szCs w:val="18"/>
                <w:b w:val="1"/>
                <w:bCs w:val="1"/>
                <w:color w:val="auto"/>
              </w:rPr>
              <w:t>December 10, 2020</w:t>
            </w:r>
          </w:p>
        </w:tc>
        <w:tc>
          <w:tcPr>
            <w:tcW w:w="700" w:type="dxa"/>
            <w:vAlign w:val="bottom"/>
            <w:gridSpan w:val="2"/>
            <w:shd w:val="clear" w:color="auto" w:fill="E5E5E5"/>
          </w:tcPr>
          <w:p>
            <w:pPr>
              <w:jc w:val="right"/>
              <w:ind w:right="480"/>
              <w:spacing w:after="0" w:line="189" w:lineRule="exact"/>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0.56</w:t>
            </w:r>
          </w:p>
        </w:tc>
        <w:tc>
          <w:tcPr>
            <w:tcW w:w="460" w:type="dxa"/>
            <w:vAlign w:val="bottom"/>
            <w:shd w:val="clear" w:color="auto" w:fill="E5E5E5"/>
          </w:tcPr>
          <w:p>
            <w:pPr>
              <w:jc w:val="right"/>
              <w:ind w:right="270"/>
              <w:spacing w:after="0" w:line="189" w:lineRule="exact"/>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4,230</w:t>
            </w: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400" w:type="dxa"/>
            <w:vAlign w:val="bottom"/>
          </w:tcPr>
          <w:p>
            <w:pPr>
              <w:spacing w:after="0" w:line="189" w:lineRule="exact"/>
              <w:rPr>
                <w:sz w:val="20"/>
                <w:szCs w:val="20"/>
                <w:color w:val="auto"/>
              </w:rPr>
            </w:pPr>
            <w:r>
              <w:rPr>
                <w:rFonts w:ascii="Arial" w:cs="Arial" w:eastAsia="Arial" w:hAnsi="Arial"/>
                <w:sz w:val="18"/>
                <w:szCs w:val="18"/>
                <w:b w:val="1"/>
                <w:bCs w:val="1"/>
                <w:color w:val="auto"/>
              </w:rPr>
              <w:t>December 2, 2020</w:t>
            </w:r>
          </w:p>
        </w:tc>
        <w:tc>
          <w:tcPr>
            <w:tcW w:w="2880" w:type="dxa"/>
            <w:vAlign w:val="bottom"/>
          </w:tcPr>
          <w:p>
            <w:pPr>
              <w:jc w:val="right"/>
              <w:ind w:right="413"/>
              <w:spacing w:after="0" w:line="189" w:lineRule="exact"/>
              <w:rPr>
                <w:sz w:val="20"/>
                <w:szCs w:val="20"/>
                <w:color w:val="auto"/>
              </w:rPr>
            </w:pPr>
            <w:r>
              <w:rPr>
                <w:rFonts w:ascii="Arial" w:cs="Arial" w:eastAsia="Arial" w:hAnsi="Arial"/>
                <w:sz w:val="18"/>
                <w:szCs w:val="18"/>
                <w:b w:val="1"/>
                <w:bCs w:val="1"/>
                <w:color w:val="auto"/>
              </w:rPr>
              <w:t>February 18, 2021</w:t>
            </w:r>
          </w:p>
        </w:tc>
        <w:tc>
          <w:tcPr>
            <w:tcW w:w="2240" w:type="dxa"/>
            <w:vAlign w:val="bottom"/>
          </w:tcPr>
          <w:p>
            <w:pPr>
              <w:jc w:val="right"/>
              <w:ind w:right="13"/>
              <w:spacing w:after="0" w:line="189" w:lineRule="exact"/>
              <w:rPr>
                <w:sz w:val="20"/>
                <w:szCs w:val="20"/>
                <w:color w:val="auto"/>
              </w:rPr>
            </w:pPr>
            <w:r>
              <w:rPr>
                <w:rFonts w:ascii="Arial" w:cs="Arial" w:eastAsia="Arial" w:hAnsi="Arial"/>
                <w:sz w:val="18"/>
                <w:szCs w:val="18"/>
                <w:b w:val="1"/>
                <w:bCs w:val="1"/>
                <w:color w:val="auto"/>
              </w:rPr>
              <w:t>March 11, 2021</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00" w:type="dxa"/>
            <w:vAlign w:val="bottom"/>
            <w:gridSpan w:val="2"/>
          </w:tcPr>
          <w:p>
            <w:pPr>
              <w:jc w:val="right"/>
              <w:ind w:right="200"/>
              <w:spacing w:after="0" w:line="189" w:lineRule="exact"/>
              <w:rPr>
                <w:sz w:val="20"/>
                <w:szCs w:val="20"/>
                <w:color w:val="auto"/>
              </w:rPr>
            </w:pPr>
            <w:r>
              <w:rPr>
                <w:rFonts w:ascii="Arial" w:cs="Arial" w:eastAsia="Arial" w:hAnsi="Arial"/>
                <w:sz w:val="18"/>
                <w:szCs w:val="18"/>
                <w:b w:val="1"/>
                <w:bCs w:val="1"/>
                <w:color w:val="auto"/>
              </w:rPr>
              <w:t>0.56</w:t>
            </w:r>
          </w:p>
        </w:tc>
        <w:tc>
          <w:tcPr>
            <w:tcW w:w="46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4,221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40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March 16, 2021</w:t>
            </w:r>
          </w:p>
        </w:tc>
        <w:tc>
          <w:tcPr>
            <w:tcW w:w="2880" w:type="dxa"/>
            <w:vAlign w:val="bottom"/>
            <w:shd w:val="clear" w:color="auto" w:fill="E5E5E5"/>
          </w:tcPr>
          <w:p>
            <w:pPr>
              <w:jc w:val="right"/>
              <w:ind w:right="413"/>
              <w:spacing w:after="0" w:line="189" w:lineRule="exact"/>
              <w:rPr>
                <w:sz w:val="20"/>
                <w:szCs w:val="20"/>
                <w:color w:val="auto"/>
              </w:rPr>
            </w:pPr>
            <w:r>
              <w:rPr>
                <w:rFonts w:ascii="Arial" w:cs="Arial" w:eastAsia="Arial" w:hAnsi="Arial"/>
                <w:sz w:val="18"/>
                <w:szCs w:val="18"/>
                <w:b w:val="1"/>
                <w:bCs w:val="1"/>
                <w:color w:val="auto"/>
              </w:rPr>
              <w:t>May 20, 2021</w:t>
            </w:r>
          </w:p>
        </w:tc>
        <w:tc>
          <w:tcPr>
            <w:tcW w:w="2240" w:type="dxa"/>
            <w:vAlign w:val="bottom"/>
            <w:shd w:val="clear" w:color="auto" w:fill="E5E5E5"/>
          </w:tcPr>
          <w:p>
            <w:pPr>
              <w:jc w:val="right"/>
              <w:ind w:right="13"/>
              <w:spacing w:after="0" w:line="189" w:lineRule="exact"/>
              <w:rPr>
                <w:sz w:val="20"/>
                <w:szCs w:val="20"/>
                <w:color w:val="auto"/>
              </w:rPr>
            </w:pPr>
            <w:r>
              <w:rPr>
                <w:rFonts w:ascii="Arial" w:cs="Arial" w:eastAsia="Arial" w:hAnsi="Arial"/>
                <w:sz w:val="18"/>
                <w:szCs w:val="18"/>
                <w:b w:val="1"/>
                <w:bCs w:val="1"/>
                <w:color w:val="auto"/>
              </w:rPr>
              <w:t>June 10, 2021</w:t>
            </w:r>
          </w:p>
        </w:tc>
        <w:tc>
          <w:tcPr>
            <w:tcW w:w="120" w:type="dxa"/>
            <w:vAlign w:val="bottom"/>
            <w:shd w:val="clear" w:color="auto" w:fill="E5E5E5"/>
          </w:tcPr>
          <w:p>
            <w:pPr>
              <w:spacing w:after="0"/>
              <w:rPr>
                <w:sz w:val="16"/>
                <w:szCs w:val="16"/>
                <w:color w:val="auto"/>
              </w:rPr>
            </w:pPr>
          </w:p>
        </w:tc>
        <w:tc>
          <w:tcPr>
            <w:tcW w:w="580" w:type="dxa"/>
            <w:vAlign w:val="bottom"/>
            <w:shd w:val="clear" w:color="auto" w:fill="E5E5E5"/>
          </w:tcPr>
          <w:p>
            <w:pPr>
              <w:spacing w:after="0"/>
              <w:rPr>
                <w:sz w:val="16"/>
                <w:szCs w:val="16"/>
                <w:color w:val="auto"/>
              </w:rPr>
            </w:pPr>
          </w:p>
        </w:tc>
        <w:tc>
          <w:tcPr>
            <w:tcW w:w="13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0.56</w:t>
            </w:r>
          </w:p>
        </w:tc>
        <w:tc>
          <w:tcPr>
            <w:tcW w:w="460" w:type="dxa"/>
            <w:vAlign w:val="bottom"/>
            <w:shd w:val="clear" w:color="auto" w:fill="E5E5E5"/>
          </w:tcPr>
          <w:p>
            <w:pPr>
              <w:spacing w:after="0"/>
              <w:rPr>
                <w:sz w:val="16"/>
                <w:szCs w:val="16"/>
                <w:color w:val="auto"/>
              </w:rPr>
            </w:pPr>
          </w:p>
        </w:tc>
        <w:tc>
          <w:tcPr>
            <w:tcW w:w="11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4,214</w:t>
            </w: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400" w:type="dxa"/>
            <w:vAlign w:val="bottom"/>
          </w:tcPr>
          <w:p>
            <w:pPr>
              <w:spacing w:after="0"/>
              <w:rPr>
                <w:sz w:val="20"/>
                <w:szCs w:val="20"/>
                <w:color w:val="auto"/>
              </w:rPr>
            </w:pPr>
            <w:r>
              <w:rPr>
                <w:rFonts w:ascii="Arial" w:cs="Arial" w:eastAsia="Arial" w:hAnsi="Arial"/>
                <w:sz w:val="18"/>
                <w:szCs w:val="18"/>
                <w:b w:val="1"/>
                <w:bCs w:val="1"/>
                <w:color w:val="auto"/>
              </w:rPr>
              <w:t>June 16, 2021</w:t>
            </w:r>
          </w:p>
        </w:tc>
        <w:tc>
          <w:tcPr>
            <w:tcW w:w="2880" w:type="dxa"/>
            <w:vAlign w:val="bottom"/>
          </w:tcPr>
          <w:p>
            <w:pPr>
              <w:jc w:val="right"/>
              <w:ind w:right="413"/>
              <w:spacing w:after="0"/>
              <w:rPr>
                <w:sz w:val="20"/>
                <w:szCs w:val="20"/>
                <w:color w:val="auto"/>
              </w:rPr>
            </w:pPr>
            <w:r>
              <w:rPr>
                <w:rFonts w:ascii="Arial" w:cs="Arial" w:eastAsia="Arial" w:hAnsi="Arial"/>
                <w:sz w:val="18"/>
                <w:szCs w:val="18"/>
                <w:b w:val="1"/>
                <w:bCs w:val="1"/>
                <w:color w:val="auto"/>
              </w:rPr>
              <w:t>August 19, 2021</w:t>
            </w:r>
          </w:p>
        </w:tc>
        <w:tc>
          <w:tcPr>
            <w:tcW w:w="2240" w:type="dxa"/>
            <w:vAlign w:val="bottom"/>
          </w:tcPr>
          <w:p>
            <w:pPr>
              <w:jc w:val="right"/>
              <w:ind w:right="13"/>
              <w:spacing w:after="0"/>
              <w:rPr>
                <w:sz w:val="20"/>
                <w:szCs w:val="20"/>
                <w:color w:val="auto"/>
              </w:rPr>
            </w:pPr>
            <w:r>
              <w:rPr>
                <w:rFonts w:ascii="Arial" w:cs="Arial" w:eastAsia="Arial" w:hAnsi="Arial"/>
                <w:sz w:val="18"/>
                <w:szCs w:val="18"/>
                <w:b w:val="1"/>
                <w:bCs w:val="1"/>
                <w:color w:val="auto"/>
              </w:rPr>
              <w:t>September 9, 2021</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0.56</w:t>
            </w: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4,211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Borders>
              <w:top w:val="single" w:sz="8" w:color="auto"/>
            </w:tcBorders>
          </w:tcPr>
          <w:p>
            <w:pPr>
              <w:spacing w:after="0"/>
              <w:rPr>
                <w:sz w:val="5"/>
                <w:szCs w:val="5"/>
                <w:color w:val="auto"/>
              </w:rPr>
            </w:pPr>
          </w:p>
        </w:tc>
        <w:tc>
          <w:tcPr>
            <w:tcW w:w="2880" w:type="dxa"/>
            <w:vAlign w:val="bottom"/>
            <w:tcBorders>
              <w:top w:val="single" w:sz="8" w:color="auto"/>
            </w:tcBorders>
          </w:tcPr>
          <w:p>
            <w:pPr>
              <w:spacing w:after="0"/>
              <w:rPr>
                <w:sz w:val="5"/>
                <w:szCs w:val="5"/>
                <w:color w:val="auto"/>
              </w:rPr>
            </w:pPr>
          </w:p>
        </w:tc>
        <w:tc>
          <w:tcPr>
            <w:tcW w:w="224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110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40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b w:val="1"/>
                <w:bCs w:val="1"/>
                <w:color w:val="auto"/>
              </w:rPr>
              <w:t>Total</w:t>
            </w:r>
          </w:p>
        </w:tc>
        <w:tc>
          <w:tcPr>
            <w:tcW w:w="2880" w:type="dxa"/>
            <w:vAlign w:val="bottom"/>
            <w:shd w:val="clear" w:color="auto" w:fill="E5E5E5"/>
          </w:tcPr>
          <w:p>
            <w:pPr>
              <w:spacing w:after="0"/>
              <w:rPr>
                <w:sz w:val="16"/>
                <w:szCs w:val="16"/>
                <w:color w:val="auto"/>
              </w:rPr>
            </w:pPr>
          </w:p>
        </w:tc>
        <w:tc>
          <w:tcPr>
            <w:tcW w:w="2240" w:type="dxa"/>
            <w:vAlign w:val="bottom"/>
            <w:shd w:val="clear" w:color="auto" w:fill="E5E5E5"/>
          </w:tcPr>
          <w:p>
            <w:pPr>
              <w:spacing w:after="0"/>
              <w:rPr>
                <w:sz w:val="16"/>
                <w:szCs w:val="16"/>
                <w:color w:val="auto"/>
              </w:rPr>
            </w:pPr>
          </w:p>
        </w:tc>
        <w:tc>
          <w:tcPr>
            <w:tcW w:w="700" w:type="dxa"/>
            <w:vAlign w:val="bottom"/>
            <w:gridSpan w:val="2"/>
            <w:shd w:val="clear" w:color="auto" w:fill="E5E5E5"/>
          </w:tcPr>
          <w:p>
            <w:pPr>
              <w:jc w:val="right"/>
              <w:ind w:right="480"/>
              <w:spacing w:after="0" w:line="189" w:lineRule="exact"/>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2.24</w:t>
            </w:r>
          </w:p>
        </w:tc>
        <w:tc>
          <w:tcPr>
            <w:tcW w:w="460" w:type="dxa"/>
            <w:vAlign w:val="bottom"/>
            <w:shd w:val="clear" w:color="auto" w:fill="E5E5E5"/>
          </w:tcPr>
          <w:p>
            <w:pPr>
              <w:jc w:val="right"/>
              <w:ind w:right="270"/>
              <w:spacing w:after="0" w:line="189" w:lineRule="exact"/>
              <w:rPr>
                <w:sz w:val="20"/>
                <w:szCs w:val="20"/>
                <w:color w:val="auto"/>
              </w:rPr>
            </w:pPr>
            <w:r>
              <w:rPr>
                <w:rFonts w:ascii="Arial" w:cs="Arial" w:eastAsia="Arial" w:hAnsi="Arial"/>
                <w:sz w:val="18"/>
                <w:szCs w:val="18"/>
                <w:b w:val="1"/>
                <w:bCs w:val="1"/>
                <w:color w:val="auto"/>
                <w:w w:val="79"/>
              </w:rPr>
              <w:t>$</w:t>
            </w:r>
          </w:p>
        </w:tc>
        <w:tc>
          <w:tcPr>
            <w:tcW w:w="12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16,876</w:t>
            </w:r>
          </w:p>
        </w:tc>
        <w:tc>
          <w:tcPr>
            <w:tcW w:w="0" w:type="dxa"/>
            <w:vAlign w:val="bottom"/>
          </w:tcPr>
          <w:p>
            <w:pPr>
              <w:spacing w:after="0"/>
              <w:rPr>
                <w:sz w:val="1"/>
                <w:szCs w:val="1"/>
                <w:color w:val="auto"/>
              </w:rPr>
            </w:pPr>
          </w:p>
        </w:tc>
      </w:tr>
      <w:tr>
        <w:trPr>
          <w:trHeight w:val="74"/>
        </w:trPr>
        <w:tc>
          <w:tcPr>
            <w:tcW w:w="24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Fiscal Year 2020</w:t>
            </w:r>
          </w:p>
        </w:tc>
        <w:tc>
          <w:tcPr>
            <w:tcW w:w="288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420" w:type="dxa"/>
            <w:vAlign w:val="bottom"/>
            <w:gridSpan w:val="2"/>
            <w:vMerge w:val="continue"/>
          </w:tcPr>
          <w:p>
            <w:pPr>
              <w:spacing w:after="0"/>
              <w:rPr>
                <w:sz w:val="19"/>
                <w:szCs w:val="19"/>
                <w:color w:val="auto"/>
              </w:rPr>
            </w:pPr>
          </w:p>
        </w:tc>
        <w:tc>
          <w:tcPr>
            <w:tcW w:w="28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24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24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September 18, 2019</w:t>
            </w:r>
          </w:p>
        </w:tc>
        <w:tc>
          <w:tcPr>
            <w:tcW w:w="2880" w:type="dxa"/>
            <w:vAlign w:val="bottom"/>
            <w:shd w:val="clear" w:color="auto" w:fill="E5E5E5"/>
          </w:tcPr>
          <w:p>
            <w:pPr>
              <w:jc w:val="right"/>
              <w:ind w:right="413"/>
              <w:spacing w:after="0" w:line="189" w:lineRule="exact"/>
              <w:rPr>
                <w:sz w:val="20"/>
                <w:szCs w:val="20"/>
                <w:color w:val="auto"/>
              </w:rPr>
            </w:pPr>
            <w:r>
              <w:rPr>
                <w:rFonts w:ascii="Arial" w:cs="Arial" w:eastAsia="Arial" w:hAnsi="Arial"/>
                <w:sz w:val="18"/>
                <w:szCs w:val="18"/>
                <w:color w:val="auto"/>
              </w:rPr>
              <w:t>November 21, 2019</w:t>
            </w:r>
          </w:p>
        </w:tc>
        <w:tc>
          <w:tcPr>
            <w:tcW w:w="2240" w:type="dxa"/>
            <w:vAlign w:val="bottom"/>
            <w:shd w:val="clear" w:color="auto" w:fill="E5E5E5"/>
          </w:tcPr>
          <w:p>
            <w:pPr>
              <w:jc w:val="right"/>
              <w:ind w:right="13"/>
              <w:spacing w:after="0" w:line="189" w:lineRule="exact"/>
              <w:rPr>
                <w:sz w:val="20"/>
                <w:szCs w:val="20"/>
                <w:color w:val="auto"/>
              </w:rPr>
            </w:pPr>
            <w:r>
              <w:rPr>
                <w:rFonts w:ascii="Arial" w:cs="Arial" w:eastAsia="Arial" w:hAnsi="Arial"/>
                <w:sz w:val="18"/>
                <w:szCs w:val="18"/>
                <w:color w:val="auto"/>
              </w:rPr>
              <w:t>December 12, 2019</w:t>
            </w:r>
          </w:p>
        </w:tc>
        <w:tc>
          <w:tcPr>
            <w:tcW w:w="700" w:type="dxa"/>
            <w:vAlign w:val="bottom"/>
            <w:gridSpan w:val="2"/>
            <w:shd w:val="clear" w:color="auto" w:fill="E5E5E5"/>
          </w:tcPr>
          <w:p>
            <w:pPr>
              <w:jc w:val="right"/>
              <w:ind w:right="480"/>
              <w:spacing w:after="0" w:line="189"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0.51</w:t>
            </w:r>
          </w:p>
        </w:tc>
        <w:tc>
          <w:tcPr>
            <w:tcW w:w="460" w:type="dxa"/>
            <w:vAlign w:val="bottom"/>
            <w:shd w:val="clear" w:color="auto" w:fill="E5E5E5"/>
          </w:tcPr>
          <w:p>
            <w:pPr>
              <w:jc w:val="right"/>
              <w:ind w:right="270"/>
              <w:spacing w:after="0" w:line="189"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3,886</w:t>
            </w: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400" w:type="dxa"/>
            <w:vAlign w:val="bottom"/>
          </w:tcPr>
          <w:p>
            <w:pPr>
              <w:spacing w:after="0" w:line="189" w:lineRule="exact"/>
              <w:rPr>
                <w:sz w:val="20"/>
                <w:szCs w:val="20"/>
                <w:color w:val="auto"/>
              </w:rPr>
            </w:pPr>
            <w:r>
              <w:rPr>
                <w:rFonts w:ascii="Arial" w:cs="Arial" w:eastAsia="Arial" w:hAnsi="Arial"/>
                <w:sz w:val="18"/>
                <w:szCs w:val="18"/>
                <w:color w:val="auto"/>
              </w:rPr>
              <w:t>December 4, 2019</w:t>
            </w:r>
          </w:p>
        </w:tc>
        <w:tc>
          <w:tcPr>
            <w:tcW w:w="2880" w:type="dxa"/>
            <w:vAlign w:val="bottom"/>
          </w:tcPr>
          <w:p>
            <w:pPr>
              <w:jc w:val="right"/>
              <w:ind w:right="413"/>
              <w:spacing w:after="0" w:line="189" w:lineRule="exact"/>
              <w:rPr>
                <w:sz w:val="20"/>
                <w:szCs w:val="20"/>
                <w:color w:val="auto"/>
              </w:rPr>
            </w:pPr>
            <w:r>
              <w:rPr>
                <w:rFonts w:ascii="Arial" w:cs="Arial" w:eastAsia="Arial" w:hAnsi="Arial"/>
                <w:sz w:val="18"/>
                <w:szCs w:val="18"/>
                <w:color w:val="auto"/>
              </w:rPr>
              <w:t>February 20, 2020</w:t>
            </w:r>
          </w:p>
        </w:tc>
        <w:tc>
          <w:tcPr>
            <w:tcW w:w="2240" w:type="dxa"/>
            <w:vAlign w:val="bottom"/>
          </w:tcPr>
          <w:p>
            <w:pPr>
              <w:jc w:val="right"/>
              <w:ind w:right="13"/>
              <w:spacing w:after="0" w:line="189" w:lineRule="exact"/>
              <w:rPr>
                <w:sz w:val="20"/>
                <w:szCs w:val="20"/>
                <w:color w:val="auto"/>
              </w:rPr>
            </w:pPr>
            <w:r>
              <w:rPr>
                <w:rFonts w:ascii="Arial" w:cs="Arial" w:eastAsia="Arial" w:hAnsi="Arial"/>
                <w:sz w:val="18"/>
                <w:szCs w:val="18"/>
                <w:color w:val="auto"/>
              </w:rPr>
              <w:t>March 12, 2020</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0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0.51</w:t>
            </w:r>
          </w:p>
        </w:tc>
        <w:tc>
          <w:tcPr>
            <w:tcW w:w="46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3,876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4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March 9, 2020</w:t>
            </w:r>
          </w:p>
        </w:tc>
        <w:tc>
          <w:tcPr>
            <w:tcW w:w="2880" w:type="dxa"/>
            <w:vAlign w:val="bottom"/>
            <w:shd w:val="clear" w:color="auto" w:fill="E5E5E5"/>
          </w:tcPr>
          <w:p>
            <w:pPr>
              <w:jc w:val="right"/>
              <w:ind w:right="413"/>
              <w:spacing w:after="0" w:line="189" w:lineRule="exact"/>
              <w:rPr>
                <w:sz w:val="20"/>
                <w:szCs w:val="20"/>
                <w:color w:val="auto"/>
              </w:rPr>
            </w:pPr>
            <w:r>
              <w:rPr>
                <w:rFonts w:ascii="Arial" w:cs="Arial" w:eastAsia="Arial" w:hAnsi="Arial"/>
                <w:sz w:val="18"/>
                <w:szCs w:val="18"/>
                <w:color w:val="auto"/>
              </w:rPr>
              <w:t>May 21, 2020</w:t>
            </w:r>
          </w:p>
        </w:tc>
        <w:tc>
          <w:tcPr>
            <w:tcW w:w="2240" w:type="dxa"/>
            <w:vAlign w:val="bottom"/>
            <w:shd w:val="clear" w:color="auto" w:fill="E5E5E5"/>
          </w:tcPr>
          <w:p>
            <w:pPr>
              <w:jc w:val="right"/>
              <w:ind w:right="13"/>
              <w:spacing w:after="0" w:line="189" w:lineRule="exact"/>
              <w:rPr>
                <w:sz w:val="20"/>
                <w:szCs w:val="20"/>
                <w:color w:val="auto"/>
              </w:rPr>
            </w:pPr>
            <w:r>
              <w:rPr>
                <w:rFonts w:ascii="Arial" w:cs="Arial" w:eastAsia="Arial" w:hAnsi="Arial"/>
                <w:sz w:val="18"/>
                <w:szCs w:val="18"/>
                <w:color w:val="auto"/>
              </w:rPr>
              <w:t>June 11, 2020</w:t>
            </w:r>
          </w:p>
        </w:tc>
        <w:tc>
          <w:tcPr>
            <w:tcW w:w="120" w:type="dxa"/>
            <w:vAlign w:val="bottom"/>
            <w:shd w:val="clear" w:color="auto" w:fill="E5E5E5"/>
          </w:tcPr>
          <w:p>
            <w:pPr>
              <w:spacing w:after="0"/>
              <w:rPr>
                <w:sz w:val="16"/>
                <w:szCs w:val="16"/>
                <w:color w:val="auto"/>
              </w:rPr>
            </w:pPr>
          </w:p>
        </w:tc>
        <w:tc>
          <w:tcPr>
            <w:tcW w:w="580" w:type="dxa"/>
            <w:vAlign w:val="bottom"/>
            <w:shd w:val="clear" w:color="auto" w:fill="E5E5E5"/>
          </w:tcPr>
          <w:p>
            <w:pPr>
              <w:spacing w:after="0"/>
              <w:rPr>
                <w:sz w:val="16"/>
                <w:szCs w:val="16"/>
                <w:color w:val="auto"/>
              </w:rPr>
            </w:pPr>
          </w:p>
        </w:tc>
        <w:tc>
          <w:tcPr>
            <w:tcW w:w="13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0.51</w:t>
            </w:r>
          </w:p>
        </w:tc>
        <w:tc>
          <w:tcPr>
            <w:tcW w:w="460" w:type="dxa"/>
            <w:vAlign w:val="bottom"/>
            <w:shd w:val="clear" w:color="auto" w:fill="E5E5E5"/>
          </w:tcPr>
          <w:p>
            <w:pPr>
              <w:spacing w:after="0"/>
              <w:rPr>
                <w:sz w:val="16"/>
                <w:szCs w:val="16"/>
                <w:color w:val="auto"/>
              </w:rPr>
            </w:pPr>
          </w:p>
        </w:tc>
        <w:tc>
          <w:tcPr>
            <w:tcW w:w="11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3,865</w:t>
            </w: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June 17, 2020</w:t>
            </w:r>
          </w:p>
        </w:tc>
        <w:tc>
          <w:tcPr>
            <w:tcW w:w="2880" w:type="dxa"/>
            <w:vAlign w:val="bottom"/>
          </w:tcPr>
          <w:p>
            <w:pPr>
              <w:jc w:val="right"/>
              <w:ind w:right="413"/>
              <w:spacing w:after="0"/>
              <w:rPr>
                <w:sz w:val="20"/>
                <w:szCs w:val="20"/>
                <w:color w:val="auto"/>
              </w:rPr>
            </w:pPr>
            <w:r>
              <w:rPr>
                <w:rFonts w:ascii="Arial" w:cs="Arial" w:eastAsia="Arial" w:hAnsi="Arial"/>
                <w:sz w:val="18"/>
                <w:szCs w:val="18"/>
                <w:color w:val="auto"/>
              </w:rPr>
              <w:t>August 20, 2020</w:t>
            </w:r>
          </w:p>
        </w:tc>
        <w:tc>
          <w:tcPr>
            <w:tcW w:w="2240" w:type="dxa"/>
            <w:vAlign w:val="bottom"/>
          </w:tcPr>
          <w:p>
            <w:pPr>
              <w:jc w:val="right"/>
              <w:ind w:right="13"/>
              <w:spacing w:after="0"/>
              <w:rPr>
                <w:sz w:val="20"/>
                <w:szCs w:val="20"/>
                <w:color w:val="auto"/>
              </w:rPr>
            </w:pPr>
            <w:r>
              <w:rPr>
                <w:rFonts w:ascii="Arial" w:cs="Arial" w:eastAsia="Arial" w:hAnsi="Arial"/>
                <w:sz w:val="18"/>
                <w:szCs w:val="18"/>
                <w:color w:val="auto"/>
              </w:rPr>
              <w:t>September 10, 2020</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0.51</w:t>
            </w: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c>
          <w:tcPr>
            <w:tcW w:w="2880" w:type="dxa"/>
            <w:vAlign w:val="bottom"/>
            <w:tcBorders>
              <w:bottom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2880" w:type="dxa"/>
            <w:vAlign w:val="bottom"/>
          </w:tcPr>
          <w:p>
            <w:pPr>
              <w:spacing w:after="0"/>
              <w:rPr>
                <w:sz w:val="5"/>
                <w:szCs w:val="5"/>
                <w:color w:val="auto"/>
              </w:rPr>
            </w:pPr>
          </w:p>
        </w:tc>
        <w:tc>
          <w:tcPr>
            <w:tcW w:w="2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40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2880" w:type="dxa"/>
            <w:vAlign w:val="bottom"/>
            <w:shd w:val="clear" w:color="auto" w:fill="E5E5E5"/>
          </w:tcPr>
          <w:p>
            <w:pPr>
              <w:spacing w:after="0"/>
              <w:rPr>
                <w:sz w:val="16"/>
                <w:szCs w:val="16"/>
                <w:color w:val="auto"/>
              </w:rPr>
            </w:pPr>
          </w:p>
        </w:tc>
        <w:tc>
          <w:tcPr>
            <w:tcW w:w="2240" w:type="dxa"/>
            <w:vAlign w:val="bottom"/>
            <w:shd w:val="clear" w:color="auto" w:fill="E5E5E5"/>
          </w:tcPr>
          <w:p>
            <w:pPr>
              <w:spacing w:after="0"/>
              <w:rPr>
                <w:sz w:val="16"/>
                <w:szCs w:val="16"/>
                <w:color w:val="auto"/>
              </w:rPr>
            </w:pPr>
          </w:p>
        </w:tc>
        <w:tc>
          <w:tcPr>
            <w:tcW w:w="700" w:type="dxa"/>
            <w:vAlign w:val="bottom"/>
            <w:gridSpan w:val="2"/>
            <w:shd w:val="clear" w:color="auto" w:fill="E5E5E5"/>
          </w:tcPr>
          <w:p>
            <w:pPr>
              <w:jc w:val="right"/>
              <w:ind w:right="480"/>
              <w:spacing w:after="0" w:line="189"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2.04</w:t>
            </w:r>
          </w:p>
        </w:tc>
        <w:tc>
          <w:tcPr>
            <w:tcW w:w="460" w:type="dxa"/>
            <w:vAlign w:val="bottom"/>
            <w:shd w:val="clear" w:color="auto" w:fill="E5E5E5"/>
          </w:tcPr>
          <w:p>
            <w:pPr>
              <w:jc w:val="right"/>
              <w:ind w:right="270"/>
              <w:spacing w:after="0" w:line="189"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15,483</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288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dividend declared on June 16, 2021 was included in other current liabilities as of June 30, 2021.</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90" w:name="page91"/>
    <w:bookmarkEnd w:id="90"/>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375" w:lineRule="exact"/>
        <w:rPr>
          <w:sz w:val="20"/>
          <w:szCs w:val="20"/>
          <w:color w:val="auto"/>
        </w:rPr>
      </w:pPr>
    </w:p>
    <w:p>
      <w:pPr>
        <w:ind w:left="2580"/>
        <w:spacing w:after="0"/>
        <w:rPr>
          <w:sz w:val="20"/>
          <w:szCs w:val="20"/>
          <w:color w:val="auto"/>
        </w:rPr>
      </w:pPr>
      <w:r>
        <w:rPr>
          <w:rFonts w:ascii="Arial" w:cs="Arial" w:eastAsia="Arial" w:hAnsi="Arial"/>
          <w:sz w:val="18"/>
          <w:szCs w:val="18"/>
          <w:u w:val="single" w:color="auto"/>
          <w:color w:val="auto"/>
        </w:rPr>
        <w:t>NOTE 17 — ACCUMULATED OTHER COMPREHENSIVE INCOME (LOSS)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accumulated other comprehensive income (loss) by component:</w:t>
      </w:r>
    </w:p>
    <w:p>
      <w:pPr>
        <w:spacing w:after="0" w:line="2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06437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000" w:type="dxa"/>
            <w:vAlign w:val="bottom"/>
            <w:gridSpan w:val="2"/>
          </w:tcPr>
          <w:p>
            <w:pPr>
              <w:spacing w:after="0"/>
              <w:rPr>
                <w:sz w:val="20"/>
                <w:szCs w:val="20"/>
                <w:color w:val="auto"/>
              </w:rPr>
            </w:pPr>
            <w:r>
              <w:rPr>
                <w:rFonts w:ascii="Arial" w:cs="Arial" w:eastAsia="Arial" w:hAnsi="Arial"/>
                <w:sz w:val="13"/>
                <w:szCs w:val="13"/>
                <w:b w:val="1"/>
                <w:bCs w:val="1"/>
                <w:color w:val="auto"/>
              </w:rPr>
              <w:t>Year Ended June 30,</w:t>
            </w:r>
          </w:p>
        </w:tc>
        <w:tc>
          <w:tcPr>
            <w:tcW w:w="26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2020</w:t>
            </w:r>
          </w:p>
        </w:tc>
        <w:tc>
          <w:tcPr>
            <w:tcW w:w="24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215"/>
        </w:trPr>
        <w:tc>
          <w:tcPr>
            <w:tcW w:w="8000" w:type="dxa"/>
            <w:vAlign w:val="bottom"/>
            <w:gridSpan w:val="2"/>
          </w:tcPr>
          <w:p>
            <w:pPr>
              <w:spacing w:after="0"/>
              <w:rPr>
                <w:sz w:val="20"/>
                <w:szCs w:val="20"/>
                <w:color w:val="auto"/>
              </w:rPr>
            </w:pPr>
            <w:r>
              <w:rPr>
                <w:rFonts w:ascii="Arial" w:cs="Arial" w:eastAsia="Arial" w:hAnsi="Arial"/>
                <w:sz w:val="13"/>
                <w:szCs w:val="13"/>
                <w:b w:val="1"/>
                <w:bCs w:val="1"/>
                <w:color w:val="auto"/>
              </w:rPr>
              <w:t>Derivatives</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7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7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(38)</w:t>
            </w:r>
          </w:p>
        </w:tc>
        <w:tc>
          <w:tcPr>
            <w:tcW w:w="3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980" w:type="dxa"/>
            <w:vAlign w:val="bottom"/>
          </w:tcPr>
          <w:p>
            <w:pPr>
              <w:spacing w:after="0" w:line="189" w:lineRule="exact"/>
              <w:rPr>
                <w:sz w:val="20"/>
                <w:szCs w:val="20"/>
                <w:color w:val="auto"/>
              </w:rPr>
            </w:pPr>
            <w:r>
              <w:rPr>
                <w:rFonts w:ascii="Arial" w:cs="Arial" w:eastAsia="Arial" w:hAnsi="Arial"/>
                <w:sz w:val="18"/>
                <w:szCs w:val="18"/>
                <w:color w:val="auto"/>
              </w:rPr>
              <w:t xml:space="preserve">Unrealized gains (losses), net of tax of </w:t>
            </w:r>
            <w:r>
              <w:rPr>
                <w:rFonts w:ascii="Arial" w:cs="Arial" w:eastAsia="Arial" w:hAnsi="Arial"/>
                <w:sz w:val="18"/>
                <w:szCs w:val="18"/>
                <w:b w:val="1"/>
                <w:bCs w:val="1"/>
                <w:color w:val="auto"/>
              </w:rPr>
              <w:t>$9</w:t>
            </w:r>
            <w:r>
              <w:rPr>
                <w:rFonts w:ascii="Arial" w:cs="Arial" w:eastAsia="Arial" w:hAnsi="Arial"/>
                <w:sz w:val="18"/>
                <w:szCs w:val="18"/>
                <w:color w:val="auto"/>
              </w:rPr>
              <w:t>, $(10), and $2</w:t>
            </w:r>
          </w:p>
        </w:tc>
        <w:tc>
          <w:tcPr>
            <w:tcW w:w="260" w:type="dxa"/>
            <w:vAlign w:val="bottom"/>
          </w:tcPr>
          <w:p>
            <w:pPr>
              <w:spacing w:after="0"/>
              <w:rPr>
                <w:sz w:val="16"/>
                <w:szCs w:val="16"/>
                <w:color w:val="auto"/>
              </w:rPr>
            </w:pPr>
          </w:p>
        </w:tc>
        <w:tc>
          <w:tcPr>
            <w:tcW w:w="78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34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(38)</w:t>
            </w:r>
          </w:p>
        </w:tc>
        <w:tc>
          <w:tcPr>
            <w:tcW w:w="240" w:type="dxa"/>
            <w:vAlign w:val="bottom"/>
          </w:tcPr>
          <w:p>
            <w:pPr>
              <w:spacing w:after="0"/>
              <w:rPr>
                <w:sz w:val="16"/>
                <w:szCs w:val="16"/>
                <w:color w:val="auto"/>
              </w:rPr>
            </w:pPr>
          </w:p>
        </w:tc>
        <w:tc>
          <w:tcPr>
            <w:tcW w:w="7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Reclassification adjustments for gains included in earnings</w:t>
            </w:r>
          </w:p>
        </w:tc>
        <w:tc>
          <w:tcPr>
            <w:tcW w:w="26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(17)</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240" w:type="dxa"/>
            <w:vAlign w:val="bottom"/>
            <w:shd w:val="clear" w:color="auto" w:fill="E5E5E5"/>
          </w:tcPr>
          <w:p>
            <w:pPr>
              <w:spacing w:after="0"/>
              <w:rPr>
                <w:sz w:val="16"/>
                <w:szCs w:val="16"/>
                <w:color w:val="auto"/>
              </w:rPr>
            </w:pPr>
          </w:p>
        </w:tc>
        <w:tc>
          <w:tcPr>
            <w:tcW w:w="7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Tax expense included in provision for income taxes</w:t>
            </w:r>
          </w:p>
        </w:tc>
        <w:tc>
          <w:tcPr>
            <w:tcW w:w="260" w:type="dxa"/>
            <w:vAlign w:val="bottom"/>
          </w:tcPr>
          <w:p>
            <w:pPr>
              <w:spacing w:after="0"/>
              <w:rPr>
                <w:sz w:val="21"/>
                <w:szCs w:val="2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98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98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Amounts reclassified from accumulated other comprehensive income (loss)</w:t>
            </w:r>
          </w:p>
        </w:tc>
        <w:tc>
          <w:tcPr>
            <w:tcW w:w="26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240" w:type="dxa"/>
            <w:vAlign w:val="bottom"/>
            <w:shd w:val="clear" w:color="auto" w:fill="E5E5E5"/>
          </w:tcPr>
          <w:p>
            <w:pPr>
              <w:spacing w:after="0"/>
              <w:rPr>
                <w:sz w:val="16"/>
                <w:szCs w:val="16"/>
                <w:color w:val="auto"/>
              </w:rPr>
            </w:pPr>
          </w:p>
        </w:tc>
        <w:tc>
          <w:tcPr>
            <w:tcW w:w="7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9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8000" w:type="dxa"/>
            <w:vAlign w:val="bottom"/>
            <w:gridSpan w:val="2"/>
          </w:tcPr>
          <w:p>
            <w:pPr>
              <w:spacing w:after="0"/>
              <w:rPr>
                <w:sz w:val="20"/>
                <w:szCs w:val="20"/>
                <w:color w:val="auto"/>
              </w:rPr>
            </w:pPr>
            <w:r>
              <w:rPr>
                <w:rFonts w:ascii="Arial" w:cs="Arial" w:eastAsia="Arial" w:hAnsi="Arial"/>
                <w:sz w:val="18"/>
                <w:szCs w:val="18"/>
                <w:color w:val="auto"/>
              </w:rPr>
              <w:t xml:space="preserve">Net change related to derivatives, net of tax of </w:t>
            </w:r>
            <w:r>
              <w:rPr>
                <w:rFonts w:ascii="Arial" w:cs="Arial" w:eastAsia="Arial" w:hAnsi="Arial"/>
                <w:sz w:val="18"/>
                <w:szCs w:val="18"/>
                <w:b w:val="1"/>
                <w:bCs w:val="1"/>
                <w:color w:val="auto"/>
              </w:rPr>
              <w:t>$7</w:t>
            </w:r>
            <w:r>
              <w:rPr>
                <w:rFonts w:ascii="Arial" w:cs="Arial" w:eastAsia="Arial" w:hAnsi="Arial"/>
                <w:sz w:val="18"/>
                <w:szCs w:val="18"/>
                <w:color w:val="auto"/>
              </w:rPr>
              <w:t>, $(10), and $(6)</w:t>
            </w:r>
          </w:p>
        </w:tc>
        <w:tc>
          <w:tcPr>
            <w:tcW w:w="26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22"/>
                <w:szCs w:val="22"/>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9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79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7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end of period</w:t>
            </w: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(19)</w:t>
            </w:r>
          </w:p>
        </w:tc>
        <w:tc>
          <w:tcPr>
            <w:tcW w:w="3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(38)</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9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8000" w:type="dxa"/>
            <w:vAlign w:val="bottom"/>
            <w:gridSpan w:val="2"/>
          </w:tcPr>
          <w:p>
            <w:pPr>
              <w:spacing w:after="0"/>
              <w:rPr>
                <w:sz w:val="20"/>
                <w:szCs w:val="20"/>
                <w:color w:val="auto"/>
              </w:rPr>
            </w:pPr>
            <w:r>
              <w:rPr>
                <w:rFonts w:ascii="Arial" w:cs="Arial" w:eastAsia="Arial" w:hAnsi="Arial"/>
                <w:sz w:val="13"/>
                <w:szCs w:val="13"/>
                <w:b w:val="1"/>
                <w:bCs w:val="1"/>
                <w:color w:val="auto"/>
              </w:rPr>
              <w:t>Investments</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7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7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5,478</w:t>
            </w:r>
          </w:p>
        </w:tc>
        <w:tc>
          <w:tcPr>
            <w:tcW w:w="3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1,488</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980" w:type="dxa"/>
            <w:vAlign w:val="bottom"/>
          </w:tcPr>
          <w:p>
            <w:pPr>
              <w:spacing w:after="0" w:line="189" w:lineRule="exact"/>
              <w:rPr>
                <w:sz w:val="20"/>
                <w:szCs w:val="20"/>
                <w:color w:val="auto"/>
              </w:rPr>
            </w:pPr>
            <w:r>
              <w:rPr>
                <w:rFonts w:ascii="Arial" w:cs="Arial" w:eastAsia="Arial" w:hAnsi="Arial"/>
                <w:sz w:val="18"/>
                <w:szCs w:val="18"/>
                <w:color w:val="auto"/>
              </w:rPr>
              <w:t xml:space="preserve">Unrealized gains (losses), net of tax of </w:t>
            </w:r>
            <w:r>
              <w:rPr>
                <w:rFonts w:ascii="Arial" w:cs="Arial" w:eastAsia="Arial" w:hAnsi="Arial"/>
                <w:sz w:val="18"/>
                <w:szCs w:val="18"/>
                <w:b w:val="1"/>
                <w:bCs w:val="1"/>
                <w:color w:val="auto"/>
              </w:rPr>
              <w:t>$(589)</w:t>
            </w:r>
            <w:r>
              <w:rPr>
                <w:rFonts w:ascii="Arial" w:cs="Arial" w:eastAsia="Arial" w:hAnsi="Arial"/>
                <w:sz w:val="18"/>
                <w:szCs w:val="18"/>
                <w:color w:val="auto"/>
              </w:rPr>
              <w:t>, $1,057, and $616</w:t>
            </w:r>
          </w:p>
        </w:tc>
        <w:tc>
          <w:tcPr>
            <w:tcW w:w="260" w:type="dxa"/>
            <w:vAlign w:val="bottom"/>
          </w:tcPr>
          <w:p>
            <w:pPr>
              <w:spacing w:after="0"/>
              <w:rPr>
                <w:sz w:val="16"/>
                <w:szCs w:val="16"/>
                <w:color w:val="auto"/>
              </w:rPr>
            </w:pPr>
          </w:p>
        </w:tc>
        <w:tc>
          <w:tcPr>
            <w:tcW w:w="78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(2,216)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3,987</w:t>
            </w:r>
          </w:p>
        </w:tc>
        <w:tc>
          <w:tcPr>
            <w:tcW w:w="240" w:type="dxa"/>
            <w:vAlign w:val="bottom"/>
          </w:tcPr>
          <w:p>
            <w:pPr>
              <w:spacing w:after="0"/>
              <w:rPr>
                <w:sz w:val="16"/>
                <w:szCs w:val="16"/>
                <w:color w:val="auto"/>
              </w:rPr>
            </w:pPr>
          </w:p>
        </w:tc>
        <w:tc>
          <w:tcPr>
            <w:tcW w:w="7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2,331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Reclassification adjustments for (gains) losses included in other income (expense), net</w:t>
            </w:r>
          </w:p>
        </w:tc>
        <w:tc>
          <w:tcPr>
            <w:tcW w:w="26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(63)</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4</w:t>
            </w:r>
          </w:p>
        </w:tc>
        <w:tc>
          <w:tcPr>
            <w:tcW w:w="240" w:type="dxa"/>
            <w:vAlign w:val="bottom"/>
            <w:shd w:val="clear" w:color="auto" w:fill="E5E5E5"/>
          </w:tcPr>
          <w:p>
            <w:pPr>
              <w:spacing w:after="0"/>
              <w:rPr>
                <w:sz w:val="16"/>
                <w:szCs w:val="16"/>
                <w:color w:val="auto"/>
              </w:rPr>
            </w:pPr>
          </w:p>
        </w:tc>
        <w:tc>
          <w:tcPr>
            <w:tcW w:w="7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Tax expense (benefit) included in provision for income taxes</w:t>
            </w:r>
          </w:p>
        </w:tc>
        <w:tc>
          <w:tcPr>
            <w:tcW w:w="260" w:type="dxa"/>
            <w:vAlign w:val="bottom"/>
          </w:tcPr>
          <w:p>
            <w:pPr>
              <w:spacing w:after="0"/>
              <w:rPr>
                <w:sz w:val="21"/>
                <w:szCs w:val="2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98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98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Amounts reclassified from accumulated other comprehensive income (loss)</w:t>
            </w:r>
          </w:p>
        </w:tc>
        <w:tc>
          <w:tcPr>
            <w:tcW w:w="26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(50)</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3</w:t>
            </w:r>
          </w:p>
        </w:tc>
        <w:tc>
          <w:tcPr>
            <w:tcW w:w="240" w:type="dxa"/>
            <w:vAlign w:val="bottom"/>
            <w:shd w:val="clear" w:color="auto" w:fill="E5E5E5"/>
          </w:tcPr>
          <w:p>
            <w:pPr>
              <w:spacing w:after="0"/>
              <w:rPr>
                <w:sz w:val="16"/>
                <w:szCs w:val="16"/>
                <w:color w:val="auto"/>
              </w:rPr>
            </w:pPr>
          </w:p>
        </w:tc>
        <w:tc>
          <w:tcPr>
            <w:tcW w:w="7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9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8000" w:type="dxa"/>
            <w:vAlign w:val="bottom"/>
            <w:gridSpan w:val="2"/>
          </w:tcPr>
          <w:p>
            <w:pPr>
              <w:spacing w:after="0"/>
              <w:rPr>
                <w:sz w:val="20"/>
                <w:szCs w:val="20"/>
                <w:color w:val="auto"/>
              </w:rPr>
            </w:pPr>
            <w:r>
              <w:rPr>
                <w:rFonts w:ascii="Arial" w:cs="Arial" w:eastAsia="Arial" w:hAnsi="Arial"/>
                <w:sz w:val="18"/>
                <w:szCs w:val="18"/>
                <w:color w:val="auto"/>
              </w:rPr>
              <w:t xml:space="preserve">Net change related to investments, net of tax of </w:t>
            </w:r>
            <w:r>
              <w:rPr>
                <w:rFonts w:ascii="Arial" w:cs="Arial" w:eastAsia="Arial" w:hAnsi="Arial"/>
                <w:sz w:val="18"/>
                <w:szCs w:val="18"/>
                <w:b w:val="1"/>
                <w:bCs w:val="1"/>
                <w:color w:val="auto"/>
              </w:rPr>
              <w:t>$(602)</w:t>
            </w:r>
            <w:r>
              <w:rPr>
                <w:rFonts w:ascii="Arial" w:cs="Arial" w:eastAsia="Arial" w:hAnsi="Arial"/>
                <w:sz w:val="18"/>
                <w:szCs w:val="18"/>
                <w:color w:val="auto"/>
              </w:rPr>
              <w:t>, $1,058, and $635</w:t>
            </w:r>
          </w:p>
        </w:tc>
        <w:tc>
          <w:tcPr>
            <w:tcW w:w="26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(2,266)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3,990</w:t>
            </w:r>
          </w:p>
        </w:tc>
        <w:tc>
          <w:tcPr>
            <w:tcW w:w="24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Cumulative effect of accounting changes</w:t>
            </w:r>
          </w:p>
        </w:tc>
        <w:tc>
          <w:tcPr>
            <w:tcW w:w="26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240" w:type="dxa"/>
            <w:vAlign w:val="bottom"/>
            <w:shd w:val="clear" w:color="auto" w:fill="E5E5E5"/>
          </w:tcPr>
          <w:p>
            <w:pPr>
              <w:spacing w:after="0"/>
              <w:rPr>
                <w:sz w:val="16"/>
                <w:szCs w:val="16"/>
                <w:color w:val="auto"/>
              </w:rPr>
            </w:pPr>
          </w:p>
        </w:tc>
        <w:tc>
          <w:tcPr>
            <w:tcW w:w="7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9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8000" w:type="dxa"/>
            <w:vAlign w:val="bottom"/>
            <w:gridSpan w:val="2"/>
          </w:tcPr>
          <w:p>
            <w:pPr>
              <w:spacing w:after="0"/>
              <w:rPr>
                <w:sz w:val="20"/>
                <w:szCs w:val="20"/>
                <w:color w:val="auto"/>
              </w:rPr>
            </w:pPr>
            <w:r>
              <w:rPr>
                <w:rFonts w:ascii="Arial" w:cs="Arial" w:eastAsia="Arial" w:hAnsi="Arial"/>
                <w:sz w:val="18"/>
                <w:szCs w:val="18"/>
                <w:color w:val="auto"/>
              </w:rPr>
              <w:t>Balance, end of period</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3,222</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5,478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9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8000" w:type="dxa"/>
            <w:vAlign w:val="bottom"/>
            <w:gridSpan w:val="2"/>
          </w:tcPr>
          <w:p>
            <w:pPr>
              <w:spacing w:after="0"/>
              <w:rPr>
                <w:sz w:val="20"/>
                <w:szCs w:val="20"/>
                <w:color w:val="auto"/>
              </w:rPr>
            </w:pPr>
            <w:r>
              <w:rPr>
                <w:rFonts w:ascii="Arial" w:cs="Arial" w:eastAsia="Arial" w:hAnsi="Arial"/>
                <w:sz w:val="13"/>
                <w:szCs w:val="13"/>
                <w:b w:val="1"/>
                <w:bCs w:val="1"/>
                <w:color w:val="auto"/>
              </w:rPr>
              <w:t>Translation Adjustments and Other</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7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7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(2,254)</w:t>
            </w:r>
          </w:p>
        </w:tc>
        <w:tc>
          <w:tcPr>
            <w:tcW w:w="3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(1,828)</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 xml:space="preserve">Translation adjustments and other, net of tax effects of </w:t>
            </w:r>
            <w:r>
              <w:rPr>
                <w:rFonts w:ascii="Arial" w:cs="Arial" w:eastAsia="Arial" w:hAnsi="Arial"/>
                <w:sz w:val="18"/>
                <w:szCs w:val="18"/>
                <w:b w:val="1"/>
                <w:bCs w:val="1"/>
                <w:color w:val="auto"/>
              </w:rPr>
              <w:t>$(9)</w:t>
            </w:r>
            <w:r>
              <w:rPr>
                <w:rFonts w:ascii="Arial" w:cs="Arial" w:eastAsia="Arial" w:hAnsi="Arial"/>
                <w:sz w:val="18"/>
                <w:szCs w:val="18"/>
                <w:color w:val="auto"/>
              </w:rPr>
              <w:t>, $1, and $(1)</w:t>
            </w:r>
          </w:p>
        </w:tc>
        <w:tc>
          <w:tcPr>
            <w:tcW w:w="260" w:type="dxa"/>
            <w:vAlign w:val="bottom"/>
          </w:tcPr>
          <w:p>
            <w:pPr>
              <w:spacing w:after="0"/>
              <w:rPr>
                <w:sz w:val="21"/>
                <w:szCs w:val="2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(426</w:t>
            </w: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798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7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end of period</w:t>
            </w: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(1,381)</w:t>
            </w:r>
          </w:p>
        </w:tc>
        <w:tc>
          <w:tcPr>
            <w:tcW w:w="3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(2,254)</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(1,828)</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9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8000" w:type="dxa"/>
            <w:vAlign w:val="bottom"/>
            <w:gridSpan w:val="2"/>
          </w:tcPr>
          <w:p>
            <w:pPr>
              <w:spacing w:after="0"/>
              <w:rPr>
                <w:sz w:val="20"/>
                <w:szCs w:val="20"/>
                <w:color w:val="auto"/>
              </w:rPr>
            </w:pPr>
            <w:r>
              <w:rPr>
                <w:rFonts w:ascii="Arial" w:cs="Arial" w:eastAsia="Arial" w:hAnsi="Arial"/>
                <w:sz w:val="18"/>
                <w:szCs w:val="18"/>
                <w:color w:val="auto"/>
              </w:rPr>
              <w:t>Accumulated other comprehensive income (loss), end of period</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1,822</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3,186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9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18 — EMPLOYEE STOCK AND SAVINGS PLANS</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grant stock-based compensation to employees and directors. As of June 30, 2021, an aggregate of 251 million shares were authorized for future grant under our stock plans. Awards that expire or are canceled without delivery of shares generally become available for issuance under the plans. We issue new shares of Microsoft common stock to satisfy vesting of awards granted under our stock plans. We also have an ESPP for all eligible employees.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and related income tax benefits were as follows: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06437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280" w:type="dxa"/>
            <w:vAlign w:val="bottom"/>
            <w:gridSpan w:val="2"/>
          </w:tcPr>
          <w:p>
            <w:pPr>
              <w:spacing w:after="0"/>
              <w:rPr>
                <w:sz w:val="20"/>
                <w:szCs w:val="20"/>
                <w:color w:val="auto"/>
              </w:rPr>
            </w:pPr>
            <w:r>
              <w:rPr>
                <w:rFonts w:ascii="Arial" w:cs="Arial" w:eastAsia="Arial" w:hAnsi="Arial"/>
                <w:sz w:val="13"/>
                <w:szCs w:val="13"/>
                <w:b w:val="1"/>
                <w:bCs w:val="1"/>
                <w:color w:val="auto"/>
              </w:rPr>
              <w:t>Year Ended June 30,</w:t>
            </w:r>
          </w:p>
        </w:tc>
        <w:tc>
          <w:tcPr>
            <w:tcW w:w="2000" w:type="dxa"/>
            <w:vAlign w:val="bottom"/>
          </w:tcPr>
          <w:p>
            <w:pPr>
              <w:spacing w:after="0"/>
              <w:rPr>
                <w:sz w:val="15"/>
                <w:szCs w:val="15"/>
                <w:color w:val="auto"/>
              </w:rPr>
            </w:pPr>
          </w:p>
        </w:tc>
        <w:tc>
          <w:tcPr>
            <w:tcW w:w="740" w:type="dxa"/>
            <w:vAlign w:val="bottom"/>
          </w:tcPr>
          <w:p>
            <w:pPr>
              <w:jc w:val="right"/>
              <w:ind w:right="18"/>
              <w:spacing w:after="0"/>
              <w:rPr>
                <w:sz w:val="20"/>
                <w:szCs w:val="20"/>
                <w:color w:val="auto"/>
              </w:rPr>
            </w:pPr>
            <w:r>
              <w:rPr>
                <w:rFonts w:ascii="Arial" w:cs="Arial" w:eastAsia="Arial" w:hAnsi="Arial"/>
                <w:sz w:val="13"/>
                <w:szCs w:val="13"/>
                <w:b w:val="1"/>
                <w:bCs w:val="1"/>
                <w:color w:val="auto"/>
              </w:rPr>
              <w:t>2021</w:t>
            </w:r>
          </w:p>
        </w:tc>
        <w:tc>
          <w:tcPr>
            <w:tcW w:w="380" w:type="dxa"/>
            <w:vAlign w:val="bottom"/>
          </w:tcPr>
          <w:p>
            <w:pPr>
              <w:spacing w:after="0"/>
              <w:rPr>
                <w:sz w:val="15"/>
                <w:szCs w:val="15"/>
                <w:color w:val="auto"/>
              </w:rPr>
            </w:pPr>
          </w:p>
        </w:tc>
        <w:tc>
          <w:tcPr>
            <w:tcW w:w="740" w:type="dxa"/>
            <w:vAlign w:val="bottom"/>
          </w:tcPr>
          <w:p>
            <w:pPr>
              <w:jc w:val="right"/>
              <w:ind w:right="38"/>
              <w:spacing w:after="0"/>
              <w:rPr>
                <w:sz w:val="20"/>
                <w:szCs w:val="20"/>
                <w:color w:val="auto"/>
              </w:rPr>
            </w:pPr>
            <w:r>
              <w:rPr>
                <w:rFonts w:ascii="Arial" w:cs="Arial" w:eastAsia="Arial" w:hAnsi="Arial"/>
                <w:sz w:val="13"/>
                <w:szCs w:val="13"/>
                <w:b w:val="1"/>
                <w:bCs w:val="1"/>
                <w:color w:val="auto"/>
              </w:rPr>
              <w:t>2020</w:t>
            </w:r>
          </w:p>
        </w:tc>
        <w:tc>
          <w:tcPr>
            <w:tcW w:w="3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6260" w:type="dxa"/>
            <w:vAlign w:val="bottom"/>
          </w:tcPr>
          <w:p>
            <w:pPr>
              <w:spacing w:after="0"/>
              <w:rPr>
                <w:sz w:val="4"/>
                <w:szCs w:val="4"/>
                <w:color w:val="auto"/>
              </w:rPr>
            </w:pPr>
          </w:p>
        </w:tc>
        <w:tc>
          <w:tcPr>
            <w:tcW w:w="2000" w:type="dxa"/>
            <w:vAlign w:val="bottom"/>
          </w:tcPr>
          <w:p>
            <w:pPr>
              <w:spacing w:after="0"/>
              <w:rPr>
                <w:sz w:val="4"/>
                <w:szCs w:val="4"/>
                <w:color w:val="auto"/>
              </w:rPr>
            </w:pPr>
          </w:p>
        </w:tc>
        <w:tc>
          <w:tcPr>
            <w:tcW w:w="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60" w:type="dxa"/>
            <w:vAlign w:val="bottom"/>
            <w:shd w:val="clear" w:color="auto" w:fill="E5E5E5"/>
          </w:tcPr>
          <w:p>
            <w:pPr>
              <w:spacing w:after="0" w:line="201" w:lineRule="exact"/>
              <w:rPr>
                <w:sz w:val="20"/>
                <w:szCs w:val="20"/>
                <w:color w:val="auto"/>
              </w:rPr>
            </w:pPr>
            <w:r>
              <w:rPr>
                <w:rFonts w:ascii="Arial" w:cs="Arial" w:eastAsia="Arial" w:hAnsi="Arial"/>
                <w:sz w:val="18"/>
                <w:szCs w:val="18"/>
                <w:color w:val="auto"/>
              </w:rPr>
              <w:t>Stock-based compensation expense</w:t>
            </w:r>
          </w:p>
        </w:tc>
        <w:tc>
          <w:tcPr>
            <w:tcW w:w="2000" w:type="dxa"/>
            <w:vAlign w:val="bottom"/>
            <w:shd w:val="clear" w:color="auto" w:fill="E5E5E5"/>
          </w:tcPr>
          <w:p>
            <w:pPr>
              <w:jc w:val="right"/>
              <w:ind w:right="90"/>
              <w:spacing w:after="0" w:line="201" w:lineRule="exact"/>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E5E5E5"/>
          </w:tcPr>
          <w:p>
            <w:pPr>
              <w:jc w:val="right"/>
              <w:ind w:right="18"/>
              <w:spacing w:after="0" w:line="201" w:lineRule="exact"/>
              <w:rPr>
                <w:sz w:val="20"/>
                <w:szCs w:val="20"/>
                <w:color w:val="auto"/>
              </w:rPr>
            </w:pPr>
            <w:r>
              <w:rPr>
                <w:rFonts w:ascii="Arial" w:cs="Arial" w:eastAsia="Arial" w:hAnsi="Arial"/>
                <w:sz w:val="18"/>
                <w:szCs w:val="18"/>
                <w:b w:val="1"/>
                <w:bCs w:val="1"/>
                <w:color w:val="auto"/>
              </w:rPr>
              <w:t>6,118</w:t>
            </w:r>
          </w:p>
        </w:tc>
        <w:tc>
          <w:tcPr>
            <w:tcW w:w="380" w:type="dxa"/>
            <w:vAlign w:val="bottom"/>
            <w:shd w:val="clear" w:color="auto" w:fill="E5E5E5"/>
          </w:tcPr>
          <w:p>
            <w:pPr>
              <w:jc w:val="right"/>
              <w:ind w:right="90"/>
              <w:spacing w:after="0" w:line="201" w:lineRule="exact"/>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38"/>
              <w:spacing w:after="0" w:line="201" w:lineRule="exact"/>
              <w:rPr>
                <w:sz w:val="20"/>
                <w:szCs w:val="20"/>
                <w:color w:val="auto"/>
              </w:rPr>
            </w:pPr>
            <w:r>
              <w:rPr>
                <w:rFonts w:ascii="Arial" w:cs="Arial" w:eastAsia="Arial" w:hAnsi="Arial"/>
                <w:sz w:val="18"/>
                <w:szCs w:val="18"/>
                <w:color w:val="auto"/>
              </w:rPr>
              <w:t>5,289</w:t>
            </w:r>
          </w:p>
        </w:tc>
        <w:tc>
          <w:tcPr>
            <w:tcW w:w="380" w:type="dxa"/>
            <w:vAlign w:val="bottom"/>
            <w:shd w:val="clear" w:color="auto" w:fill="E5E5E5"/>
          </w:tcPr>
          <w:p>
            <w:pPr>
              <w:jc w:val="right"/>
              <w:ind w:right="90"/>
              <w:spacing w:after="0" w:line="201" w:lineRule="exact"/>
              <w:rPr>
                <w:sz w:val="20"/>
                <w:szCs w:val="20"/>
                <w:color w:val="auto"/>
              </w:rPr>
            </w:pPr>
            <w:r>
              <w:rPr>
                <w:rFonts w:ascii="Arial" w:cs="Arial" w:eastAsia="Arial" w:hAnsi="Arial"/>
                <w:sz w:val="18"/>
                <w:szCs w:val="18"/>
                <w:color w:val="auto"/>
              </w:rPr>
              <w:t>$</w:t>
            </w:r>
          </w:p>
        </w:tc>
        <w:tc>
          <w:tcPr>
            <w:tcW w:w="620" w:type="dxa"/>
            <w:vAlign w:val="bottom"/>
            <w:shd w:val="clear" w:color="auto" w:fill="E5E5E5"/>
          </w:tcPr>
          <w:p>
            <w:pPr>
              <w:jc w:val="right"/>
              <w:spacing w:after="0" w:line="201" w:lineRule="exact"/>
              <w:rPr>
                <w:sz w:val="20"/>
                <w:szCs w:val="20"/>
                <w:color w:val="auto"/>
              </w:rPr>
            </w:pPr>
            <w:r>
              <w:rPr>
                <w:rFonts w:ascii="Arial" w:cs="Arial" w:eastAsia="Arial" w:hAnsi="Arial"/>
                <w:sz w:val="18"/>
                <w:szCs w:val="18"/>
                <w:color w:val="auto"/>
              </w:rPr>
              <w:t>4,652</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Income tax benefits related to stock-based compensation</w:t>
            </w:r>
          </w:p>
        </w:tc>
        <w:tc>
          <w:tcPr>
            <w:tcW w:w="2000" w:type="dxa"/>
            <w:vAlign w:val="bottom"/>
          </w:tcPr>
          <w:p>
            <w:pPr>
              <w:spacing w:after="0"/>
              <w:rPr>
                <w:sz w:val="21"/>
                <w:szCs w:val="21"/>
                <w:color w:val="auto"/>
              </w:rPr>
            </w:pPr>
          </w:p>
        </w:tc>
        <w:tc>
          <w:tcPr>
            <w:tcW w:w="740" w:type="dxa"/>
            <w:vAlign w:val="bottom"/>
          </w:tcPr>
          <w:p>
            <w:pPr>
              <w:jc w:val="right"/>
              <w:ind w:right="18"/>
              <w:spacing w:after="0"/>
              <w:rPr>
                <w:sz w:val="20"/>
                <w:szCs w:val="20"/>
                <w:color w:val="auto"/>
              </w:rPr>
            </w:pPr>
            <w:r>
              <w:rPr>
                <w:rFonts w:ascii="Arial" w:cs="Arial" w:eastAsia="Arial" w:hAnsi="Arial"/>
                <w:sz w:val="18"/>
                <w:szCs w:val="18"/>
                <w:b w:val="1"/>
                <w:bCs w:val="1"/>
                <w:color w:val="auto"/>
              </w:rPr>
              <w:t>1,065</w:t>
            </w:r>
          </w:p>
        </w:tc>
        <w:tc>
          <w:tcPr>
            <w:tcW w:w="380" w:type="dxa"/>
            <w:vAlign w:val="bottom"/>
          </w:tcPr>
          <w:p>
            <w:pPr>
              <w:spacing w:after="0"/>
              <w:rPr>
                <w:sz w:val="21"/>
                <w:szCs w:val="21"/>
                <w:color w:val="auto"/>
              </w:rPr>
            </w:pPr>
          </w:p>
        </w:tc>
        <w:tc>
          <w:tcPr>
            <w:tcW w:w="740" w:type="dxa"/>
            <w:vAlign w:val="bottom"/>
          </w:tcPr>
          <w:p>
            <w:pPr>
              <w:jc w:val="right"/>
              <w:ind w:right="38"/>
              <w:spacing w:after="0"/>
              <w:rPr>
                <w:sz w:val="20"/>
                <w:szCs w:val="20"/>
                <w:color w:val="auto"/>
              </w:rPr>
            </w:pPr>
            <w:r>
              <w:rPr>
                <w:rFonts w:ascii="Arial" w:cs="Arial" w:eastAsia="Arial" w:hAnsi="Arial"/>
                <w:sz w:val="18"/>
                <w:szCs w:val="18"/>
                <w:color w:val="auto"/>
              </w:rPr>
              <w:t>938</w:t>
            </w:r>
          </w:p>
        </w:tc>
        <w:tc>
          <w:tcPr>
            <w:tcW w:w="3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20" w:type="dxa"/>
            <w:vAlign w:val="bottom"/>
            <w:tcBorders>
              <w:bottom w:val="single" w:sz="8" w:color="auto"/>
            </w:tcBorders>
          </w:tcPr>
          <w:p>
            <w:pPr>
              <w:spacing w:after="0"/>
              <w:rPr>
                <w:sz w:val="4"/>
                <w:szCs w:val="4"/>
                <w:color w:val="auto"/>
              </w:rPr>
            </w:pPr>
          </w:p>
        </w:tc>
        <w:tc>
          <w:tcPr>
            <w:tcW w:w="626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Plans</w:t>
      </w:r>
    </w:p>
    <w:p>
      <w:pPr>
        <w:spacing w:after="0" w:line="17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Stock awards entitle the holder to receive shares of Microsoft common stock as the award vests. Stock awards generally vest over a service period of four years or five years.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91" w:name="page92"/>
    <w:bookmarkEnd w:id="91"/>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Incentive Plan</w:t>
      </w:r>
    </w:p>
    <w:p>
      <w:pPr>
        <w:spacing w:after="0" w:line="17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Under the Executive Incentive Plan, the Compensation Committee approves stock awards to executive officers and certain senior executives. RSUs generally vest ratably over a service period of four years. PSUs generally vest over a performance period of three years. The number of shares the PSU holder receives is based on the extent to which the corresponding performance goals have been achieved.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Activity for All Stock Plans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stock awards was estimated on the date of grant using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09866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098665" cy="8255"/>
                    </a:xfrm>
                    <a:prstGeom prst="rect">
                      <a:avLst/>
                    </a:prstGeom>
                    <a:noFill/>
                  </pic:spPr>
                </pic:pic>
              </a:graphicData>
            </a:graphic>
          </wp:anchor>
        </w:drawing>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54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4140" w:type="dxa"/>
            <w:vAlign w:val="bottom"/>
          </w:tcPr>
          <w:p>
            <w:pPr>
              <w:jc w:val="right"/>
              <w:ind w:right="533"/>
              <w:spacing w:after="0"/>
              <w:rPr>
                <w:sz w:val="20"/>
                <w:szCs w:val="20"/>
                <w:color w:val="auto"/>
              </w:rPr>
            </w:pPr>
            <w:r>
              <w:rPr>
                <w:rFonts w:ascii="Arial" w:cs="Arial" w:eastAsia="Arial" w:hAnsi="Arial"/>
                <w:sz w:val="13"/>
                <w:szCs w:val="13"/>
                <w:b w:val="1"/>
                <w:bCs w:val="1"/>
                <w:color w:val="auto"/>
              </w:rPr>
              <w:t>2021</w:t>
            </w:r>
          </w:p>
        </w:tc>
        <w:tc>
          <w:tcPr>
            <w:tcW w:w="1440" w:type="dxa"/>
            <w:vAlign w:val="bottom"/>
          </w:tcPr>
          <w:p>
            <w:pPr>
              <w:jc w:val="right"/>
              <w:ind w:right="493"/>
              <w:spacing w:after="0"/>
              <w:rPr>
                <w:sz w:val="20"/>
                <w:szCs w:val="20"/>
                <w:color w:val="auto"/>
              </w:rPr>
            </w:pPr>
            <w:r>
              <w:rPr>
                <w:rFonts w:ascii="Arial" w:cs="Arial" w:eastAsia="Arial" w:hAnsi="Arial"/>
                <w:sz w:val="13"/>
                <w:szCs w:val="13"/>
                <w:b w:val="1"/>
                <w:bCs w:val="1"/>
                <w:color w:val="auto"/>
              </w:rPr>
              <w:t>2020</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r>
    </w:tbl>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500" w:type="dxa"/>
            <w:vAlign w:val="bottom"/>
            <w:shd w:val="clear" w:color="auto" w:fill="E5E5E5"/>
          </w:tcPr>
          <w:p>
            <w:pPr>
              <w:spacing w:after="0"/>
              <w:rPr>
                <w:sz w:val="20"/>
                <w:szCs w:val="20"/>
                <w:color w:val="auto"/>
              </w:rPr>
            </w:pPr>
            <w:r>
              <w:rPr>
                <w:rFonts w:ascii="Arial" w:cs="Arial" w:eastAsia="Arial" w:hAnsi="Arial"/>
                <w:sz w:val="18"/>
                <w:szCs w:val="18"/>
                <w:color w:val="auto"/>
              </w:rPr>
              <w:t>Dividends per share (quarterly amounts)</w:t>
            </w: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shd w:val="clear" w:color="auto" w:fill="E5E5E5"/>
          </w:tcPr>
          <w:p>
            <w:pPr>
              <w:ind w:left="180"/>
              <w:spacing w:after="0"/>
              <w:rPr>
                <w:sz w:val="20"/>
                <w:szCs w:val="20"/>
                <w:color w:val="auto"/>
              </w:rPr>
            </w:pPr>
            <w:r>
              <w:rPr>
                <w:rFonts w:ascii="Arial" w:cs="Arial" w:eastAsia="Arial" w:hAnsi="Arial"/>
                <w:sz w:val="18"/>
                <w:szCs w:val="18"/>
                <w:b w:val="1"/>
                <w:bCs w:val="1"/>
                <w:color w:val="auto"/>
              </w:rPr>
              <w:t>0.51 – 0.56</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5E5E5"/>
          </w:tcPr>
          <w:p>
            <w:pPr>
              <w:jc w:val="center"/>
              <w:ind w:right="120"/>
              <w:spacing w:after="0"/>
              <w:rPr>
                <w:sz w:val="20"/>
                <w:szCs w:val="20"/>
                <w:color w:val="auto"/>
              </w:rPr>
            </w:pPr>
            <w:r>
              <w:rPr>
                <w:rFonts w:ascii="Arial" w:cs="Arial" w:eastAsia="Arial" w:hAnsi="Arial"/>
                <w:sz w:val="18"/>
                <w:szCs w:val="18"/>
                <w:color w:val="auto"/>
              </w:rPr>
              <w:t>0.46–0.51</w:t>
            </w:r>
          </w:p>
        </w:tc>
        <w:tc>
          <w:tcPr>
            <w:tcW w:w="2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E5E5E5"/>
          </w:tcPr>
          <w:p>
            <w:pPr>
              <w:jc w:val="center"/>
              <w:ind w:right="60"/>
              <w:spacing w:after="0"/>
              <w:rPr>
                <w:sz w:val="20"/>
                <w:szCs w:val="20"/>
                <w:color w:val="auto"/>
              </w:rPr>
            </w:pPr>
            <w:r>
              <w:rPr>
                <w:rFonts w:ascii="Arial" w:cs="Arial" w:eastAsia="Arial" w:hAnsi="Arial"/>
                <w:sz w:val="18"/>
                <w:szCs w:val="18"/>
                <w:color w:val="auto"/>
                <w:w w:val="99"/>
              </w:rPr>
              <w:t>0.42–0.46</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Interest rates</w:t>
            </w:r>
          </w:p>
        </w:tc>
        <w:tc>
          <w:tcPr>
            <w:tcW w:w="580" w:type="dxa"/>
            <w:vAlign w:val="bottom"/>
          </w:tcPr>
          <w:p>
            <w:pPr>
              <w:spacing w:after="0"/>
              <w:rPr>
                <w:sz w:val="21"/>
                <w:szCs w:val="21"/>
                <w:color w:val="auto"/>
              </w:rPr>
            </w:pPr>
          </w:p>
        </w:tc>
        <w:tc>
          <w:tcPr>
            <w:tcW w:w="1400" w:type="dxa"/>
            <w:vAlign w:val="bottom"/>
          </w:tcPr>
          <w:p>
            <w:pPr>
              <w:ind w:left="20"/>
              <w:spacing w:after="0"/>
              <w:rPr>
                <w:sz w:val="20"/>
                <w:szCs w:val="20"/>
                <w:color w:val="auto"/>
              </w:rPr>
            </w:pPr>
            <w:r>
              <w:rPr>
                <w:rFonts w:ascii="Arial" w:cs="Arial" w:eastAsia="Arial" w:hAnsi="Arial"/>
                <w:sz w:val="18"/>
                <w:szCs w:val="18"/>
                <w:b w:val="1"/>
                <w:bCs w:val="1"/>
                <w:color w:val="auto"/>
              </w:rPr>
              <w:t>0.01% – 1.5%</w:t>
            </w:r>
          </w:p>
        </w:tc>
        <w:tc>
          <w:tcPr>
            <w:tcW w:w="180" w:type="dxa"/>
            <w:vAlign w:val="bottom"/>
          </w:tcPr>
          <w:p>
            <w:pPr>
              <w:spacing w:after="0"/>
              <w:rPr>
                <w:sz w:val="21"/>
                <w:szCs w:val="21"/>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rPr>
              <w:t>0.1%–2.2%</w:t>
            </w:r>
          </w:p>
        </w:tc>
        <w:tc>
          <w:tcPr>
            <w:tcW w:w="240" w:type="dxa"/>
            <w:vAlign w:val="bottom"/>
          </w:tcPr>
          <w:p>
            <w:pPr>
              <w:spacing w:after="0"/>
              <w:rPr>
                <w:sz w:val="21"/>
                <w:szCs w:val="21"/>
                <w:color w:val="auto"/>
              </w:rPr>
            </w:pPr>
          </w:p>
        </w:tc>
        <w:tc>
          <w:tcPr>
            <w:tcW w:w="1140" w:type="dxa"/>
            <w:vAlign w:val="bottom"/>
            <w:gridSpan w:val="3"/>
          </w:tcPr>
          <w:p>
            <w:pPr>
              <w:jc w:val="center"/>
              <w:ind w:right="60"/>
              <w:spacing w:after="0"/>
              <w:rPr>
                <w:sz w:val="20"/>
                <w:szCs w:val="20"/>
                <w:color w:val="auto"/>
              </w:rPr>
            </w:pPr>
            <w:r>
              <w:rPr>
                <w:rFonts w:ascii="Arial" w:cs="Arial" w:eastAsia="Arial" w:hAnsi="Arial"/>
                <w:sz w:val="18"/>
                <w:szCs w:val="18"/>
                <w:color w:val="auto"/>
                <w:w w:val="99"/>
              </w:rPr>
              <w:t>1.8%–3.1%</w:t>
            </w:r>
          </w:p>
        </w:tc>
        <w:tc>
          <w:tcPr>
            <w:tcW w:w="0" w:type="dxa"/>
            <w:vAlign w:val="bottom"/>
          </w:tcPr>
          <w:p>
            <w:pPr>
              <w:spacing w:after="0"/>
              <w:rPr>
                <w:sz w:val="1"/>
                <w:szCs w:val="1"/>
                <w:color w:val="auto"/>
              </w:rPr>
            </w:pPr>
          </w:p>
        </w:tc>
      </w:tr>
      <w:tr>
        <w:trPr>
          <w:trHeight w:val="484"/>
        </w:trPr>
        <w:tc>
          <w:tcPr>
            <w:tcW w:w="65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During fiscal year 2021, the following activity occurred under our stock plans:</w:t>
            </w:r>
          </w:p>
        </w:tc>
        <w:tc>
          <w:tcPr>
            <w:tcW w:w="5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3"/>
          </w:tcPr>
          <w:p>
            <w:pPr>
              <w:jc w:val="right"/>
              <w:ind w:right="220"/>
              <w:spacing w:after="0" w:line="148" w:lineRule="exact"/>
              <w:rPr>
                <w:sz w:val="20"/>
                <w:szCs w:val="20"/>
                <w:color w:val="auto"/>
              </w:rPr>
            </w:pPr>
            <w:r>
              <w:rPr>
                <w:rFonts w:ascii="Arial" w:cs="Arial" w:eastAsia="Arial" w:hAnsi="Arial"/>
                <w:sz w:val="13"/>
                <w:szCs w:val="13"/>
                <w:b w:val="1"/>
                <w:bCs w:val="1"/>
                <w:color w:val="auto"/>
              </w:rPr>
              <w:t>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3"/>
          </w:tcPr>
          <w:p>
            <w:pPr>
              <w:jc w:val="right"/>
              <w:ind w:right="220"/>
              <w:spacing w:after="0" w:line="148" w:lineRule="exact"/>
              <w:rPr>
                <w:sz w:val="20"/>
                <w:szCs w:val="20"/>
                <w:color w:val="auto"/>
              </w:rPr>
            </w:pPr>
            <w:r>
              <w:rPr>
                <w:rFonts w:ascii="Arial" w:cs="Arial" w:eastAsia="Arial" w:hAnsi="Arial"/>
                <w:sz w:val="13"/>
                <w:szCs w:val="13"/>
                <w:b w:val="1"/>
                <w:bCs w:val="1"/>
                <w:color w:val="auto"/>
              </w:rPr>
              <w:t>Grant-Date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5"/>
                <w:szCs w:val="15"/>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65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gridSpan w:val="2"/>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(In millions)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520" w:type="dxa"/>
            <w:vAlign w:val="bottom"/>
            <w:gridSpan w:val="2"/>
          </w:tcPr>
          <w:p>
            <w:pPr>
              <w:spacing w:after="0"/>
              <w:rPr>
                <w:sz w:val="20"/>
                <w:szCs w:val="20"/>
                <w:color w:val="auto"/>
              </w:rPr>
            </w:pPr>
            <w:r>
              <w:rPr>
                <w:rFonts w:ascii="Arial" w:cs="Arial" w:eastAsia="Arial" w:hAnsi="Arial"/>
                <w:sz w:val="13"/>
                <w:szCs w:val="13"/>
                <w:b w:val="1"/>
                <w:bCs w:val="1"/>
                <w:color w:val="auto"/>
              </w:rPr>
              <w:t>Stock Awards</w:t>
            </w:r>
          </w:p>
        </w:tc>
        <w:tc>
          <w:tcPr>
            <w:tcW w:w="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6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500" w:type="dxa"/>
            <w:vAlign w:val="bottom"/>
            <w:shd w:val="clear" w:color="auto" w:fill="E5E5E5"/>
          </w:tcPr>
          <w:p>
            <w:pPr>
              <w:spacing w:after="0" w:line="201" w:lineRule="exact"/>
              <w:rPr>
                <w:sz w:val="20"/>
                <w:szCs w:val="20"/>
                <w:color w:val="auto"/>
              </w:rPr>
            </w:pPr>
            <w:r>
              <w:rPr>
                <w:rFonts w:ascii="Arial" w:cs="Arial" w:eastAsia="Arial" w:hAnsi="Arial"/>
                <w:sz w:val="18"/>
                <w:szCs w:val="18"/>
                <w:color w:val="auto"/>
              </w:rPr>
              <w:t>Nonvested balance, beginning of year</w:t>
            </w:r>
          </w:p>
        </w:tc>
        <w:tc>
          <w:tcPr>
            <w:tcW w:w="580" w:type="dxa"/>
            <w:vAlign w:val="bottom"/>
            <w:shd w:val="clear" w:color="auto" w:fill="E5E5E5"/>
          </w:tcPr>
          <w:p>
            <w:pPr>
              <w:spacing w:after="0"/>
              <w:rPr>
                <w:sz w:val="17"/>
                <w:szCs w:val="17"/>
                <w:color w:val="auto"/>
              </w:rPr>
            </w:pPr>
          </w:p>
        </w:tc>
        <w:tc>
          <w:tcPr>
            <w:tcW w:w="14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180" w:type="dxa"/>
            <w:vAlign w:val="bottom"/>
            <w:gridSpan w:val="2"/>
            <w:shd w:val="clear" w:color="auto" w:fill="E5E5E5"/>
          </w:tcPr>
          <w:p>
            <w:pPr>
              <w:jc w:val="right"/>
              <w:ind w:right="240"/>
              <w:spacing w:after="0" w:line="201" w:lineRule="exact"/>
              <w:rPr>
                <w:sz w:val="20"/>
                <w:szCs w:val="20"/>
                <w:color w:val="auto"/>
              </w:rPr>
            </w:pPr>
            <w:r>
              <w:rPr>
                <w:rFonts w:ascii="Arial" w:cs="Arial" w:eastAsia="Arial" w:hAnsi="Arial"/>
                <w:sz w:val="18"/>
                <w:szCs w:val="18"/>
                <w:b w:val="1"/>
                <w:bCs w:val="1"/>
                <w:color w:val="auto"/>
              </w:rPr>
              <w:t>126</w:t>
            </w:r>
          </w:p>
        </w:tc>
        <w:tc>
          <w:tcPr>
            <w:tcW w:w="240" w:type="dxa"/>
            <w:vAlign w:val="bottom"/>
            <w:shd w:val="clear" w:color="auto" w:fill="E5E5E5"/>
          </w:tcPr>
          <w:p>
            <w:pPr>
              <w:jc w:val="right"/>
              <w:ind w:right="10"/>
              <w:spacing w:after="0" w:line="201" w:lineRule="exact"/>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E5E5E5"/>
          </w:tcPr>
          <w:p>
            <w:pPr>
              <w:jc w:val="right"/>
              <w:ind w:right="160"/>
              <w:spacing w:after="0" w:line="201" w:lineRule="exact"/>
              <w:rPr>
                <w:sz w:val="20"/>
                <w:szCs w:val="20"/>
                <w:color w:val="auto"/>
              </w:rPr>
            </w:pPr>
            <w:r>
              <w:rPr>
                <w:rFonts w:ascii="Arial" w:cs="Arial" w:eastAsia="Arial" w:hAnsi="Arial"/>
                <w:sz w:val="18"/>
                <w:szCs w:val="18"/>
                <w:b w:val="1"/>
                <w:bCs w:val="1"/>
                <w:color w:val="auto"/>
              </w:rPr>
              <w:t>105.23</w:t>
            </w: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00" w:type="dxa"/>
            <w:vAlign w:val="bottom"/>
          </w:tcPr>
          <w:p>
            <w:pPr>
              <w:ind w:left="200"/>
              <w:spacing w:after="0"/>
              <w:rPr>
                <w:sz w:val="20"/>
                <w:szCs w:val="20"/>
                <w:color w:val="auto"/>
              </w:rPr>
            </w:pPr>
            <w:r>
              <w:rPr>
                <w:rFonts w:ascii="Arial" w:cs="Arial" w:eastAsia="Arial" w:hAnsi="Arial"/>
                <w:sz w:val="18"/>
                <w:szCs w:val="18"/>
                <w:color w:val="auto"/>
              </w:rPr>
              <w:t xml:space="preserve">Granted </w:t>
            </w:r>
            <w:r>
              <w:rPr>
                <w:rFonts w:ascii="Arial" w:cs="Arial" w:eastAsia="Arial" w:hAnsi="Arial"/>
                <w:sz w:val="15"/>
                <w:szCs w:val="15"/>
                <w:color w:val="auto"/>
              </w:rPr>
              <w:t>(a)</w:t>
            </w:r>
          </w:p>
        </w:tc>
        <w:tc>
          <w:tcPr>
            <w:tcW w:w="5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40</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221.13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Vested</w:t>
            </w:r>
          </w:p>
        </w:tc>
        <w:tc>
          <w:tcPr>
            <w:tcW w:w="580" w:type="dxa"/>
            <w:vAlign w:val="bottom"/>
            <w:shd w:val="clear" w:color="auto" w:fill="E5E5E5"/>
          </w:tcPr>
          <w:p>
            <w:pPr>
              <w:spacing w:after="0"/>
              <w:rPr>
                <w:sz w:val="19"/>
                <w:szCs w:val="19"/>
                <w:color w:val="auto"/>
              </w:rPr>
            </w:pPr>
          </w:p>
        </w:tc>
        <w:tc>
          <w:tcPr>
            <w:tcW w:w="140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1180" w:type="dxa"/>
            <w:vAlign w:val="bottom"/>
            <w:gridSpan w:val="2"/>
            <w:shd w:val="clear" w:color="auto" w:fill="E5E5E5"/>
          </w:tcPr>
          <w:p>
            <w:pPr>
              <w:jc w:val="right"/>
              <w:ind w:right="180"/>
              <w:spacing w:after="0"/>
              <w:rPr>
                <w:sz w:val="20"/>
                <w:szCs w:val="20"/>
                <w:color w:val="auto"/>
              </w:rPr>
            </w:pPr>
            <w:r>
              <w:rPr>
                <w:rFonts w:ascii="Arial" w:cs="Arial" w:eastAsia="Arial" w:hAnsi="Arial"/>
                <w:sz w:val="18"/>
                <w:szCs w:val="18"/>
                <w:b w:val="1"/>
                <w:bCs w:val="1"/>
                <w:color w:val="auto"/>
              </w:rPr>
              <w:t>(58)</w:t>
            </w:r>
          </w:p>
        </w:tc>
        <w:tc>
          <w:tcPr>
            <w:tcW w:w="240" w:type="dxa"/>
            <w:vAlign w:val="bottom"/>
            <w:shd w:val="clear" w:color="auto" w:fill="E5E5E5"/>
          </w:tcPr>
          <w:p>
            <w:pPr>
              <w:spacing w:after="0"/>
              <w:rPr>
                <w:sz w:val="19"/>
                <w:szCs w:val="19"/>
                <w:color w:val="auto"/>
              </w:rPr>
            </w:pPr>
          </w:p>
        </w:tc>
        <w:tc>
          <w:tcPr>
            <w:tcW w:w="108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99.41</w:t>
            </w:r>
          </w:p>
        </w:tc>
        <w:tc>
          <w:tcPr>
            <w:tcW w:w="6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50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5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w:t>
            </w:r>
          </w:p>
        </w:tc>
        <w:tc>
          <w:tcPr>
            <w:tcW w:w="24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129.92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65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65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500" w:type="dxa"/>
            <w:vAlign w:val="bottom"/>
            <w:shd w:val="clear" w:color="auto" w:fill="E5E5E5"/>
          </w:tcPr>
          <w:p>
            <w:pPr>
              <w:spacing w:after="0" w:line="201" w:lineRule="exact"/>
              <w:rPr>
                <w:sz w:val="20"/>
                <w:szCs w:val="20"/>
                <w:color w:val="auto"/>
              </w:rPr>
            </w:pPr>
            <w:r>
              <w:rPr>
                <w:rFonts w:ascii="Arial" w:cs="Arial" w:eastAsia="Arial" w:hAnsi="Arial"/>
                <w:sz w:val="18"/>
                <w:szCs w:val="18"/>
                <w:color w:val="auto"/>
              </w:rPr>
              <w:t>Nonvested balance, end of year</w:t>
            </w:r>
          </w:p>
        </w:tc>
        <w:tc>
          <w:tcPr>
            <w:tcW w:w="580" w:type="dxa"/>
            <w:vAlign w:val="bottom"/>
            <w:shd w:val="clear" w:color="auto" w:fill="E5E5E5"/>
          </w:tcPr>
          <w:p>
            <w:pPr>
              <w:spacing w:after="0"/>
              <w:rPr>
                <w:sz w:val="17"/>
                <w:szCs w:val="17"/>
                <w:color w:val="auto"/>
              </w:rPr>
            </w:pPr>
          </w:p>
        </w:tc>
        <w:tc>
          <w:tcPr>
            <w:tcW w:w="14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180" w:type="dxa"/>
            <w:vAlign w:val="bottom"/>
            <w:gridSpan w:val="2"/>
            <w:shd w:val="clear" w:color="auto" w:fill="E5E5E5"/>
          </w:tcPr>
          <w:p>
            <w:pPr>
              <w:jc w:val="right"/>
              <w:ind w:right="240"/>
              <w:spacing w:after="0" w:line="201" w:lineRule="exact"/>
              <w:rPr>
                <w:sz w:val="20"/>
                <w:szCs w:val="20"/>
                <w:color w:val="auto"/>
              </w:rPr>
            </w:pPr>
            <w:r>
              <w:rPr>
                <w:rFonts w:ascii="Arial" w:cs="Arial" w:eastAsia="Arial" w:hAnsi="Arial"/>
                <w:sz w:val="18"/>
                <w:szCs w:val="18"/>
                <w:b w:val="1"/>
                <w:bCs w:val="1"/>
                <w:color w:val="auto"/>
              </w:rPr>
              <w:t>100</w:t>
            </w:r>
          </w:p>
        </w:tc>
        <w:tc>
          <w:tcPr>
            <w:tcW w:w="240" w:type="dxa"/>
            <w:vAlign w:val="bottom"/>
            <w:shd w:val="clear" w:color="auto" w:fill="E5E5E5"/>
          </w:tcPr>
          <w:p>
            <w:pPr>
              <w:jc w:val="right"/>
              <w:ind w:right="10"/>
              <w:spacing w:after="0" w:line="201" w:lineRule="exact"/>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E5E5E5"/>
          </w:tcPr>
          <w:p>
            <w:pPr>
              <w:jc w:val="right"/>
              <w:ind w:right="160"/>
              <w:spacing w:after="0" w:line="201" w:lineRule="exact"/>
              <w:rPr>
                <w:sz w:val="20"/>
                <w:szCs w:val="20"/>
                <w:color w:val="auto"/>
              </w:rPr>
            </w:pPr>
            <w:r>
              <w:rPr>
                <w:rFonts w:ascii="Arial" w:cs="Arial" w:eastAsia="Arial" w:hAnsi="Arial"/>
                <w:sz w:val="18"/>
                <w:szCs w:val="18"/>
                <w:b w:val="1"/>
                <w:bCs w:val="1"/>
                <w:color w:val="auto"/>
              </w:rPr>
              <w:t>152.51</w:t>
            </w: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5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540" w:hanging="532"/>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Includes 2 million of PSUs granted at target and performance adjustments above target levels for fiscal years 2021, 2020, and 2019.</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June 30, 2021, there was approximately $12.0 billion of total unrecognized compensation costs related to stock awards. These costs are expected to be recognized over a weighted average period of three years. The weighted average grant-date fair value of stock awards granted was $221.13, $140.49, and $107.02 for fiscal years 2021, 2020, and 2019, respectively. The fair value of stock awards vested was $13.4 billion, $10.1 billion, and $8.7 billion, for fiscal years 2021, 2020, and 2019,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7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an ESPP for all eligible employees. Shares of our common stock may be purchased by employees at three-month intervals at 90% of the fair market value on the last trading day of each three-month period. Employees may purchase shares having a value not exceeding 15% of their gross compensation during an offering period. Under the terms of the ESPP that were approved in 2012, the plan will terminate on December 31, 2022. We intend to request shareholder approval for a successor ESPP with a January 1, 2022 effective date and ten-year expiration of December 31, 2031 at our 2021 Annual Shareholders Meeting. No additional shares will be requested at this meeting. Employees purchased the following shares during the periods presented:</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(Shares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06437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960" w:type="dxa"/>
            <w:vAlign w:val="bottom"/>
            <w:gridSpan w:val="2"/>
          </w:tcPr>
          <w:p>
            <w:pPr>
              <w:spacing w:after="0"/>
              <w:rPr>
                <w:sz w:val="20"/>
                <w:szCs w:val="20"/>
                <w:color w:val="auto"/>
              </w:rPr>
            </w:pPr>
            <w:r>
              <w:rPr>
                <w:rFonts w:ascii="Arial" w:cs="Arial" w:eastAsia="Arial" w:hAnsi="Arial"/>
                <w:sz w:val="13"/>
                <w:szCs w:val="13"/>
                <w:b w:val="1"/>
                <w:bCs w:val="1"/>
                <w:color w:val="auto"/>
              </w:rPr>
              <w:t>Year Ended June 30,</w:t>
            </w:r>
          </w:p>
        </w:tc>
        <w:tc>
          <w:tcPr>
            <w:tcW w:w="4060" w:type="dxa"/>
            <w:vAlign w:val="bottom"/>
          </w:tcPr>
          <w:p>
            <w:pPr>
              <w:jc w:val="right"/>
              <w:ind w:right="18"/>
              <w:spacing w:after="0"/>
              <w:rPr>
                <w:sz w:val="20"/>
                <w:szCs w:val="20"/>
                <w:color w:val="auto"/>
              </w:rPr>
            </w:pPr>
            <w:r>
              <w:rPr>
                <w:rFonts w:ascii="Arial" w:cs="Arial" w:eastAsia="Arial" w:hAnsi="Arial"/>
                <w:sz w:val="13"/>
                <w:szCs w:val="13"/>
                <w:b w:val="1"/>
                <w:bCs w:val="1"/>
                <w:color w:val="auto"/>
              </w:rPr>
              <w:t>2021</w:t>
            </w:r>
          </w:p>
        </w:tc>
        <w:tc>
          <w:tcPr>
            <w:tcW w:w="340" w:type="dxa"/>
            <w:vAlign w:val="bottom"/>
          </w:tcPr>
          <w:p>
            <w:pPr>
              <w:spacing w:after="0"/>
              <w:rPr>
                <w:sz w:val="15"/>
                <w:szCs w:val="15"/>
                <w:color w:val="auto"/>
              </w:rPr>
            </w:pPr>
          </w:p>
        </w:tc>
        <w:tc>
          <w:tcPr>
            <w:tcW w:w="780" w:type="dxa"/>
            <w:vAlign w:val="bottom"/>
          </w:tcPr>
          <w:p>
            <w:pPr>
              <w:jc w:val="right"/>
              <w:ind w:right="38"/>
              <w:spacing w:after="0"/>
              <w:rPr>
                <w:sz w:val="20"/>
                <w:szCs w:val="20"/>
                <w:color w:val="auto"/>
              </w:rPr>
            </w:pPr>
            <w:r>
              <w:rPr>
                <w:rFonts w:ascii="Arial" w:cs="Arial" w:eastAsia="Arial" w:hAnsi="Arial"/>
                <w:sz w:val="13"/>
                <w:szCs w:val="13"/>
                <w:b w:val="1"/>
                <w:bCs w:val="1"/>
                <w:color w:val="auto"/>
              </w:rPr>
              <w:t>2020</w:t>
            </w:r>
          </w:p>
        </w:tc>
        <w:tc>
          <w:tcPr>
            <w:tcW w:w="3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4940" w:type="dxa"/>
            <w:vAlign w:val="bottom"/>
          </w:tcPr>
          <w:p>
            <w:pPr>
              <w:spacing w:after="0"/>
              <w:rPr>
                <w:sz w:val="4"/>
                <w:szCs w:val="4"/>
                <w:color w:val="auto"/>
              </w:rPr>
            </w:pPr>
          </w:p>
        </w:tc>
        <w:tc>
          <w:tcPr>
            <w:tcW w:w="406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9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Shares purchased</w:t>
            </w:r>
          </w:p>
        </w:tc>
        <w:tc>
          <w:tcPr>
            <w:tcW w:w="4060" w:type="dxa"/>
            <w:vAlign w:val="bottom"/>
            <w:shd w:val="clear" w:color="auto" w:fill="E5E5E5"/>
          </w:tcPr>
          <w:p>
            <w:pPr>
              <w:jc w:val="right"/>
              <w:ind w:right="18"/>
              <w:spacing w:after="0" w:line="189" w:lineRule="exact"/>
              <w:rPr>
                <w:sz w:val="20"/>
                <w:szCs w:val="20"/>
                <w:color w:val="auto"/>
              </w:rPr>
            </w:pPr>
            <w:r>
              <w:rPr>
                <w:rFonts w:ascii="Arial" w:cs="Arial" w:eastAsia="Arial" w:hAnsi="Arial"/>
                <w:sz w:val="18"/>
                <w:szCs w:val="18"/>
                <w:b w:val="1"/>
                <w:bCs w:val="1"/>
                <w:color w:val="auto"/>
              </w:rPr>
              <w:t>8</w:t>
            </w:r>
          </w:p>
        </w:tc>
        <w:tc>
          <w:tcPr>
            <w:tcW w:w="340" w:type="dxa"/>
            <w:vAlign w:val="bottom"/>
            <w:shd w:val="clear" w:color="auto" w:fill="E5E5E5"/>
          </w:tcPr>
          <w:p>
            <w:pPr>
              <w:spacing w:after="0"/>
              <w:rPr>
                <w:sz w:val="16"/>
                <w:szCs w:val="16"/>
                <w:color w:val="auto"/>
              </w:rPr>
            </w:pPr>
          </w:p>
        </w:tc>
        <w:tc>
          <w:tcPr>
            <w:tcW w:w="780" w:type="dxa"/>
            <w:vAlign w:val="bottom"/>
            <w:shd w:val="clear" w:color="auto" w:fill="E5E5E5"/>
          </w:tcPr>
          <w:p>
            <w:pPr>
              <w:jc w:val="right"/>
              <w:ind w:right="38"/>
              <w:spacing w:after="0" w:line="189" w:lineRule="exact"/>
              <w:rPr>
                <w:sz w:val="20"/>
                <w:szCs w:val="20"/>
                <w:color w:val="auto"/>
              </w:rPr>
            </w:pPr>
            <w:r>
              <w:rPr>
                <w:rFonts w:ascii="Arial" w:cs="Arial" w:eastAsia="Arial" w:hAnsi="Arial"/>
                <w:sz w:val="18"/>
                <w:szCs w:val="18"/>
                <w:color w:val="auto"/>
              </w:rPr>
              <w:t>9</w:t>
            </w:r>
          </w:p>
        </w:tc>
        <w:tc>
          <w:tcPr>
            <w:tcW w:w="320" w:type="dxa"/>
            <w:vAlign w:val="bottom"/>
            <w:shd w:val="clear" w:color="auto" w:fill="E5E5E5"/>
          </w:tcPr>
          <w:p>
            <w:pPr>
              <w:spacing w:after="0"/>
              <w:rPr>
                <w:sz w:val="16"/>
                <w:szCs w:val="16"/>
                <w:color w:val="auto"/>
              </w:rPr>
            </w:pPr>
          </w:p>
        </w:tc>
        <w:tc>
          <w:tcPr>
            <w:tcW w:w="6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11</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 w:type="dxa"/>
            <w:vAlign w:val="bottom"/>
            <w:tcBorders>
              <w:bottom w:val="single" w:sz="8" w:color="auto"/>
            </w:tcBorders>
          </w:tcPr>
          <w:p>
            <w:pPr>
              <w:spacing w:after="0"/>
              <w:rPr>
                <w:sz w:val="21"/>
                <w:szCs w:val="21"/>
                <w:color w:val="auto"/>
              </w:rPr>
            </w:pP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Average price per share</w:t>
            </w:r>
          </w:p>
        </w:tc>
        <w:tc>
          <w:tcPr>
            <w:tcW w:w="40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   207.88</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142.22</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88 million shares of our common stock were reserved for future issuance through the ESPP.</w:t>
      </w:r>
    </w:p>
    <w:p>
      <w:pPr>
        <w:spacing w:after="0" w:line="216"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92" w:name="page93"/>
    <w:bookmarkEnd w:id="92"/>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Savings Plan</w:t>
      </w:r>
    </w:p>
    <w:p>
      <w:pPr>
        <w:spacing w:after="0" w:line="17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savings plans in the U.S. that qualify under Section 401(k) of the Internal Revenue Code, and a number of savings plans in international locations. Eligible U.S. employees may contribute a portion of their salary into the savings plans, subject to certain limitations. We contribute fifty cents for each dollar a participant contributes into the plans, with a maximum employer contribution of 50% of the IRS contribution limit for the calendar year. Employer-funded retirement benefits for all plans were $1.2 billion, $1.0 billion, and $877 million in fiscal years 2021, 2020, and 2019, respectively, and were expensed as contributed.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19 — SEGMENT INFORMATION AND GEOGRAPHIC DATA</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its operation of the business, management, including our chief operating decision maker, who is also our Chief Executive Officer, reviews certain financial information, including segmented internal profit and loss statements prepared on a basis not consistent with GAAP. During the periods presented, we reported our financial performance based on the following segments: Productivity and Business Processes, Intelligent Cloud, and More Personal Computing.</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Our reportable segments are described below.</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Productivity and Business Processes</w:t>
      </w:r>
    </w:p>
    <w:p>
      <w:pPr>
        <w:spacing w:after="0" w:line="178"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Our Productivity and Business Processes segment consists of products and services in our portfolio of productivity, communication, and information services, spanning a variety of devices and platforms. This segment primarily comprises:</w:t>
      </w:r>
    </w:p>
    <w:p>
      <w:pPr>
        <w:spacing w:after="0" w:line="50" w:lineRule="exact"/>
        <w:rPr>
          <w:sz w:val="20"/>
          <w:szCs w:val="20"/>
          <w:color w:val="auto"/>
        </w:rPr>
      </w:pPr>
    </w:p>
    <w:p>
      <w:pPr>
        <w:jc w:val="both"/>
        <w:ind w:left="1060" w:hanging="393"/>
        <w:spacing w:after="0" w:line="239"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Office Commercial (Office 365 subscriptions, the Office 365 portion of Microsoft 365 Commercial subscriptions, and Office licensed on-premises), comprising Office, Exchange, SharePoint, Microsoft Teams, Office 365 Security and Compliance, and Skype for Business.</w:t>
      </w:r>
    </w:p>
    <w:p>
      <w:pPr>
        <w:spacing w:after="0" w:line="54" w:lineRule="exact"/>
        <w:rPr>
          <w:rFonts w:ascii="Arial" w:cs="Arial" w:eastAsia="Arial" w:hAnsi="Arial"/>
          <w:sz w:val="18"/>
          <w:szCs w:val="18"/>
          <w:color w:val="auto"/>
        </w:rPr>
      </w:pPr>
    </w:p>
    <w:p>
      <w:pPr>
        <w:ind w:left="1060" w:hanging="393"/>
        <w:spacing w:after="0" w:line="244"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Office Consumer, including Microsoft 365 Consumer subscriptions and Office licensed on-premises, and Office Consumer Services, including Skype, Outlook.com, and OneDrive.</w:t>
      </w:r>
    </w:p>
    <w:p>
      <w:pPr>
        <w:spacing w:after="0" w:line="49" w:lineRule="exact"/>
        <w:rPr>
          <w:rFonts w:ascii="Arial" w:cs="Arial" w:eastAsia="Arial" w:hAnsi="Arial"/>
          <w:sz w:val="18"/>
          <w:szCs w:val="18"/>
          <w:color w:val="auto"/>
        </w:rPr>
      </w:pPr>
    </w:p>
    <w:p>
      <w:pPr>
        <w:ind w:left="1060" w:hanging="393"/>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LinkedIn, including Talent Solutions, Marketing Solutions, Premium Subscriptions, Sales Solutions, and Learning Solutions.</w:t>
      </w:r>
    </w:p>
    <w:p>
      <w:pPr>
        <w:spacing w:after="0" w:line="62" w:lineRule="exact"/>
        <w:rPr>
          <w:rFonts w:ascii="Arial" w:cs="Arial" w:eastAsia="Arial" w:hAnsi="Arial"/>
          <w:sz w:val="18"/>
          <w:szCs w:val="18"/>
          <w:color w:val="auto"/>
        </w:rPr>
      </w:pPr>
    </w:p>
    <w:p>
      <w:pPr>
        <w:ind w:left="1060" w:hanging="393"/>
        <w:spacing w:after="0" w:line="244"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Dynamics business solutions, including Dynamics 365, comprising a set of intelligent, cloud-based applications across ERP, CRM, Customer Insights, Power Apps, and Power Automate; and on-premises ERP and CRM applications.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Intelligent Cloud</w:t>
      </w:r>
    </w:p>
    <w:p>
      <w:pPr>
        <w:spacing w:after="0" w:line="17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Our Intelligent Cloud segment consists of our public, private, and hybrid server products and cloud services that can power modern business and developers. This segment primarily comprises:</w:t>
      </w:r>
    </w:p>
    <w:p>
      <w:pPr>
        <w:spacing w:after="0" w:line="63" w:lineRule="exact"/>
        <w:rPr>
          <w:sz w:val="20"/>
          <w:szCs w:val="20"/>
          <w:color w:val="auto"/>
        </w:rPr>
      </w:pPr>
    </w:p>
    <w:p>
      <w:pPr>
        <w:ind w:left="1060" w:hanging="393"/>
        <w:spacing w:after="0" w:line="244"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Server products and cloud services, including Azure; SQL Server, Windows Server, Visual Studio, System Center, and related Client Access Licenses (“CALs”); and GitHub.</w:t>
      </w:r>
    </w:p>
    <w:p>
      <w:pPr>
        <w:spacing w:after="0" w:line="49" w:lineRule="exact"/>
        <w:rPr>
          <w:rFonts w:ascii="Arial" w:cs="Arial" w:eastAsia="Arial" w:hAnsi="Arial"/>
          <w:sz w:val="18"/>
          <w:szCs w:val="18"/>
          <w:color w:val="auto"/>
        </w:rPr>
      </w:pPr>
    </w:p>
    <w:p>
      <w:pPr>
        <w:ind w:left="1060" w:hanging="393"/>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Enterprise Services, including Premier Support Services and Microsoft Consulting Services.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More Personal Computing</w:t>
      </w:r>
    </w:p>
    <w:p>
      <w:pPr>
        <w:spacing w:after="0" w:line="178"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Our More Personal Computing segment consists of products and services that put customers at the center of the experience with our technology. This segment primarily comprises:</w:t>
      </w:r>
    </w:p>
    <w:p>
      <w:pPr>
        <w:spacing w:after="0" w:line="50" w:lineRule="exact"/>
        <w:rPr>
          <w:sz w:val="20"/>
          <w:szCs w:val="20"/>
          <w:color w:val="auto"/>
        </w:rPr>
      </w:pPr>
    </w:p>
    <w:p>
      <w:pPr>
        <w:jc w:val="both"/>
        <w:ind w:left="1060" w:hanging="393"/>
        <w:spacing w:after="0" w:line="239"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Windows, including Windows OEM licensing and other non-volume licensing of the Windows operating system; Windows Commercial, comprising volume licensing of the Windows operating system, Windows cloud services, and other Windows commercial offerings; patent licensing; Windows Internet of Things; and MSN advertising.</w:t>
      </w:r>
    </w:p>
    <w:p>
      <w:pPr>
        <w:spacing w:after="0" w:line="54" w:lineRule="exact"/>
        <w:rPr>
          <w:rFonts w:ascii="Arial" w:cs="Arial" w:eastAsia="Arial" w:hAnsi="Arial"/>
          <w:sz w:val="18"/>
          <w:szCs w:val="18"/>
          <w:color w:val="auto"/>
        </w:rPr>
      </w:pPr>
    </w:p>
    <w:p>
      <w:pPr>
        <w:ind w:left="1060" w:hanging="393"/>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Devices, including Surface and PC accessories.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93" w:name="page94"/>
    <w:bookmarkEnd w:id="93"/>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267" w:lineRule="exact"/>
        <w:rPr>
          <w:sz w:val="20"/>
          <w:szCs w:val="20"/>
          <w:color w:val="auto"/>
        </w:rPr>
      </w:pPr>
    </w:p>
    <w:p>
      <w:pPr>
        <w:ind w:left="1060" w:right="20" w:hanging="393"/>
        <w:spacing w:after="0" w:line="244"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Gaming, including Xbox hardware and Xbox content and services, comprising digital transactions, Xbox Game Pass and other subscriptions, video games, third-party video game royalties, cloud services, and advertising.</w:t>
      </w:r>
    </w:p>
    <w:p>
      <w:pPr>
        <w:spacing w:after="0" w:line="49" w:lineRule="exact"/>
        <w:rPr>
          <w:rFonts w:ascii="Arial" w:cs="Arial" w:eastAsia="Arial" w:hAnsi="Arial"/>
          <w:sz w:val="18"/>
          <w:szCs w:val="18"/>
          <w:color w:val="auto"/>
        </w:rPr>
      </w:pPr>
    </w:p>
    <w:p>
      <w:pPr>
        <w:ind w:left="1060" w:hanging="393"/>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Search advertising.</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Revenue and costs are generally directly attributed to our segments. However, due to the integrated structure of our business, certain revenue recognized and costs incurred by one segment may benefit other segments. Revenue from certain contracts is allocated among the segments based on the relative value of the underlying products and services, which can include allocation based on actual prices charged, prices when sold separately, or estimated costs plus a profit margin. Cost of revenue is allocated in certain cases based on a relative revenue methodology. Operating expenses that are allocated primarily include those relating to marketing of products and services from which multiple segments benefit and are generally allocated based on relative gross margin.</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certain costs incurred at a corporate level that are identifiable and that benefit our segments are allocated to them. These allocated costs include legal, including settlements and fines, information technology, human resources, finance, excise taxes, field selling, shared facilities services, and customer service and support. Each allocation is measured differently based on the specific facts and circumstances of the costs being allocated. Certain corporate-level activity is not allocated to our segments.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Segment revenue and operating income were as follows during the periods presented:</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06437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320" w:type="dxa"/>
            <w:vAlign w:val="bottom"/>
            <w:gridSpan w:val="2"/>
          </w:tcPr>
          <w:p>
            <w:pPr>
              <w:spacing w:after="0"/>
              <w:rPr>
                <w:sz w:val="20"/>
                <w:szCs w:val="20"/>
                <w:color w:val="auto"/>
              </w:rPr>
            </w:pPr>
            <w:r>
              <w:rPr>
                <w:rFonts w:ascii="Arial" w:cs="Arial" w:eastAsia="Arial" w:hAnsi="Arial"/>
                <w:sz w:val="13"/>
                <w:szCs w:val="13"/>
                <w:b w:val="1"/>
                <w:bCs w:val="1"/>
                <w:color w:val="auto"/>
              </w:rPr>
              <w:t>Year Ended June 30,</w:t>
            </w:r>
          </w:p>
        </w:tc>
        <w:tc>
          <w:tcPr>
            <w:tcW w:w="30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2020</w:t>
            </w: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7320" w:type="dxa"/>
            <w:vAlign w:val="bottom"/>
            <w:gridSpan w:val="2"/>
          </w:tcPr>
          <w:p>
            <w:pPr>
              <w:spacing w:after="0"/>
              <w:rPr>
                <w:sz w:val="20"/>
                <w:szCs w:val="20"/>
                <w:color w:val="auto"/>
              </w:rPr>
            </w:pPr>
            <w:r>
              <w:rPr>
                <w:rFonts w:ascii="Arial" w:cs="Arial" w:eastAsia="Arial" w:hAnsi="Arial"/>
                <w:sz w:val="13"/>
                <w:szCs w:val="13"/>
                <w:b w:val="1"/>
                <w:bCs w:val="1"/>
                <w:color w:val="auto"/>
              </w:rPr>
              <w:t>Revenue</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7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73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Productivity and Business Processes</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53,915</w:t>
            </w:r>
          </w:p>
        </w:tc>
        <w:tc>
          <w:tcPr>
            <w:tcW w:w="38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46,398</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41,160</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tcPr>
          <w:p>
            <w:pPr>
              <w:spacing w:after="0" w:line="189" w:lineRule="exact"/>
              <w:rPr>
                <w:sz w:val="20"/>
                <w:szCs w:val="20"/>
                <w:color w:val="auto"/>
              </w:rPr>
            </w:pPr>
            <w:r>
              <w:rPr>
                <w:rFonts w:ascii="Arial" w:cs="Arial" w:eastAsia="Arial" w:hAnsi="Arial"/>
                <w:sz w:val="18"/>
                <w:szCs w:val="18"/>
                <w:color w:val="auto"/>
              </w:rPr>
              <w:t>Intelligent Cloud</w:t>
            </w:r>
          </w:p>
        </w:tc>
        <w:tc>
          <w:tcPr>
            <w:tcW w:w="300" w:type="dxa"/>
            <w:vAlign w:val="bottom"/>
          </w:tcPr>
          <w:p>
            <w:pPr>
              <w:spacing w:after="0"/>
              <w:rPr>
                <w:sz w:val="16"/>
                <w:szCs w:val="16"/>
                <w:color w:val="auto"/>
              </w:rPr>
            </w:pPr>
          </w:p>
        </w:tc>
        <w:tc>
          <w:tcPr>
            <w:tcW w:w="96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60,080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48,366</w:t>
            </w:r>
          </w:p>
        </w:tc>
        <w:tc>
          <w:tcPr>
            <w:tcW w:w="28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38,985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30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54,093</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48,251</w:t>
            </w:r>
          </w:p>
        </w:tc>
        <w:tc>
          <w:tcPr>
            <w:tcW w:w="28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45,698</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3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168,088</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143,015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125,843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73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Operating Income</w:t>
            </w: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732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7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73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Productivity and Business Processes</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24,351</w:t>
            </w:r>
          </w:p>
        </w:tc>
        <w:tc>
          <w:tcPr>
            <w:tcW w:w="38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18,724</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16,219</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tcPr>
          <w:p>
            <w:pPr>
              <w:spacing w:after="0" w:line="189" w:lineRule="exact"/>
              <w:rPr>
                <w:sz w:val="20"/>
                <w:szCs w:val="20"/>
                <w:color w:val="auto"/>
              </w:rPr>
            </w:pPr>
            <w:r>
              <w:rPr>
                <w:rFonts w:ascii="Arial" w:cs="Arial" w:eastAsia="Arial" w:hAnsi="Arial"/>
                <w:sz w:val="18"/>
                <w:szCs w:val="18"/>
                <w:color w:val="auto"/>
              </w:rPr>
              <w:t>Intelligent Cloud</w:t>
            </w:r>
          </w:p>
        </w:tc>
        <w:tc>
          <w:tcPr>
            <w:tcW w:w="300" w:type="dxa"/>
            <w:vAlign w:val="bottom"/>
          </w:tcPr>
          <w:p>
            <w:pPr>
              <w:spacing w:after="0"/>
              <w:rPr>
                <w:sz w:val="16"/>
                <w:szCs w:val="16"/>
                <w:color w:val="auto"/>
              </w:rPr>
            </w:pPr>
          </w:p>
        </w:tc>
        <w:tc>
          <w:tcPr>
            <w:tcW w:w="96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26,126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18,324</w:t>
            </w:r>
          </w:p>
        </w:tc>
        <w:tc>
          <w:tcPr>
            <w:tcW w:w="28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13,920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30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19,439</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15,911</w:t>
            </w:r>
          </w:p>
        </w:tc>
        <w:tc>
          <w:tcPr>
            <w:tcW w:w="28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12,820</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3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69,916</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52,959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42,959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30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No sales to an individual customer or country other than the United States accounted for more than 10% of revenue for fiscal years 2021, 2020, or 2019. Revenue, classified by the major geographic areas in which our customers were located, was as follows: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06437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320" w:type="dxa"/>
            <w:vAlign w:val="bottom"/>
            <w:gridSpan w:val="2"/>
          </w:tcPr>
          <w:p>
            <w:pPr>
              <w:spacing w:after="0"/>
              <w:rPr>
                <w:sz w:val="20"/>
                <w:szCs w:val="20"/>
                <w:color w:val="auto"/>
              </w:rPr>
            </w:pPr>
            <w:r>
              <w:rPr>
                <w:rFonts w:ascii="Arial" w:cs="Arial" w:eastAsia="Arial" w:hAnsi="Arial"/>
                <w:sz w:val="13"/>
                <w:szCs w:val="13"/>
                <w:b w:val="1"/>
                <w:bCs w:val="1"/>
                <w:color w:val="auto"/>
              </w:rPr>
              <w:t>Year Ended June 30,</w:t>
            </w: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7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73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United States </w:t>
            </w:r>
            <w:r>
              <w:rPr>
                <w:rFonts w:ascii="Arial" w:cs="Arial" w:eastAsia="Arial" w:hAnsi="Arial"/>
                <w:sz w:val="15"/>
                <w:szCs w:val="15"/>
                <w:color w:val="auto"/>
              </w:rPr>
              <w:t>(a)</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83,953</w:t>
            </w:r>
          </w:p>
        </w:tc>
        <w:tc>
          <w:tcPr>
            <w:tcW w:w="38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73,160</w:t>
            </w:r>
          </w:p>
        </w:tc>
        <w:tc>
          <w:tcPr>
            <w:tcW w:w="40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64,199</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Other countries</w:t>
            </w:r>
          </w:p>
        </w:tc>
        <w:tc>
          <w:tcPr>
            <w:tcW w:w="30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84,135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69,855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61,644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30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168,088</w:t>
            </w:r>
          </w:p>
        </w:tc>
        <w:tc>
          <w:tcPr>
            <w:tcW w:w="38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143,015</w:t>
            </w:r>
          </w:p>
        </w:tc>
        <w:tc>
          <w:tcPr>
            <w:tcW w:w="40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125,843</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30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540" w:right="20" w:hanging="532"/>
        <w:spacing w:after="0" w:line="265"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Includes billings to OEMs and certain multinational organizations because of the nature of these businesses and the impracticability of determining the geographic source of the revenue.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94" w:name="page95"/>
    <w:bookmarkEnd w:id="94"/>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Revenue from external customers, classified by significant product and service offerings, was as follows: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06437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320" w:type="dxa"/>
            <w:vAlign w:val="bottom"/>
            <w:gridSpan w:val="2"/>
          </w:tcPr>
          <w:p>
            <w:pPr>
              <w:spacing w:after="0"/>
              <w:rPr>
                <w:sz w:val="20"/>
                <w:szCs w:val="20"/>
                <w:color w:val="auto"/>
              </w:rPr>
            </w:pPr>
            <w:r>
              <w:rPr>
                <w:rFonts w:ascii="Arial" w:cs="Arial" w:eastAsia="Arial" w:hAnsi="Arial"/>
                <w:sz w:val="13"/>
                <w:szCs w:val="13"/>
                <w:b w:val="1"/>
                <w:bCs w:val="1"/>
                <w:color w:val="auto"/>
              </w:rPr>
              <w:t>Year Ended June 30,</w:t>
            </w: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7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73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Server products and cloud services</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52,589</w:t>
            </w:r>
          </w:p>
        </w:tc>
        <w:tc>
          <w:tcPr>
            <w:tcW w:w="38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41,379</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32,622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tcPr>
          <w:p>
            <w:pPr>
              <w:spacing w:after="0" w:line="189" w:lineRule="exact"/>
              <w:rPr>
                <w:sz w:val="20"/>
                <w:szCs w:val="20"/>
                <w:color w:val="auto"/>
              </w:rPr>
            </w:pPr>
            <w:r>
              <w:rPr>
                <w:rFonts w:ascii="Arial" w:cs="Arial" w:eastAsia="Arial" w:hAnsi="Arial"/>
                <w:sz w:val="18"/>
                <w:szCs w:val="18"/>
                <w:color w:val="auto"/>
              </w:rPr>
              <w:t>Office products and cloud services</w:t>
            </w:r>
          </w:p>
        </w:tc>
        <w:tc>
          <w:tcPr>
            <w:tcW w:w="300" w:type="dxa"/>
            <w:vAlign w:val="bottom"/>
          </w:tcPr>
          <w:p>
            <w:pPr>
              <w:spacing w:after="0"/>
              <w:rPr>
                <w:sz w:val="16"/>
                <w:szCs w:val="16"/>
                <w:color w:val="auto"/>
              </w:rPr>
            </w:pPr>
          </w:p>
        </w:tc>
        <w:tc>
          <w:tcPr>
            <w:tcW w:w="96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39,872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35,316</w:t>
            </w:r>
          </w:p>
        </w:tc>
        <w:tc>
          <w:tcPr>
            <w:tcW w:w="280" w:type="dxa"/>
            <w:vAlign w:val="bottom"/>
          </w:tcPr>
          <w:p>
            <w:pPr>
              <w:spacing w:after="0"/>
              <w:rPr>
                <w:sz w:val="16"/>
                <w:szCs w:val="16"/>
                <w:color w:val="auto"/>
              </w:rPr>
            </w:pPr>
          </w:p>
        </w:tc>
        <w:tc>
          <w:tcPr>
            <w:tcW w:w="9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31,769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Windows</w:t>
            </w:r>
          </w:p>
        </w:tc>
        <w:tc>
          <w:tcPr>
            <w:tcW w:w="30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23,227</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22,294</w:t>
            </w:r>
          </w:p>
        </w:tc>
        <w:tc>
          <w:tcPr>
            <w:tcW w:w="2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20,395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tcPr>
          <w:p>
            <w:pPr>
              <w:spacing w:after="0" w:line="189" w:lineRule="exact"/>
              <w:rPr>
                <w:sz w:val="20"/>
                <w:szCs w:val="20"/>
                <w:color w:val="auto"/>
              </w:rPr>
            </w:pPr>
            <w:r>
              <w:rPr>
                <w:rFonts w:ascii="Arial" w:cs="Arial" w:eastAsia="Arial" w:hAnsi="Arial"/>
                <w:sz w:val="18"/>
                <w:szCs w:val="18"/>
                <w:color w:val="auto"/>
              </w:rPr>
              <w:t>Gaming</w:t>
            </w:r>
          </w:p>
        </w:tc>
        <w:tc>
          <w:tcPr>
            <w:tcW w:w="300" w:type="dxa"/>
            <w:vAlign w:val="bottom"/>
          </w:tcPr>
          <w:p>
            <w:pPr>
              <w:spacing w:after="0"/>
              <w:rPr>
                <w:sz w:val="16"/>
                <w:szCs w:val="16"/>
                <w:color w:val="auto"/>
              </w:rPr>
            </w:pPr>
          </w:p>
        </w:tc>
        <w:tc>
          <w:tcPr>
            <w:tcW w:w="96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15,370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11,575</w:t>
            </w:r>
          </w:p>
        </w:tc>
        <w:tc>
          <w:tcPr>
            <w:tcW w:w="280" w:type="dxa"/>
            <w:vAlign w:val="bottom"/>
          </w:tcPr>
          <w:p>
            <w:pPr>
              <w:spacing w:after="0"/>
              <w:rPr>
                <w:sz w:val="16"/>
                <w:szCs w:val="16"/>
                <w:color w:val="auto"/>
              </w:rPr>
            </w:pPr>
          </w:p>
        </w:tc>
        <w:tc>
          <w:tcPr>
            <w:tcW w:w="9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11,386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LinkedIn</w:t>
            </w:r>
          </w:p>
        </w:tc>
        <w:tc>
          <w:tcPr>
            <w:tcW w:w="30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10,289</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8,077</w:t>
            </w:r>
          </w:p>
        </w:tc>
        <w:tc>
          <w:tcPr>
            <w:tcW w:w="28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6,754</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tcPr>
          <w:p>
            <w:pPr>
              <w:spacing w:after="0" w:line="189" w:lineRule="exact"/>
              <w:rPr>
                <w:sz w:val="20"/>
                <w:szCs w:val="20"/>
                <w:color w:val="auto"/>
              </w:rPr>
            </w:pPr>
            <w:r>
              <w:rPr>
                <w:rFonts w:ascii="Arial" w:cs="Arial" w:eastAsia="Arial" w:hAnsi="Arial"/>
                <w:sz w:val="18"/>
                <w:szCs w:val="18"/>
                <w:color w:val="auto"/>
              </w:rPr>
              <w:t>Search advertising</w:t>
            </w:r>
          </w:p>
        </w:tc>
        <w:tc>
          <w:tcPr>
            <w:tcW w:w="300" w:type="dxa"/>
            <w:vAlign w:val="bottom"/>
          </w:tcPr>
          <w:p>
            <w:pPr>
              <w:spacing w:after="0"/>
              <w:rPr>
                <w:sz w:val="16"/>
                <w:szCs w:val="16"/>
                <w:color w:val="auto"/>
              </w:rPr>
            </w:pPr>
          </w:p>
        </w:tc>
        <w:tc>
          <w:tcPr>
            <w:tcW w:w="96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8,528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7,740</w:t>
            </w:r>
          </w:p>
        </w:tc>
        <w:tc>
          <w:tcPr>
            <w:tcW w:w="28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7,628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Enterprise Services</w:t>
            </w:r>
          </w:p>
        </w:tc>
        <w:tc>
          <w:tcPr>
            <w:tcW w:w="30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6,943</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6,409</w:t>
            </w:r>
          </w:p>
        </w:tc>
        <w:tc>
          <w:tcPr>
            <w:tcW w:w="28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6,124</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tcPr>
          <w:p>
            <w:pPr>
              <w:spacing w:after="0" w:line="189" w:lineRule="exact"/>
              <w:rPr>
                <w:sz w:val="20"/>
                <w:szCs w:val="20"/>
                <w:color w:val="auto"/>
              </w:rPr>
            </w:pPr>
            <w:r>
              <w:rPr>
                <w:rFonts w:ascii="Arial" w:cs="Arial" w:eastAsia="Arial" w:hAnsi="Arial"/>
                <w:sz w:val="18"/>
                <w:szCs w:val="18"/>
                <w:color w:val="auto"/>
              </w:rPr>
              <w:t>Devices</w:t>
            </w:r>
          </w:p>
        </w:tc>
        <w:tc>
          <w:tcPr>
            <w:tcW w:w="300" w:type="dxa"/>
            <w:vAlign w:val="bottom"/>
          </w:tcPr>
          <w:p>
            <w:pPr>
              <w:spacing w:after="0"/>
              <w:rPr>
                <w:sz w:val="16"/>
                <w:szCs w:val="16"/>
                <w:color w:val="auto"/>
              </w:rPr>
            </w:pPr>
          </w:p>
        </w:tc>
        <w:tc>
          <w:tcPr>
            <w:tcW w:w="96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6,791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6,457</w:t>
            </w:r>
          </w:p>
        </w:tc>
        <w:tc>
          <w:tcPr>
            <w:tcW w:w="28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6,095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w:t>
            </w:r>
          </w:p>
        </w:tc>
        <w:tc>
          <w:tcPr>
            <w:tcW w:w="30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4,479</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3,768</w:t>
            </w:r>
          </w:p>
        </w:tc>
        <w:tc>
          <w:tcPr>
            <w:tcW w:w="28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3,070</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3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168,088</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143,015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125,843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30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commercial cloud revenue, which includes Azure, Office 365 Commercial, the commercial portion of LinkedIn, Dynamics 365, and other commercial cloud properties, was $69.1 billion, $51.7 billion and $38.1 billion in fiscal years 2021, 2020, and 2019, respectively. These amounts are primarily included in Server products and cloud services, Office products and cloud services, and LinkedIn in the table above.</w:t>
      </w:r>
    </w:p>
    <w:p>
      <w:pPr>
        <w:spacing w:after="0" w:line="148"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Assets are not allocated to segments for internal reporting presentations. A portion of amortization and depreciation is included with various other costs in an overhead allocation to each segment. It is impracticable for us to separately identify the amount of amortization and depreciation by segment that is included in the measure of segment profit or loss.</w:t>
      </w:r>
    </w:p>
    <w:p>
      <w:pPr>
        <w:spacing w:after="0" w:line="14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Long-lived assets, excluding financial instruments and tax assets, classified by the location of the controlling statutory company and with countries over 10% of the total shown separately, were as follows: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06437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320" w:type="dxa"/>
            <w:vAlign w:val="bottom"/>
            <w:gridSpan w:val="2"/>
          </w:tcPr>
          <w:p>
            <w:pPr>
              <w:spacing w:after="0"/>
              <w:rPr>
                <w:sz w:val="20"/>
                <w:szCs w:val="20"/>
                <w:color w:val="auto"/>
              </w:rPr>
            </w:pPr>
            <w:r>
              <w:rPr>
                <w:rFonts w:ascii="Arial" w:cs="Arial" w:eastAsia="Arial" w:hAnsi="Arial"/>
                <w:sz w:val="13"/>
                <w:szCs w:val="13"/>
                <w:b w:val="1"/>
                <w:bCs w:val="1"/>
                <w:color w:val="auto"/>
              </w:rPr>
              <w:t>June 30,</w:t>
            </w: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7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73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United States</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76,153</w:t>
            </w:r>
          </w:p>
        </w:tc>
        <w:tc>
          <w:tcPr>
            <w:tcW w:w="38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60,789</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55,252</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tcPr>
          <w:p>
            <w:pPr>
              <w:spacing w:after="0" w:line="189" w:lineRule="exact"/>
              <w:rPr>
                <w:sz w:val="20"/>
                <w:szCs w:val="20"/>
                <w:color w:val="auto"/>
              </w:rPr>
            </w:pPr>
            <w:r>
              <w:rPr>
                <w:rFonts w:ascii="Arial" w:cs="Arial" w:eastAsia="Arial" w:hAnsi="Arial"/>
                <w:sz w:val="18"/>
                <w:szCs w:val="18"/>
                <w:color w:val="auto"/>
              </w:rPr>
              <w:t>Ireland</w:t>
            </w:r>
          </w:p>
        </w:tc>
        <w:tc>
          <w:tcPr>
            <w:tcW w:w="300" w:type="dxa"/>
            <w:vAlign w:val="bottom"/>
          </w:tcPr>
          <w:p>
            <w:pPr>
              <w:spacing w:after="0"/>
              <w:rPr>
                <w:sz w:val="16"/>
                <w:szCs w:val="16"/>
                <w:color w:val="auto"/>
              </w:rPr>
            </w:pPr>
          </w:p>
        </w:tc>
        <w:tc>
          <w:tcPr>
            <w:tcW w:w="96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13,303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12,734</w:t>
            </w:r>
          </w:p>
        </w:tc>
        <w:tc>
          <w:tcPr>
            <w:tcW w:w="3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12,958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countries</w:t>
            </w:r>
          </w:p>
        </w:tc>
        <w:tc>
          <w:tcPr>
            <w:tcW w:w="30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38,858</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29,770</w:t>
            </w:r>
          </w:p>
        </w:tc>
        <w:tc>
          <w:tcPr>
            <w:tcW w:w="34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25,422</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3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128,314</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103,293</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93,632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30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95" w:name="page96"/>
    <w:bookmarkEnd w:id="95"/>
    <w:p>
      <w:pPr>
        <w:ind w:left="5200"/>
        <w:spacing w:after="0"/>
        <w:rPr>
          <w:sz w:val="20"/>
          <w:szCs w:val="20"/>
          <w:color w:val="auto"/>
        </w:rPr>
      </w:pPr>
      <w:r>
        <w:rPr>
          <w:rFonts w:ascii="Arial" w:cs="Arial" w:eastAsia="Arial" w:hAnsi="Arial"/>
          <w:sz w:val="13"/>
          <w:szCs w:val="13"/>
          <w:u w:val="single" w:color="auto"/>
          <w:color w:val="auto"/>
        </w:rPr>
        <w:t>PART II</w:t>
      </w:r>
    </w:p>
    <w:p>
      <w:pPr>
        <w:ind w:left="5240"/>
        <w:spacing w:after="0"/>
        <w:rPr>
          <w:sz w:val="20"/>
          <w:szCs w:val="20"/>
          <w:color w:val="auto"/>
        </w:rPr>
      </w:pPr>
      <w:r>
        <w:rPr>
          <w:rFonts w:ascii="Arial" w:cs="Arial" w:eastAsia="Arial" w:hAnsi="Arial"/>
          <w:sz w:val="13"/>
          <w:szCs w:val="13"/>
          <w:color w:val="auto"/>
        </w:rPr>
        <w:t>Item 8</w:t>
      </w:r>
    </w:p>
    <w:p>
      <w:pPr>
        <w:spacing w:after="0" w:line="178" w:lineRule="exact"/>
        <w:rPr>
          <w:sz w:val="20"/>
          <w:szCs w:val="20"/>
          <w:color w:val="auto"/>
        </w:rPr>
      </w:pPr>
    </w:p>
    <w:p>
      <w:pPr>
        <w:ind w:right="4620"/>
        <w:spacing w:after="0" w:line="42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Microsoft Corporation </w:t>
      </w:r>
      <w:r>
        <w:rPr>
          <w:rFonts w:ascii="Arial" w:cs="Arial" w:eastAsia="Arial" w:hAnsi="Arial"/>
          <w:sz w:val="18"/>
          <w:szCs w:val="18"/>
          <w:b w:val="1"/>
          <w:bCs w:val="1"/>
          <w:color w:val="auto"/>
        </w:rPr>
        <w:t>Opinion on the Financial Statements</w:t>
      </w:r>
    </w:p>
    <w:p>
      <w:pPr>
        <w:spacing w:after="0" w:line="2"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color w:val="auto"/>
        </w:rPr>
        <w:t>We have audited the accompanying consolidated balance sheets of Microsoft Corporation and subsidiaries (the "Company") as of June 30, 2021 and 2020, the related consolidated statements of income, comprehensive income, cash flows, and stockholders' equity, for each of the three years in the period ended June 30, 2021, and the related notes (collectively referred to as the "financial statements"). In our opinion, the financial statements present fairly, in all material respects, the financial position of the Company as of June 30, 2021 and 2020, and the results of its operations and its cash flows for each of the three years in the period ended June 30, 2021, in conformity with accounting principles generally accepted in the United States of America.</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June 30, 2021, based on criteria established in </w:t>
      </w:r>
      <w:r>
        <w:rPr>
          <w:rFonts w:ascii="Arial" w:cs="Arial" w:eastAsia="Arial" w:hAnsi="Arial"/>
          <w:sz w:val="18"/>
          <w:szCs w:val="18"/>
          <w:i w:val="1"/>
          <w:iCs w:val="1"/>
          <w:color w:val="auto"/>
        </w:rPr>
        <w:t>Internal Control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(2013) </w:t>
      </w:r>
      <w:r>
        <w:rPr>
          <w:rFonts w:ascii="Arial" w:cs="Arial" w:eastAsia="Arial" w:hAnsi="Arial"/>
          <w:sz w:val="18"/>
          <w:szCs w:val="18"/>
          <w:color w:val="auto"/>
        </w:rPr>
        <w:t>issued by the Committee of Sponsoring Organizations of the Treadway Commission and our report</w:t>
      </w:r>
      <w:r>
        <w:rPr>
          <w:rFonts w:ascii="Arial" w:cs="Arial" w:eastAsia="Arial" w:hAnsi="Arial"/>
          <w:sz w:val="18"/>
          <w:szCs w:val="18"/>
          <w:i w:val="1"/>
          <w:iCs w:val="1"/>
          <w:color w:val="auto"/>
        </w:rPr>
        <w:t xml:space="preserve"> </w:t>
      </w:r>
      <w:r>
        <w:rPr>
          <w:rFonts w:ascii="Arial" w:cs="Arial" w:eastAsia="Arial" w:hAnsi="Arial"/>
          <w:sz w:val="18"/>
          <w:szCs w:val="18"/>
          <w:color w:val="auto"/>
        </w:rPr>
        <w:t>dated July 29, 2021, expressed an unqualified opinion on the Company's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8"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7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12"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52705</wp:posOffset>
            </wp:positionV>
            <wp:extent cx="71583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700"/>
          </w:cols>
          <w:pgMar w:left="520" w:top="137" w:right="679" w:bottom="1440" w:gutter="0" w:footer="0" w:header="0"/>
        </w:sectPr>
      </w:pPr>
    </w:p>
    <w:bookmarkStart w:id="96" w:name="page97"/>
    <w:bookmarkEnd w:id="96"/>
    <w:p>
      <w:pPr>
        <w:ind w:left="5204"/>
        <w:spacing w:after="0"/>
        <w:rPr>
          <w:sz w:val="20"/>
          <w:szCs w:val="20"/>
          <w:color w:val="auto"/>
        </w:rPr>
      </w:pPr>
      <w:r>
        <w:rPr>
          <w:rFonts w:ascii="Arial" w:cs="Arial" w:eastAsia="Arial" w:hAnsi="Arial"/>
          <w:sz w:val="13"/>
          <w:szCs w:val="13"/>
          <w:u w:val="single" w:color="auto"/>
          <w:color w:val="auto"/>
        </w:rPr>
        <w:t>PART II</w:t>
      </w:r>
    </w:p>
    <w:p>
      <w:pPr>
        <w:ind w:left="5244"/>
        <w:spacing w:after="0"/>
        <w:rPr>
          <w:sz w:val="20"/>
          <w:szCs w:val="20"/>
          <w:color w:val="auto"/>
        </w:rPr>
      </w:pPr>
      <w:r>
        <w:rPr>
          <w:rFonts w:ascii="Arial" w:cs="Arial" w:eastAsia="Arial" w:hAnsi="Arial"/>
          <w:sz w:val="13"/>
          <w:szCs w:val="13"/>
          <w:color w:val="auto"/>
        </w:rPr>
        <w:t>Item 8</w:t>
      </w:r>
    </w:p>
    <w:p>
      <w:pPr>
        <w:spacing w:after="0" w:line="178" w:lineRule="exact"/>
        <w:rPr>
          <w:sz w:val="20"/>
          <w:szCs w:val="20"/>
          <w:color w:val="auto"/>
        </w:rPr>
      </w:pPr>
    </w:p>
    <w:p>
      <w:pPr>
        <w:ind w:left="4" w:right="5080"/>
        <w:spacing w:after="0" w:line="433" w:lineRule="auto"/>
        <w:rPr>
          <w:sz w:val="20"/>
          <w:szCs w:val="20"/>
          <w:color w:val="auto"/>
        </w:rPr>
      </w:pPr>
      <w:r>
        <w:rPr>
          <w:rFonts w:ascii="Arial" w:cs="Arial" w:eastAsia="Arial" w:hAnsi="Arial"/>
          <w:sz w:val="18"/>
          <w:szCs w:val="18"/>
          <w:b w:val="1"/>
          <w:bCs w:val="1"/>
          <w:i w:val="1"/>
          <w:iCs w:val="1"/>
          <w:color w:val="auto"/>
        </w:rPr>
        <w:t xml:space="preserve">Revenue Recognition – Refer to Note 1 to the financial statements </w:t>
      </w:r>
      <w:r>
        <w:rPr>
          <w:rFonts w:ascii="Arial" w:cs="Arial" w:eastAsia="Arial" w:hAnsi="Arial"/>
          <w:sz w:val="18"/>
          <w:szCs w:val="18"/>
          <w:i w:val="1"/>
          <w:iCs w:val="1"/>
          <w:color w:val="auto"/>
        </w:rPr>
        <w:t>Critical Audit Matter Description</w:t>
      </w:r>
    </w:p>
    <w:p>
      <w:pPr>
        <w:spacing w:after="0" w:line="2" w:lineRule="exact"/>
        <w:rPr>
          <w:sz w:val="20"/>
          <w:szCs w:val="20"/>
          <w:color w:val="auto"/>
        </w:rPr>
      </w:pPr>
    </w:p>
    <w:p>
      <w:pPr>
        <w:jc w:val="both"/>
        <w:ind w:left="4"/>
        <w:spacing w:after="0" w:line="238" w:lineRule="auto"/>
        <w:rPr>
          <w:sz w:val="20"/>
          <w:szCs w:val="20"/>
          <w:color w:val="auto"/>
        </w:rPr>
      </w:pPr>
      <w:r>
        <w:rPr>
          <w:rFonts w:ascii="Arial" w:cs="Arial" w:eastAsia="Arial" w:hAnsi="Arial"/>
          <w:sz w:val="18"/>
          <w:szCs w:val="18"/>
          <w:color w:val="auto"/>
        </w:rPr>
        <w:t>The Company recognizes revenue upon transfer of control of promised products or services to customers in an amount that reflects the consideration the Company expects to receive in exchange for those products or services. The Company offers customers the ability to acquire multiple licenses of software products and services, including cloud-based services, in its customer agreements through its volume licensing programs.</w:t>
      </w:r>
    </w:p>
    <w:p>
      <w:pPr>
        <w:spacing w:after="0" w:line="148" w:lineRule="exact"/>
        <w:rPr>
          <w:sz w:val="20"/>
          <w:szCs w:val="20"/>
          <w:color w:val="auto"/>
        </w:rPr>
      </w:pPr>
    </w:p>
    <w:p>
      <w:pPr>
        <w:jc w:val="both"/>
        <w:ind w:left="4" w:right="20"/>
        <w:spacing w:after="0" w:line="244" w:lineRule="auto"/>
        <w:rPr>
          <w:sz w:val="20"/>
          <w:szCs w:val="20"/>
          <w:color w:val="auto"/>
        </w:rPr>
      </w:pPr>
      <w:r>
        <w:rPr>
          <w:rFonts w:ascii="Arial" w:cs="Arial" w:eastAsia="Arial" w:hAnsi="Arial"/>
          <w:sz w:val="18"/>
          <w:szCs w:val="18"/>
          <w:color w:val="auto"/>
        </w:rPr>
        <w:t>Significant judgment is exercised by the Company in determining revenue recognition for these customer agreements, and includes the following:</w:t>
      </w:r>
    </w:p>
    <w:p>
      <w:pPr>
        <w:spacing w:after="0" w:line="144" w:lineRule="exact"/>
        <w:rPr>
          <w:sz w:val="20"/>
          <w:szCs w:val="20"/>
          <w:color w:val="auto"/>
        </w:rPr>
      </w:pPr>
    </w:p>
    <w:p>
      <w:pPr>
        <w:ind w:left="384" w:hanging="371"/>
        <w:spacing w:after="0" w:line="233" w:lineRule="auto"/>
        <w:tabs>
          <w:tab w:leader="none" w:pos="384"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Determination of whether products and services are considered distinct performance obligations that should be accounted for separately versus together, such as software licenses and related services that are sold with cloud-based services.</w:t>
      </w:r>
    </w:p>
    <w:p>
      <w:pPr>
        <w:spacing w:after="0" w:line="1" w:lineRule="exact"/>
        <w:rPr>
          <w:rFonts w:ascii="Arial" w:cs="Arial" w:eastAsia="Arial" w:hAnsi="Arial"/>
          <w:sz w:val="18"/>
          <w:szCs w:val="18"/>
          <w:color w:val="auto"/>
        </w:rPr>
      </w:pPr>
    </w:p>
    <w:p>
      <w:pPr>
        <w:ind w:left="384" w:hanging="371"/>
        <w:spacing w:after="0"/>
        <w:tabs>
          <w:tab w:leader="none" w:pos="38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pattern of delivery (i.e., timing of when revenue is recognized) for each distinct performance obligation.</w:t>
      </w:r>
    </w:p>
    <w:p>
      <w:pPr>
        <w:spacing w:after="0" w:line="8" w:lineRule="exact"/>
        <w:rPr>
          <w:rFonts w:ascii="Arial" w:cs="Arial" w:eastAsia="Arial" w:hAnsi="Arial"/>
          <w:sz w:val="18"/>
          <w:szCs w:val="18"/>
          <w:color w:val="auto"/>
        </w:rPr>
      </w:pPr>
    </w:p>
    <w:p>
      <w:pPr>
        <w:ind w:left="384" w:hanging="371"/>
        <w:spacing w:after="0" w:line="233" w:lineRule="auto"/>
        <w:tabs>
          <w:tab w:leader="none" w:pos="384" w:val="left"/>
        </w:tabs>
        <w:numPr>
          <w:ilvl w:val="0"/>
          <w:numId w:val="43"/>
        </w:numPr>
        <w:rPr>
          <w:rFonts w:ascii="Arial" w:cs="Arial" w:eastAsia="Arial" w:hAnsi="Arial"/>
          <w:sz w:val="18"/>
          <w:szCs w:val="18"/>
          <w:color w:val="auto"/>
        </w:rPr>
      </w:pPr>
      <w:r>
        <w:rPr>
          <w:rFonts w:ascii="Arial" w:cs="Arial" w:eastAsia="Arial" w:hAnsi="Arial"/>
          <w:sz w:val="18"/>
          <w:szCs w:val="18"/>
          <w:color w:val="auto"/>
        </w:rPr>
        <w:t>Identification and treatment of contract terms that may impact the timing and amount of revenue recognized (e.g., variable consideration, optional purchases, and free services).</w:t>
      </w:r>
    </w:p>
    <w:p>
      <w:pPr>
        <w:spacing w:after="0" w:line="1" w:lineRule="exact"/>
        <w:rPr>
          <w:rFonts w:ascii="Arial" w:cs="Arial" w:eastAsia="Arial" w:hAnsi="Arial"/>
          <w:sz w:val="18"/>
          <w:szCs w:val="18"/>
          <w:color w:val="auto"/>
        </w:rPr>
      </w:pPr>
    </w:p>
    <w:p>
      <w:pPr>
        <w:ind w:left="384" w:hanging="371"/>
        <w:spacing w:after="0" w:line="244" w:lineRule="auto"/>
        <w:tabs>
          <w:tab w:leader="none" w:pos="384"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Determination of stand-alone selling prices for each distinct performance obligation and for products and services that are not sold separately.</w:t>
      </w:r>
    </w:p>
    <w:p>
      <w:pPr>
        <w:spacing w:after="0" w:line="144" w:lineRule="exact"/>
        <w:rPr>
          <w:sz w:val="20"/>
          <w:szCs w:val="20"/>
          <w:color w:val="auto"/>
        </w:rPr>
      </w:pPr>
    </w:p>
    <w:p>
      <w:pPr>
        <w:ind w:left="4"/>
        <w:spacing w:after="0" w:line="244" w:lineRule="auto"/>
        <w:rPr>
          <w:sz w:val="20"/>
          <w:szCs w:val="20"/>
          <w:color w:val="auto"/>
        </w:rPr>
      </w:pPr>
      <w:r>
        <w:rPr>
          <w:rFonts w:ascii="Arial" w:cs="Arial" w:eastAsia="Arial" w:hAnsi="Arial"/>
          <w:sz w:val="18"/>
          <w:szCs w:val="18"/>
          <w:color w:val="auto"/>
        </w:rPr>
        <w:t>Given these factors and due to the volume of transactions, the related audit effort in evaluating management's judgments in determining revenue recognition for these customer agreements was extensive and required a high degree of auditor judgment.</w:t>
      </w:r>
    </w:p>
    <w:p>
      <w:pPr>
        <w:spacing w:after="0" w:line="126"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74" w:lineRule="exact"/>
        <w:rPr>
          <w:sz w:val="20"/>
          <w:szCs w:val="20"/>
          <w:color w:val="auto"/>
        </w:rPr>
      </w:pPr>
    </w:p>
    <w:p>
      <w:pPr>
        <w:ind w:left="4"/>
        <w:spacing w:after="0"/>
        <w:rPr>
          <w:sz w:val="20"/>
          <w:szCs w:val="20"/>
          <w:color w:val="auto"/>
        </w:rPr>
      </w:pPr>
      <w:r>
        <w:rPr>
          <w:rFonts w:ascii="Arial" w:cs="Arial" w:eastAsia="Arial" w:hAnsi="Arial"/>
          <w:sz w:val="18"/>
          <w:szCs w:val="18"/>
          <w:color w:val="auto"/>
        </w:rPr>
        <w:t>Our principal audit procedures related to the Company's revenue recognition for these customer agreements included the following:</w:t>
      </w:r>
    </w:p>
    <w:p>
      <w:pPr>
        <w:spacing w:after="0" w:line="156" w:lineRule="exact"/>
        <w:rPr>
          <w:sz w:val="20"/>
          <w:szCs w:val="20"/>
          <w:color w:val="auto"/>
        </w:rPr>
      </w:pPr>
    </w:p>
    <w:p>
      <w:pPr>
        <w:ind w:left="384" w:hanging="384"/>
        <w:spacing w:after="0" w:line="233" w:lineRule="auto"/>
        <w:tabs>
          <w:tab w:leader="none" w:pos="384"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tested the effectiveness of controls related to the identification of distinct performance obligations, the determination of the timing of revenue recognition, and the estimation of variable consideration.</w:t>
      </w:r>
    </w:p>
    <w:p>
      <w:pPr>
        <w:spacing w:after="0" w:line="1" w:lineRule="exact"/>
        <w:rPr>
          <w:rFonts w:ascii="Arial" w:cs="Arial" w:eastAsia="Arial" w:hAnsi="Arial"/>
          <w:sz w:val="18"/>
          <w:szCs w:val="18"/>
          <w:color w:val="auto"/>
        </w:rPr>
      </w:pPr>
    </w:p>
    <w:p>
      <w:pPr>
        <w:ind w:left="384" w:hanging="384"/>
        <w:spacing w:after="0"/>
        <w:tabs>
          <w:tab w:leader="none" w:pos="384"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evaluated management's significant accounting policies related to these customer agreements for reasonableness.</w:t>
      </w:r>
    </w:p>
    <w:p>
      <w:pPr>
        <w:spacing w:after="0" w:line="8" w:lineRule="exact"/>
        <w:rPr>
          <w:rFonts w:ascii="Arial" w:cs="Arial" w:eastAsia="Arial" w:hAnsi="Arial"/>
          <w:sz w:val="18"/>
          <w:szCs w:val="18"/>
          <w:color w:val="auto"/>
        </w:rPr>
      </w:pPr>
    </w:p>
    <w:p>
      <w:pPr>
        <w:ind w:left="384" w:hanging="384"/>
        <w:spacing w:after="0"/>
        <w:tabs>
          <w:tab w:leader="none" w:pos="384"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selected a sample of customer agreements and performed the following procedures:</w:t>
      </w:r>
    </w:p>
    <w:p>
      <w:pPr>
        <w:spacing w:after="0" w:line="169" w:lineRule="exact"/>
        <w:rPr>
          <w:rFonts w:ascii="Arial" w:cs="Arial" w:eastAsia="Arial" w:hAnsi="Arial"/>
          <w:sz w:val="18"/>
          <w:szCs w:val="18"/>
          <w:color w:val="auto"/>
        </w:rPr>
      </w:pPr>
    </w:p>
    <w:p>
      <w:pPr>
        <w:ind w:left="384" w:hanging="371"/>
        <w:spacing w:after="0" w:line="244" w:lineRule="auto"/>
        <w:tabs>
          <w:tab w:leader="none" w:pos="384" w:val="left"/>
        </w:tabs>
        <w:numPr>
          <w:ilvl w:val="1"/>
          <w:numId w:val="44"/>
        </w:numPr>
        <w:rPr>
          <w:rFonts w:ascii="Arial" w:cs="Arial" w:eastAsia="Arial" w:hAnsi="Arial"/>
          <w:sz w:val="18"/>
          <w:szCs w:val="18"/>
          <w:color w:val="auto"/>
        </w:rPr>
      </w:pPr>
      <w:r>
        <w:rPr>
          <w:rFonts w:ascii="Arial" w:cs="Arial" w:eastAsia="Arial" w:hAnsi="Arial"/>
          <w:sz w:val="18"/>
          <w:szCs w:val="18"/>
          <w:color w:val="auto"/>
        </w:rPr>
        <w:t>Obtained and read contract source documents for each selection, including master agreements, and other documents that were part of the agreement.</w:t>
      </w:r>
    </w:p>
    <w:p>
      <w:pPr>
        <w:spacing w:after="0" w:line="144" w:lineRule="exact"/>
        <w:rPr>
          <w:rFonts w:ascii="Arial" w:cs="Arial" w:eastAsia="Arial" w:hAnsi="Arial"/>
          <w:sz w:val="18"/>
          <w:szCs w:val="18"/>
          <w:color w:val="auto"/>
        </w:rPr>
      </w:pPr>
    </w:p>
    <w:p>
      <w:pPr>
        <w:ind w:left="384" w:hanging="371"/>
        <w:spacing w:after="0"/>
        <w:tabs>
          <w:tab w:leader="none" w:pos="384" w:val="left"/>
        </w:tabs>
        <w:numPr>
          <w:ilvl w:val="1"/>
          <w:numId w:val="44"/>
        </w:numPr>
        <w:rPr>
          <w:rFonts w:ascii="Arial" w:cs="Arial" w:eastAsia="Arial" w:hAnsi="Arial"/>
          <w:sz w:val="18"/>
          <w:szCs w:val="18"/>
          <w:color w:val="auto"/>
        </w:rPr>
      </w:pPr>
      <w:r>
        <w:rPr>
          <w:rFonts w:ascii="Arial" w:cs="Arial" w:eastAsia="Arial" w:hAnsi="Arial"/>
          <w:sz w:val="18"/>
          <w:szCs w:val="18"/>
          <w:color w:val="auto"/>
        </w:rPr>
        <w:t>Tested management's identification and treatment of contract terms.</w:t>
      </w:r>
    </w:p>
    <w:p>
      <w:pPr>
        <w:spacing w:after="0" w:line="156" w:lineRule="exact"/>
        <w:rPr>
          <w:rFonts w:ascii="Arial" w:cs="Arial" w:eastAsia="Arial" w:hAnsi="Arial"/>
          <w:sz w:val="18"/>
          <w:szCs w:val="18"/>
          <w:color w:val="auto"/>
        </w:rPr>
      </w:pPr>
    </w:p>
    <w:p>
      <w:pPr>
        <w:ind w:left="384" w:hanging="371"/>
        <w:spacing w:after="0" w:line="244" w:lineRule="auto"/>
        <w:tabs>
          <w:tab w:leader="none" w:pos="384" w:val="left"/>
        </w:tabs>
        <w:numPr>
          <w:ilvl w:val="1"/>
          <w:numId w:val="44"/>
        </w:numPr>
        <w:rPr>
          <w:rFonts w:ascii="Arial" w:cs="Arial" w:eastAsia="Arial" w:hAnsi="Arial"/>
          <w:sz w:val="18"/>
          <w:szCs w:val="18"/>
          <w:color w:val="auto"/>
        </w:rPr>
      </w:pPr>
      <w:r>
        <w:rPr>
          <w:rFonts w:ascii="Arial" w:cs="Arial" w:eastAsia="Arial" w:hAnsi="Arial"/>
          <w:sz w:val="18"/>
          <w:szCs w:val="18"/>
          <w:color w:val="auto"/>
        </w:rPr>
        <w:t>Assessed the terms in the customer agreement and evaluated the appropriateness of management's application of their accounting policies, along with their use of estimates, in the determination of revenue recognition conclusions.</w:t>
      </w:r>
    </w:p>
    <w:p>
      <w:pPr>
        <w:spacing w:after="0" w:line="144" w:lineRule="exact"/>
        <w:rPr>
          <w:sz w:val="20"/>
          <w:szCs w:val="20"/>
          <w:color w:val="auto"/>
        </w:rPr>
      </w:pPr>
    </w:p>
    <w:p>
      <w:pPr>
        <w:ind w:left="384" w:hanging="371"/>
        <w:spacing w:after="0" w:line="233" w:lineRule="auto"/>
        <w:tabs>
          <w:tab w:leader="none" w:pos="384"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evaluated the reasonableness of management's estimate of stand-alone selling prices for products and services that are not sold separately.</w:t>
      </w:r>
    </w:p>
    <w:p>
      <w:pPr>
        <w:spacing w:after="0" w:line="1" w:lineRule="exact"/>
        <w:rPr>
          <w:rFonts w:ascii="Arial" w:cs="Arial" w:eastAsia="Arial" w:hAnsi="Arial"/>
          <w:sz w:val="18"/>
          <w:szCs w:val="18"/>
          <w:color w:val="auto"/>
        </w:rPr>
      </w:pPr>
    </w:p>
    <w:p>
      <w:pPr>
        <w:ind w:left="384" w:hanging="371"/>
        <w:spacing w:after="0" w:line="244" w:lineRule="auto"/>
        <w:tabs>
          <w:tab w:leader="none" w:pos="384"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tested the mathematical accuracy of management's calculations of revenue and the associated timing of revenue recognized in the financial statements.</w:t>
      </w:r>
    </w:p>
    <w:p>
      <w:pPr>
        <w:spacing w:after="0" w:line="200" w:lineRule="exact"/>
        <w:rPr>
          <w:sz w:val="20"/>
          <w:szCs w:val="20"/>
          <w:color w:val="auto"/>
        </w:rPr>
      </w:pPr>
    </w:p>
    <w:p>
      <w:pPr>
        <w:spacing w:after="0" w:line="205" w:lineRule="exact"/>
        <w:rPr>
          <w:sz w:val="20"/>
          <w:szCs w:val="20"/>
          <w:color w:val="auto"/>
        </w:rPr>
      </w:pPr>
    </w:p>
    <w:p>
      <w:pPr>
        <w:jc w:val="center"/>
        <w:ind w:right="-143"/>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52705</wp:posOffset>
            </wp:positionV>
            <wp:extent cx="71583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704"/>
          </w:cols>
          <w:pgMar w:left="516" w:top="137" w:right="679" w:bottom="1440" w:gutter="0" w:footer="0" w:header="0"/>
        </w:sectPr>
      </w:pPr>
    </w:p>
    <w:bookmarkStart w:id="97" w:name="page98"/>
    <w:bookmarkEnd w:id="97"/>
    <w:p>
      <w:pPr>
        <w:ind w:left="5200"/>
        <w:spacing w:after="0"/>
        <w:rPr>
          <w:sz w:val="20"/>
          <w:szCs w:val="20"/>
          <w:color w:val="auto"/>
        </w:rPr>
      </w:pPr>
      <w:r>
        <w:rPr>
          <w:rFonts w:ascii="Arial" w:cs="Arial" w:eastAsia="Arial" w:hAnsi="Arial"/>
          <w:sz w:val="13"/>
          <w:szCs w:val="13"/>
          <w:u w:val="single" w:color="auto"/>
          <w:color w:val="auto"/>
        </w:rPr>
        <w:t>PART II</w:t>
      </w:r>
    </w:p>
    <w:p>
      <w:pPr>
        <w:ind w:left="5240"/>
        <w:spacing w:after="0"/>
        <w:rPr>
          <w:sz w:val="20"/>
          <w:szCs w:val="20"/>
          <w:color w:val="auto"/>
        </w:rPr>
      </w:pPr>
      <w:r>
        <w:rPr>
          <w:rFonts w:ascii="Arial" w:cs="Arial" w:eastAsia="Arial" w:hAnsi="Arial"/>
          <w:sz w:val="13"/>
          <w:szCs w:val="13"/>
          <w:color w:val="auto"/>
        </w:rPr>
        <w:t>Item 8</w:t>
      </w:r>
    </w:p>
    <w:p>
      <w:pPr>
        <w:spacing w:after="0" w:line="178" w:lineRule="exact"/>
        <w:rPr>
          <w:sz w:val="20"/>
          <w:szCs w:val="20"/>
          <w:color w:val="auto"/>
        </w:rPr>
      </w:pPr>
    </w:p>
    <w:p>
      <w:pPr>
        <w:ind w:right="3400"/>
        <w:spacing w:after="0" w:line="433" w:lineRule="auto"/>
        <w:rPr>
          <w:sz w:val="20"/>
          <w:szCs w:val="20"/>
          <w:color w:val="auto"/>
        </w:rPr>
      </w:pPr>
      <w:r>
        <w:rPr>
          <w:rFonts w:ascii="Arial" w:cs="Arial" w:eastAsia="Arial" w:hAnsi="Arial"/>
          <w:sz w:val="18"/>
          <w:szCs w:val="18"/>
          <w:b w:val="1"/>
          <w:bCs w:val="1"/>
          <w:i w:val="1"/>
          <w:iCs w:val="1"/>
          <w:color w:val="auto"/>
        </w:rPr>
        <w:t xml:space="preserve">Income Taxes – Uncertain Tax Positions – Refer to Note 12 to the financial statements </w:t>
      </w:r>
      <w:r>
        <w:rPr>
          <w:rFonts w:ascii="Arial" w:cs="Arial" w:eastAsia="Arial" w:hAnsi="Arial"/>
          <w:sz w:val="18"/>
          <w:szCs w:val="18"/>
          <w:i w:val="1"/>
          <w:iCs w:val="1"/>
          <w:color w:val="auto"/>
        </w:rPr>
        <w:t>Critical Audit Matter Description</w:t>
      </w:r>
    </w:p>
    <w:p>
      <w:pPr>
        <w:spacing w:after="0" w:line="2"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The Company's long-term income taxes liability includes uncertain tax positions related to transfer pricing issues that remain unresolved with the Internal Revenue Service ("IRS"). The Company remains under IRS audit, or subject to IRS audit, for tax years subsequent to 2003. While the Company has settled a portion of the IRS audits, resolution of the remaining matters could have a material impact on the Company's financial statements.</w:t>
      </w:r>
    </w:p>
    <w:p>
      <w:pPr>
        <w:spacing w:after="0" w:line="14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Conclusions on recognizing and measuring uncertain tax positions involve significant estimates and management judgment and include complex considerations of the Internal Revenue Code, related regulations, tax case laws, and prior-year audit settlements. Given the complexity and the subjective nature of the transfer pricing issues that remain unresolved with the IRS, evaluating management's estimates relating to their determination of uncertain tax positions required extensive audit effort and a high degree of auditor judgment, including involvement of our tax specialists.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7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principal audit procedures to evaluate management's estimates of uncertain tax positions related to unresolved transfer pricing issues included the following:</w:t>
      </w:r>
    </w:p>
    <w:p>
      <w:pPr>
        <w:spacing w:after="0" w:line="144" w:lineRule="exact"/>
        <w:rPr>
          <w:sz w:val="20"/>
          <w:szCs w:val="20"/>
          <w:color w:val="auto"/>
        </w:rPr>
      </w:pPr>
    </w:p>
    <w:p>
      <w:pPr>
        <w:jc w:val="both"/>
        <w:ind w:left="380" w:hanging="371"/>
        <w:spacing w:after="0" w:line="233"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evaluated the appropriateness and consistency of management's methods and assumptions used in the identification, recognition, measurement, and disclosure of uncertain tax positions, which included testing the effectiveness of the related internal controls.</w:t>
      </w:r>
    </w:p>
    <w:p>
      <w:pPr>
        <w:spacing w:after="0" w:line="2" w:lineRule="exact"/>
        <w:rPr>
          <w:rFonts w:ascii="Arial" w:cs="Arial" w:eastAsia="Arial" w:hAnsi="Arial"/>
          <w:sz w:val="18"/>
          <w:szCs w:val="18"/>
          <w:color w:val="auto"/>
        </w:rPr>
      </w:pPr>
    </w:p>
    <w:p>
      <w:pPr>
        <w:ind w:left="380" w:hanging="371"/>
        <w:spacing w:after="0" w:line="233"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read and evaluated management's documentation, including relevant accounting policies and information obtained by management from outside tax specialists, that detailed the basis of the uncertain tax positions.</w:t>
      </w:r>
    </w:p>
    <w:p>
      <w:pPr>
        <w:spacing w:after="0" w:line="1" w:lineRule="exact"/>
        <w:rPr>
          <w:rFonts w:ascii="Arial" w:cs="Arial" w:eastAsia="Arial" w:hAnsi="Arial"/>
          <w:sz w:val="18"/>
          <w:szCs w:val="18"/>
          <w:color w:val="auto"/>
        </w:rPr>
      </w:pPr>
    </w:p>
    <w:p>
      <w:pPr>
        <w:ind w:left="380" w:hanging="371"/>
        <w:spacing w:after="0" w:line="233"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tested the reasonableness of management's judgments regarding the future resolution of the uncertain tax positions, including an evaluation of the technical merits of the uncertain tax positions.</w:t>
      </w:r>
    </w:p>
    <w:p>
      <w:pPr>
        <w:spacing w:after="0" w:line="1" w:lineRule="exact"/>
        <w:rPr>
          <w:rFonts w:ascii="Arial" w:cs="Arial" w:eastAsia="Arial" w:hAnsi="Arial"/>
          <w:sz w:val="18"/>
          <w:szCs w:val="18"/>
          <w:color w:val="auto"/>
        </w:rPr>
      </w:pPr>
    </w:p>
    <w:p>
      <w:pPr>
        <w:jc w:val="both"/>
        <w:ind w:left="380" w:hanging="371"/>
        <w:spacing w:after="0" w:line="233"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 those uncertain tax positions that had not been effectively settled, we evaluated whether management had appropriately considered new information that could significantly change the recognition, measurement or disclosure of the uncertain tax positions.</w:t>
      </w:r>
    </w:p>
    <w:p>
      <w:pPr>
        <w:spacing w:after="0" w:line="2" w:lineRule="exact"/>
        <w:rPr>
          <w:rFonts w:ascii="Arial" w:cs="Arial" w:eastAsia="Arial" w:hAnsi="Arial"/>
          <w:sz w:val="18"/>
          <w:szCs w:val="18"/>
          <w:color w:val="auto"/>
        </w:rPr>
      </w:pPr>
    </w:p>
    <w:p>
      <w:pPr>
        <w:ind w:left="380" w:hanging="371"/>
        <w:spacing w:after="0" w:line="244"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evaluated the reasonableness of management's estimates by considering how tax law, including statutes, regulations and case law, impacted management's judgments.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D</w:t>
      </w:r>
      <w:r>
        <w:rPr>
          <w:rFonts w:ascii="Arial" w:cs="Arial" w:eastAsia="Arial" w:hAnsi="Arial"/>
          <w:sz w:val="13"/>
          <w:szCs w:val="13"/>
          <w:color w:val="auto"/>
        </w:rPr>
        <w:t>ELOITTE</w:t>
      </w:r>
      <w:r>
        <w:rPr>
          <w:rFonts w:ascii="Arial" w:cs="Arial" w:eastAsia="Arial" w:hAnsi="Arial"/>
          <w:sz w:val="18"/>
          <w:szCs w:val="18"/>
          <w:color w:val="auto"/>
        </w:rPr>
        <w:t xml:space="preserve"> &amp; T</w:t>
      </w:r>
      <w:r>
        <w:rPr>
          <w:rFonts w:ascii="Arial" w:cs="Arial" w:eastAsia="Arial" w:hAnsi="Arial"/>
          <w:sz w:val="13"/>
          <w:szCs w:val="13"/>
          <w:color w:val="auto"/>
        </w:rPr>
        <w:t>OUCHE</w:t>
      </w:r>
      <w:r>
        <w:rPr>
          <w:rFonts w:ascii="Arial" w:cs="Arial" w:eastAsia="Arial" w:hAnsi="Arial"/>
          <w:sz w:val="18"/>
          <w:szCs w:val="18"/>
          <w:color w:val="auto"/>
        </w:rPr>
        <w:t xml:space="preserve"> LLP</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rPr>
          <w:sz w:val="20"/>
          <w:szCs w:val="20"/>
          <w:color w:val="auto"/>
        </w:rPr>
      </w:pPr>
      <w:r>
        <w:rPr>
          <w:rFonts w:ascii="Arial" w:cs="Arial" w:eastAsia="Arial" w:hAnsi="Arial"/>
          <w:sz w:val="18"/>
          <w:szCs w:val="18"/>
          <w:color w:val="auto"/>
        </w:rPr>
        <w:t>July 29, 2021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1983.</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52705</wp:posOffset>
            </wp:positionV>
            <wp:extent cx="71583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700"/>
          </w:cols>
          <w:pgMar w:left="520" w:top="137" w:right="679" w:bottom="1440" w:gutter="0" w:footer="0" w:header="0"/>
        </w:sectPr>
      </w:pPr>
    </w:p>
    <w:bookmarkStart w:id="98" w:name="page99"/>
    <w:bookmarkEnd w:id="98"/>
    <w:p>
      <w:pPr>
        <w:jc w:val="center"/>
        <w:spacing w:after="0"/>
        <w:rPr>
          <w:sz w:val="20"/>
          <w:szCs w:val="20"/>
          <w:color w:val="auto"/>
        </w:rPr>
      </w:pPr>
      <w:r>
        <w:rPr>
          <w:rFonts w:ascii="Arial" w:cs="Arial" w:eastAsia="Arial" w:hAnsi="Arial"/>
          <w:sz w:val="13"/>
          <w:szCs w:val="13"/>
          <w:u w:val="single" w:color="auto"/>
          <w:color w:val="auto"/>
        </w:rPr>
        <w:t>PART II</w:t>
      </w:r>
    </w:p>
    <w:p>
      <w:pPr>
        <w:jc w:val="center"/>
        <w:spacing w:after="0"/>
        <w:rPr>
          <w:sz w:val="20"/>
          <w:szCs w:val="20"/>
          <w:color w:val="auto"/>
        </w:rPr>
      </w:pPr>
      <w:r>
        <w:rPr>
          <w:rFonts w:ascii="Arial" w:cs="Arial" w:eastAsia="Arial" w:hAnsi="Arial"/>
          <w:sz w:val="13"/>
          <w:szCs w:val="13"/>
          <w:color w:val="auto"/>
        </w:rPr>
        <w:t>Item 9, 9A</w:t>
      </w:r>
    </w:p>
    <w:p>
      <w:pPr>
        <w:spacing w:after="0" w:line="168" w:lineRule="exact"/>
        <w:rPr>
          <w:sz w:val="20"/>
          <w:szCs w:val="20"/>
          <w:color w:val="auto"/>
        </w:rPr>
      </w:pPr>
    </w:p>
    <w:p>
      <w:pPr>
        <w:jc w:val="center"/>
        <w:spacing w:after="0" w:line="259" w:lineRule="auto"/>
        <w:rPr>
          <w:sz w:val="20"/>
          <w:szCs w:val="20"/>
          <w:color w:val="auto"/>
        </w:rPr>
      </w:pPr>
      <w:r>
        <w:rPr>
          <w:rFonts w:ascii="Arial" w:cs="Arial" w:eastAsia="Arial" w:hAnsi="Arial"/>
          <w:sz w:val="22"/>
          <w:szCs w:val="22"/>
          <w:b w:val="1"/>
          <w:bCs w:val="1"/>
          <w:color w:val="auto"/>
        </w:rPr>
        <w:t>ITEM 9. CHANGES IN AND DISAGREEMENTS WITH ACCOUNTANTS ON ACCOUNTING AND FINANCIAL DISCLOSURE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9A. CONTROLS AND PROCEDURES</w:t>
      </w:r>
    </w:p>
    <w:p>
      <w:pPr>
        <w:spacing w:after="0" w:line="18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Under the supervision and with the participation of our management, including the Chief Executive Officer and Chief Financial Officer, we have evaluated the effectiveness of our disclosure controls and procedures as required by Exchange Act Rule 13a-15(b) as of the end of the period covered by this report. Based on that evaluation, the Chief Executive Officer and Chief Financial Officer have concluded that these disclosure controls and procedures are effective.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MANAGEMENT ON INTERNAL CONTROL OVER FINANCIAL REPORTING</w:t>
      </w:r>
    </w:p>
    <w:p>
      <w:pPr>
        <w:spacing w:after="0" w:line="17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for the Company. Internal control over financial reporting is a process to provide reasonable assurance regarding the reliability of our financial reporting for external purposes in accordance with accounting principles generally accepted in the United States of America. Internal control over financial reporting includes maintaining records that in reasonable detail accurately and fairly reflect our transactions; providing reasonable assurance that transactions are recorded as necessary for preparation of our consolidated financial statements; providing reasonable assurance that receipts and expenditures of company assets are made in accordance with management authorization; and providing reasonable assurance that unauthorized acquisition, use, or disposition of company assets that could have a material effect on our consolidated financial statements would be prevented or detected on a timely basis. Because of its inherent limitations, internal control over financial reporting is not intended to provide absolute assurance that a misstatement of our consolidated financial statements would be prevented or detected.</w:t>
      </w:r>
    </w:p>
    <w:p>
      <w:pPr>
        <w:spacing w:after="0" w:line="135"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Management conducted an evaluation of the effectiveness of our internal control over financial reporting based on the framework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 – Integrated Framework (2013) </w:t>
      </w:r>
      <w:r>
        <w:rPr>
          <w:rFonts w:ascii="Arial" w:cs="Arial" w:eastAsia="Arial" w:hAnsi="Arial"/>
          <w:sz w:val="18"/>
          <w:szCs w:val="18"/>
          <w:color w:val="auto"/>
        </w:rPr>
        <w:t>issued by the Committee of Sponsoring Organizations of the Treadway Commission. Based on this</w:t>
      </w:r>
      <w:r>
        <w:rPr>
          <w:rFonts w:ascii="Arial" w:cs="Arial" w:eastAsia="Arial" w:hAnsi="Arial"/>
          <w:sz w:val="18"/>
          <w:szCs w:val="18"/>
          <w:i w:val="1"/>
          <w:iCs w:val="1"/>
          <w:color w:val="auto"/>
        </w:rPr>
        <w:t xml:space="preserve"> </w:t>
      </w:r>
      <w:r>
        <w:rPr>
          <w:rFonts w:ascii="Arial" w:cs="Arial" w:eastAsia="Arial" w:hAnsi="Arial"/>
          <w:sz w:val="18"/>
          <w:szCs w:val="18"/>
          <w:color w:val="auto"/>
        </w:rPr>
        <w:t>evaluation, management concluded that the Company’s internal control over financial reporting was effective as of June 30, 2021. There were no changes in our internal control over financial reporting during the quarter ended June 30, 2021 that have materially affected, or are reasonably likely to materially affect, our internal control over financial reporting. Deloitte &amp; Touche LLP has audited our internal control over financial reporting as of June 30, 2021; their report is included in Item 9A.</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99" w:name="page100"/>
    <w:bookmarkEnd w:id="99"/>
    <w:p>
      <w:pPr>
        <w:ind w:left="5200"/>
        <w:spacing w:after="0"/>
        <w:rPr>
          <w:sz w:val="20"/>
          <w:szCs w:val="20"/>
          <w:color w:val="auto"/>
        </w:rPr>
      </w:pPr>
      <w:r>
        <w:rPr>
          <w:rFonts w:ascii="Arial" w:cs="Arial" w:eastAsia="Arial" w:hAnsi="Arial"/>
          <w:sz w:val="13"/>
          <w:szCs w:val="13"/>
          <w:u w:val="single" w:color="auto"/>
          <w:color w:val="auto"/>
        </w:rPr>
        <w:t>PART II</w:t>
      </w:r>
    </w:p>
    <w:p>
      <w:pPr>
        <w:ind w:left="5200"/>
        <w:spacing w:after="0"/>
        <w:rPr>
          <w:sz w:val="20"/>
          <w:szCs w:val="20"/>
          <w:color w:val="auto"/>
        </w:rPr>
      </w:pPr>
      <w:r>
        <w:rPr>
          <w:rFonts w:ascii="Arial" w:cs="Arial" w:eastAsia="Arial" w:hAnsi="Arial"/>
          <w:sz w:val="13"/>
          <w:szCs w:val="13"/>
          <w:color w:val="auto"/>
        </w:rPr>
        <w:t>Item 9A</w:t>
      </w:r>
    </w:p>
    <w:p>
      <w:pPr>
        <w:spacing w:after="0" w:line="178" w:lineRule="exact"/>
        <w:rPr>
          <w:sz w:val="20"/>
          <w:szCs w:val="20"/>
          <w:color w:val="auto"/>
        </w:rPr>
      </w:pPr>
    </w:p>
    <w:p>
      <w:pPr>
        <w:ind w:right="4620"/>
        <w:spacing w:after="0" w:line="42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Microsoft Corporation </w:t>
      </w:r>
      <w:r>
        <w:rPr>
          <w:rFonts w:ascii="Arial" w:cs="Arial" w:eastAsia="Arial" w:hAnsi="Arial"/>
          <w:sz w:val="18"/>
          <w:szCs w:val="18"/>
          <w:b w:val="1"/>
          <w:bCs w:val="1"/>
          <w:color w:val="auto"/>
        </w:rPr>
        <w:t>Opinion on Internal Control over Financial Reporting</w:t>
      </w:r>
    </w:p>
    <w:p>
      <w:pPr>
        <w:spacing w:after="0" w:line="2"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 xml:space="preserve">We have audited the internal control over financial reporting of Microsoft Corporation and subsidiaries (the "Company") as of June 30,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June 30, 2021, based on the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COSO.</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and the related notes (collectively referred to as the "financial statements") as of and for the year ended June 30, 2021, of the Company and our report dated July 29, 2021, expressed an unqualified opinion on those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Report of Management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7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3"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/s/ D</w:t>
      </w:r>
      <w:r>
        <w:rPr>
          <w:rFonts w:ascii="Arial" w:cs="Arial" w:eastAsia="Arial" w:hAnsi="Arial"/>
          <w:sz w:val="13"/>
          <w:szCs w:val="13"/>
          <w:color w:val="auto"/>
        </w:rPr>
        <w:t>ELOITTE</w:t>
      </w:r>
      <w:r>
        <w:rPr>
          <w:rFonts w:ascii="Arial" w:cs="Arial" w:eastAsia="Arial" w:hAnsi="Arial"/>
          <w:sz w:val="18"/>
          <w:szCs w:val="18"/>
          <w:color w:val="auto"/>
        </w:rPr>
        <w:t xml:space="preserve"> &amp; T</w:t>
      </w:r>
      <w:r>
        <w:rPr>
          <w:rFonts w:ascii="Arial" w:cs="Arial" w:eastAsia="Arial" w:hAnsi="Arial"/>
          <w:sz w:val="13"/>
          <w:szCs w:val="13"/>
          <w:color w:val="auto"/>
        </w:rPr>
        <w:t>OUCHE</w:t>
      </w:r>
      <w:r>
        <w:rPr>
          <w:rFonts w:ascii="Arial" w:cs="Arial" w:eastAsia="Arial" w:hAnsi="Arial"/>
          <w:sz w:val="18"/>
          <w:szCs w:val="18"/>
          <w:color w:val="auto"/>
        </w:rPr>
        <w:t xml:space="preserve"> LLP</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rPr>
          <w:sz w:val="20"/>
          <w:szCs w:val="20"/>
          <w:color w:val="auto"/>
        </w:rPr>
      </w:pPr>
      <w:r>
        <w:rPr>
          <w:rFonts w:ascii="Arial" w:cs="Arial" w:eastAsia="Arial" w:hAnsi="Arial"/>
          <w:sz w:val="18"/>
          <w:szCs w:val="18"/>
          <w:color w:val="auto"/>
        </w:rPr>
        <w:t>July 29, 2021</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52705</wp:posOffset>
            </wp:positionV>
            <wp:extent cx="71583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700"/>
          </w:cols>
          <w:pgMar w:left="520" w:top="137" w:right="67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3"/>
          <w:szCs w:val="13"/>
          <w:u w:val="single" w:color="auto"/>
          <w:color w:val="auto"/>
        </w:rPr>
        <w:t>PART II, III</w:t>
      </w:r>
    </w:p>
    <w:p>
      <w:pPr>
        <w:jc w:val="center"/>
        <w:spacing w:after="0"/>
        <w:rPr>
          <w:sz w:val="20"/>
          <w:szCs w:val="20"/>
          <w:color w:val="auto"/>
        </w:rPr>
      </w:pPr>
      <w:r>
        <w:rPr>
          <w:rFonts w:ascii="Arial" w:cs="Arial" w:eastAsia="Arial" w:hAnsi="Arial"/>
          <w:sz w:val="13"/>
          <w:szCs w:val="13"/>
          <w:color w:val="auto"/>
        </w:rPr>
        <w:t>Item 9B, 10, 11, 12, 13, 14</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9B. OTHER INFORMATION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10. DIRECTORS, EXECUTIVE OFFICERS AND CORPORATE GOVERNANCE</w:t>
      </w:r>
    </w:p>
    <w:p>
      <w:pPr>
        <w:spacing w:after="0" w:line="18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 list of our executive officers and biographical information appears in Part I, Item 1 of this Form 10-K. Information about our directors may be found under the caption “Our director nominees” in our Proxy Statement for the Annual Meeting of Shareholders to be held November 30, 2021 (the “Proxy Statement”). Information about our Audit Committee may be found under the caption “Board committees” in the Proxy Statement. That information is incorporated herein by reference.</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have adopted the Microsoft Finance Code of Professional Conduct (the “finance code of ethics”), a code of ethics that applies to our Chief Executive Officer, Chief Financial Officer, Chief Accounting Officer, and other finance organization employees. The finance code of ethics is publicly available on our website at https://aka.ms/FinanceCodeProfessionalConduct. If we make any substantive amendments to the finance code of ethics or grant any waiver, including any implicit waiver, from a provision of the code to our Chief Executive Officer, Chief Financial Officer, or Chief Accounting Officer, we will disclose the nature of the amendment or waiver on that website or in a report on Form 8-K.</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11. EXECUTIVE COMPENSATION</w:t>
      </w:r>
    </w:p>
    <w:p>
      <w:pPr>
        <w:spacing w:after="0" w:line="18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information in the Proxy Statement set forth under the captions “Director compensation,” “Named executive officer compensation,” “Compensation Committee report,” and, if required, “Compensation Committee interlocks and insider participation,” is incorporated herein by reference.</w:t>
      </w:r>
    </w:p>
    <w:p>
      <w:pPr>
        <w:spacing w:after="0" w:line="184" w:lineRule="exact"/>
        <w:rPr>
          <w:sz w:val="20"/>
          <w:szCs w:val="20"/>
          <w:color w:val="auto"/>
        </w:rPr>
      </w:pPr>
    </w:p>
    <w:p>
      <w:pPr>
        <w:jc w:val="center"/>
        <w:spacing w:after="0" w:line="259" w:lineRule="auto"/>
        <w:rPr>
          <w:sz w:val="20"/>
          <w:szCs w:val="20"/>
          <w:color w:val="auto"/>
        </w:rPr>
      </w:pPr>
      <w:r>
        <w:rPr>
          <w:rFonts w:ascii="Arial" w:cs="Arial" w:eastAsia="Arial" w:hAnsi="Arial"/>
          <w:sz w:val="22"/>
          <w:szCs w:val="22"/>
          <w:b w:val="1"/>
          <w:bCs w:val="1"/>
          <w:color w:val="auto"/>
        </w:rPr>
        <w:t>ITEM 12. SECURITY OWNERSHIP OF CERTAIN BENEFICIAL OWNERS AND MANAGEMENT AND RELATED STOCKHOLDER MATTERS</w:t>
      </w:r>
    </w:p>
    <w:p>
      <w:pPr>
        <w:spacing w:after="0" w:line="13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information in the Proxy Statement set forth under the captions “Stock ownership information,” “Principal shareholders” and “Equity compensation plan information” is incorporated herein by reference.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13. CERTAIN RELATIONSHIPS AND RELATED TRANSACTIONS, AND DIRECTOR INDEPENDENCE</w:t>
      </w:r>
    </w:p>
    <w:p>
      <w:pPr>
        <w:spacing w:after="0" w:line="182"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The information set forth in the Proxy Statement under the captions “Director independence” and “Certain relationships and related transactions” is incorporated herein by reference.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14. PRINCIPAL ACCOUNTING FEES AND SERVICES</w:t>
      </w:r>
    </w:p>
    <w:p>
      <w:pPr>
        <w:spacing w:after="0" w:line="18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Information concerning principal accountant fees and services appears in the Proxy Statement under the headings “Fees billed by Deloitte &amp; Touche” and “Policy on Audit Committee pre-approval of audit and permissible non-audit services of independent auditor” and is incorporated herein by reference.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101" w:name="page102"/>
    <w:bookmarkEnd w:id="101"/>
    <w:p>
      <w:pPr>
        <w:ind w:left="5360"/>
        <w:spacing w:after="0"/>
        <w:rPr>
          <w:sz w:val="20"/>
          <w:szCs w:val="20"/>
          <w:color w:val="auto"/>
        </w:rPr>
      </w:pPr>
      <w:r>
        <w:rPr>
          <w:rFonts w:ascii="Arial" w:cs="Arial" w:eastAsia="Arial" w:hAnsi="Arial"/>
          <w:sz w:val="13"/>
          <w:szCs w:val="13"/>
          <w:u w:val="single" w:color="auto"/>
          <w:color w:val="auto"/>
        </w:rPr>
        <w:t>PART IV</w:t>
      </w:r>
    </w:p>
    <w:p>
      <w:pPr>
        <w:ind w:left="5400"/>
        <w:spacing w:after="0"/>
        <w:rPr>
          <w:sz w:val="20"/>
          <w:szCs w:val="20"/>
          <w:color w:val="auto"/>
        </w:rPr>
      </w:pPr>
      <w:r>
        <w:rPr>
          <w:rFonts w:ascii="Arial" w:cs="Arial" w:eastAsia="Arial" w:hAnsi="Arial"/>
          <w:sz w:val="13"/>
          <w:szCs w:val="13"/>
          <w:color w:val="auto"/>
        </w:rPr>
        <w:t>Item 15</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ITEM 15. EXHIBITS, FINANCIAL STATEMENT SCHEDULES</w:t>
      </w:r>
    </w:p>
    <w:p>
      <w:pPr>
        <w:spacing w:after="0" w:line="160" w:lineRule="exact"/>
        <w:rPr>
          <w:sz w:val="20"/>
          <w:szCs w:val="20"/>
          <w:color w:val="auto"/>
        </w:rPr>
      </w:pPr>
    </w:p>
    <w:p>
      <w:pPr>
        <w:ind w:left="540" w:hanging="532"/>
        <w:spacing w:after="0"/>
        <w:tabs>
          <w:tab w:leader="none" w:pos="5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 and Schedules</w:t>
      </w:r>
    </w:p>
    <w:p>
      <w:pPr>
        <w:spacing w:after="0" w:line="17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financial statements are set forth under Item 8 of this Form 10-K, as indexed below. Financial statement schedules have been omitted since they either are not required, not applicable, or the information is otherwise included.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680" w:type="dxa"/>
            <w:vAlign w:val="bottom"/>
            <w:gridSpan w:val="10"/>
          </w:tcPr>
          <w:p>
            <w:pPr>
              <w:spacing w:after="0"/>
              <w:rPr>
                <w:sz w:val="20"/>
                <w:szCs w:val="20"/>
                <w:color w:val="auto"/>
              </w:rPr>
            </w:pPr>
            <w:r>
              <w:rPr>
                <w:rFonts w:ascii="Arial" w:cs="Arial" w:eastAsia="Arial" w:hAnsi="Arial"/>
                <w:sz w:val="13"/>
                <w:szCs w:val="13"/>
                <w:b w:val="1"/>
                <w:bCs w:val="1"/>
                <w:color w:val="auto"/>
              </w:rPr>
              <w:t>Index to Financial Statements</w:t>
            </w:r>
          </w:p>
        </w:tc>
        <w:tc>
          <w:tcPr>
            <w:tcW w:w="52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Page</w:t>
            </w:r>
          </w:p>
        </w:tc>
      </w:tr>
      <w:tr>
        <w:trPr>
          <w:trHeight w:val="168"/>
        </w:trPr>
        <w:tc>
          <w:tcPr>
            <w:tcW w:w="20" w:type="dxa"/>
            <w:vAlign w:val="bottom"/>
            <w:tcBorders>
              <w:bottom w:val="single" w:sz="8" w:color="0000EE"/>
            </w:tcBorders>
          </w:tcPr>
          <w:p>
            <w:pPr>
              <w:spacing w:after="0"/>
              <w:rPr>
                <w:sz w:val="14"/>
                <w:szCs w:val="14"/>
                <w:color w:val="auto"/>
              </w:rPr>
            </w:pPr>
          </w:p>
        </w:tc>
        <w:tc>
          <w:tcPr>
            <w:tcW w:w="1540" w:type="dxa"/>
            <w:vAlign w:val="bottom"/>
            <w:tcBorders>
              <w:top w:val="single" w:sz="8" w:color="auto"/>
              <w:bottom w:val="single" w:sz="8" w:color="0000EE"/>
            </w:tcBorders>
            <w:gridSpan w:val="2"/>
          </w:tcPr>
          <w:p>
            <w:pPr>
              <w:spacing w:after="0" w:line="169" w:lineRule="exact"/>
              <w:rPr>
                <w:rFonts w:ascii="Arial" w:cs="Arial" w:eastAsia="Arial" w:hAnsi="Arial"/>
                <w:sz w:val="18"/>
                <w:szCs w:val="18"/>
                <w:color w:val="0000EE"/>
                <w:w w:val="97"/>
              </w:rPr>
            </w:pPr>
            <w:hyperlink w:anchor="page57">
              <w:r>
                <w:rPr>
                  <w:rFonts w:ascii="Arial" w:cs="Arial" w:eastAsia="Arial" w:hAnsi="Arial"/>
                  <w:sz w:val="18"/>
                  <w:szCs w:val="18"/>
                  <w:color w:val="0000EE"/>
                  <w:w w:val="97"/>
                </w:rPr>
                <w:t>Income Statements</w:t>
              </w:r>
            </w:hyperlink>
          </w:p>
        </w:tc>
        <w:tc>
          <w:tcPr>
            <w:tcW w:w="8980" w:type="dxa"/>
            <w:vAlign w:val="bottom"/>
            <w:tcBorders>
              <w:top w:val="single" w:sz="8" w:color="auto"/>
            </w:tcBorders>
            <w:gridSpan w:val="6"/>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57</w:t>
            </w:r>
          </w:p>
        </w:tc>
        <w:tc>
          <w:tcPr>
            <w:tcW w:w="20" w:type="dxa"/>
            <w:vAlign w:val="bottom"/>
          </w:tcPr>
          <w:p>
            <w:pPr>
              <w:spacing w:after="0"/>
              <w:rPr>
                <w:sz w:val="14"/>
                <w:szCs w:val="14"/>
                <w:color w:val="auto"/>
              </w:rPr>
            </w:pPr>
          </w:p>
        </w:tc>
      </w:tr>
      <w:tr>
        <w:trPr>
          <w:trHeight w:val="263"/>
        </w:trPr>
        <w:tc>
          <w:tcPr>
            <w:tcW w:w="2860" w:type="dxa"/>
            <w:vAlign w:val="bottom"/>
            <w:tcBorders>
              <w:bottom w:val="single" w:sz="8" w:color="0000EE"/>
            </w:tcBorders>
            <w:gridSpan w:val="7"/>
          </w:tcPr>
          <w:p>
            <w:pPr>
              <w:spacing w:after="0"/>
              <w:rPr>
                <w:rFonts w:ascii="Arial" w:cs="Arial" w:eastAsia="Arial" w:hAnsi="Arial"/>
                <w:sz w:val="18"/>
                <w:szCs w:val="18"/>
                <w:color w:val="0000EE"/>
                <w:w w:val="99"/>
              </w:rPr>
            </w:pPr>
            <w:hyperlink w:anchor="page58">
              <w:r>
                <w:rPr>
                  <w:rFonts w:ascii="Arial" w:cs="Arial" w:eastAsia="Arial" w:hAnsi="Arial"/>
                  <w:sz w:val="18"/>
                  <w:szCs w:val="18"/>
                  <w:color w:val="0000EE"/>
                  <w:w w:val="99"/>
                </w:rPr>
                <w:t>Comprehensive Income Statements</w:t>
              </w:r>
            </w:hyperlink>
          </w:p>
        </w:tc>
        <w:tc>
          <w:tcPr>
            <w:tcW w:w="7820" w:type="dxa"/>
            <w:vAlign w:val="bottom"/>
            <w:gridSpan w:val="3"/>
          </w:tcPr>
          <w:p>
            <w:pPr>
              <w:spacing w:after="0"/>
              <w:rPr>
                <w:sz w:val="22"/>
                <w:szCs w:val="22"/>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r>
      <w:tr>
        <w:trPr>
          <w:trHeight w:val="263"/>
        </w:trPr>
        <w:tc>
          <w:tcPr>
            <w:tcW w:w="10680" w:type="dxa"/>
            <w:vAlign w:val="bottom"/>
            <w:gridSpan w:val="10"/>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Balance Sheets</w:t>
              </w:r>
            </w:hyperlink>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r>
      <w:tr>
        <w:trPr>
          <w:trHeight w:val="20"/>
        </w:trPr>
        <w:tc>
          <w:tcPr>
            <w:tcW w:w="1260" w:type="dxa"/>
            <w:vAlign w:val="bottom"/>
            <w:gridSpan w:val="2"/>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263"/>
        </w:trPr>
        <w:tc>
          <w:tcPr>
            <w:tcW w:w="10680" w:type="dxa"/>
            <w:vAlign w:val="bottom"/>
            <w:gridSpan w:val="10"/>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Cash Flows Statements</w:t>
              </w:r>
            </w:hyperlink>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r>
      <w:tr>
        <w:trPr>
          <w:trHeight w:val="20"/>
        </w:trPr>
        <w:tc>
          <w:tcPr>
            <w:tcW w:w="1900" w:type="dxa"/>
            <w:vAlign w:val="bottom"/>
            <w:gridSpan w:val="4"/>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263"/>
        </w:trPr>
        <w:tc>
          <w:tcPr>
            <w:tcW w:w="10680" w:type="dxa"/>
            <w:vAlign w:val="bottom"/>
            <w:gridSpan w:val="10"/>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Stockholders’ Equity Statements</w:t>
              </w:r>
            </w:hyperlink>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r>
      <w:tr>
        <w:trPr>
          <w:trHeight w:val="263"/>
        </w:trPr>
        <w:tc>
          <w:tcPr>
            <w:tcW w:w="24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9"/>
              </w:rPr>
            </w:pPr>
            <w:hyperlink w:anchor="page62">
              <w:r>
                <w:rPr>
                  <w:rFonts w:ascii="Arial" w:cs="Arial" w:eastAsia="Arial" w:hAnsi="Arial"/>
                  <w:sz w:val="18"/>
                  <w:szCs w:val="18"/>
                  <w:color w:val="0000EE"/>
                  <w:w w:val="99"/>
                </w:rPr>
                <w:t>Notes to Financial Statements</w:t>
              </w:r>
            </w:hyperlink>
          </w:p>
        </w:tc>
        <w:tc>
          <w:tcPr>
            <w:tcW w:w="180" w:type="dxa"/>
            <w:vAlign w:val="bottom"/>
            <w:tcBorders>
              <w:top w:val="single" w:sz="8" w:color="0000EE"/>
            </w:tcBorders>
          </w:tcPr>
          <w:p>
            <w:pPr>
              <w:spacing w:after="0"/>
              <w:rPr>
                <w:sz w:val="22"/>
                <w:szCs w:val="22"/>
                <w:color w:val="auto"/>
              </w:rPr>
            </w:pPr>
          </w:p>
        </w:tc>
        <w:tc>
          <w:tcPr>
            <w:tcW w:w="8100" w:type="dxa"/>
            <w:vAlign w:val="bottom"/>
            <w:gridSpan w:val="4"/>
          </w:tcPr>
          <w:p>
            <w:pPr>
              <w:spacing w:after="0"/>
              <w:rPr>
                <w:sz w:val="22"/>
                <w:szCs w:val="22"/>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r>
      <w:tr>
        <w:trPr>
          <w:trHeight w:val="263"/>
        </w:trPr>
        <w:tc>
          <w:tcPr>
            <w:tcW w:w="4600" w:type="dxa"/>
            <w:vAlign w:val="bottom"/>
            <w:tcBorders>
              <w:bottom w:val="single" w:sz="8" w:color="0000EE"/>
            </w:tcBorders>
            <w:gridSpan w:val="8"/>
          </w:tcPr>
          <w:p>
            <w:pPr>
              <w:spacing w:after="0"/>
              <w:rPr>
                <w:rFonts w:ascii="Arial" w:cs="Arial" w:eastAsia="Arial" w:hAnsi="Arial"/>
                <w:sz w:val="18"/>
                <w:szCs w:val="18"/>
                <w:color w:val="0000EE"/>
                <w:w w:val="99"/>
              </w:rPr>
            </w:pPr>
            <w:hyperlink w:anchor="page96">
              <w:r>
                <w:rPr>
                  <w:rFonts w:ascii="Arial" w:cs="Arial" w:eastAsia="Arial" w:hAnsi="Arial"/>
                  <w:sz w:val="18"/>
                  <w:szCs w:val="18"/>
                  <w:color w:val="0000EE"/>
                  <w:w w:val="99"/>
                </w:rPr>
                <w:t>Report of Independent Registered Public Accounting Firm</w:t>
              </w:r>
            </w:hyperlink>
          </w:p>
        </w:tc>
        <w:tc>
          <w:tcPr>
            <w:tcW w:w="6080" w:type="dxa"/>
            <w:vAlign w:val="bottom"/>
            <w:gridSpan w:val="2"/>
          </w:tcPr>
          <w:p>
            <w:pPr>
              <w:spacing w:after="0"/>
              <w:rPr>
                <w:sz w:val="22"/>
                <w:szCs w:val="22"/>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r>
    </w:tbl>
    <w:p>
      <w:pPr>
        <w:spacing w:after="0" w:line="192" w:lineRule="exact"/>
        <w:rPr>
          <w:sz w:val="20"/>
          <w:szCs w:val="20"/>
          <w:color w:val="auto"/>
        </w:rPr>
      </w:pPr>
    </w:p>
    <w:p>
      <w:pPr>
        <w:ind w:left="540" w:hanging="532"/>
        <w:spacing w:after="0"/>
        <w:tabs>
          <w:tab w:leader="none" w:pos="5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Exhibit Listing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20" w:type="dxa"/>
            <w:vAlign w:val="bottom"/>
            <w:vMerge w:val="restart"/>
          </w:tcPr>
          <w:p>
            <w:pPr>
              <w:spacing w:after="0"/>
              <w:rPr>
                <w:sz w:val="20"/>
                <w:szCs w:val="20"/>
                <w:color w:val="auto"/>
              </w:rPr>
            </w:pPr>
            <w:r>
              <w:rPr>
                <w:rFonts w:ascii="Arial" w:cs="Arial" w:eastAsia="Arial" w:hAnsi="Arial"/>
                <w:sz w:val="13"/>
                <w:szCs w:val="13"/>
                <w:b w:val="1"/>
                <w:bCs w:val="1"/>
                <w:color w:val="auto"/>
              </w:rPr>
              <w:t>Exhibit</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Filed</w:t>
            </w:r>
          </w:p>
        </w:tc>
        <w:tc>
          <w:tcPr>
            <w:tcW w:w="13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2"/>
          </w:tcPr>
          <w:p>
            <w:pPr>
              <w:jc w:val="right"/>
              <w:ind w:right="394"/>
              <w:spacing w:after="0"/>
              <w:rPr>
                <w:sz w:val="20"/>
                <w:szCs w:val="20"/>
                <w:color w:val="auto"/>
              </w:rPr>
            </w:pPr>
            <w:r>
              <w:rPr>
                <w:rFonts w:ascii="Arial" w:cs="Arial" w:eastAsia="Arial" w:hAnsi="Arial"/>
                <w:sz w:val="13"/>
                <w:szCs w:val="13"/>
                <w:b w:val="1"/>
                <w:bCs w:val="1"/>
                <w:color w:val="auto"/>
              </w:rPr>
              <w:t>Incorporated by Reference</w:t>
            </w: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12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100" w:type="dxa"/>
            <w:vAlign w:val="bottom"/>
          </w:tcPr>
          <w:p>
            <w:pPr>
              <w:jc w:val="right"/>
              <w:ind w:right="193"/>
              <w:spacing w:after="0" w:line="125" w:lineRule="exact"/>
              <w:rPr>
                <w:sz w:val="20"/>
                <w:szCs w:val="20"/>
                <w:color w:val="auto"/>
              </w:rPr>
            </w:pPr>
            <w:r>
              <w:rPr>
                <w:rFonts w:ascii="Arial" w:cs="Arial" w:eastAsia="Arial" w:hAnsi="Arial"/>
                <w:sz w:val="13"/>
                <w:szCs w:val="13"/>
                <w:b w:val="1"/>
                <w:bCs w:val="1"/>
                <w:color w:val="auto"/>
              </w:rPr>
              <w:t>Period</w:t>
            </w:r>
          </w:p>
        </w:tc>
        <w:tc>
          <w:tcPr>
            <w:tcW w:w="14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Number</w:t>
            </w:r>
          </w:p>
        </w:tc>
        <w:tc>
          <w:tcPr>
            <w:tcW w:w="4180" w:type="dxa"/>
            <w:vAlign w:val="bottom"/>
            <w:tcBorders>
              <w:bottom w:val="single" w:sz="8" w:color="auto"/>
            </w:tcBorders>
            <w:gridSpan w:val="13"/>
          </w:tcPr>
          <w:p>
            <w:pPr>
              <w:ind w:left="20"/>
              <w:spacing w:after="0"/>
              <w:rPr>
                <w:sz w:val="20"/>
                <w:szCs w:val="20"/>
                <w:color w:val="auto"/>
              </w:rPr>
            </w:pPr>
            <w:r>
              <w:rPr>
                <w:rFonts w:ascii="Arial" w:cs="Arial" w:eastAsia="Arial" w:hAnsi="Arial"/>
                <w:sz w:val="13"/>
                <w:szCs w:val="13"/>
                <w:b w:val="1"/>
                <w:bCs w:val="1"/>
                <w:color w:val="auto"/>
              </w:rPr>
              <w:t>Exhibit Description</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Herewith</w:t>
            </w:r>
          </w:p>
        </w:tc>
        <w:tc>
          <w:tcPr>
            <w:tcW w:w="130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b w:val="1"/>
                <w:bCs w:val="1"/>
                <w:color w:val="auto"/>
              </w:rPr>
              <w:t>Form</w:t>
            </w:r>
          </w:p>
        </w:tc>
        <w:tc>
          <w:tcPr>
            <w:tcW w:w="110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Ending</w:t>
            </w:r>
          </w:p>
        </w:tc>
        <w:tc>
          <w:tcPr>
            <w:tcW w:w="1440" w:type="dxa"/>
            <w:vAlign w:val="bottom"/>
            <w:tcBorders>
              <w:bottom w:val="single" w:sz="8" w:color="auto"/>
            </w:tcBorders>
          </w:tcPr>
          <w:p>
            <w:pPr>
              <w:jc w:val="right"/>
              <w:ind w:right="614"/>
              <w:spacing w:after="0"/>
              <w:rPr>
                <w:sz w:val="20"/>
                <w:szCs w:val="20"/>
                <w:color w:val="auto"/>
              </w:rPr>
            </w:pPr>
            <w:r>
              <w:rPr>
                <w:rFonts w:ascii="Arial" w:cs="Arial" w:eastAsia="Arial" w:hAnsi="Arial"/>
                <w:sz w:val="13"/>
                <w:szCs w:val="13"/>
                <w:b w:val="1"/>
                <w:bCs w:val="1"/>
                <w:color w:val="auto"/>
              </w:rPr>
              <w:t>Exhibit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Filing Date</w:t>
            </w:r>
          </w:p>
        </w:tc>
        <w:tc>
          <w:tcPr>
            <w:tcW w:w="0" w:type="dxa"/>
            <w:vAlign w:val="bottom"/>
          </w:tcPr>
          <w:p>
            <w:pPr>
              <w:spacing w:after="0"/>
              <w:rPr>
                <w:sz w:val="1"/>
                <w:szCs w:val="1"/>
                <w:color w:val="auto"/>
              </w:rPr>
            </w:pPr>
          </w:p>
        </w:tc>
      </w:tr>
      <w:tr>
        <w:trPr>
          <w:trHeight w:val="276"/>
        </w:trPr>
        <w:tc>
          <w:tcPr>
            <w:tcW w:w="1120" w:type="dxa"/>
            <w:vAlign w:val="bottom"/>
          </w:tcPr>
          <w:p>
            <w:pPr>
              <w:spacing w:after="0"/>
              <w:rPr>
                <w:sz w:val="20"/>
                <w:szCs w:val="20"/>
                <w:color w:val="auto"/>
              </w:rPr>
            </w:pPr>
            <w:r>
              <w:rPr>
                <w:rFonts w:ascii="Arial" w:cs="Arial" w:eastAsia="Arial" w:hAnsi="Arial"/>
                <w:sz w:val="18"/>
                <w:szCs w:val="18"/>
                <w:color w:val="auto"/>
              </w:rPr>
              <w:t>3.1</w:t>
            </w:r>
          </w:p>
        </w:tc>
        <w:tc>
          <w:tcPr>
            <w:tcW w:w="4180" w:type="dxa"/>
            <w:vAlign w:val="bottom"/>
            <w:gridSpan w:val="13"/>
          </w:tcPr>
          <w:p>
            <w:pPr>
              <w:spacing w:after="0"/>
              <w:rPr>
                <w:rFonts w:ascii="Arial" w:cs="Arial" w:eastAsia="Arial" w:hAnsi="Arial"/>
                <w:sz w:val="18"/>
                <w:szCs w:val="18"/>
                <w:color w:val="0000EE"/>
              </w:rPr>
            </w:pPr>
            <w:hyperlink r:id="rId169">
              <w:r>
                <w:rPr>
                  <w:rFonts w:ascii="Arial" w:cs="Arial" w:eastAsia="Arial" w:hAnsi="Arial"/>
                  <w:sz w:val="18"/>
                  <w:szCs w:val="18"/>
                  <w:color w:val="0000EE"/>
                </w:rPr>
                <w:t>Amended and Restated Articles of Incorporation of</w:t>
              </w:r>
            </w:hyperlink>
          </w:p>
        </w:tc>
        <w:tc>
          <w:tcPr>
            <w:tcW w:w="860" w:type="dxa"/>
            <w:vAlign w:val="bottom"/>
          </w:tcPr>
          <w:p>
            <w:pPr>
              <w:spacing w:after="0"/>
              <w:rPr>
                <w:sz w:val="23"/>
                <w:szCs w:val="23"/>
                <w:color w:val="auto"/>
              </w:rPr>
            </w:pPr>
          </w:p>
        </w:tc>
        <w:tc>
          <w:tcPr>
            <w:tcW w:w="1300" w:type="dxa"/>
            <w:vAlign w:val="bottom"/>
          </w:tcPr>
          <w:p>
            <w:pPr>
              <w:jc w:val="right"/>
              <w:ind w:right="254"/>
              <w:spacing w:after="0"/>
              <w:rPr>
                <w:sz w:val="20"/>
                <w:szCs w:val="20"/>
                <w:color w:val="auto"/>
              </w:rPr>
            </w:pPr>
            <w:r>
              <w:rPr>
                <w:rFonts w:ascii="Arial" w:cs="Arial" w:eastAsia="Arial" w:hAnsi="Arial"/>
                <w:sz w:val="18"/>
                <w:szCs w:val="18"/>
                <w:color w:val="auto"/>
              </w:rPr>
              <w:t>8-K</w:t>
            </w:r>
          </w:p>
        </w:tc>
        <w:tc>
          <w:tcPr>
            <w:tcW w:w="1100" w:type="dxa"/>
            <w:vAlign w:val="bottom"/>
          </w:tcPr>
          <w:p>
            <w:pPr>
              <w:spacing w:after="0"/>
              <w:rPr>
                <w:sz w:val="23"/>
                <w:szCs w:val="23"/>
                <w:color w:val="auto"/>
              </w:rPr>
            </w:pPr>
          </w:p>
        </w:tc>
        <w:tc>
          <w:tcPr>
            <w:tcW w:w="1440" w:type="dxa"/>
            <w:vAlign w:val="bottom"/>
          </w:tcPr>
          <w:p>
            <w:pPr>
              <w:jc w:val="right"/>
              <w:ind w:right="614"/>
              <w:spacing w:after="0"/>
              <w:rPr>
                <w:sz w:val="20"/>
                <w:szCs w:val="20"/>
                <w:color w:val="auto"/>
              </w:rPr>
            </w:pPr>
            <w:r>
              <w:rPr>
                <w:rFonts w:ascii="Arial" w:cs="Arial" w:eastAsia="Arial" w:hAnsi="Arial"/>
                <w:sz w:val="18"/>
                <w:szCs w:val="18"/>
                <w:color w:val="auto"/>
              </w:rPr>
              <w:t>3.1</w:t>
            </w:r>
          </w:p>
        </w:tc>
        <w:tc>
          <w:tcPr>
            <w:tcW w:w="1180" w:type="dxa"/>
            <w:vAlign w:val="bottom"/>
          </w:tcPr>
          <w:p>
            <w:pPr>
              <w:jc w:val="right"/>
              <w:spacing w:after="0"/>
              <w:rPr>
                <w:sz w:val="20"/>
                <w:szCs w:val="20"/>
                <w:color w:val="auto"/>
              </w:rPr>
            </w:pPr>
            <w:r>
              <w:rPr>
                <w:rFonts w:ascii="Arial" w:cs="Arial" w:eastAsia="Arial" w:hAnsi="Arial"/>
                <w:sz w:val="18"/>
                <w:szCs w:val="18"/>
                <w:color w:val="auto"/>
              </w:rPr>
              <w:t>12/1/16</w:t>
            </w: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172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8"/>
              </w:rPr>
            </w:pPr>
            <w:hyperlink r:id="rId169">
              <w:r>
                <w:rPr>
                  <w:rFonts w:ascii="Arial" w:cs="Arial" w:eastAsia="Arial" w:hAnsi="Arial"/>
                  <w:sz w:val="18"/>
                  <w:szCs w:val="18"/>
                  <w:color w:val="0000EE"/>
                  <w:w w:val="98"/>
                </w:rPr>
                <w:t>Microsoft Corporation</w:t>
              </w:r>
            </w:hyperlink>
          </w:p>
        </w:tc>
        <w:tc>
          <w:tcPr>
            <w:tcW w:w="2300" w:type="dxa"/>
            <w:vAlign w:val="bottom"/>
            <w:tcBorders>
              <w:top w:val="single" w:sz="8" w:color="0000EE"/>
            </w:tcBorders>
            <w:gridSpan w:val="9"/>
          </w:tcPr>
          <w:p>
            <w:pPr>
              <w:spacing w:after="0"/>
              <w:rPr>
                <w:sz w:val="15"/>
                <w:szCs w:val="15"/>
                <w:color w:val="auto"/>
              </w:rPr>
            </w:pPr>
          </w:p>
        </w:tc>
        <w:tc>
          <w:tcPr>
            <w:tcW w:w="160" w:type="dxa"/>
            <w:vAlign w:val="bottom"/>
            <w:gridSpan w:val="2"/>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1120" w:type="dxa"/>
            <w:vAlign w:val="bottom"/>
          </w:tcPr>
          <w:p>
            <w:pPr>
              <w:spacing w:after="0"/>
              <w:rPr>
                <w:sz w:val="20"/>
                <w:szCs w:val="20"/>
                <w:color w:val="auto"/>
              </w:rPr>
            </w:pPr>
            <w:r>
              <w:rPr>
                <w:rFonts w:ascii="Arial" w:cs="Arial" w:eastAsia="Arial" w:hAnsi="Arial"/>
                <w:sz w:val="18"/>
                <w:szCs w:val="18"/>
                <w:color w:val="auto"/>
              </w:rPr>
              <w:t>3.2</w:t>
            </w:r>
          </w:p>
        </w:tc>
        <w:tc>
          <w:tcPr>
            <w:tcW w:w="2540" w:type="dxa"/>
            <w:vAlign w:val="bottom"/>
            <w:tcBorders>
              <w:bottom w:val="single" w:sz="8" w:color="0000EE"/>
            </w:tcBorders>
            <w:gridSpan w:val="3"/>
          </w:tcPr>
          <w:p>
            <w:pPr>
              <w:spacing w:after="0"/>
              <w:rPr>
                <w:rFonts w:ascii="Arial" w:cs="Arial" w:eastAsia="Arial" w:hAnsi="Arial"/>
                <w:sz w:val="18"/>
                <w:szCs w:val="18"/>
                <w:color w:val="0000EE"/>
                <w:w w:val="99"/>
              </w:rPr>
            </w:pPr>
            <w:hyperlink r:id="rId170">
              <w:r>
                <w:rPr>
                  <w:rFonts w:ascii="Arial" w:cs="Arial" w:eastAsia="Arial" w:hAnsi="Arial"/>
                  <w:sz w:val="18"/>
                  <w:szCs w:val="18"/>
                  <w:color w:val="0000EE"/>
                  <w:w w:val="99"/>
                </w:rPr>
                <w:t>Bylaws of Microsoft Corporation</w:t>
              </w:r>
            </w:hyperlink>
          </w:p>
        </w:tc>
        <w:tc>
          <w:tcPr>
            <w:tcW w:w="1640" w:type="dxa"/>
            <w:vAlign w:val="bottom"/>
            <w:gridSpan w:val="10"/>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jc w:val="right"/>
              <w:ind w:right="254"/>
              <w:spacing w:after="0"/>
              <w:rPr>
                <w:sz w:val="20"/>
                <w:szCs w:val="20"/>
                <w:color w:val="auto"/>
              </w:rPr>
            </w:pPr>
            <w:r>
              <w:rPr>
                <w:rFonts w:ascii="Arial" w:cs="Arial" w:eastAsia="Arial" w:hAnsi="Arial"/>
                <w:sz w:val="18"/>
                <w:szCs w:val="18"/>
                <w:color w:val="auto"/>
              </w:rPr>
              <w:t>8-K</w:t>
            </w:r>
          </w:p>
        </w:tc>
        <w:tc>
          <w:tcPr>
            <w:tcW w:w="1100" w:type="dxa"/>
            <w:vAlign w:val="bottom"/>
          </w:tcPr>
          <w:p>
            <w:pPr>
              <w:spacing w:after="0"/>
              <w:rPr>
                <w:sz w:val="24"/>
                <w:szCs w:val="24"/>
                <w:color w:val="auto"/>
              </w:rPr>
            </w:pPr>
          </w:p>
        </w:tc>
        <w:tc>
          <w:tcPr>
            <w:tcW w:w="1440" w:type="dxa"/>
            <w:vAlign w:val="bottom"/>
          </w:tcPr>
          <w:p>
            <w:pPr>
              <w:jc w:val="right"/>
              <w:ind w:right="614"/>
              <w:spacing w:after="0"/>
              <w:rPr>
                <w:sz w:val="20"/>
                <w:szCs w:val="20"/>
                <w:color w:val="auto"/>
              </w:rPr>
            </w:pPr>
            <w:r>
              <w:rPr>
                <w:rFonts w:ascii="Arial" w:cs="Arial" w:eastAsia="Arial" w:hAnsi="Arial"/>
                <w:sz w:val="18"/>
                <w:szCs w:val="18"/>
                <w:color w:val="auto"/>
              </w:rPr>
              <w:t>3.2</w:t>
            </w:r>
          </w:p>
        </w:tc>
        <w:tc>
          <w:tcPr>
            <w:tcW w:w="1180" w:type="dxa"/>
            <w:vAlign w:val="bottom"/>
          </w:tcPr>
          <w:p>
            <w:pPr>
              <w:jc w:val="right"/>
              <w:spacing w:after="0"/>
              <w:rPr>
                <w:sz w:val="20"/>
                <w:szCs w:val="20"/>
                <w:color w:val="auto"/>
              </w:rPr>
            </w:pPr>
            <w:r>
              <w:rPr>
                <w:rFonts w:ascii="Arial" w:cs="Arial" w:eastAsia="Arial" w:hAnsi="Arial"/>
                <w:sz w:val="18"/>
                <w:szCs w:val="18"/>
                <w:color w:val="auto"/>
              </w:rPr>
              <w:t>6/14/17</w:t>
            </w:r>
          </w:p>
        </w:tc>
        <w:tc>
          <w:tcPr>
            <w:tcW w:w="0" w:type="dxa"/>
            <w:vAlign w:val="bottom"/>
          </w:tcPr>
          <w:p>
            <w:pPr>
              <w:spacing w:after="0"/>
              <w:rPr>
                <w:sz w:val="1"/>
                <w:szCs w:val="1"/>
                <w:color w:val="auto"/>
              </w:rPr>
            </w:pPr>
          </w:p>
        </w:tc>
      </w:tr>
      <w:tr>
        <w:trPr>
          <w:trHeight w:val="316"/>
        </w:trPr>
        <w:tc>
          <w:tcPr>
            <w:tcW w:w="1120" w:type="dxa"/>
            <w:vAlign w:val="bottom"/>
          </w:tcPr>
          <w:p>
            <w:pPr>
              <w:spacing w:after="0"/>
              <w:rPr>
                <w:sz w:val="20"/>
                <w:szCs w:val="20"/>
                <w:color w:val="auto"/>
              </w:rPr>
            </w:pPr>
            <w:r>
              <w:rPr>
                <w:rFonts w:ascii="Arial" w:cs="Arial" w:eastAsia="Arial" w:hAnsi="Arial"/>
                <w:sz w:val="18"/>
                <w:szCs w:val="18"/>
                <w:color w:val="auto"/>
              </w:rPr>
              <w:t>4.1</w:t>
            </w:r>
          </w:p>
        </w:tc>
        <w:tc>
          <w:tcPr>
            <w:tcW w:w="4180" w:type="dxa"/>
            <w:vAlign w:val="bottom"/>
            <w:gridSpan w:val="13"/>
          </w:tcPr>
          <w:p>
            <w:pPr>
              <w:spacing w:after="0"/>
              <w:rPr>
                <w:rFonts w:ascii="Arial" w:cs="Arial" w:eastAsia="Arial" w:hAnsi="Arial"/>
                <w:sz w:val="18"/>
                <w:szCs w:val="18"/>
                <w:color w:val="0000EE"/>
              </w:rPr>
            </w:pPr>
            <w:hyperlink r:id="rId171">
              <w:r>
                <w:rPr>
                  <w:rFonts w:ascii="Arial" w:cs="Arial" w:eastAsia="Arial" w:hAnsi="Arial"/>
                  <w:sz w:val="18"/>
                  <w:szCs w:val="18"/>
                  <w:color w:val="0000EE"/>
                </w:rPr>
                <w:t>Indenture, dated as of May 18, 2009, between</w:t>
              </w:r>
            </w:hyperlink>
          </w:p>
        </w:tc>
        <w:tc>
          <w:tcPr>
            <w:tcW w:w="860" w:type="dxa"/>
            <w:vAlign w:val="bottom"/>
          </w:tcPr>
          <w:p>
            <w:pPr>
              <w:spacing w:after="0"/>
              <w:rPr>
                <w:sz w:val="24"/>
                <w:szCs w:val="24"/>
                <w:color w:val="auto"/>
              </w:rPr>
            </w:pPr>
          </w:p>
        </w:tc>
        <w:tc>
          <w:tcPr>
            <w:tcW w:w="1300" w:type="dxa"/>
            <w:vAlign w:val="bottom"/>
          </w:tcPr>
          <w:p>
            <w:pPr>
              <w:jc w:val="right"/>
              <w:ind w:right="254"/>
              <w:spacing w:after="0"/>
              <w:rPr>
                <w:sz w:val="20"/>
                <w:szCs w:val="20"/>
                <w:color w:val="auto"/>
              </w:rPr>
            </w:pPr>
            <w:r>
              <w:rPr>
                <w:rFonts w:ascii="Arial" w:cs="Arial" w:eastAsia="Arial" w:hAnsi="Arial"/>
                <w:sz w:val="18"/>
                <w:szCs w:val="18"/>
                <w:color w:val="auto"/>
              </w:rPr>
              <w:t>S-3ASR</w:t>
            </w:r>
          </w:p>
        </w:tc>
        <w:tc>
          <w:tcPr>
            <w:tcW w:w="1100" w:type="dxa"/>
            <w:vAlign w:val="bottom"/>
          </w:tcPr>
          <w:p>
            <w:pPr>
              <w:spacing w:after="0"/>
              <w:rPr>
                <w:sz w:val="24"/>
                <w:szCs w:val="24"/>
                <w:color w:val="auto"/>
              </w:rPr>
            </w:pPr>
          </w:p>
        </w:tc>
        <w:tc>
          <w:tcPr>
            <w:tcW w:w="1440" w:type="dxa"/>
            <w:vAlign w:val="bottom"/>
          </w:tcPr>
          <w:p>
            <w:pPr>
              <w:jc w:val="right"/>
              <w:ind w:right="614"/>
              <w:spacing w:after="0"/>
              <w:rPr>
                <w:sz w:val="20"/>
                <w:szCs w:val="20"/>
                <w:color w:val="auto"/>
              </w:rPr>
            </w:pPr>
            <w:r>
              <w:rPr>
                <w:rFonts w:ascii="Arial" w:cs="Arial" w:eastAsia="Arial" w:hAnsi="Arial"/>
                <w:sz w:val="18"/>
                <w:szCs w:val="18"/>
                <w:color w:val="auto"/>
              </w:rPr>
              <w:t>4.1</w:t>
            </w:r>
          </w:p>
        </w:tc>
        <w:tc>
          <w:tcPr>
            <w:tcW w:w="1180" w:type="dxa"/>
            <w:vAlign w:val="bottom"/>
          </w:tcPr>
          <w:p>
            <w:pPr>
              <w:jc w:val="right"/>
              <w:spacing w:after="0"/>
              <w:rPr>
                <w:sz w:val="20"/>
                <w:szCs w:val="20"/>
                <w:color w:val="auto"/>
              </w:rPr>
            </w:pPr>
            <w:r>
              <w:rPr>
                <w:rFonts w:ascii="Arial" w:cs="Arial" w:eastAsia="Arial" w:hAnsi="Arial"/>
                <w:sz w:val="18"/>
                <w:szCs w:val="18"/>
                <w:color w:val="auto"/>
              </w:rPr>
              <w:t>10/29/15</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20" w:type="dxa"/>
            <w:vAlign w:val="bottom"/>
          </w:tcPr>
          <w:p>
            <w:pPr>
              <w:spacing w:after="0"/>
              <w:rPr>
                <w:sz w:val="15"/>
                <w:szCs w:val="15"/>
                <w:color w:val="auto"/>
              </w:rPr>
            </w:pPr>
          </w:p>
        </w:tc>
        <w:tc>
          <w:tcPr>
            <w:tcW w:w="3900" w:type="dxa"/>
            <w:vAlign w:val="bottom"/>
            <w:tcBorders>
              <w:bottom w:val="single" w:sz="8" w:color="0000EE"/>
            </w:tcBorders>
            <w:gridSpan w:val="9"/>
          </w:tcPr>
          <w:p>
            <w:pPr>
              <w:spacing w:after="0" w:line="182" w:lineRule="exact"/>
              <w:rPr>
                <w:rFonts w:ascii="Arial" w:cs="Arial" w:eastAsia="Arial" w:hAnsi="Arial"/>
                <w:sz w:val="18"/>
                <w:szCs w:val="18"/>
                <w:color w:val="0000EE"/>
                <w:w w:val="98"/>
              </w:rPr>
            </w:pPr>
            <w:hyperlink r:id="rId171">
              <w:r>
                <w:rPr>
                  <w:rFonts w:ascii="Arial" w:cs="Arial" w:eastAsia="Arial" w:hAnsi="Arial"/>
                  <w:sz w:val="18"/>
                  <w:szCs w:val="18"/>
                  <w:color w:val="0000EE"/>
                  <w:w w:val="98"/>
                </w:rPr>
                <w:t>Microsoft Corporation and The Bank of New York</w:t>
              </w:r>
            </w:hyperlink>
          </w:p>
        </w:tc>
        <w:tc>
          <w:tcPr>
            <w:tcW w:w="280" w:type="dxa"/>
            <w:vAlign w:val="bottom"/>
            <w:gridSpan w:val="4"/>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760" w:type="dxa"/>
            <w:vAlign w:val="bottom"/>
            <w:tcBorders>
              <w:bottom w:val="single" w:sz="8" w:color="0000EE"/>
            </w:tcBorders>
            <w:gridSpan w:val="6"/>
          </w:tcPr>
          <w:p>
            <w:pPr>
              <w:spacing w:after="0" w:line="182" w:lineRule="exact"/>
              <w:rPr>
                <w:rFonts w:ascii="Arial" w:cs="Arial" w:eastAsia="Arial" w:hAnsi="Arial"/>
                <w:sz w:val="18"/>
                <w:szCs w:val="18"/>
                <w:color w:val="0000EE"/>
                <w:w w:val="98"/>
              </w:rPr>
            </w:pPr>
            <w:hyperlink r:id="rId171">
              <w:r>
                <w:rPr>
                  <w:rFonts w:ascii="Arial" w:cs="Arial" w:eastAsia="Arial" w:hAnsi="Arial"/>
                  <w:sz w:val="18"/>
                  <w:szCs w:val="18"/>
                  <w:color w:val="0000EE"/>
                  <w:w w:val="98"/>
                </w:rPr>
                <w:t>Mellon Trust Company, N.A., as Trustee (“Base</w:t>
              </w:r>
            </w:hyperlink>
          </w:p>
        </w:tc>
        <w:tc>
          <w:tcPr>
            <w:tcW w:w="420" w:type="dxa"/>
            <w:vAlign w:val="bottom"/>
            <w:gridSpan w:val="7"/>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180" w:type="dxa"/>
            <w:vAlign w:val="bottom"/>
            <w:gridSpan w:val="13"/>
          </w:tcPr>
          <w:p>
            <w:pPr>
              <w:spacing w:after="0" w:line="182" w:lineRule="exact"/>
              <w:rPr>
                <w:rFonts w:ascii="Arial" w:cs="Arial" w:eastAsia="Arial" w:hAnsi="Arial"/>
                <w:sz w:val="18"/>
                <w:szCs w:val="18"/>
                <w:color w:val="0000EE"/>
              </w:rPr>
            </w:pPr>
            <w:hyperlink r:id="rId171">
              <w:r>
                <w:rPr>
                  <w:rFonts w:ascii="Arial" w:cs="Arial" w:eastAsia="Arial" w:hAnsi="Arial"/>
                  <w:sz w:val="18"/>
                  <w:szCs w:val="18"/>
                  <w:color w:val="0000EE"/>
                </w:rPr>
                <w:t>Indenture”)</w:t>
              </w:r>
            </w:hyperlink>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1120" w:type="dxa"/>
            <w:vAlign w:val="bottom"/>
          </w:tcPr>
          <w:p>
            <w:pPr>
              <w:spacing w:after="0"/>
              <w:rPr>
                <w:sz w:val="20"/>
                <w:szCs w:val="20"/>
                <w:color w:val="auto"/>
              </w:rPr>
            </w:pPr>
            <w:r>
              <w:rPr>
                <w:rFonts w:ascii="Arial" w:cs="Arial" w:eastAsia="Arial" w:hAnsi="Arial"/>
                <w:sz w:val="18"/>
                <w:szCs w:val="18"/>
                <w:color w:val="auto"/>
              </w:rPr>
              <w:t>4.2</w:t>
            </w:r>
          </w:p>
        </w:tc>
        <w:tc>
          <w:tcPr>
            <w:tcW w:w="3800" w:type="dxa"/>
            <w:vAlign w:val="bottom"/>
            <w:tcBorders>
              <w:bottom w:val="single" w:sz="8" w:color="0000EE"/>
            </w:tcBorders>
            <w:gridSpan w:val="7"/>
          </w:tcPr>
          <w:p>
            <w:pPr>
              <w:spacing w:after="0"/>
              <w:rPr>
                <w:rFonts w:ascii="Arial" w:cs="Arial" w:eastAsia="Arial" w:hAnsi="Arial"/>
                <w:sz w:val="18"/>
                <w:szCs w:val="18"/>
                <w:color w:val="0000EE"/>
                <w:w w:val="99"/>
              </w:rPr>
            </w:pPr>
            <w:hyperlink r:id="rId172">
              <w:r>
                <w:rPr>
                  <w:rFonts w:ascii="Arial" w:cs="Arial" w:eastAsia="Arial" w:hAnsi="Arial"/>
                  <w:sz w:val="18"/>
                  <w:szCs w:val="18"/>
                  <w:color w:val="0000EE"/>
                  <w:w w:val="99"/>
                </w:rPr>
                <w:t>Form of First Supplemental Indenture for 2.95%</w:t>
              </w:r>
            </w:hyperlink>
          </w:p>
        </w:tc>
        <w:tc>
          <w:tcPr>
            <w:tcW w:w="380" w:type="dxa"/>
            <w:vAlign w:val="bottom"/>
            <w:gridSpan w:val="6"/>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jc w:val="right"/>
              <w:ind w:right="254"/>
              <w:spacing w:after="0"/>
              <w:rPr>
                <w:sz w:val="20"/>
                <w:szCs w:val="20"/>
                <w:color w:val="auto"/>
              </w:rPr>
            </w:pPr>
            <w:r>
              <w:rPr>
                <w:rFonts w:ascii="Arial" w:cs="Arial" w:eastAsia="Arial" w:hAnsi="Arial"/>
                <w:sz w:val="18"/>
                <w:szCs w:val="18"/>
                <w:color w:val="auto"/>
              </w:rPr>
              <w:t>8-K</w:t>
            </w:r>
          </w:p>
        </w:tc>
        <w:tc>
          <w:tcPr>
            <w:tcW w:w="1100" w:type="dxa"/>
            <w:vAlign w:val="bottom"/>
          </w:tcPr>
          <w:p>
            <w:pPr>
              <w:spacing w:after="0"/>
              <w:rPr>
                <w:sz w:val="24"/>
                <w:szCs w:val="24"/>
                <w:color w:val="auto"/>
              </w:rPr>
            </w:pPr>
          </w:p>
        </w:tc>
        <w:tc>
          <w:tcPr>
            <w:tcW w:w="1440" w:type="dxa"/>
            <w:vAlign w:val="bottom"/>
          </w:tcPr>
          <w:p>
            <w:pPr>
              <w:jc w:val="right"/>
              <w:ind w:right="614"/>
              <w:spacing w:after="0"/>
              <w:rPr>
                <w:sz w:val="20"/>
                <w:szCs w:val="20"/>
                <w:color w:val="auto"/>
              </w:rPr>
            </w:pPr>
            <w:r>
              <w:rPr>
                <w:rFonts w:ascii="Arial" w:cs="Arial" w:eastAsia="Arial" w:hAnsi="Arial"/>
                <w:sz w:val="18"/>
                <w:szCs w:val="18"/>
                <w:color w:val="auto"/>
              </w:rPr>
              <w:t>4.2</w:t>
            </w:r>
          </w:p>
        </w:tc>
        <w:tc>
          <w:tcPr>
            <w:tcW w:w="1180" w:type="dxa"/>
            <w:vAlign w:val="bottom"/>
          </w:tcPr>
          <w:p>
            <w:pPr>
              <w:jc w:val="right"/>
              <w:spacing w:after="0"/>
              <w:rPr>
                <w:sz w:val="20"/>
                <w:szCs w:val="20"/>
                <w:color w:val="auto"/>
              </w:rPr>
            </w:pPr>
            <w:r>
              <w:rPr>
                <w:rFonts w:ascii="Arial" w:cs="Arial" w:eastAsia="Arial" w:hAnsi="Arial"/>
                <w:sz w:val="18"/>
                <w:szCs w:val="18"/>
                <w:color w:val="auto"/>
              </w:rPr>
              <w:t>5/15/09</w:t>
            </w: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660" w:type="dxa"/>
            <w:vAlign w:val="bottom"/>
            <w:tcBorders>
              <w:bottom w:val="single" w:sz="8" w:color="0000EE"/>
            </w:tcBorders>
            <w:gridSpan w:val="5"/>
          </w:tcPr>
          <w:p>
            <w:pPr>
              <w:spacing w:after="0" w:line="182" w:lineRule="exact"/>
              <w:rPr>
                <w:rFonts w:ascii="Arial" w:cs="Arial" w:eastAsia="Arial" w:hAnsi="Arial"/>
                <w:sz w:val="18"/>
                <w:szCs w:val="18"/>
                <w:color w:val="0000EE"/>
              </w:rPr>
            </w:pPr>
            <w:hyperlink r:id="rId172">
              <w:r>
                <w:rPr>
                  <w:rFonts w:ascii="Arial" w:cs="Arial" w:eastAsia="Arial" w:hAnsi="Arial"/>
                  <w:sz w:val="18"/>
                  <w:szCs w:val="18"/>
                  <w:color w:val="0000EE"/>
                </w:rPr>
                <w:t>Notes due 2014, 4.20% Notes due 2019, and</w:t>
              </w:r>
            </w:hyperlink>
          </w:p>
        </w:tc>
        <w:tc>
          <w:tcPr>
            <w:tcW w:w="520" w:type="dxa"/>
            <w:vAlign w:val="bottom"/>
            <w:gridSpan w:val="8"/>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180" w:type="dxa"/>
            <w:vAlign w:val="bottom"/>
            <w:gridSpan w:val="13"/>
          </w:tcPr>
          <w:p>
            <w:pPr>
              <w:spacing w:after="0" w:line="182" w:lineRule="exact"/>
              <w:rPr>
                <w:rFonts w:ascii="Arial" w:cs="Arial" w:eastAsia="Arial" w:hAnsi="Arial"/>
                <w:sz w:val="18"/>
                <w:szCs w:val="18"/>
                <w:color w:val="0000EE"/>
              </w:rPr>
            </w:pPr>
            <w:hyperlink r:id="rId172">
              <w:r>
                <w:rPr>
                  <w:rFonts w:ascii="Arial" w:cs="Arial" w:eastAsia="Arial" w:hAnsi="Arial"/>
                  <w:sz w:val="18"/>
                  <w:szCs w:val="18"/>
                  <w:color w:val="0000EE"/>
                </w:rPr>
                <w:t>5.</w:t>
              </w:r>
              <w:r>
                <w:rPr>
                  <w:rFonts w:ascii="Arial" w:cs="Arial" w:eastAsia="Arial" w:hAnsi="Arial"/>
                  <w:sz w:val="18"/>
                  <w:szCs w:val="18"/>
                  <w:u w:val="single" w:color="auto"/>
                  <w:color w:val="0000EE"/>
                </w:rPr>
                <w:t>20%</w:t>
              </w:r>
              <w:r>
                <w:rPr>
                  <w:rFonts w:ascii="Arial" w:cs="Arial" w:eastAsia="Arial" w:hAnsi="Arial"/>
                  <w:sz w:val="18"/>
                  <w:szCs w:val="18"/>
                  <w:color w:val="0000EE"/>
                </w:rPr>
                <w:t xml:space="preserve"> Notes due 2039, dated as of May 18, 2009,</w:t>
              </w:r>
            </w:hyperlink>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82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9"/>
              </w:rPr>
            </w:pPr>
            <w:hyperlink r:id="rId172">
              <w:r>
                <w:rPr>
                  <w:rFonts w:ascii="Arial" w:cs="Arial" w:eastAsia="Arial" w:hAnsi="Arial"/>
                  <w:sz w:val="18"/>
                  <w:szCs w:val="18"/>
                  <w:color w:val="0000EE"/>
                  <w:w w:val="99"/>
                </w:rPr>
                <w:t>between Microsoft Corporation and The Bank of</w:t>
              </w:r>
            </w:hyperlink>
          </w:p>
        </w:tc>
        <w:tc>
          <w:tcPr>
            <w:tcW w:w="180" w:type="dxa"/>
            <w:vAlign w:val="bottom"/>
            <w:tcBorders>
              <w:top w:val="single" w:sz="8" w:color="0000EE"/>
            </w:tcBorders>
            <w:gridSpan w:val="2"/>
          </w:tcPr>
          <w:p>
            <w:pPr>
              <w:spacing w:after="0"/>
              <w:rPr>
                <w:sz w:val="15"/>
                <w:szCs w:val="15"/>
                <w:color w:val="auto"/>
              </w:rPr>
            </w:pPr>
          </w:p>
        </w:tc>
        <w:tc>
          <w:tcPr>
            <w:tcW w:w="180" w:type="dxa"/>
            <w:vAlign w:val="bottom"/>
            <w:gridSpan w:val="3"/>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040" w:type="dxa"/>
            <w:vAlign w:val="bottom"/>
            <w:tcBorders>
              <w:bottom w:val="single" w:sz="8" w:color="0000EE"/>
            </w:tcBorders>
            <w:gridSpan w:val="12"/>
          </w:tcPr>
          <w:p>
            <w:pPr>
              <w:spacing w:after="0" w:line="182" w:lineRule="exact"/>
              <w:rPr>
                <w:rFonts w:ascii="Arial" w:cs="Arial" w:eastAsia="Arial" w:hAnsi="Arial"/>
                <w:sz w:val="18"/>
                <w:szCs w:val="18"/>
                <w:color w:val="0000EE"/>
                <w:w w:val="98"/>
              </w:rPr>
            </w:pPr>
            <w:hyperlink r:id="rId172">
              <w:r>
                <w:rPr>
                  <w:rFonts w:ascii="Arial" w:cs="Arial" w:eastAsia="Arial" w:hAnsi="Arial"/>
                  <w:sz w:val="18"/>
                  <w:szCs w:val="18"/>
                  <w:color w:val="0000EE"/>
                  <w:w w:val="98"/>
                </w:rPr>
                <w:t>New York Mellon Trust Company, N.A., as Trustee,</w:t>
              </w:r>
            </w:hyperlink>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1720" w:type="dxa"/>
            <w:vAlign w:val="bottom"/>
            <w:tcBorders>
              <w:bottom w:val="single" w:sz="8" w:color="0000EE"/>
            </w:tcBorders>
            <w:gridSpan w:val="2"/>
          </w:tcPr>
          <w:p>
            <w:pPr>
              <w:spacing w:after="0" w:line="182" w:lineRule="exact"/>
              <w:rPr>
                <w:rFonts w:ascii="Arial" w:cs="Arial" w:eastAsia="Arial" w:hAnsi="Arial"/>
                <w:sz w:val="18"/>
                <w:szCs w:val="18"/>
                <w:color w:val="0000EE"/>
                <w:w w:val="98"/>
              </w:rPr>
            </w:pPr>
            <w:hyperlink r:id="rId172">
              <w:r>
                <w:rPr>
                  <w:rFonts w:ascii="Arial" w:cs="Arial" w:eastAsia="Arial" w:hAnsi="Arial"/>
                  <w:sz w:val="18"/>
                  <w:szCs w:val="18"/>
                  <w:color w:val="0000EE"/>
                  <w:w w:val="98"/>
                </w:rPr>
                <w:t>to the Base Indenture</w:t>
              </w:r>
            </w:hyperlink>
          </w:p>
        </w:tc>
        <w:tc>
          <w:tcPr>
            <w:tcW w:w="2460" w:type="dxa"/>
            <w:vAlign w:val="bottom"/>
            <w:gridSpan w:val="11"/>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1120" w:type="dxa"/>
            <w:vAlign w:val="bottom"/>
          </w:tcPr>
          <w:p>
            <w:pPr>
              <w:spacing w:after="0"/>
              <w:rPr>
                <w:sz w:val="20"/>
                <w:szCs w:val="20"/>
                <w:color w:val="auto"/>
              </w:rPr>
            </w:pPr>
            <w:r>
              <w:rPr>
                <w:rFonts w:ascii="Arial" w:cs="Arial" w:eastAsia="Arial" w:hAnsi="Arial"/>
                <w:sz w:val="18"/>
                <w:szCs w:val="18"/>
                <w:color w:val="auto"/>
              </w:rPr>
              <w:t>4.5</w:t>
            </w:r>
          </w:p>
        </w:tc>
        <w:tc>
          <w:tcPr>
            <w:tcW w:w="3500" w:type="dxa"/>
            <w:vAlign w:val="bottom"/>
            <w:tcBorders>
              <w:bottom w:val="single" w:sz="8" w:color="0000EE"/>
            </w:tcBorders>
            <w:gridSpan w:val="4"/>
          </w:tcPr>
          <w:p>
            <w:pPr>
              <w:spacing w:after="0"/>
              <w:rPr>
                <w:rFonts w:ascii="Arial" w:cs="Arial" w:eastAsia="Arial" w:hAnsi="Arial"/>
                <w:sz w:val="18"/>
                <w:szCs w:val="18"/>
                <w:color w:val="0000EE"/>
                <w:w w:val="99"/>
              </w:rPr>
            </w:pPr>
            <w:hyperlink r:id="rId173">
              <w:r>
                <w:rPr>
                  <w:rFonts w:ascii="Arial" w:cs="Arial" w:eastAsia="Arial" w:hAnsi="Arial"/>
                  <w:sz w:val="18"/>
                  <w:szCs w:val="18"/>
                  <w:color w:val="0000EE"/>
                  <w:w w:val="99"/>
                </w:rPr>
                <w:t>Form of Second Supplemental Indenture for</w:t>
              </w:r>
            </w:hyperlink>
          </w:p>
        </w:tc>
        <w:tc>
          <w:tcPr>
            <w:tcW w:w="680" w:type="dxa"/>
            <w:vAlign w:val="bottom"/>
            <w:gridSpan w:val="9"/>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jc w:val="right"/>
              <w:ind w:right="254"/>
              <w:spacing w:after="0"/>
              <w:rPr>
                <w:sz w:val="20"/>
                <w:szCs w:val="20"/>
                <w:color w:val="auto"/>
              </w:rPr>
            </w:pPr>
            <w:r>
              <w:rPr>
                <w:rFonts w:ascii="Arial" w:cs="Arial" w:eastAsia="Arial" w:hAnsi="Arial"/>
                <w:sz w:val="18"/>
                <w:szCs w:val="18"/>
                <w:color w:val="auto"/>
              </w:rPr>
              <w:t>8-K</w:t>
            </w:r>
          </w:p>
        </w:tc>
        <w:tc>
          <w:tcPr>
            <w:tcW w:w="1100" w:type="dxa"/>
            <w:vAlign w:val="bottom"/>
          </w:tcPr>
          <w:p>
            <w:pPr>
              <w:spacing w:after="0"/>
              <w:rPr>
                <w:sz w:val="24"/>
                <w:szCs w:val="24"/>
                <w:color w:val="auto"/>
              </w:rPr>
            </w:pPr>
          </w:p>
        </w:tc>
        <w:tc>
          <w:tcPr>
            <w:tcW w:w="1440" w:type="dxa"/>
            <w:vAlign w:val="bottom"/>
          </w:tcPr>
          <w:p>
            <w:pPr>
              <w:jc w:val="right"/>
              <w:ind w:right="614"/>
              <w:spacing w:after="0"/>
              <w:rPr>
                <w:sz w:val="20"/>
                <w:szCs w:val="20"/>
                <w:color w:val="auto"/>
              </w:rPr>
            </w:pPr>
            <w:r>
              <w:rPr>
                <w:rFonts w:ascii="Arial" w:cs="Arial" w:eastAsia="Arial" w:hAnsi="Arial"/>
                <w:sz w:val="18"/>
                <w:szCs w:val="18"/>
                <w:color w:val="auto"/>
              </w:rPr>
              <w:t>4.2</w:t>
            </w:r>
          </w:p>
        </w:tc>
        <w:tc>
          <w:tcPr>
            <w:tcW w:w="1180" w:type="dxa"/>
            <w:vAlign w:val="bottom"/>
          </w:tcPr>
          <w:p>
            <w:pPr>
              <w:jc w:val="right"/>
              <w:spacing w:after="0"/>
              <w:rPr>
                <w:sz w:val="20"/>
                <w:szCs w:val="20"/>
                <w:color w:val="auto"/>
              </w:rPr>
            </w:pPr>
            <w:r>
              <w:rPr>
                <w:rFonts w:ascii="Arial" w:cs="Arial" w:eastAsia="Arial" w:hAnsi="Arial"/>
                <w:sz w:val="18"/>
                <w:szCs w:val="18"/>
                <w:color w:val="auto"/>
              </w:rPr>
              <w:t>9/27/10</w:t>
            </w: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180" w:type="dxa"/>
            <w:vAlign w:val="bottom"/>
            <w:gridSpan w:val="13"/>
          </w:tcPr>
          <w:p>
            <w:pPr>
              <w:spacing w:after="0" w:line="182" w:lineRule="exact"/>
              <w:rPr>
                <w:rFonts w:ascii="Arial" w:cs="Arial" w:eastAsia="Arial" w:hAnsi="Arial"/>
                <w:sz w:val="18"/>
                <w:szCs w:val="18"/>
                <w:color w:val="0000EE"/>
              </w:rPr>
            </w:pPr>
            <w:hyperlink r:id="rId173">
              <w:r>
                <w:rPr>
                  <w:rFonts w:ascii="Arial" w:cs="Arial" w:eastAsia="Arial" w:hAnsi="Arial"/>
                  <w:sz w:val="18"/>
                  <w:szCs w:val="18"/>
                  <w:color w:val="0000EE"/>
                </w:rPr>
                <w:t>0.</w:t>
              </w:r>
              <w:r>
                <w:rPr>
                  <w:rFonts w:ascii="Arial" w:cs="Arial" w:eastAsia="Arial" w:hAnsi="Arial"/>
                  <w:sz w:val="18"/>
                  <w:szCs w:val="18"/>
                  <w:u w:val="single" w:color="auto"/>
                  <w:color w:val="0000EE"/>
                </w:rPr>
                <w:t>875%</w:t>
              </w:r>
              <w:r>
                <w:rPr>
                  <w:rFonts w:ascii="Arial" w:cs="Arial" w:eastAsia="Arial" w:hAnsi="Arial"/>
                  <w:sz w:val="18"/>
                  <w:szCs w:val="18"/>
                  <w:color w:val="0000EE"/>
                </w:rPr>
                <w:t xml:space="preserve"> Notes due 2013, 1.625% Notes due 2015,</w:t>
              </w:r>
            </w:hyperlink>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 w:lineRule="exact"/>
        <w:rPr>
          <w:sz w:val="20"/>
          <w:szCs w:val="20"/>
          <w:color w:val="auto"/>
        </w:rPr>
      </w:pPr>
    </w:p>
    <w:p>
      <w:pPr>
        <w:ind w:left="1120"/>
        <w:spacing w:after="0"/>
        <w:rPr>
          <w:rFonts w:ascii="Arial" w:cs="Arial" w:eastAsia="Arial" w:hAnsi="Arial"/>
          <w:sz w:val="18"/>
          <w:szCs w:val="18"/>
          <w:u w:val="single" w:color="auto"/>
          <w:color w:val="0000EE"/>
        </w:rPr>
      </w:pPr>
      <w:hyperlink r:id="rId173">
        <w:r>
          <w:rPr>
            <w:rFonts w:ascii="Arial" w:cs="Arial" w:eastAsia="Arial" w:hAnsi="Arial"/>
            <w:sz w:val="18"/>
            <w:szCs w:val="18"/>
            <w:u w:val="single" w:color="auto"/>
            <w:color w:val="0000EE"/>
          </w:rPr>
          <w:t>3.00% Notes due 2020, and 4.50% Notes due</w:t>
        </w:r>
      </w:hyperlink>
    </w:p>
    <w:p>
      <w:pPr>
        <w:ind w:left="1120"/>
        <w:spacing w:after="0" w:line="233" w:lineRule="auto"/>
        <w:rPr>
          <w:rFonts w:ascii="Arial" w:cs="Arial" w:eastAsia="Arial" w:hAnsi="Arial"/>
          <w:sz w:val="18"/>
          <w:szCs w:val="18"/>
          <w:u w:val="single" w:color="auto"/>
          <w:color w:val="0000EE"/>
        </w:rPr>
      </w:pPr>
      <w:hyperlink r:id="rId173">
        <w:r>
          <w:rPr>
            <w:rFonts w:ascii="Arial" w:cs="Arial" w:eastAsia="Arial" w:hAnsi="Arial"/>
            <w:sz w:val="18"/>
            <w:szCs w:val="18"/>
            <w:u w:val="single" w:color="auto"/>
            <w:color w:val="0000EE"/>
          </w:rPr>
          <w:t>2040, dated as of September 27, 2010, between</w:t>
        </w:r>
      </w:hyperlink>
    </w:p>
    <w:p>
      <w:pPr>
        <w:ind w:left="1120"/>
        <w:spacing w:after="0" w:line="234" w:lineRule="auto"/>
        <w:rPr>
          <w:rFonts w:ascii="Arial" w:cs="Arial" w:eastAsia="Arial" w:hAnsi="Arial"/>
          <w:sz w:val="18"/>
          <w:szCs w:val="18"/>
          <w:u w:val="single" w:color="auto"/>
          <w:color w:val="0000EE"/>
        </w:rPr>
      </w:pPr>
      <w:hyperlink r:id="rId173">
        <w:r>
          <w:rPr>
            <w:rFonts w:ascii="Arial" w:cs="Arial" w:eastAsia="Arial" w:hAnsi="Arial"/>
            <w:sz w:val="18"/>
            <w:szCs w:val="18"/>
            <w:u w:val="single" w:color="auto"/>
            <w:color w:val="0000EE"/>
          </w:rPr>
          <w:t>Microsoft Corporation and The Bank of New York</w:t>
        </w:r>
      </w:hyperlink>
    </w:p>
    <w:p>
      <w:pPr>
        <w:ind w:left="1120"/>
        <w:spacing w:after="0" w:line="234" w:lineRule="auto"/>
        <w:rPr>
          <w:rFonts w:ascii="Arial" w:cs="Arial" w:eastAsia="Arial" w:hAnsi="Arial"/>
          <w:sz w:val="18"/>
          <w:szCs w:val="18"/>
          <w:u w:val="single" w:color="auto"/>
          <w:color w:val="0000EE"/>
        </w:rPr>
      </w:pPr>
      <w:hyperlink r:id="rId173">
        <w:r>
          <w:rPr>
            <w:rFonts w:ascii="Arial" w:cs="Arial" w:eastAsia="Arial" w:hAnsi="Arial"/>
            <w:sz w:val="18"/>
            <w:szCs w:val="18"/>
            <w:u w:val="single" w:color="auto"/>
            <w:color w:val="0000EE"/>
          </w:rPr>
          <w:t>Mellon Trust Company, N.A., as Trustee, to the</w:t>
        </w:r>
      </w:hyperlink>
    </w:p>
    <w:p>
      <w:pPr>
        <w:ind w:left="1120"/>
        <w:spacing w:after="0" w:line="234" w:lineRule="auto"/>
        <w:rPr>
          <w:rFonts w:ascii="Arial" w:cs="Arial" w:eastAsia="Arial" w:hAnsi="Arial"/>
          <w:sz w:val="18"/>
          <w:szCs w:val="18"/>
          <w:u w:val="single" w:color="auto"/>
          <w:color w:val="0000EE"/>
        </w:rPr>
      </w:pPr>
      <w:hyperlink r:id="rId173">
        <w:r>
          <w:rPr>
            <w:rFonts w:ascii="Arial" w:cs="Arial" w:eastAsia="Arial" w:hAnsi="Arial"/>
            <w:sz w:val="18"/>
            <w:szCs w:val="18"/>
            <w:u w:val="single" w:color="auto"/>
            <w:color w:val="0000EE"/>
          </w:rPr>
          <w:t>Indenture, dated as of May 18, 2009, between</w:t>
        </w:r>
      </w:hyperlink>
    </w:p>
    <w:p>
      <w:pPr>
        <w:ind w:left="1120"/>
        <w:spacing w:after="0" w:line="234" w:lineRule="auto"/>
        <w:rPr>
          <w:rFonts w:ascii="Arial" w:cs="Arial" w:eastAsia="Arial" w:hAnsi="Arial"/>
          <w:sz w:val="18"/>
          <w:szCs w:val="18"/>
          <w:u w:val="single" w:color="auto"/>
          <w:color w:val="0000EE"/>
        </w:rPr>
      </w:pPr>
      <w:hyperlink r:id="rId173">
        <w:r>
          <w:rPr>
            <w:rFonts w:ascii="Arial" w:cs="Arial" w:eastAsia="Arial" w:hAnsi="Arial"/>
            <w:sz w:val="18"/>
            <w:szCs w:val="18"/>
            <w:u w:val="single" w:color="auto"/>
            <w:color w:val="0000EE"/>
          </w:rPr>
          <w:t>Microsoft Corporation and The Bank of New York</w:t>
        </w:r>
      </w:hyperlink>
    </w:p>
    <w:p>
      <w:pPr>
        <w:spacing w:after="0" w:line="1" w:lineRule="exact"/>
        <w:rPr>
          <w:sz w:val="20"/>
          <w:szCs w:val="20"/>
          <w:color w:val="auto"/>
        </w:rPr>
      </w:pPr>
    </w:p>
    <w:p>
      <w:pPr>
        <w:ind w:left="1120"/>
        <w:spacing w:after="0"/>
        <w:rPr>
          <w:rFonts w:ascii="Arial" w:cs="Arial" w:eastAsia="Arial" w:hAnsi="Arial"/>
          <w:sz w:val="18"/>
          <w:szCs w:val="18"/>
          <w:u w:val="single" w:color="auto"/>
          <w:color w:val="0000EE"/>
        </w:rPr>
      </w:pPr>
      <w:hyperlink r:id="rId173">
        <w:r>
          <w:rPr>
            <w:rFonts w:ascii="Arial" w:cs="Arial" w:eastAsia="Arial" w:hAnsi="Arial"/>
            <w:sz w:val="18"/>
            <w:szCs w:val="18"/>
            <w:u w:val="single" w:color="auto"/>
            <w:color w:val="0000EE"/>
          </w:rPr>
          <w:t>Mellon Trust Company, N.A., as Trustee</w:t>
        </w:r>
      </w:hyperlink>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102" w:name="page103"/>
    <w:bookmarkEnd w:id="102"/>
    <w:p>
      <w:pPr>
        <w:ind w:left="5360"/>
        <w:spacing w:after="0"/>
        <w:rPr>
          <w:sz w:val="20"/>
          <w:szCs w:val="20"/>
          <w:color w:val="auto"/>
        </w:rPr>
      </w:pPr>
      <w:r>
        <w:rPr>
          <w:rFonts w:ascii="Arial" w:cs="Arial" w:eastAsia="Arial" w:hAnsi="Arial"/>
          <w:sz w:val="13"/>
          <w:szCs w:val="13"/>
          <w:u w:val="single" w:color="auto"/>
          <w:color w:val="auto"/>
        </w:rPr>
        <w:t>PART IV</w:t>
      </w:r>
    </w:p>
    <w:p>
      <w:pPr>
        <w:ind w:left="5400"/>
        <w:spacing w:after="0"/>
        <w:rPr>
          <w:sz w:val="20"/>
          <w:szCs w:val="20"/>
          <w:color w:val="auto"/>
        </w:rPr>
      </w:pPr>
      <w:r>
        <w:rPr>
          <w:rFonts w:ascii="Arial" w:cs="Arial" w:eastAsia="Arial" w:hAnsi="Arial"/>
          <w:sz w:val="13"/>
          <w:szCs w:val="13"/>
          <w:color w:val="auto"/>
        </w:rPr>
        <w:t>Item 15</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20" w:type="dxa"/>
            <w:vAlign w:val="bottom"/>
            <w:vMerge w:val="restart"/>
          </w:tcPr>
          <w:p>
            <w:pPr>
              <w:spacing w:after="0"/>
              <w:rPr>
                <w:sz w:val="20"/>
                <w:szCs w:val="20"/>
                <w:color w:val="auto"/>
              </w:rPr>
            </w:pPr>
            <w:r>
              <w:rPr>
                <w:rFonts w:ascii="Arial" w:cs="Arial" w:eastAsia="Arial" w:hAnsi="Arial"/>
                <w:sz w:val="13"/>
                <w:szCs w:val="13"/>
                <w:b w:val="1"/>
                <w:bCs w:val="1"/>
                <w:color w:val="auto"/>
              </w:rPr>
              <w:t>Exhibit</w:t>
            </w:r>
          </w:p>
        </w:tc>
        <w:tc>
          <w:tcPr>
            <w:tcW w:w="2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Filed</w:t>
            </w:r>
          </w:p>
        </w:tc>
        <w:tc>
          <w:tcPr>
            <w:tcW w:w="13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2"/>
          </w:tcPr>
          <w:p>
            <w:pPr>
              <w:jc w:val="right"/>
              <w:ind w:right="394"/>
              <w:spacing w:after="0"/>
              <w:rPr>
                <w:sz w:val="20"/>
                <w:szCs w:val="20"/>
                <w:color w:val="auto"/>
              </w:rPr>
            </w:pPr>
            <w:r>
              <w:rPr>
                <w:rFonts w:ascii="Arial" w:cs="Arial" w:eastAsia="Arial" w:hAnsi="Arial"/>
                <w:sz w:val="13"/>
                <w:szCs w:val="13"/>
                <w:b w:val="1"/>
                <w:bCs w:val="1"/>
                <w:color w:val="auto"/>
              </w:rPr>
              <w:t>Incorporated by Reference</w:t>
            </w: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120" w:type="dxa"/>
            <w:vAlign w:val="bottom"/>
            <w:vMerge w:val="continue"/>
          </w:tcPr>
          <w:p>
            <w:pPr>
              <w:spacing w:after="0"/>
              <w:rPr>
                <w:sz w:val="10"/>
                <w:szCs w:val="10"/>
                <w:color w:val="auto"/>
              </w:rPr>
            </w:pPr>
          </w:p>
        </w:tc>
        <w:tc>
          <w:tcPr>
            <w:tcW w:w="2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100" w:type="dxa"/>
            <w:vAlign w:val="bottom"/>
          </w:tcPr>
          <w:p>
            <w:pPr>
              <w:jc w:val="right"/>
              <w:ind w:right="193"/>
              <w:spacing w:after="0" w:line="125" w:lineRule="exact"/>
              <w:rPr>
                <w:sz w:val="20"/>
                <w:szCs w:val="20"/>
                <w:color w:val="auto"/>
              </w:rPr>
            </w:pPr>
            <w:r>
              <w:rPr>
                <w:rFonts w:ascii="Arial" w:cs="Arial" w:eastAsia="Arial" w:hAnsi="Arial"/>
                <w:sz w:val="13"/>
                <w:szCs w:val="13"/>
                <w:b w:val="1"/>
                <w:bCs w:val="1"/>
                <w:color w:val="auto"/>
              </w:rPr>
              <w:t>Period</w:t>
            </w:r>
          </w:p>
        </w:tc>
        <w:tc>
          <w:tcPr>
            <w:tcW w:w="14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Number</w:t>
            </w:r>
          </w:p>
        </w:tc>
        <w:tc>
          <w:tcPr>
            <w:tcW w:w="4200" w:type="dxa"/>
            <w:vAlign w:val="bottom"/>
            <w:tcBorders>
              <w:bottom w:val="single" w:sz="8" w:color="auto"/>
            </w:tcBorders>
            <w:gridSpan w:val="20"/>
          </w:tcPr>
          <w:p>
            <w:pPr>
              <w:ind w:left="20"/>
              <w:spacing w:after="0"/>
              <w:rPr>
                <w:sz w:val="20"/>
                <w:szCs w:val="20"/>
                <w:color w:val="auto"/>
              </w:rPr>
            </w:pPr>
            <w:r>
              <w:rPr>
                <w:rFonts w:ascii="Arial" w:cs="Arial" w:eastAsia="Arial" w:hAnsi="Arial"/>
                <w:sz w:val="13"/>
                <w:szCs w:val="13"/>
                <w:b w:val="1"/>
                <w:bCs w:val="1"/>
                <w:color w:val="auto"/>
              </w:rPr>
              <w:t>Exhibit Description</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Herewith</w:t>
            </w:r>
          </w:p>
        </w:tc>
        <w:tc>
          <w:tcPr>
            <w:tcW w:w="1300" w:type="dxa"/>
            <w:vAlign w:val="bottom"/>
            <w:tcBorders>
              <w:bottom w:val="single" w:sz="8" w:color="auto"/>
            </w:tcBorders>
          </w:tcPr>
          <w:p>
            <w:pPr>
              <w:ind w:left="600"/>
              <w:spacing w:after="0"/>
              <w:rPr>
                <w:sz w:val="20"/>
                <w:szCs w:val="20"/>
                <w:color w:val="auto"/>
              </w:rPr>
            </w:pPr>
            <w:r>
              <w:rPr>
                <w:rFonts w:ascii="Arial" w:cs="Arial" w:eastAsia="Arial" w:hAnsi="Arial"/>
                <w:sz w:val="13"/>
                <w:szCs w:val="13"/>
                <w:b w:val="1"/>
                <w:bCs w:val="1"/>
                <w:color w:val="auto"/>
              </w:rPr>
              <w:t>Form</w:t>
            </w:r>
          </w:p>
        </w:tc>
        <w:tc>
          <w:tcPr>
            <w:tcW w:w="110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Ending</w:t>
            </w:r>
          </w:p>
        </w:tc>
        <w:tc>
          <w:tcPr>
            <w:tcW w:w="1440" w:type="dxa"/>
            <w:vAlign w:val="bottom"/>
            <w:tcBorders>
              <w:bottom w:val="single" w:sz="8" w:color="auto"/>
            </w:tcBorders>
          </w:tcPr>
          <w:p>
            <w:pPr>
              <w:jc w:val="right"/>
              <w:ind w:right="614"/>
              <w:spacing w:after="0"/>
              <w:rPr>
                <w:sz w:val="20"/>
                <w:szCs w:val="20"/>
                <w:color w:val="auto"/>
              </w:rPr>
            </w:pPr>
            <w:r>
              <w:rPr>
                <w:rFonts w:ascii="Arial" w:cs="Arial" w:eastAsia="Arial" w:hAnsi="Arial"/>
                <w:sz w:val="13"/>
                <w:szCs w:val="13"/>
                <w:b w:val="1"/>
                <w:bCs w:val="1"/>
                <w:color w:val="auto"/>
              </w:rPr>
              <w:t>Exhibit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Filing Date</w:t>
            </w:r>
          </w:p>
        </w:tc>
        <w:tc>
          <w:tcPr>
            <w:tcW w:w="0" w:type="dxa"/>
            <w:vAlign w:val="bottom"/>
          </w:tcPr>
          <w:p>
            <w:pPr>
              <w:spacing w:after="0"/>
              <w:rPr>
                <w:sz w:val="1"/>
                <w:szCs w:val="1"/>
                <w:color w:val="auto"/>
              </w:rPr>
            </w:pPr>
          </w:p>
        </w:tc>
      </w:tr>
      <w:tr>
        <w:trPr>
          <w:trHeight w:val="276"/>
        </w:trPr>
        <w:tc>
          <w:tcPr>
            <w:tcW w:w="1120" w:type="dxa"/>
            <w:vAlign w:val="bottom"/>
          </w:tcPr>
          <w:p>
            <w:pPr>
              <w:spacing w:after="0"/>
              <w:rPr>
                <w:sz w:val="20"/>
                <w:szCs w:val="20"/>
                <w:color w:val="auto"/>
              </w:rPr>
            </w:pPr>
            <w:r>
              <w:rPr>
                <w:rFonts w:ascii="Arial" w:cs="Arial" w:eastAsia="Arial" w:hAnsi="Arial"/>
                <w:sz w:val="18"/>
                <w:szCs w:val="18"/>
                <w:color w:val="auto"/>
              </w:rPr>
              <w:t>4.6</w:t>
            </w:r>
          </w:p>
        </w:tc>
        <w:tc>
          <w:tcPr>
            <w:tcW w:w="3820" w:type="dxa"/>
            <w:vAlign w:val="bottom"/>
            <w:tcBorders>
              <w:bottom w:val="single" w:sz="8" w:color="0000EE"/>
            </w:tcBorders>
            <w:gridSpan w:val="8"/>
          </w:tcPr>
          <w:p>
            <w:pPr>
              <w:spacing w:after="0"/>
              <w:rPr>
                <w:rFonts w:ascii="Arial" w:cs="Arial" w:eastAsia="Arial" w:hAnsi="Arial"/>
                <w:sz w:val="18"/>
                <w:szCs w:val="18"/>
                <w:color w:val="0000EE"/>
                <w:w w:val="99"/>
              </w:rPr>
            </w:pPr>
            <w:hyperlink r:id="rId175">
              <w:r>
                <w:rPr>
                  <w:rFonts w:ascii="Arial" w:cs="Arial" w:eastAsia="Arial" w:hAnsi="Arial"/>
                  <w:sz w:val="18"/>
                  <w:szCs w:val="18"/>
                  <w:color w:val="0000EE"/>
                  <w:w w:val="99"/>
                </w:rPr>
                <w:t>Third Supplemental Indenture for 2.500% Notes</w:t>
              </w:r>
            </w:hyperlink>
          </w:p>
        </w:tc>
        <w:tc>
          <w:tcPr>
            <w:tcW w:w="380" w:type="dxa"/>
            <w:vAlign w:val="bottom"/>
            <w:gridSpan w:val="12"/>
          </w:tcPr>
          <w:p>
            <w:pPr>
              <w:spacing w:after="0"/>
              <w:rPr>
                <w:sz w:val="23"/>
                <w:szCs w:val="23"/>
                <w:color w:val="auto"/>
              </w:rPr>
            </w:pPr>
          </w:p>
        </w:tc>
        <w:tc>
          <w:tcPr>
            <w:tcW w:w="840" w:type="dxa"/>
            <w:vAlign w:val="bottom"/>
          </w:tcPr>
          <w:p>
            <w:pPr>
              <w:spacing w:after="0"/>
              <w:rPr>
                <w:sz w:val="23"/>
                <w:szCs w:val="23"/>
                <w:color w:val="auto"/>
              </w:rPr>
            </w:pPr>
          </w:p>
        </w:tc>
        <w:tc>
          <w:tcPr>
            <w:tcW w:w="1300" w:type="dxa"/>
            <w:vAlign w:val="bottom"/>
          </w:tcPr>
          <w:p>
            <w:pPr>
              <w:ind w:left="680"/>
              <w:spacing w:after="0"/>
              <w:rPr>
                <w:sz w:val="20"/>
                <w:szCs w:val="20"/>
                <w:color w:val="auto"/>
              </w:rPr>
            </w:pPr>
            <w:r>
              <w:rPr>
                <w:rFonts w:ascii="Arial" w:cs="Arial" w:eastAsia="Arial" w:hAnsi="Arial"/>
                <w:sz w:val="18"/>
                <w:szCs w:val="18"/>
                <w:color w:val="auto"/>
              </w:rPr>
              <w:t>8-K</w:t>
            </w:r>
          </w:p>
        </w:tc>
        <w:tc>
          <w:tcPr>
            <w:tcW w:w="1100" w:type="dxa"/>
            <w:vAlign w:val="bottom"/>
          </w:tcPr>
          <w:p>
            <w:pPr>
              <w:spacing w:after="0"/>
              <w:rPr>
                <w:sz w:val="23"/>
                <w:szCs w:val="23"/>
                <w:color w:val="auto"/>
              </w:rPr>
            </w:pPr>
          </w:p>
        </w:tc>
        <w:tc>
          <w:tcPr>
            <w:tcW w:w="1440" w:type="dxa"/>
            <w:vAlign w:val="bottom"/>
          </w:tcPr>
          <w:p>
            <w:pPr>
              <w:jc w:val="right"/>
              <w:ind w:right="614"/>
              <w:spacing w:after="0"/>
              <w:rPr>
                <w:sz w:val="20"/>
                <w:szCs w:val="20"/>
                <w:color w:val="auto"/>
              </w:rPr>
            </w:pPr>
            <w:r>
              <w:rPr>
                <w:rFonts w:ascii="Arial" w:cs="Arial" w:eastAsia="Arial" w:hAnsi="Arial"/>
                <w:sz w:val="18"/>
                <w:szCs w:val="18"/>
                <w:color w:val="auto"/>
              </w:rPr>
              <w:t>4.2</w:t>
            </w:r>
          </w:p>
        </w:tc>
        <w:tc>
          <w:tcPr>
            <w:tcW w:w="1180" w:type="dxa"/>
            <w:vAlign w:val="bottom"/>
          </w:tcPr>
          <w:p>
            <w:pPr>
              <w:jc w:val="right"/>
              <w:spacing w:after="0"/>
              <w:rPr>
                <w:sz w:val="20"/>
                <w:szCs w:val="20"/>
                <w:color w:val="auto"/>
              </w:rPr>
            </w:pPr>
            <w:r>
              <w:rPr>
                <w:rFonts w:ascii="Arial" w:cs="Arial" w:eastAsia="Arial" w:hAnsi="Arial"/>
                <w:sz w:val="18"/>
                <w:szCs w:val="18"/>
                <w:color w:val="auto"/>
              </w:rPr>
              <w:t>2/8/11</w:t>
            </w: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86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r:id="rId175">
              <w:r>
                <w:rPr>
                  <w:rFonts w:ascii="Arial" w:cs="Arial" w:eastAsia="Arial" w:hAnsi="Arial"/>
                  <w:sz w:val="18"/>
                  <w:szCs w:val="18"/>
                  <w:color w:val="0000EE"/>
                  <w:w w:val="99"/>
                </w:rPr>
                <w:t>due 2016, 4.000% Notes due 2021, and 5.300%</w:t>
              </w:r>
            </w:hyperlink>
          </w:p>
        </w:tc>
        <w:tc>
          <w:tcPr>
            <w:tcW w:w="340" w:type="dxa"/>
            <w:vAlign w:val="bottom"/>
            <w:gridSpan w:val="10"/>
          </w:tcPr>
          <w:p>
            <w:pPr>
              <w:spacing w:after="0"/>
              <w:rPr>
                <w:sz w:val="15"/>
                <w:szCs w:val="15"/>
                <w:color w:val="auto"/>
              </w:rPr>
            </w:pPr>
          </w:p>
        </w:tc>
        <w:tc>
          <w:tcPr>
            <w:tcW w:w="8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200" w:type="dxa"/>
            <w:vAlign w:val="bottom"/>
            <w:gridSpan w:val="20"/>
          </w:tcPr>
          <w:p>
            <w:pPr>
              <w:spacing w:after="0" w:line="182" w:lineRule="exact"/>
              <w:rPr>
                <w:rFonts w:ascii="Arial" w:cs="Arial" w:eastAsia="Arial" w:hAnsi="Arial"/>
                <w:sz w:val="18"/>
                <w:szCs w:val="18"/>
                <w:color w:val="0000EE"/>
              </w:rPr>
            </w:pPr>
            <w:hyperlink r:id="rId175">
              <w:r>
                <w:rPr>
                  <w:rFonts w:ascii="Arial" w:cs="Arial" w:eastAsia="Arial" w:hAnsi="Arial"/>
                  <w:sz w:val="18"/>
                  <w:szCs w:val="18"/>
                  <w:color w:val="0000EE"/>
                </w:rPr>
                <w:t>Notes due 2041, dated as of February 8, 2011,</w:t>
              </w:r>
            </w:hyperlink>
          </w:p>
        </w:tc>
        <w:tc>
          <w:tcPr>
            <w:tcW w:w="8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20" w:type="dxa"/>
            <w:vAlign w:val="bottom"/>
          </w:tcPr>
          <w:p>
            <w:pPr>
              <w:spacing w:after="0"/>
              <w:rPr>
                <w:sz w:val="15"/>
                <w:szCs w:val="15"/>
                <w:color w:val="auto"/>
              </w:rPr>
            </w:pPr>
          </w:p>
        </w:tc>
        <w:tc>
          <w:tcPr>
            <w:tcW w:w="3820" w:type="dxa"/>
            <w:vAlign w:val="bottom"/>
            <w:tcBorders>
              <w:bottom w:val="single" w:sz="8" w:color="0000EE"/>
            </w:tcBorders>
            <w:gridSpan w:val="8"/>
          </w:tcPr>
          <w:p>
            <w:pPr>
              <w:spacing w:after="0" w:line="182" w:lineRule="exact"/>
              <w:rPr>
                <w:rFonts w:ascii="Arial" w:cs="Arial" w:eastAsia="Arial" w:hAnsi="Arial"/>
                <w:sz w:val="18"/>
                <w:szCs w:val="18"/>
                <w:color w:val="0000EE"/>
                <w:w w:val="99"/>
              </w:rPr>
            </w:pPr>
            <w:hyperlink r:id="rId175">
              <w:r>
                <w:rPr>
                  <w:rFonts w:ascii="Arial" w:cs="Arial" w:eastAsia="Arial" w:hAnsi="Arial"/>
                  <w:sz w:val="18"/>
                  <w:szCs w:val="18"/>
                  <w:color w:val="0000EE"/>
                  <w:w w:val="99"/>
                </w:rPr>
                <w:t>between Microsoft Corporation and The Bank of</w:t>
              </w:r>
            </w:hyperlink>
          </w:p>
        </w:tc>
        <w:tc>
          <w:tcPr>
            <w:tcW w:w="380" w:type="dxa"/>
            <w:vAlign w:val="bottom"/>
            <w:gridSpan w:val="12"/>
          </w:tcPr>
          <w:p>
            <w:pPr>
              <w:spacing w:after="0"/>
              <w:rPr>
                <w:sz w:val="15"/>
                <w:szCs w:val="15"/>
                <w:color w:val="auto"/>
              </w:rPr>
            </w:pPr>
          </w:p>
        </w:tc>
        <w:tc>
          <w:tcPr>
            <w:tcW w:w="8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040" w:type="dxa"/>
            <w:vAlign w:val="bottom"/>
            <w:tcBorders>
              <w:bottom w:val="single" w:sz="8" w:color="0000EE"/>
            </w:tcBorders>
            <w:gridSpan w:val="16"/>
          </w:tcPr>
          <w:p>
            <w:pPr>
              <w:spacing w:after="0" w:line="182" w:lineRule="exact"/>
              <w:rPr>
                <w:rFonts w:ascii="Arial" w:cs="Arial" w:eastAsia="Arial" w:hAnsi="Arial"/>
                <w:sz w:val="18"/>
                <w:szCs w:val="18"/>
                <w:color w:val="0000EE"/>
                <w:w w:val="98"/>
              </w:rPr>
            </w:pPr>
            <w:hyperlink r:id="rId175">
              <w:r>
                <w:rPr>
                  <w:rFonts w:ascii="Arial" w:cs="Arial" w:eastAsia="Arial" w:hAnsi="Arial"/>
                  <w:sz w:val="18"/>
                  <w:szCs w:val="18"/>
                  <w:color w:val="0000EE"/>
                  <w:w w:val="98"/>
                </w:rPr>
                <w:t>New York Mellon Trust Company, N.A., as Trustee,</w:t>
              </w:r>
            </w:hyperlink>
          </w:p>
        </w:tc>
        <w:tc>
          <w:tcPr>
            <w:tcW w:w="160" w:type="dxa"/>
            <w:vAlign w:val="bottom"/>
            <w:gridSpan w:val="4"/>
          </w:tcPr>
          <w:p>
            <w:pPr>
              <w:spacing w:after="0"/>
              <w:rPr>
                <w:sz w:val="15"/>
                <w:szCs w:val="15"/>
                <w:color w:val="auto"/>
              </w:rPr>
            </w:pPr>
          </w:p>
        </w:tc>
        <w:tc>
          <w:tcPr>
            <w:tcW w:w="8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440" w:type="dxa"/>
            <w:vAlign w:val="bottom"/>
            <w:tcBorders>
              <w:bottom w:val="single" w:sz="8" w:color="0000EE"/>
            </w:tcBorders>
            <w:gridSpan w:val="3"/>
          </w:tcPr>
          <w:p>
            <w:pPr>
              <w:spacing w:after="0" w:line="182" w:lineRule="exact"/>
              <w:rPr>
                <w:rFonts w:ascii="Arial" w:cs="Arial" w:eastAsia="Arial" w:hAnsi="Arial"/>
                <w:sz w:val="18"/>
                <w:szCs w:val="18"/>
                <w:color w:val="0000EE"/>
                <w:w w:val="99"/>
              </w:rPr>
            </w:pPr>
            <w:hyperlink r:id="rId175">
              <w:r>
                <w:rPr>
                  <w:rFonts w:ascii="Arial" w:cs="Arial" w:eastAsia="Arial" w:hAnsi="Arial"/>
                  <w:sz w:val="18"/>
                  <w:szCs w:val="18"/>
                  <w:color w:val="0000EE"/>
                  <w:w w:val="99"/>
                </w:rPr>
                <w:t>to the Indenture, dated as of May 18, 2009,</w:t>
              </w:r>
            </w:hyperlink>
          </w:p>
        </w:tc>
        <w:tc>
          <w:tcPr>
            <w:tcW w:w="760" w:type="dxa"/>
            <w:vAlign w:val="bottom"/>
            <w:gridSpan w:val="17"/>
          </w:tcPr>
          <w:p>
            <w:pPr>
              <w:spacing w:after="0"/>
              <w:rPr>
                <w:sz w:val="15"/>
                <w:szCs w:val="15"/>
                <w:color w:val="auto"/>
              </w:rPr>
            </w:pPr>
          </w:p>
        </w:tc>
        <w:tc>
          <w:tcPr>
            <w:tcW w:w="8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820" w:type="dxa"/>
            <w:vAlign w:val="bottom"/>
            <w:tcBorders>
              <w:bottom w:val="single" w:sz="8" w:color="0000EE"/>
            </w:tcBorders>
            <w:gridSpan w:val="8"/>
          </w:tcPr>
          <w:p>
            <w:pPr>
              <w:spacing w:after="0" w:line="182" w:lineRule="exact"/>
              <w:rPr>
                <w:rFonts w:ascii="Arial" w:cs="Arial" w:eastAsia="Arial" w:hAnsi="Arial"/>
                <w:sz w:val="18"/>
                <w:szCs w:val="18"/>
                <w:color w:val="0000EE"/>
                <w:w w:val="99"/>
              </w:rPr>
            </w:pPr>
            <w:hyperlink r:id="rId175">
              <w:r>
                <w:rPr>
                  <w:rFonts w:ascii="Arial" w:cs="Arial" w:eastAsia="Arial" w:hAnsi="Arial"/>
                  <w:sz w:val="18"/>
                  <w:szCs w:val="18"/>
                  <w:color w:val="0000EE"/>
                  <w:w w:val="99"/>
                </w:rPr>
                <w:t>between Microsoft Corporation and The Bank of</w:t>
              </w:r>
            </w:hyperlink>
          </w:p>
        </w:tc>
        <w:tc>
          <w:tcPr>
            <w:tcW w:w="380" w:type="dxa"/>
            <w:vAlign w:val="bottom"/>
            <w:gridSpan w:val="12"/>
          </w:tcPr>
          <w:p>
            <w:pPr>
              <w:spacing w:after="0"/>
              <w:rPr>
                <w:sz w:val="15"/>
                <w:szCs w:val="15"/>
                <w:color w:val="auto"/>
              </w:rPr>
            </w:pPr>
          </w:p>
        </w:tc>
        <w:tc>
          <w:tcPr>
            <w:tcW w:w="8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000" w:type="dxa"/>
            <w:vAlign w:val="bottom"/>
            <w:tcBorders>
              <w:bottom w:val="single" w:sz="8" w:color="0000EE"/>
            </w:tcBorders>
            <w:gridSpan w:val="14"/>
          </w:tcPr>
          <w:p>
            <w:pPr>
              <w:spacing w:after="0" w:line="182" w:lineRule="exact"/>
              <w:rPr>
                <w:rFonts w:ascii="Arial" w:cs="Arial" w:eastAsia="Arial" w:hAnsi="Arial"/>
                <w:sz w:val="18"/>
                <w:szCs w:val="18"/>
                <w:color w:val="0000EE"/>
                <w:w w:val="98"/>
              </w:rPr>
            </w:pPr>
            <w:hyperlink r:id="rId175">
              <w:r>
                <w:rPr>
                  <w:rFonts w:ascii="Arial" w:cs="Arial" w:eastAsia="Arial" w:hAnsi="Arial"/>
                  <w:sz w:val="18"/>
                  <w:szCs w:val="18"/>
                  <w:color w:val="0000EE"/>
                  <w:w w:val="98"/>
                </w:rPr>
                <w:t>New York Mellon Trust Company, N.A., as Trustee</w:t>
              </w:r>
            </w:hyperlink>
          </w:p>
        </w:tc>
        <w:tc>
          <w:tcPr>
            <w:tcW w:w="200" w:type="dxa"/>
            <w:vAlign w:val="bottom"/>
            <w:gridSpan w:val="6"/>
          </w:tcPr>
          <w:p>
            <w:pPr>
              <w:spacing w:after="0"/>
              <w:rPr>
                <w:sz w:val="15"/>
                <w:szCs w:val="15"/>
                <w:color w:val="auto"/>
              </w:rPr>
            </w:pPr>
          </w:p>
        </w:tc>
        <w:tc>
          <w:tcPr>
            <w:tcW w:w="8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1120" w:type="dxa"/>
            <w:vAlign w:val="bottom"/>
          </w:tcPr>
          <w:p>
            <w:pPr>
              <w:spacing w:after="0"/>
              <w:rPr>
                <w:sz w:val="20"/>
                <w:szCs w:val="20"/>
                <w:color w:val="auto"/>
              </w:rPr>
            </w:pPr>
            <w:r>
              <w:rPr>
                <w:rFonts w:ascii="Arial" w:cs="Arial" w:eastAsia="Arial" w:hAnsi="Arial"/>
                <w:sz w:val="18"/>
                <w:szCs w:val="18"/>
                <w:color w:val="auto"/>
              </w:rPr>
              <w:t>4.7</w:t>
            </w:r>
          </w:p>
        </w:tc>
        <w:tc>
          <w:tcPr>
            <w:tcW w:w="3920" w:type="dxa"/>
            <w:vAlign w:val="bottom"/>
            <w:tcBorders>
              <w:bottom w:val="single" w:sz="8" w:color="0000EE"/>
            </w:tcBorders>
            <w:gridSpan w:val="12"/>
          </w:tcPr>
          <w:p>
            <w:pPr>
              <w:spacing w:after="0"/>
              <w:rPr>
                <w:rFonts w:ascii="Arial" w:cs="Arial" w:eastAsia="Arial" w:hAnsi="Arial"/>
                <w:sz w:val="18"/>
                <w:szCs w:val="18"/>
                <w:color w:val="0000EE"/>
                <w:w w:val="99"/>
              </w:rPr>
            </w:pPr>
            <w:hyperlink r:id="rId176">
              <w:r>
                <w:rPr>
                  <w:rFonts w:ascii="Arial" w:cs="Arial" w:eastAsia="Arial" w:hAnsi="Arial"/>
                  <w:sz w:val="18"/>
                  <w:szCs w:val="18"/>
                  <w:color w:val="0000EE"/>
                  <w:w w:val="99"/>
                </w:rPr>
                <w:t>Fourth Supplemental Indenture for 0.875% Notes</w:t>
              </w:r>
            </w:hyperlink>
          </w:p>
        </w:tc>
        <w:tc>
          <w:tcPr>
            <w:tcW w:w="280" w:type="dxa"/>
            <w:vAlign w:val="bottom"/>
            <w:gridSpan w:val="8"/>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ind w:left="680"/>
              <w:spacing w:after="0"/>
              <w:rPr>
                <w:sz w:val="20"/>
                <w:szCs w:val="20"/>
                <w:color w:val="auto"/>
              </w:rPr>
            </w:pPr>
            <w:r>
              <w:rPr>
                <w:rFonts w:ascii="Arial" w:cs="Arial" w:eastAsia="Arial" w:hAnsi="Arial"/>
                <w:sz w:val="18"/>
                <w:szCs w:val="18"/>
                <w:color w:val="auto"/>
              </w:rPr>
              <w:t>8-K</w:t>
            </w:r>
          </w:p>
        </w:tc>
        <w:tc>
          <w:tcPr>
            <w:tcW w:w="1100" w:type="dxa"/>
            <w:vAlign w:val="bottom"/>
          </w:tcPr>
          <w:p>
            <w:pPr>
              <w:spacing w:after="0"/>
              <w:rPr>
                <w:sz w:val="24"/>
                <w:szCs w:val="24"/>
                <w:color w:val="auto"/>
              </w:rPr>
            </w:pPr>
          </w:p>
        </w:tc>
        <w:tc>
          <w:tcPr>
            <w:tcW w:w="1440" w:type="dxa"/>
            <w:vAlign w:val="bottom"/>
          </w:tcPr>
          <w:p>
            <w:pPr>
              <w:jc w:val="right"/>
              <w:ind w:right="614"/>
              <w:spacing w:after="0"/>
              <w:rPr>
                <w:sz w:val="20"/>
                <w:szCs w:val="20"/>
                <w:color w:val="auto"/>
              </w:rPr>
            </w:pPr>
            <w:r>
              <w:rPr>
                <w:rFonts w:ascii="Arial" w:cs="Arial" w:eastAsia="Arial" w:hAnsi="Arial"/>
                <w:sz w:val="18"/>
                <w:szCs w:val="18"/>
                <w:color w:val="auto"/>
              </w:rPr>
              <w:t>4.1</w:t>
            </w:r>
          </w:p>
        </w:tc>
        <w:tc>
          <w:tcPr>
            <w:tcW w:w="1180" w:type="dxa"/>
            <w:vAlign w:val="bottom"/>
          </w:tcPr>
          <w:p>
            <w:pPr>
              <w:jc w:val="right"/>
              <w:spacing w:after="0"/>
              <w:rPr>
                <w:sz w:val="20"/>
                <w:szCs w:val="20"/>
                <w:color w:val="auto"/>
              </w:rPr>
            </w:pPr>
            <w:r>
              <w:rPr>
                <w:rFonts w:ascii="Arial" w:cs="Arial" w:eastAsia="Arial" w:hAnsi="Arial"/>
                <w:sz w:val="18"/>
                <w:szCs w:val="18"/>
                <w:color w:val="auto"/>
              </w:rPr>
              <w:t>11/7/12</w:t>
            </w: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86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r:id="rId176">
              <w:r>
                <w:rPr>
                  <w:rFonts w:ascii="Arial" w:cs="Arial" w:eastAsia="Arial" w:hAnsi="Arial"/>
                  <w:sz w:val="18"/>
                  <w:szCs w:val="18"/>
                  <w:color w:val="0000EE"/>
                  <w:w w:val="99"/>
                </w:rPr>
                <w:t>due 2017, 2.125% Notes due 2022, and 3.500%</w:t>
              </w:r>
            </w:hyperlink>
          </w:p>
        </w:tc>
        <w:tc>
          <w:tcPr>
            <w:tcW w:w="340" w:type="dxa"/>
            <w:vAlign w:val="bottom"/>
            <w:gridSpan w:val="10"/>
          </w:tcPr>
          <w:p>
            <w:pPr>
              <w:spacing w:after="0"/>
              <w:rPr>
                <w:sz w:val="15"/>
                <w:szCs w:val="15"/>
                <w:color w:val="auto"/>
              </w:rPr>
            </w:pPr>
          </w:p>
        </w:tc>
        <w:tc>
          <w:tcPr>
            <w:tcW w:w="8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840" w:type="dxa"/>
            <w:vAlign w:val="bottom"/>
            <w:tcBorders>
              <w:bottom w:val="single" w:sz="8" w:color="0000EE"/>
            </w:tcBorders>
            <w:gridSpan w:val="9"/>
          </w:tcPr>
          <w:p>
            <w:pPr>
              <w:spacing w:after="0" w:line="182" w:lineRule="exact"/>
              <w:rPr>
                <w:rFonts w:ascii="Arial" w:cs="Arial" w:eastAsia="Arial" w:hAnsi="Arial"/>
                <w:sz w:val="18"/>
                <w:szCs w:val="18"/>
                <w:color w:val="0000EE"/>
                <w:w w:val="99"/>
              </w:rPr>
            </w:pPr>
            <w:hyperlink r:id="rId176">
              <w:r>
                <w:rPr>
                  <w:rFonts w:ascii="Arial" w:cs="Arial" w:eastAsia="Arial" w:hAnsi="Arial"/>
                  <w:sz w:val="18"/>
                  <w:szCs w:val="18"/>
                  <w:color w:val="0000EE"/>
                  <w:w w:val="99"/>
                </w:rPr>
                <w:t>Notes due 2042, dated as of November 7, 2012,</w:t>
              </w:r>
            </w:hyperlink>
          </w:p>
        </w:tc>
        <w:tc>
          <w:tcPr>
            <w:tcW w:w="360" w:type="dxa"/>
            <w:vAlign w:val="bottom"/>
            <w:gridSpan w:val="11"/>
          </w:tcPr>
          <w:p>
            <w:pPr>
              <w:spacing w:after="0"/>
              <w:rPr>
                <w:sz w:val="15"/>
                <w:szCs w:val="15"/>
                <w:color w:val="auto"/>
              </w:rPr>
            </w:pPr>
          </w:p>
        </w:tc>
        <w:tc>
          <w:tcPr>
            <w:tcW w:w="8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820" w:type="dxa"/>
            <w:vAlign w:val="bottom"/>
            <w:tcBorders>
              <w:bottom w:val="single" w:sz="8" w:color="0000EE"/>
            </w:tcBorders>
            <w:gridSpan w:val="8"/>
          </w:tcPr>
          <w:p>
            <w:pPr>
              <w:spacing w:after="0" w:line="182" w:lineRule="exact"/>
              <w:rPr>
                <w:rFonts w:ascii="Arial" w:cs="Arial" w:eastAsia="Arial" w:hAnsi="Arial"/>
                <w:sz w:val="18"/>
                <w:szCs w:val="18"/>
                <w:color w:val="0000EE"/>
                <w:w w:val="99"/>
              </w:rPr>
            </w:pPr>
            <w:hyperlink r:id="rId176">
              <w:r>
                <w:rPr>
                  <w:rFonts w:ascii="Arial" w:cs="Arial" w:eastAsia="Arial" w:hAnsi="Arial"/>
                  <w:sz w:val="18"/>
                  <w:szCs w:val="18"/>
                  <w:color w:val="0000EE"/>
                  <w:w w:val="99"/>
                </w:rPr>
                <w:t>between Microsoft Corporation and The Bank of</w:t>
              </w:r>
            </w:hyperlink>
          </w:p>
        </w:tc>
        <w:tc>
          <w:tcPr>
            <w:tcW w:w="380" w:type="dxa"/>
            <w:vAlign w:val="bottom"/>
            <w:gridSpan w:val="12"/>
          </w:tcPr>
          <w:p>
            <w:pPr>
              <w:spacing w:after="0"/>
              <w:rPr>
                <w:sz w:val="15"/>
                <w:szCs w:val="15"/>
                <w:color w:val="auto"/>
              </w:rPr>
            </w:pPr>
          </w:p>
        </w:tc>
        <w:tc>
          <w:tcPr>
            <w:tcW w:w="8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040" w:type="dxa"/>
            <w:vAlign w:val="bottom"/>
            <w:tcBorders>
              <w:bottom w:val="single" w:sz="8" w:color="0000EE"/>
            </w:tcBorders>
            <w:gridSpan w:val="16"/>
          </w:tcPr>
          <w:p>
            <w:pPr>
              <w:spacing w:after="0" w:line="182" w:lineRule="exact"/>
              <w:rPr>
                <w:rFonts w:ascii="Arial" w:cs="Arial" w:eastAsia="Arial" w:hAnsi="Arial"/>
                <w:sz w:val="18"/>
                <w:szCs w:val="18"/>
                <w:color w:val="0000EE"/>
                <w:w w:val="98"/>
              </w:rPr>
            </w:pPr>
            <w:hyperlink r:id="rId176">
              <w:r>
                <w:rPr>
                  <w:rFonts w:ascii="Arial" w:cs="Arial" w:eastAsia="Arial" w:hAnsi="Arial"/>
                  <w:sz w:val="18"/>
                  <w:szCs w:val="18"/>
                  <w:color w:val="0000EE"/>
                  <w:w w:val="98"/>
                </w:rPr>
                <w:t>New York Mellon Trust Company, N.A., as Trustee,</w:t>
              </w:r>
            </w:hyperlink>
          </w:p>
        </w:tc>
        <w:tc>
          <w:tcPr>
            <w:tcW w:w="160" w:type="dxa"/>
            <w:vAlign w:val="bottom"/>
            <w:gridSpan w:val="4"/>
          </w:tcPr>
          <w:p>
            <w:pPr>
              <w:spacing w:after="0"/>
              <w:rPr>
                <w:sz w:val="15"/>
                <w:szCs w:val="15"/>
                <w:color w:val="auto"/>
              </w:rPr>
            </w:pPr>
          </w:p>
        </w:tc>
        <w:tc>
          <w:tcPr>
            <w:tcW w:w="8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440" w:type="dxa"/>
            <w:vAlign w:val="bottom"/>
            <w:tcBorders>
              <w:bottom w:val="single" w:sz="8" w:color="0000EE"/>
            </w:tcBorders>
            <w:gridSpan w:val="3"/>
          </w:tcPr>
          <w:p>
            <w:pPr>
              <w:spacing w:after="0" w:line="182" w:lineRule="exact"/>
              <w:rPr>
                <w:rFonts w:ascii="Arial" w:cs="Arial" w:eastAsia="Arial" w:hAnsi="Arial"/>
                <w:sz w:val="18"/>
                <w:szCs w:val="18"/>
                <w:color w:val="0000EE"/>
                <w:w w:val="99"/>
              </w:rPr>
            </w:pPr>
            <w:hyperlink r:id="rId176">
              <w:r>
                <w:rPr>
                  <w:rFonts w:ascii="Arial" w:cs="Arial" w:eastAsia="Arial" w:hAnsi="Arial"/>
                  <w:sz w:val="18"/>
                  <w:szCs w:val="18"/>
                  <w:color w:val="0000EE"/>
                  <w:w w:val="99"/>
                </w:rPr>
                <w:t>to the Indenture, dated as of May 18, 2009,</w:t>
              </w:r>
            </w:hyperlink>
          </w:p>
        </w:tc>
        <w:tc>
          <w:tcPr>
            <w:tcW w:w="760" w:type="dxa"/>
            <w:vAlign w:val="bottom"/>
            <w:gridSpan w:val="17"/>
          </w:tcPr>
          <w:p>
            <w:pPr>
              <w:spacing w:after="0"/>
              <w:rPr>
                <w:sz w:val="15"/>
                <w:szCs w:val="15"/>
                <w:color w:val="auto"/>
              </w:rPr>
            </w:pPr>
          </w:p>
        </w:tc>
        <w:tc>
          <w:tcPr>
            <w:tcW w:w="8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820" w:type="dxa"/>
            <w:vAlign w:val="bottom"/>
            <w:tcBorders>
              <w:bottom w:val="single" w:sz="8" w:color="0000EE"/>
            </w:tcBorders>
            <w:gridSpan w:val="8"/>
          </w:tcPr>
          <w:p>
            <w:pPr>
              <w:spacing w:after="0" w:line="182" w:lineRule="exact"/>
              <w:rPr>
                <w:rFonts w:ascii="Arial" w:cs="Arial" w:eastAsia="Arial" w:hAnsi="Arial"/>
                <w:sz w:val="18"/>
                <w:szCs w:val="18"/>
                <w:color w:val="0000EE"/>
                <w:w w:val="99"/>
              </w:rPr>
            </w:pPr>
            <w:hyperlink r:id="rId176">
              <w:r>
                <w:rPr>
                  <w:rFonts w:ascii="Arial" w:cs="Arial" w:eastAsia="Arial" w:hAnsi="Arial"/>
                  <w:sz w:val="18"/>
                  <w:szCs w:val="18"/>
                  <w:color w:val="0000EE"/>
                  <w:w w:val="99"/>
                </w:rPr>
                <w:t>between Microsoft Corporation and The Bank of</w:t>
              </w:r>
            </w:hyperlink>
          </w:p>
        </w:tc>
        <w:tc>
          <w:tcPr>
            <w:tcW w:w="380" w:type="dxa"/>
            <w:vAlign w:val="bottom"/>
            <w:gridSpan w:val="12"/>
          </w:tcPr>
          <w:p>
            <w:pPr>
              <w:spacing w:after="0"/>
              <w:rPr>
                <w:sz w:val="15"/>
                <w:szCs w:val="15"/>
                <w:color w:val="auto"/>
              </w:rPr>
            </w:pPr>
          </w:p>
        </w:tc>
        <w:tc>
          <w:tcPr>
            <w:tcW w:w="8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000" w:type="dxa"/>
            <w:vAlign w:val="bottom"/>
            <w:tcBorders>
              <w:bottom w:val="single" w:sz="8" w:color="0000EE"/>
            </w:tcBorders>
            <w:gridSpan w:val="14"/>
          </w:tcPr>
          <w:p>
            <w:pPr>
              <w:spacing w:after="0" w:line="182" w:lineRule="exact"/>
              <w:rPr>
                <w:rFonts w:ascii="Arial" w:cs="Arial" w:eastAsia="Arial" w:hAnsi="Arial"/>
                <w:sz w:val="18"/>
                <w:szCs w:val="18"/>
                <w:color w:val="0000EE"/>
                <w:w w:val="98"/>
              </w:rPr>
            </w:pPr>
            <w:hyperlink r:id="rId176">
              <w:r>
                <w:rPr>
                  <w:rFonts w:ascii="Arial" w:cs="Arial" w:eastAsia="Arial" w:hAnsi="Arial"/>
                  <w:sz w:val="18"/>
                  <w:szCs w:val="18"/>
                  <w:color w:val="0000EE"/>
                  <w:w w:val="98"/>
                </w:rPr>
                <w:t>New York Mellon Trust Company, N.A., as Trustee</w:t>
              </w:r>
            </w:hyperlink>
          </w:p>
        </w:tc>
        <w:tc>
          <w:tcPr>
            <w:tcW w:w="200" w:type="dxa"/>
            <w:vAlign w:val="bottom"/>
            <w:gridSpan w:val="6"/>
          </w:tcPr>
          <w:p>
            <w:pPr>
              <w:spacing w:after="0"/>
              <w:rPr>
                <w:sz w:val="15"/>
                <w:szCs w:val="15"/>
                <w:color w:val="auto"/>
              </w:rPr>
            </w:pPr>
          </w:p>
        </w:tc>
        <w:tc>
          <w:tcPr>
            <w:tcW w:w="8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1120" w:type="dxa"/>
            <w:vAlign w:val="bottom"/>
          </w:tcPr>
          <w:p>
            <w:pPr>
              <w:spacing w:after="0"/>
              <w:rPr>
                <w:sz w:val="20"/>
                <w:szCs w:val="20"/>
                <w:color w:val="auto"/>
              </w:rPr>
            </w:pPr>
            <w:r>
              <w:rPr>
                <w:rFonts w:ascii="Arial" w:cs="Arial" w:eastAsia="Arial" w:hAnsi="Arial"/>
                <w:sz w:val="18"/>
                <w:szCs w:val="18"/>
                <w:color w:val="auto"/>
              </w:rPr>
              <w:t>4.8</w:t>
            </w:r>
          </w:p>
        </w:tc>
        <w:tc>
          <w:tcPr>
            <w:tcW w:w="4100" w:type="dxa"/>
            <w:vAlign w:val="bottom"/>
            <w:tcBorders>
              <w:bottom w:val="single" w:sz="8" w:color="0000EE"/>
            </w:tcBorders>
            <w:gridSpan w:val="19"/>
          </w:tcPr>
          <w:p>
            <w:pPr>
              <w:spacing w:after="0"/>
              <w:rPr>
                <w:rFonts w:ascii="Arial" w:cs="Arial" w:eastAsia="Arial" w:hAnsi="Arial"/>
                <w:sz w:val="18"/>
                <w:szCs w:val="18"/>
                <w:color w:val="0000EE"/>
                <w:w w:val="99"/>
              </w:rPr>
            </w:pPr>
            <w:hyperlink r:id="rId177">
              <w:r>
                <w:rPr>
                  <w:rFonts w:ascii="Arial" w:cs="Arial" w:eastAsia="Arial" w:hAnsi="Arial"/>
                  <w:sz w:val="18"/>
                  <w:szCs w:val="18"/>
                  <w:color w:val="0000EE"/>
                  <w:w w:val="99"/>
                </w:rPr>
                <w:t>Fifth Supplemental Indenture for 2.625% Notes due</w:t>
              </w:r>
            </w:hyperlink>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ind w:left="680"/>
              <w:spacing w:after="0"/>
              <w:rPr>
                <w:sz w:val="20"/>
                <w:szCs w:val="20"/>
                <w:color w:val="auto"/>
              </w:rPr>
            </w:pPr>
            <w:r>
              <w:rPr>
                <w:rFonts w:ascii="Arial" w:cs="Arial" w:eastAsia="Arial" w:hAnsi="Arial"/>
                <w:sz w:val="18"/>
                <w:szCs w:val="18"/>
                <w:color w:val="auto"/>
              </w:rPr>
              <w:t>8-K</w:t>
            </w:r>
          </w:p>
        </w:tc>
        <w:tc>
          <w:tcPr>
            <w:tcW w:w="1100" w:type="dxa"/>
            <w:vAlign w:val="bottom"/>
          </w:tcPr>
          <w:p>
            <w:pPr>
              <w:spacing w:after="0"/>
              <w:rPr>
                <w:sz w:val="24"/>
                <w:szCs w:val="24"/>
                <w:color w:val="auto"/>
              </w:rPr>
            </w:pPr>
          </w:p>
        </w:tc>
        <w:tc>
          <w:tcPr>
            <w:tcW w:w="1440" w:type="dxa"/>
            <w:vAlign w:val="bottom"/>
          </w:tcPr>
          <w:p>
            <w:pPr>
              <w:jc w:val="right"/>
              <w:ind w:right="614"/>
              <w:spacing w:after="0"/>
              <w:rPr>
                <w:sz w:val="20"/>
                <w:szCs w:val="20"/>
                <w:color w:val="auto"/>
              </w:rPr>
            </w:pPr>
            <w:r>
              <w:rPr>
                <w:rFonts w:ascii="Arial" w:cs="Arial" w:eastAsia="Arial" w:hAnsi="Arial"/>
                <w:sz w:val="18"/>
                <w:szCs w:val="18"/>
                <w:color w:val="auto"/>
              </w:rPr>
              <w:t>4.1</w:t>
            </w:r>
          </w:p>
        </w:tc>
        <w:tc>
          <w:tcPr>
            <w:tcW w:w="1180" w:type="dxa"/>
            <w:vAlign w:val="bottom"/>
          </w:tcPr>
          <w:p>
            <w:pPr>
              <w:jc w:val="right"/>
              <w:spacing w:after="0"/>
              <w:rPr>
                <w:sz w:val="20"/>
                <w:szCs w:val="20"/>
                <w:color w:val="auto"/>
              </w:rPr>
            </w:pPr>
            <w:r>
              <w:rPr>
                <w:rFonts w:ascii="Arial" w:cs="Arial" w:eastAsia="Arial" w:hAnsi="Arial"/>
                <w:sz w:val="18"/>
                <w:szCs w:val="18"/>
                <w:color w:val="auto"/>
              </w:rPr>
              <w:t>5/1/13</w:t>
            </w: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200" w:type="dxa"/>
            <w:vAlign w:val="bottom"/>
            <w:gridSpan w:val="20"/>
          </w:tcPr>
          <w:p>
            <w:pPr>
              <w:spacing w:after="0" w:line="182" w:lineRule="exact"/>
              <w:rPr>
                <w:rFonts w:ascii="Arial" w:cs="Arial" w:eastAsia="Arial" w:hAnsi="Arial"/>
                <w:sz w:val="18"/>
                <w:szCs w:val="18"/>
                <w:color w:val="0000EE"/>
              </w:rPr>
            </w:pPr>
            <w:hyperlink r:id="rId177">
              <w:r>
                <w:rPr>
                  <w:rFonts w:ascii="Arial" w:cs="Arial" w:eastAsia="Arial" w:hAnsi="Arial"/>
                  <w:sz w:val="18"/>
                  <w:szCs w:val="18"/>
                  <w:color w:val="0000EE"/>
                </w:rPr>
                <w:t>2033, dated as of May 2, 2013, between Microsoft</w:t>
              </w:r>
            </w:hyperlink>
          </w:p>
        </w:tc>
        <w:tc>
          <w:tcPr>
            <w:tcW w:w="8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72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8"/>
              </w:rPr>
            </w:pPr>
            <w:hyperlink r:id="rId177">
              <w:r>
                <w:rPr>
                  <w:rFonts w:ascii="Arial" w:cs="Arial" w:eastAsia="Arial" w:hAnsi="Arial"/>
                  <w:sz w:val="18"/>
                  <w:szCs w:val="18"/>
                  <w:color w:val="0000EE"/>
                  <w:w w:val="98"/>
                </w:rPr>
                <w:t>Corporation and The Bank of New York Mellon</w:t>
              </w:r>
            </w:hyperlink>
          </w:p>
        </w:tc>
        <w:tc>
          <w:tcPr>
            <w:tcW w:w="260" w:type="dxa"/>
            <w:vAlign w:val="bottom"/>
            <w:tcBorders>
              <w:top w:val="single" w:sz="8" w:color="0000EE"/>
            </w:tcBorders>
            <w:gridSpan w:val="7"/>
          </w:tcPr>
          <w:p>
            <w:pPr>
              <w:spacing w:after="0"/>
              <w:rPr>
                <w:sz w:val="15"/>
                <w:szCs w:val="15"/>
                <w:color w:val="auto"/>
              </w:rPr>
            </w:pPr>
          </w:p>
        </w:tc>
        <w:tc>
          <w:tcPr>
            <w:tcW w:w="220" w:type="dxa"/>
            <w:vAlign w:val="bottom"/>
            <w:gridSpan w:val="7"/>
          </w:tcPr>
          <w:p>
            <w:pPr>
              <w:spacing w:after="0"/>
              <w:rPr>
                <w:sz w:val="15"/>
                <w:szCs w:val="15"/>
                <w:color w:val="auto"/>
              </w:rPr>
            </w:pPr>
          </w:p>
        </w:tc>
        <w:tc>
          <w:tcPr>
            <w:tcW w:w="8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200" w:type="dxa"/>
            <w:vAlign w:val="bottom"/>
            <w:gridSpan w:val="20"/>
          </w:tcPr>
          <w:p>
            <w:pPr>
              <w:spacing w:after="0" w:line="182" w:lineRule="exact"/>
              <w:rPr>
                <w:rFonts w:ascii="Arial" w:cs="Arial" w:eastAsia="Arial" w:hAnsi="Arial"/>
                <w:sz w:val="18"/>
                <w:szCs w:val="18"/>
                <w:color w:val="0000EE"/>
              </w:rPr>
            </w:pPr>
            <w:hyperlink r:id="rId177">
              <w:r>
                <w:rPr>
                  <w:rFonts w:ascii="Arial" w:cs="Arial" w:eastAsia="Arial" w:hAnsi="Arial"/>
                  <w:sz w:val="18"/>
                  <w:szCs w:val="18"/>
                  <w:color w:val="0000EE"/>
                </w:rPr>
                <w:t>Trust Company, N.A., as Trustee, to the Indenture,</w:t>
              </w:r>
            </w:hyperlink>
          </w:p>
        </w:tc>
        <w:tc>
          <w:tcPr>
            <w:tcW w:w="8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00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r:id="rId177">
              <w:r>
                <w:rPr>
                  <w:rFonts w:ascii="Arial" w:cs="Arial" w:eastAsia="Arial" w:hAnsi="Arial"/>
                  <w:sz w:val="18"/>
                  <w:szCs w:val="18"/>
                  <w:color w:val="0000EE"/>
                </w:rPr>
                <w:t>dated as of May 18, 2009, between Microsoft</w:t>
              </w:r>
            </w:hyperlink>
          </w:p>
        </w:tc>
        <w:tc>
          <w:tcPr>
            <w:tcW w:w="200" w:type="dxa"/>
            <w:vAlign w:val="bottom"/>
            <w:gridSpan w:val="6"/>
          </w:tcPr>
          <w:p>
            <w:pPr>
              <w:spacing w:after="0"/>
              <w:rPr>
                <w:sz w:val="15"/>
                <w:szCs w:val="15"/>
                <w:color w:val="auto"/>
              </w:rPr>
            </w:pPr>
          </w:p>
        </w:tc>
        <w:tc>
          <w:tcPr>
            <w:tcW w:w="8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20" w:type="dxa"/>
            <w:vAlign w:val="bottom"/>
          </w:tcPr>
          <w:p>
            <w:pPr>
              <w:spacing w:after="0"/>
              <w:rPr>
                <w:sz w:val="15"/>
                <w:szCs w:val="15"/>
                <w:color w:val="auto"/>
              </w:rPr>
            </w:pPr>
          </w:p>
        </w:tc>
        <w:tc>
          <w:tcPr>
            <w:tcW w:w="3720" w:type="dxa"/>
            <w:vAlign w:val="bottom"/>
            <w:tcBorders>
              <w:bottom w:val="single" w:sz="8" w:color="0000EE"/>
            </w:tcBorders>
            <w:gridSpan w:val="6"/>
          </w:tcPr>
          <w:p>
            <w:pPr>
              <w:spacing w:after="0" w:line="182" w:lineRule="exact"/>
              <w:rPr>
                <w:rFonts w:ascii="Arial" w:cs="Arial" w:eastAsia="Arial" w:hAnsi="Arial"/>
                <w:sz w:val="18"/>
                <w:szCs w:val="18"/>
                <w:color w:val="0000EE"/>
                <w:w w:val="98"/>
              </w:rPr>
            </w:pPr>
            <w:hyperlink r:id="rId177">
              <w:r>
                <w:rPr>
                  <w:rFonts w:ascii="Arial" w:cs="Arial" w:eastAsia="Arial" w:hAnsi="Arial"/>
                  <w:sz w:val="18"/>
                  <w:szCs w:val="18"/>
                  <w:color w:val="0000EE"/>
                  <w:w w:val="98"/>
                </w:rPr>
                <w:t>Corporation and The Bank of New York Mellon</w:t>
              </w:r>
            </w:hyperlink>
          </w:p>
        </w:tc>
        <w:tc>
          <w:tcPr>
            <w:tcW w:w="480" w:type="dxa"/>
            <w:vAlign w:val="bottom"/>
            <w:gridSpan w:val="14"/>
          </w:tcPr>
          <w:p>
            <w:pPr>
              <w:spacing w:after="0"/>
              <w:rPr>
                <w:sz w:val="15"/>
                <w:szCs w:val="15"/>
                <w:color w:val="auto"/>
              </w:rPr>
            </w:pPr>
          </w:p>
        </w:tc>
        <w:tc>
          <w:tcPr>
            <w:tcW w:w="8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2600" w:type="dxa"/>
            <w:vAlign w:val="bottom"/>
            <w:tcBorders>
              <w:bottom w:val="single" w:sz="8" w:color="0000EE"/>
            </w:tcBorders>
          </w:tcPr>
          <w:p>
            <w:pPr>
              <w:spacing w:after="0" w:line="182" w:lineRule="exact"/>
              <w:rPr>
                <w:rFonts w:ascii="Arial" w:cs="Arial" w:eastAsia="Arial" w:hAnsi="Arial"/>
                <w:sz w:val="18"/>
                <w:szCs w:val="18"/>
                <w:color w:val="0000EE"/>
                <w:w w:val="98"/>
              </w:rPr>
            </w:pPr>
            <w:hyperlink r:id="rId177">
              <w:r>
                <w:rPr>
                  <w:rFonts w:ascii="Arial" w:cs="Arial" w:eastAsia="Arial" w:hAnsi="Arial"/>
                  <w:sz w:val="18"/>
                  <w:szCs w:val="18"/>
                  <w:color w:val="0000EE"/>
                  <w:w w:val="98"/>
                </w:rPr>
                <w:t>Trust Company, N.A., as Trustee</w:t>
              </w:r>
            </w:hyperlink>
          </w:p>
        </w:tc>
        <w:tc>
          <w:tcPr>
            <w:tcW w:w="1600" w:type="dxa"/>
            <w:vAlign w:val="bottom"/>
            <w:gridSpan w:val="19"/>
          </w:tcPr>
          <w:p>
            <w:pPr>
              <w:spacing w:after="0"/>
              <w:rPr>
                <w:sz w:val="15"/>
                <w:szCs w:val="15"/>
                <w:color w:val="auto"/>
              </w:rPr>
            </w:pPr>
          </w:p>
        </w:tc>
        <w:tc>
          <w:tcPr>
            <w:tcW w:w="8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1120" w:type="dxa"/>
            <w:vAlign w:val="bottom"/>
          </w:tcPr>
          <w:p>
            <w:pPr>
              <w:spacing w:after="0"/>
              <w:rPr>
                <w:sz w:val="20"/>
                <w:szCs w:val="20"/>
                <w:color w:val="auto"/>
              </w:rPr>
            </w:pPr>
            <w:r>
              <w:rPr>
                <w:rFonts w:ascii="Arial" w:cs="Arial" w:eastAsia="Arial" w:hAnsi="Arial"/>
                <w:sz w:val="18"/>
                <w:szCs w:val="18"/>
                <w:color w:val="auto"/>
              </w:rPr>
              <w:t>4.9</w:t>
            </w:r>
          </w:p>
        </w:tc>
        <w:tc>
          <w:tcPr>
            <w:tcW w:w="3800" w:type="dxa"/>
            <w:vAlign w:val="bottom"/>
            <w:tcBorders>
              <w:bottom w:val="single" w:sz="8" w:color="0000EE"/>
            </w:tcBorders>
            <w:gridSpan w:val="7"/>
          </w:tcPr>
          <w:p>
            <w:pPr>
              <w:spacing w:after="0"/>
              <w:rPr>
                <w:rFonts w:ascii="Arial" w:cs="Arial" w:eastAsia="Arial" w:hAnsi="Arial"/>
                <w:sz w:val="18"/>
                <w:szCs w:val="18"/>
                <w:color w:val="0000EE"/>
                <w:w w:val="99"/>
              </w:rPr>
            </w:pPr>
            <w:hyperlink r:id="rId178">
              <w:r>
                <w:rPr>
                  <w:rFonts w:ascii="Arial" w:cs="Arial" w:eastAsia="Arial" w:hAnsi="Arial"/>
                  <w:sz w:val="18"/>
                  <w:szCs w:val="18"/>
                  <w:color w:val="0000EE"/>
                  <w:w w:val="99"/>
                </w:rPr>
                <w:t>Sixth Supplemental Indenture for 1.000% Notes</w:t>
              </w:r>
            </w:hyperlink>
          </w:p>
        </w:tc>
        <w:tc>
          <w:tcPr>
            <w:tcW w:w="400" w:type="dxa"/>
            <w:vAlign w:val="bottom"/>
            <w:gridSpan w:val="13"/>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ind w:left="680"/>
              <w:spacing w:after="0"/>
              <w:rPr>
                <w:sz w:val="20"/>
                <w:szCs w:val="20"/>
                <w:color w:val="auto"/>
              </w:rPr>
            </w:pPr>
            <w:r>
              <w:rPr>
                <w:rFonts w:ascii="Arial" w:cs="Arial" w:eastAsia="Arial" w:hAnsi="Arial"/>
                <w:sz w:val="18"/>
                <w:szCs w:val="18"/>
                <w:color w:val="auto"/>
              </w:rPr>
              <w:t>8-K</w:t>
            </w:r>
          </w:p>
        </w:tc>
        <w:tc>
          <w:tcPr>
            <w:tcW w:w="1100" w:type="dxa"/>
            <w:vAlign w:val="bottom"/>
          </w:tcPr>
          <w:p>
            <w:pPr>
              <w:spacing w:after="0"/>
              <w:rPr>
                <w:sz w:val="24"/>
                <w:szCs w:val="24"/>
                <w:color w:val="auto"/>
              </w:rPr>
            </w:pPr>
          </w:p>
        </w:tc>
        <w:tc>
          <w:tcPr>
            <w:tcW w:w="1440" w:type="dxa"/>
            <w:vAlign w:val="bottom"/>
          </w:tcPr>
          <w:p>
            <w:pPr>
              <w:jc w:val="right"/>
              <w:ind w:right="614"/>
              <w:spacing w:after="0"/>
              <w:rPr>
                <w:sz w:val="20"/>
                <w:szCs w:val="20"/>
                <w:color w:val="auto"/>
              </w:rPr>
            </w:pPr>
            <w:r>
              <w:rPr>
                <w:rFonts w:ascii="Arial" w:cs="Arial" w:eastAsia="Arial" w:hAnsi="Arial"/>
                <w:sz w:val="18"/>
                <w:szCs w:val="18"/>
                <w:color w:val="auto"/>
              </w:rPr>
              <w:t>4.2</w:t>
            </w:r>
          </w:p>
        </w:tc>
        <w:tc>
          <w:tcPr>
            <w:tcW w:w="1180" w:type="dxa"/>
            <w:vAlign w:val="bottom"/>
          </w:tcPr>
          <w:p>
            <w:pPr>
              <w:jc w:val="right"/>
              <w:spacing w:after="0"/>
              <w:rPr>
                <w:sz w:val="20"/>
                <w:szCs w:val="20"/>
                <w:color w:val="auto"/>
              </w:rPr>
            </w:pPr>
            <w:r>
              <w:rPr>
                <w:rFonts w:ascii="Arial" w:cs="Arial" w:eastAsia="Arial" w:hAnsi="Arial"/>
                <w:sz w:val="18"/>
                <w:szCs w:val="18"/>
                <w:color w:val="auto"/>
              </w:rPr>
              <w:t>5/1/13</w:t>
            </w: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86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r:id="rId178">
              <w:r>
                <w:rPr>
                  <w:rFonts w:ascii="Arial" w:cs="Arial" w:eastAsia="Arial" w:hAnsi="Arial"/>
                  <w:sz w:val="18"/>
                  <w:szCs w:val="18"/>
                  <w:color w:val="0000EE"/>
                  <w:w w:val="99"/>
                </w:rPr>
                <w:t>due 2018, 2.375% Notes due 2023, and 3.750%</w:t>
              </w:r>
            </w:hyperlink>
          </w:p>
        </w:tc>
        <w:tc>
          <w:tcPr>
            <w:tcW w:w="340" w:type="dxa"/>
            <w:vAlign w:val="bottom"/>
            <w:gridSpan w:val="10"/>
          </w:tcPr>
          <w:p>
            <w:pPr>
              <w:spacing w:after="0"/>
              <w:rPr>
                <w:sz w:val="15"/>
                <w:szCs w:val="15"/>
                <w:color w:val="auto"/>
              </w:rPr>
            </w:pPr>
          </w:p>
        </w:tc>
        <w:tc>
          <w:tcPr>
            <w:tcW w:w="8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080" w:type="dxa"/>
            <w:vAlign w:val="bottom"/>
            <w:tcBorders>
              <w:bottom w:val="single" w:sz="8" w:color="0000EE"/>
            </w:tcBorders>
            <w:gridSpan w:val="18"/>
          </w:tcPr>
          <w:p>
            <w:pPr>
              <w:spacing w:after="0" w:line="182" w:lineRule="exact"/>
              <w:rPr>
                <w:rFonts w:ascii="Arial" w:cs="Arial" w:eastAsia="Arial" w:hAnsi="Arial"/>
                <w:sz w:val="18"/>
                <w:szCs w:val="18"/>
                <w:color w:val="0000EE"/>
                <w:w w:val="99"/>
              </w:rPr>
            </w:pPr>
            <w:hyperlink r:id="rId178">
              <w:r>
                <w:rPr>
                  <w:rFonts w:ascii="Arial" w:cs="Arial" w:eastAsia="Arial" w:hAnsi="Arial"/>
                  <w:sz w:val="18"/>
                  <w:szCs w:val="18"/>
                  <w:color w:val="0000EE"/>
                  <w:w w:val="99"/>
                </w:rPr>
                <w:t>Notes due 2043, dated as of May 2, 2013, between</w:t>
              </w:r>
            </w:hyperlink>
          </w:p>
        </w:tc>
        <w:tc>
          <w:tcPr>
            <w:tcW w:w="120" w:type="dxa"/>
            <w:vAlign w:val="bottom"/>
            <w:gridSpan w:val="2"/>
          </w:tcPr>
          <w:p>
            <w:pPr>
              <w:spacing w:after="0"/>
              <w:rPr>
                <w:sz w:val="15"/>
                <w:szCs w:val="15"/>
                <w:color w:val="auto"/>
              </w:rPr>
            </w:pPr>
          </w:p>
        </w:tc>
        <w:tc>
          <w:tcPr>
            <w:tcW w:w="8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900" w:type="dxa"/>
            <w:vAlign w:val="bottom"/>
            <w:tcBorders>
              <w:bottom w:val="single" w:sz="8" w:color="0000EE"/>
            </w:tcBorders>
            <w:gridSpan w:val="11"/>
          </w:tcPr>
          <w:p>
            <w:pPr>
              <w:spacing w:after="0" w:line="182" w:lineRule="exact"/>
              <w:rPr>
                <w:rFonts w:ascii="Arial" w:cs="Arial" w:eastAsia="Arial" w:hAnsi="Arial"/>
                <w:sz w:val="18"/>
                <w:szCs w:val="18"/>
                <w:color w:val="0000EE"/>
                <w:w w:val="98"/>
              </w:rPr>
            </w:pPr>
            <w:hyperlink r:id="rId178">
              <w:r>
                <w:rPr>
                  <w:rFonts w:ascii="Arial" w:cs="Arial" w:eastAsia="Arial" w:hAnsi="Arial"/>
                  <w:sz w:val="18"/>
                  <w:szCs w:val="18"/>
                  <w:color w:val="0000EE"/>
                  <w:w w:val="98"/>
                </w:rPr>
                <w:t>Microsoft Corporation and The Bank of New York</w:t>
              </w:r>
            </w:hyperlink>
          </w:p>
        </w:tc>
        <w:tc>
          <w:tcPr>
            <w:tcW w:w="300" w:type="dxa"/>
            <w:vAlign w:val="bottom"/>
            <w:gridSpan w:val="9"/>
          </w:tcPr>
          <w:p>
            <w:pPr>
              <w:spacing w:after="0"/>
              <w:rPr>
                <w:sz w:val="15"/>
                <w:szCs w:val="15"/>
                <w:color w:val="auto"/>
              </w:rPr>
            </w:pPr>
          </w:p>
        </w:tc>
        <w:tc>
          <w:tcPr>
            <w:tcW w:w="8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200" w:type="dxa"/>
            <w:vAlign w:val="bottom"/>
            <w:gridSpan w:val="20"/>
          </w:tcPr>
          <w:p>
            <w:pPr>
              <w:spacing w:after="0" w:line="182" w:lineRule="exact"/>
              <w:rPr>
                <w:rFonts w:ascii="Arial" w:cs="Arial" w:eastAsia="Arial" w:hAnsi="Arial"/>
                <w:sz w:val="18"/>
                <w:szCs w:val="18"/>
                <w:color w:val="0000EE"/>
              </w:rPr>
            </w:pPr>
            <w:hyperlink r:id="rId178">
              <w:r>
                <w:rPr>
                  <w:rFonts w:ascii="Arial" w:cs="Arial" w:eastAsia="Arial" w:hAnsi="Arial"/>
                  <w:sz w:val="18"/>
                  <w:szCs w:val="18"/>
                  <w:color w:val="0000EE"/>
                </w:rPr>
                <w:t>Mellon Trust Company, N.A., as Trustee, to the</w:t>
              </w:r>
            </w:hyperlink>
          </w:p>
        </w:tc>
        <w:tc>
          <w:tcPr>
            <w:tcW w:w="8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72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r:id="rId178">
              <w:r>
                <w:rPr>
                  <w:rFonts w:ascii="Arial" w:cs="Arial" w:eastAsia="Arial" w:hAnsi="Arial"/>
                  <w:sz w:val="18"/>
                  <w:szCs w:val="18"/>
                  <w:color w:val="0000EE"/>
                </w:rPr>
                <w:t>Indenture, dated as of May 18, 2009, between</w:t>
              </w:r>
            </w:hyperlink>
          </w:p>
        </w:tc>
        <w:tc>
          <w:tcPr>
            <w:tcW w:w="480" w:type="dxa"/>
            <w:vAlign w:val="bottom"/>
            <w:gridSpan w:val="14"/>
          </w:tcPr>
          <w:p>
            <w:pPr>
              <w:spacing w:after="0"/>
              <w:rPr>
                <w:sz w:val="15"/>
                <w:szCs w:val="15"/>
                <w:color w:val="auto"/>
              </w:rPr>
            </w:pPr>
          </w:p>
        </w:tc>
        <w:tc>
          <w:tcPr>
            <w:tcW w:w="8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18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6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20" w:type="dxa"/>
            <w:vAlign w:val="bottom"/>
          </w:tcPr>
          <w:p>
            <w:pPr>
              <w:spacing w:after="0"/>
              <w:rPr>
                <w:sz w:val="15"/>
                <w:szCs w:val="15"/>
                <w:color w:val="auto"/>
              </w:rPr>
            </w:pPr>
          </w:p>
        </w:tc>
        <w:tc>
          <w:tcPr>
            <w:tcW w:w="3900" w:type="dxa"/>
            <w:vAlign w:val="bottom"/>
            <w:tcBorders>
              <w:bottom w:val="single" w:sz="8" w:color="0000EE"/>
            </w:tcBorders>
            <w:gridSpan w:val="11"/>
          </w:tcPr>
          <w:p>
            <w:pPr>
              <w:spacing w:after="0" w:line="182" w:lineRule="exact"/>
              <w:rPr>
                <w:rFonts w:ascii="Arial" w:cs="Arial" w:eastAsia="Arial" w:hAnsi="Arial"/>
                <w:sz w:val="18"/>
                <w:szCs w:val="18"/>
                <w:color w:val="0000EE"/>
                <w:w w:val="98"/>
              </w:rPr>
            </w:pPr>
            <w:hyperlink r:id="rId178">
              <w:r>
                <w:rPr>
                  <w:rFonts w:ascii="Arial" w:cs="Arial" w:eastAsia="Arial" w:hAnsi="Arial"/>
                  <w:sz w:val="18"/>
                  <w:szCs w:val="18"/>
                  <w:color w:val="0000EE"/>
                  <w:w w:val="98"/>
                </w:rPr>
                <w:t>Microsoft Corporation and The Bank of New York</w:t>
              </w:r>
            </w:hyperlink>
          </w:p>
        </w:tc>
        <w:tc>
          <w:tcPr>
            <w:tcW w:w="300" w:type="dxa"/>
            <w:vAlign w:val="bottom"/>
            <w:gridSpan w:val="9"/>
          </w:tcPr>
          <w:p>
            <w:pPr>
              <w:spacing w:after="0"/>
              <w:rPr>
                <w:sz w:val="15"/>
                <w:szCs w:val="15"/>
                <w:color w:val="auto"/>
              </w:rPr>
            </w:pPr>
          </w:p>
        </w:tc>
        <w:tc>
          <w:tcPr>
            <w:tcW w:w="8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180" w:type="dxa"/>
            <w:vAlign w:val="bottom"/>
            <w:tcBorders>
              <w:bottom w:val="single" w:sz="8" w:color="0000EE"/>
            </w:tcBorders>
            <w:gridSpan w:val="2"/>
          </w:tcPr>
          <w:p>
            <w:pPr>
              <w:spacing w:after="0" w:line="182" w:lineRule="exact"/>
              <w:rPr>
                <w:rFonts w:ascii="Arial" w:cs="Arial" w:eastAsia="Arial" w:hAnsi="Arial"/>
                <w:sz w:val="18"/>
                <w:szCs w:val="18"/>
                <w:color w:val="0000EE"/>
                <w:w w:val="98"/>
              </w:rPr>
            </w:pPr>
            <w:hyperlink r:id="rId178">
              <w:r>
                <w:rPr>
                  <w:rFonts w:ascii="Arial" w:cs="Arial" w:eastAsia="Arial" w:hAnsi="Arial"/>
                  <w:sz w:val="18"/>
                  <w:szCs w:val="18"/>
                  <w:color w:val="0000EE"/>
                  <w:w w:val="98"/>
                </w:rPr>
                <w:t>Mellon Trust Company, N.A., as Trustee</w:t>
              </w:r>
            </w:hyperlink>
          </w:p>
        </w:tc>
        <w:tc>
          <w:tcPr>
            <w:tcW w:w="1020" w:type="dxa"/>
            <w:vAlign w:val="bottom"/>
            <w:gridSpan w:val="18"/>
          </w:tcPr>
          <w:p>
            <w:pPr>
              <w:spacing w:after="0"/>
              <w:rPr>
                <w:sz w:val="15"/>
                <w:szCs w:val="15"/>
                <w:color w:val="auto"/>
              </w:rPr>
            </w:pPr>
          </w:p>
        </w:tc>
        <w:tc>
          <w:tcPr>
            <w:tcW w:w="8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1120" w:type="dxa"/>
            <w:vAlign w:val="bottom"/>
          </w:tcPr>
          <w:p>
            <w:pPr>
              <w:spacing w:after="0"/>
              <w:rPr>
                <w:sz w:val="20"/>
                <w:szCs w:val="20"/>
                <w:color w:val="auto"/>
              </w:rPr>
            </w:pPr>
            <w:r>
              <w:rPr>
                <w:rFonts w:ascii="Arial" w:cs="Arial" w:eastAsia="Arial" w:hAnsi="Arial"/>
                <w:sz w:val="18"/>
                <w:szCs w:val="18"/>
                <w:color w:val="auto"/>
              </w:rPr>
              <w:t>4.10</w:t>
            </w:r>
          </w:p>
        </w:tc>
        <w:tc>
          <w:tcPr>
            <w:tcW w:w="4060" w:type="dxa"/>
            <w:vAlign w:val="bottom"/>
            <w:tcBorders>
              <w:bottom w:val="single" w:sz="8" w:color="0000EE"/>
            </w:tcBorders>
            <w:gridSpan w:val="17"/>
          </w:tcPr>
          <w:p>
            <w:pPr>
              <w:spacing w:after="0"/>
              <w:rPr>
                <w:rFonts w:ascii="Arial" w:cs="Arial" w:eastAsia="Arial" w:hAnsi="Arial"/>
                <w:sz w:val="18"/>
                <w:szCs w:val="18"/>
                <w:color w:val="0000EE"/>
                <w:w w:val="99"/>
              </w:rPr>
            </w:pPr>
            <w:hyperlink r:id="rId179">
              <w:r>
                <w:rPr>
                  <w:rFonts w:ascii="Arial" w:cs="Arial" w:eastAsia="Arial" w:hAnsi="Arial"/>
                  <w:sz w:val="18"/>
                  <w:szCs w:val="18"/>
                  <w:color w:val="0000EE"/>
                  <w:w w:val="99"/>
                </w:rPr>
                <w:t>Seventh Supplemental Indenture for 2.125% Notes</w:t>
              </w:r>
            </w:hyperlink>
          </w:p>
        </w:tc>
        <w:tc>
          <w:tcPr>
            <w:tcW w:w="140" w:type="dxa"/>
            <w:vAlign w:val="bottom"/>
            <w:gridSpan w:val="3"/>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ind w:left="680"/>
              <w:spacing w:after="0"/>
              <w:rPr>
                <w:sz w:val="20"/>
                <w:szCs w:val="20"/>
                <w:color w:val="auto"/>
              </w:rPr>
            </w:pPr>
            <w:r>
              <w:rPr>
                <w:rFonts w:ascii="Arial" w:cs="Arial" w:eastAsia="Arial" w:hAnsi="Arial"/>
                <w:sz w:val="18"/>
                <w:szCs w:val="18"/>
                <w:color w:val="auto"/>
              </w:rPr>
              <w:t>8-K</w:t>
            </w:r>
          </w:p>
        </w:tc>
        <w:tc>
          <w:tcPr>
            <w:tcW w:w="1100" w:type="dxa"/>
            <w:vAlign w:val="bottom"/>
          </w:tcPr>
          <w:p>
            <w:pPr>
              <w:spacing w:after="0"/>
              <w:rPr>
                <w:sz w:val="24"/>
                <w:szCs w:val="24"/>
                <w:color w:val="auto"/>
              </w:rPr>
            </w:pPr>
          </w:p>
        </w:tc>
        <w:tc>
          <w:tcPr>
            <w:tcW w:w="1440" w:type="dxa"/>
            <w:vAlign w:val="bottom"/>
          </w:tcPr>
          <w:p>
            <w:pPr>
              <w:jc w:val="right"/>
              <w:ind w:right="614"/>
              <w:spacing w:after="0"/>
              <w:rPr>
                <w:sz w:val="20"/>
                <w:szCs w:val="20"/>
                <w:color w:val="auto"/>
              </w:rPr>
            </w:pPr>
            <w:r>
              <w:rPr>
                <w:rFonts w:ascii="Arial" w:cs="Arial" w:eastAsia="Arial" w:hAnsi="Arial"/>
                <w:sz w:val="18"/>
                <w:szCs w:val="18"/>
                <w:color w:val="auto"/>
              </w:rPr>
              <w:t>4.1</w:t>
            </w:r>
          </w:p>
        </w:tc>
        <w:tc>
          <w:tcPr>
            <w:tcW w:w="1180" w:type="dxa"/>
            <w:vAlign w:val="bottom"/>
          </w:tcPr>
          <w:p>
            <w:pPr>
              <w:jc w:val="right"/>
              <w:spacing w:after="0"/>
              <w:rPr>
                <w:sz w:val="20"/>
                <w:szCs w:val="20"/>
                <w:color w:val="auto"/>
              </w:rPr>
            </w:pPr>
            <w:r>
              <w:rPr>
                <w:rFonts w:ascii="Arial" w:cs="Arial" w:eastAsia="Arial" w:hAnsi="Arial"/>
                <w:sz w:val="18"/>
                <w:szCs w:val="18"/>
                <w:color w:val="auto"/>
              </w:rPr>
              <w:t>12/6/13</w:t>
            </w: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200" w:type="dxa"/>
            <w:vAlign w:val="bottom"/>
            <w:gridSpan w:val="20"/>
          </w:tcPr>
          <w:p>
            <w:pPr>
              <w:spacing w:after="0" w:line="182" w:lineRule="exact"/>
              <w:rPr>
                <w:rFonts w:ascii="Arial" w:cs="Arial" w:eastAsia="Arial" w:hAnsi="Arial"/>
                <w:sz w:val="18"/>
                <w:szCs w:val="18"/>
                <w:color w:val="0000EE"/>
              </w:rPr>
            </w:pPr>
            <w:hyperlink r:id="rId179">
              <w:r>
                <w:rPr>
                  <w:rFonts w:ascii="Arial" w:cs="Arial" w:eastAsia="Arial" w:hAnsi="Arial"/>
                  <w:sz w:val="18"/>
                  <w:szCs w:val="18"/>
                  <w:color w:val="0000EE"/>
                </w:rPr>
                <w:t>due 2021 and 3.125% Notes due 2028, dated as of</w:t>
              </w:r>
            </w:hyperlink>
          </w:p>
        </w:tc>
        <w:tc>
          <w:tcPr>
            <w:tcW w:w="8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06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r:id="rId179">
              <w:r>
                <w:rPr>
                  <w:rFonts w:ascii="Arial" w:cs="Arial" w:eastAsia="Arial" w:hAnsi="Arial"/>
                  <w:sz w:val="18"/>
                  <w:szCs w:val="18"/>
                  <w:color w:val="0000EE"/>
                </w:rPr>
                <w:t>December 6, 2013, between Microsoft Corporation</w:t>
              </w:r>
            </w:hyperlink>
          </w:p>
        </w:tc>
        <w:tc>
          <w:tcPr>
            <w:tcW w:w="140" w:type="dxa"/>
            <w:vAlign w:val="bottom"/>
            <w:gridSpan w:val="3"/>
          </w:tcPr>
          <w:p>
            <w:pPr>
              <w:spacing w:after="0"/>
              <w:rPr>
                <w:sz w:val="15"/>
                <w:szCs w:val="15"/>
                <w:color w:val="auto"/>
              </w:rPr>
            </w:pPr>
          </w:p>
        </w:tc>
        <w:tc>
          <w:tcPr>
            <w:tcW w:w="8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020" w:type="dxa"/>
            <w:vAlign w:val="bottom"/>
            <w:tcBorders>
              <w:top w:val="single" w:sz="8" w:color="0000EE"/>
              <w:bottom w:val="single" w:sz="8" w:color="0000EE"/>
            </w:tcBorders>
            <w:gridSpan w:val="15"/>
          </w:tcPr>
          <w:p>
            <w:pPr>
              <w:spacing w:after="0" w:line="182" w:lineRule="exact"/>
              <w:rPr>
                <w:rFonts w:ascii="Arial" w:cs="Arial" w:eastAsia="Arial" w:hAnsi="Arial"/>
                <w:sz w:val="18"/>
                <w:szCs w:val="18"/>
                <w:color w:val="0000EE"/>
                <w:w w:val="98"/>
              </w:rPr>
            </w:pPr>
            <w:hyperlink r:id="rId179">
              <w:r>
                <w:rPr>
                  <w:rFonts w:ascii="Arial" w:cs="Arial" w:eastAsia="Arial" w:hAnsi="Arial"/>
                  <w:sz w:val="18"/>
                  <w:szCs w:val="18"/>
                  <w:color w:val="0000EE"/>
                  <w:w w:val="98"/>
                </w:rPr>
                <w:t>and The Bank of New York Mellon Trust Company,</w:t>
              </w:r>
            </w:hyperlink>
          </w:p>
        </w:tc>
        <w:tc>
          <w:tcPr>
            <w:tcW w:w="180" w:type="dxa"/>
            <w:vAlign w:val="bottom"/>
            <w:gridSpan w:val="5"/>
          </w:tcPr>
          <w:p>
            <w:pPr>
              <w:spacing w:after="0"/>
              <w:rPr>
                <w:sz w:val="15"/>
                <w:szCs w:val="15"/>
                <w:color w:val="auto"/>
              </w:rPr>
            </w:pPr>
          </w:p>
        </w:tc>
        <w:tc>
          <w:tcPr>
            <w:tcW w:w="8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ind w:left="1120"/>
        <w:spacing w:after="0"/>
        <w:rPr>
          <w:rFonts w:ascii="Arial" w:cs="Arial" w:eastAsia="Arial" w:hAnsi="Arial"/>
          <w:sz w:val="18"/>
          <w:szCs w:val="18"/>
          <w:u w:val="single" w:color="auto"/>
          <w:color w:val="0000EE"/>
        </w:rPr>
      </w:pPr>
      <w:hyperlink r:id="rId179">
        <w:r>
          <w:rPr>
            <w:rFonts w:ascii="Arial" w:cs="Arial" w:eastAsia="Arial" w:hAnsi="Arial"/>
            <w:sz w:val="18"/>
            <w:szCs w:val="18"/>
            <w:u w:val="single" w:color="auto"/>
            <w:color w:val="0000EE"/>
          </w:rPr>
          <w:t>N.A., as Trustee, to the Indenture, dated as of May</w:t>
        </w:r>
      </w:hyperlink>
    </w:p>
    <w:p>
      <w:pPr>
        <w:ind w:left="1120"/>
        <w:spacing w:after="0" w:line="233" w:lineRule="auto"/>
        <w:rPr>
          <w:rFonts w:ascii="Arial" w:cs="Arial" w:eastAsia="Arial" w:hAnsi="Arial"/>
          <w:sz w:val="18"/>
          <w:szCs w:val="18"/>
          <w:u w:val="single" w:color="auto"/>
          <w:color w:val="0000EE"/>
        </w:rPr>
      </w:pPr>
      <w:hyperlink r:id="rId179">
        <w:r>
          <w:rPr>
            <w:rFonts w:ascii="Arial" w:cs="Arial" w:eastAsia="Arial" w:hAnsi="Arial"/>
            <w:sz w:val="18"/>
            <w:szCs w:val="18"/>
            <w:u w:val="single" w:color="auto"/>
            <w:color w:val="0000EE"/>
          </w:rPr>
          <w:t>18, 2009, between Microsoft Corporation and The</w:t>
        </w:r>
      </w:hyperlink>
    </w:p>
    <w:p>
      <w:pPr>
        <w:ind w:left="1120"/>
        <w:spacing w:after="0" w:line="234" w:lineRule="auto"/>
        <w:rPr>
          <w:rFonts w:ascii="Arial" w:cs="Arial" w:eastAsia="Arial" w:hAnsi="Arial"/>
          <w:sz w:val="18"/>
          <w:szCs w:val="18"/>
          <w:u w:val="single" w:color="auto"/>
          <w:color w:val="0000EE"/>
        </w:rPr>
      </w:pPr>
      <w:hyperlink r:id="rId179">
        <w:r>
          <w:rPr>
            <w:rFonts w:ascii="Arial" w:cs="Arial" w:eastAsia="Arial" w:hAnsi="Arial"/>
            <w:sz w:val="18"/>
            <w:szCs w:val="18"/>
            <w:u w:val="single" w:color="auto"/>
            <w:color w:val="0000EE"/>
          </w:rPr>
          <w:t>Bank of New York Mellon Trust Company, N.A., as</w:t>
        </w:r>
      </w:hyperlink>
    </w:p>
    <w:p>
      <w:pPr>
        <w:spacing w:after="0" w:line="1" w:lineRule="exact"/>
        <w:rPr>
          <w:sz w:val="20"/>
          <w:szCs w:val="20"/>
          <w:color w:val="auto"/>
        </w:rPr>
      </w:pPr>
    </w:p>
    <w:p>
      <w:pPr>
        <w:ind w:left="1120"/>
        <w:spacing w:after="0"/>
        <w:rPr>
          <w:rFonts w:ascii="Arial" w:cs="Arial" w:eastAsia="Arial" w:hAnsi="Arial"/>
          <w:sz w:val="18"/>
          <w:szCs w:val="18"/>
          <w:u w:val="single" w:color="auto"/>
          <w:color w:val="0000EE"/>
        </w:rPr>
      </w:pPr>
      <w:hyperlink r:id="rId179">
        <w:r>
          <w:rPr>
            <w:rFonts w:ascii="Arial" w:cs="Arial" w:eastAsia="Arial" w:hAnsi="Arial"/>
            <w:sz w:val="18"/>
            <w:szCs w:val="18"/>
            <w:u w:val="single" w:color="auto"/>
            <w:color w:val="0000EE"/>
          </w:rPr>
          <w:t>Trustee</w:t>
        </w:r>
      </w:hyperlink>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37" w:right="399" w:bottom="1440" w:gutter="0" w:footer="0" w:header="0"/>
        </w:sectPr>
      </w:pPr>
    </w:p>
    <w:bookmarkStart w:id="103" w:name="page104"/>
    <w:bookmarkEnd w:id="103"/>
    <w:p>
      <w:pPr>
        <w:ind w:left="5360"/>
        <w:spacing w:after="0"/>
        <w:rPr>
          <w:sz w:val="20"/>
          <w:szCs w:val="20"/>
          <w:color w:val="auto"/>
        </w:rPr>
      </w:pPr>
      <w:r>
        <w:rPr>
          <w:rFonts w:ascii="Arial" w:cs="Arial" w:eastAsia="Arial" w:hAnsi="Arial"/>
          <w:sz w:val="13"/>
          <w:szCs w:val="13"/>
          <w:u w:val="single" w:color="auto"/>
          <w:color w:val="auto"/>
        </w:rPr>
        <w:t>PART IV</w:t>
      </w:r>
    </w:p>
    <w:p>
      <w:pPr>
        <w:ind w:left="5400"/>
        <w:spacing w:after="0"/>
        <w:rPr>
          <w:sz w:val="20"/>
          <w:szCs w:val="20"/>
          <w:color w:val="auto"/>
        </w:rPr>
      </w:pPr>
      <w:r>
        <w:rPr>
          <w:rFonts w:ascii="Arial" w:cs="Arial" w:eastAsia="Arial" w:hAnsi="Arial"/>
          <w:sz w:val="13"/>
          <w:szCs w:val="13"/>
          <w:color w:val="auto"/>
        </w:rPr>
        <w:t>Item 15</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20" w:type="dxa"/>
            <w:vAlign w:val="bottom"/>
            <w:vMerge w:val="restart"/>
          </w:tcPr>
          <w:p>
            <w:pPr>
              <w:spacing w:after="0"/>
              <w:rPr>
                <w:sz w:val="20"/>
                <w:szCs w:val="20"/>
                <w:color w:val="auto"/>
              </w:rPr>
            </w:pPr>
            <w:r>
              <w:rPr>
                <w:rFonts w:ascii="Arial" w:cs="Arial" w:eastAsia="Arial" w:hAnsi="Arial"/>
                <w:sz w:val="13"/>
                <w:szCs w:val="13"/>
                <w:b w:val="1"/>
                <w:bCs w:val="1"/>
                <w:color w:val="auto"/>
              </w:rPr>
              <w:t>Exhibit</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Filed</w:t>
            </w:r>
          </w:p>
        </w:tc>
        <w:tc>
          <w:tcPr>
            <w:tcW w:w="13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2"/>
          </w:tcPr>
          <w:p>
            <w:pPr>
              <w:jc w:val="right"/>
              <w:ind w:right="395"/>
              <w:spacing w:after="0"/>
              <w:rPr>
                <w:sz w:val="20"/>
                <w:szCs w:val="20"/>
                <w:color w:val="auto"/>
              </w:rPr>
            </w:pPr>
            <w:r>
              <w:rPr>
                <w:rFonts w:ascii="Arial" w:cs="Arial" w:eastAsia="Arial" w:hAnsi="Arial"/>
                <w:sz w:val="13"/>
                <w:szCs w:val="13"/>
                <w:b w:val="1"/>
                <w:bCs w:val="1"/>
                <w:color w:val="auto"/>
              </w:rPr>
              <w:t>Incorporated by Reference</w:t>
            </w: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12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100" w:type="dxa"/>
            <w:vAlign w:val="bottom"/>
          </w:tcPr>
          <w:p>
            <w:pPr>
              <w:jc w:val="right"/>
              <w:ind w:right="193"/>
              <w:spacing w:after="0" w:line="125" w:lineRule="exact"/>
              <w:rPr>
                <w:sz w:val="20"/>
                <w:szCs w:val="20"/>
                <w:color w:val="auto"/>
              </w:rPr>
            </w:pPr>
            <w:r>
              <w:rPr>
                <w:rFonts w:ascii="Arial" w:cs="Arial" w:eastAsia="Arial" w:hAnsi="Arial"/>
                <w:sz w:val="13"/>
                <w:szCs w:val="13"/>
                <w:b w:val="1"/>
                <w:bCs w:val="1"/>
                <w:color w:val="auto"/>
              </w:rPr>
              <w:t>Period</w:t>
            </w:r>
          </w:p>
        </w:tc>
        <w:tc>
          <w:tcPr>
            <w:tcW w:w="14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Number</w:t>
            </w:r>
          </w:p>
        </w:tc>
        <w:tc>
          <w:tcPr>
            <w:tcW w:w="4220" w:type="dxa"/>
            <w:vAlign w:val="bottom"/>
            <w:tcBorders>
              <w:bottom w:val="single" w:sz="8" w:color="auto"/>
            </w:tcBorders>
            <w:gridSpan w:val="18"/>
          </w:tcPr>
          <w:p>
            <w:pPr>
              <w:ind w:left="20"/>
              <w:spacing w:after="0"/>
              <w:rPr>
                <w:sz w:val="20"/>
                <w:szCs w:val="20"/>
                <w:color w:val="auto"/>
              </w:rPr>
            </w:pPr>
            <w:r>
              <w:rPr>
                <w:rFonts w:ascii="Arial" w:cs="Arial" w:eastAsia="Arial" w:hAnsi="Arial"/>
                <w:sz w:val="13"/>
                <w:szCs w:val="13"/>
                <w:b w:val="1"/>
                <w:bCs w:val="1"/>
                <w:color w:val="auto"/>
              </w:rPr>
              <w:t>Exhibit Description</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Herewith</w:t>
            </w:r>
          </w:p>
        </w:tc>
        <w:tc>
          <w:tcPr>
            <w:tcW w:w="1300" w:type="dxa"/>
            <w:vAlign w:val="bottom"/>
            <w:tcBorders>
              <w:bottom w:val="single" w:sz="8" w:color="auto"/>
            </w:tcBorders>
          </w:tcPr>
          <w:p>
            <w:pPr>
              <w:ind w:left="600"/>
              <w:spacing w:after="0"/>
              <w:rPr>
                <w:sz w:val="20"/>
                <w:szCs w:val="20"/>
                <w:color w:val="auto"/>
              </w:rPr>
            </w:pPr>
            <w:r>
              <w:rPr>
                <w:rFonts w:ascii="Arial" w:cs="Arial" w:eastAsia="Arial" w:hAnsi="Arial"/>
                <w:sz w:val="13"/>
                <w:szCs w:val="13"/>
                <w:b w:val="1"/>
                <w:bCs w:val="1"/>
                <w:color w:val="auto"/>
              </w:rPr>
              <w:t>Form</w:t>
            </w:r>
          </w:p>
        </w:tc>
        <w:tc>
          <w:tcPr>
            <w:tcW w:w="110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Ending</w:t>
            </w:r>
          </w:p>
        </w:tc>
        <w:tc>
          <w:tcPr>
            <w:tcW w:w="1440" w:type="dxa"/>
            <w:vAlign w:val="bottom"/>
            <w:tcBorders>
              <w:bottom w:val="single" w:sz="8" w:color="auto"/>
            </w:tcBorders>
          </w:tcPr>
          <w:p>
            <w:pPr>
              <w:jc w:val="right"/>
              <w:ind w:right="615"/>
              <w:spacing w:after="0"/>
              <w:rPr>
                <w:sz w:val="20"/>
                <w:szCs w:val="20"/>
                <w:color w:val="auto"/>
              </w:rPr>
            </w:pPr>
            <w:r>
              <w:rPr>
                <w:rFonts w:ascii="Arial" w:cs="Arial" w:eastAsia="Arial" w:hAnsi="Arial"/>
                <w:sz w:val="13"/>
                <w:szCs w:val="13"/>
                <w:b w:val="1"/>
                <w:bCs w:val="1"/>
                <w:color w:val="auto"/>
              </w:rPr>
              <w:t>Exhibit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Filing Date</w:t>
            </w:r>
          </w:p>
        </w:tc>
        <w:tc>
          <w:tcPr>
            <w:tcW w:w="0" w:type="dxa"/>
            <w:vAlign w:val="bottom"/>
          </w:tcPr>
          <w:p>
            <w:pPr>
              <w:spacing w:after="0"/>
              <w:rPr>
                <w:sz w:val="1"/>
                <w:szCs w:val="1"/>
                <w:color w:val="auto"/>
              </w:rPr>
            </w:pPr>
          </w:p>
        </w:tc>
      </w:tr>
      <w:tr>
        <w:trPr>
          <w:trHeight w:val="276"/>
        </w:trPr>
        <w:tc>
          <w:tcPr>
            <w:tcW w:w="1120" w:type="dxa"/>
            <w:vAlign w:val="bottom"/>
          </w:tcPr>
          <w:p>
            <w:pPr>
              <w:spacing w:after="0"/>
              <w:rPr>
                <w:sz w:val="20"/>
                <w:szCs w:val="20"/>
                <w:color w:val="auto"/>
              </w:rPr>
            </w:pPr>
            <w:r>
              <w:rPr>
                <w:rFonts w:ascii="Arial" w:cs="Arial" w:eastAsia="Arial" w:hAnsi="Arial"/>
                <w:sz w:val="18"/>
                <w:szCs w:val="18"/>
                <w:color w:val="auto"/>
              </w:rPr>
              <w:t>4.11</w:t>
            </w:r>
          </w:p>
        </w:tc>
        <w:tc>
          <w:tcPr>
            <w:tcW w:w="3920" w:type="dxa"/>
            <w:vAlign w:val="bottom"/>
            <w:tcBorders>
              <w:bottom w:val="single" w:sz="8" w:color="0000EE"/>
            </w:tcBorders>
            <w:gridSpan w:val="11"/>
          </w:tcPr>
          <w:p>
            <w:pPr>
              <w:spacing w:after="0"/>
              <w:rPr>
                <w:rFonts w:ascii="Arial" w:cs="Arial" w:eastAsia="Arial" w:hAnsi="Arial"/>
                <w:sz w:val="18"/>
                <w:szCs w:val="18"/>
                <w:color w:val="0000EE"/>
                <w:w w:val="99"/>
              </w:rPr>
            </w:pPr>
            <w:hyperlink r:id="rId181">
              <w:r>
                <w:rPr>
                  <w:rFonts w:ascii="Arial" w:cs="Arial" w:eastAsia="Arial" w:hAnsi="Arial"/>
                  <w:sz w:val="18"/>
                  <w:szCs w:val="18"/>
                  <w:color w:val="0000EE"/>
                  <w:w w:val="99"/>
                </w:rPr>
                <w:t>Eighth Supplemental Indenture for 1.625% Notes</w:t>
              </w:r>
            </w:hyperlink>
          </w:p>
        </w:tc>
        <w:tc>
          <w:tcPr>
            <w:tcW w:w="300" w:type="dxa"/>
            <w:vAlign w:val="bottom"/>
            <w:gridSpan w:val="7"/>
          </w:tcPr>
          <w:p>
            <w:pPr>
              <w:spacing w:after="0"/>
              <w:rPr>
                <w:sz w:val="23"/>
                <w:szCs w:val="23"/>
                <w:color w:val="auto"/>
              </w:rPr>
            </w:pPr>
          </w:p>
        </w:tc>
        <w:tc>
          <w:tcPr>
            <w:tcW w:w="820" w:type="dxa"/>
            <w:vAlign w:val="bottom"/>
          </w:tcPr>
          <w:p>
            <w:pPr>
              <w:spacing w:after="0"/>
              <w:rPr>
                <w:sz w:val="23"/>
                <w:szCs w:val="23"/>
                <w:color w:val="auto"/>
              </w:rPr>
            </w:pPr>
          </w:p>
        </w:tc>
        <w:tc>
          <w:tcPr>
            <w:tcW w:w="1300" w:type="dxa"/>
            <w:vAlign w:val="bottom"/>
          </w:tcPr>
          <w:p>
            <w:pPr>
              <w:ind w:left="680"/>
              <w:spacing w:after="0"/>
              <w:rPr>
                <w:sz w:val="20"/>
                <w:szCs w:val="20"/>
                <w:color w:val="auto"/>
              </w:rPr>
            </w:pPr>
            <w:r>
              <w:rPr>
                <w:rFonts w:ascii="Arial" w:cs="Arial" w:eastAsia="Arial" w:hAnsi="Arial"/>
                <w:sz w:val="18"/>
                <w:szCs w:val="18"/>
                <w:color w:val="auto"/>
              </w:rPr>
              <w:t>8-K</w:t>
            </w:r>
          </w:p>
        </w:tc>
        <w:tc>
          <w:tcPr>
            <w:tcW w:w="1100" w:type="dxa"/>
            <w:vAlign w:val="bottom"/>
          </w:tcPr>
          <w:p>
            <w:pPr>
              <w:spacing w:after="0"/>
              <w:rPr>
                <w:sz w:val="23"/>
                <w:szCs w:val="23"/>
                <w:color w:val="auto"/>
              </w:rPr>
            </w:pPr>
          </w:p>
        </w:tc>
        <w:tc>
          <w:tcPr>
            <w:tcW w:w="1440" w:type="dxa"/>
            <w:vAlign w:val="bottom"/>
          </w:tcPr>
          <w:p>
            <w:pPr>
              <w:jc w:val="right"/>
              <w:ind w:right="615"/>
              <w:spacing w:after="0"/>
              <w:rPr>
                <w:sz w:val="20"/>
                <w:szCs w:val="20"/>
                <w:color w:val="auto"/>
              </w:rPr>
            </w:pPr>
            <w:r>
              <w:rPr>
                <w:rFonts w:ascii="Arial" w:cs="Arial" w:eastAsia="Arial" w:hAnsi="Arial"/>
                <w:sz w:val="18"/>
                <w:szCs w:val="18"/>
                <w:color w:val="auto"/>
              </w:rPr>
              <w:t>4.2</w:t>
            </w:r>
          </w:p>
        </w:tc>
        <w:tc>
          <w:tcPr>
            <w:tcW w:w="1180" w:type="dxa"/>
            <w:vAlign w:val="bottom"/>
          </w:tcPr>
          <w:p>
            <w:pPr>
              <w:jc w:val="right"/>
              <w:spacing w:after="0"/>
              <w:rPr>
                <w:sz w:val="20"/>
                <w:szCs w:val="20"/>
                <w:color w:val="auto"/>
              </w:rPr>
            </w:pPr>
            <w:r>
              <w:rPr>
                <w:rFonts w:ascii="Arial" w:cs="Arial" w:eastAsia="Arial" w:hAnsi="Arial"/>
                <w:sz w:val="18"/>
                <w:szCs w:val="18"/>
                <w:color w:val="auto"/>
              </w:rPr>
              <w:t>12/6/13</w:t>
            </w: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860" w:type="dxa"/>
            <w:vAlign w:val="bottom"/>
            <w:tcBorders>
              <w:bottom w:val="single" w:sz="8" w:color="0000EE"/>
            </w:tcBorders>
            <w:gridSpan w:val="9"/>
          </w:tcPr>
          <w:p>
            <w:pPr>
              <w:spacing w:after="0" w:line="182" w:lineRule="exact"/>
              <w:rPr>
                <w:rFonts w:ascii="Arial" w:cs="Arial" w:eastAsia="Arial" w:hAnsi="Arial"/>
                <w:sz w:val="18"/>
                <w:szCs w:val="18"/>
                <w:color w:val="0000EE"/>
                <w:w w:val="99"/>
              </w:rPr>
            </w:pPr>
            <w:hyperlink r:id="rId181">
              <w:r>
                <w:rPr>
                  <w:rFonts w:ascii="Arial" w:cs="Arial" w:eastAsia="Arial" w:hAnsi="Arial"/>
                  <w:sz w:val="18"/>
                  <w:szCs w:val="18"/>
                  <w:color w:val="0000EE"/>
                  <w:w w:val="99"/>
                </w:rPr>
                <w:t>due 2018, 3.625% Notes due 2023, and 4.875%</w:t>
              </w:r>
            </w:hyperlink>
          </w:p>
        </w:tc>
        <w:tc>
          <w:tcPr>
            <w:tcW w:w="360" w:type="dxa"/>
            <w:vAlign w:val="bottom"/>
            <w:gridSpan w:val="9"/>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840" w:type="dxa"/>
            <w:vAlign w:val="bottom"/>
            <w:tcBorders>
              <w:bottom w:val="single" w:sz="8" w:color="0000EE"/>
            </w:tcBorders>
            <w:gridSpan w:val="8"/>
          </w:tcPr>
          <w:p>
            <w:pPr>
              <w:spacing w:after="0" w:line="182" w:lineRule="exact"/>
              <w:rPr>
                <w:rFonts w:ascii="Arial" w:cs="Arial" w:eastAsia="Arial" w:hAnsi="Arial"/>
                <w:sz w:val="18"/>
                <w:szCs w:val="18"/>
                <w:color w:val="0000EE"/>
                <w:w w:val="99"/>
              </w:rPr>
            </w:pPr>
            <w:hyperlink r:id="rId181">
              <w:r>
                <w:rPr>
                  <w:rFonts w:ascii="Arial" w:cs="Arial" w:eastAsia="Arial" w:hAnsi="Arial"/>
                  <w:sz w:val="18"/>
                  <w:szCs w:val="18"/>
                  <w:color w:val="0000EE"/>
                  <w:w w:val="99"/>
                </w:rPr>
                <w:t>Notes due 2043, dated as of December 6, 2013,</w:t>
              </w:r>
            </w:hyperlink>
          </w:p>
        </w:tc>
        <w:tc>
          <w:tcPr>
            <w:tcW w:w="380" w:type="dxa"/>
            <w:vAlign w:val="bottom"/>
            <w:gridSpan w:val="10"/>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820" w:type="dxa"/>
            <w:vAlign w:val="bottom"/>
            <w:tcBorders>
              <w:bottom w:val="single" w:sz="8" w:color="0000EE"/>
            </w:tcBorders>
            <w:gridSpan w:val="7"/>
          </w:tcPr>
          <w:p>
            <w:pPr>
              <w:spacing w:after="0" w:line="182" w:lineRule="exact"/>
              <w:rPr>
                <w:rFonts w:ascii="Arial" w:cs="Arial" w:eastAsia="Arial" w:hAnsi="Arial"/>
                <w:sz w:val="18"/>
                <w:szCs w:val="18"/>
                <w:color w:val="0000EE"/>
                <w:w w:val="99"/>
              </w:rPr>
            </w:pPr>
            <w:hyperlink r:id="rId181">
              <w:r>
                <w:rPr>
                  <w:rFonts w:ascii="Arial" w:cs="Arial" w:eastAsia="Arial" w:hAnsi="Arial"/>
                  <w:sz w:val="18"/>
                  <w:szCs w:val="18"/>
                  <w:color w:val="0000EE"/>
                  <w:w w:val="99"/>
                </w:rPr>
                <w:t>between Microsoft Corporation and The Bank of</w:t>
              </w:r>
            </w:hyperlink>
          </w:p>
        </w:tc>
        <w:tc>
          <w:tcPr>
            <w:tcW w:w="400" w:type="dxa"/>
            <w:vAlign w:val="bottom"/>
            <w:gridSpan w:val="11"/>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040" w:type="dxa"/>
            <w:vAlign w:val="bottom"/>
            <w:tcBorders>
              <w:bottom w:val="single" w:sz="8" w:color="0000EE"/>
            </w:tcBorders>
            <w:gridSpan w:val="16"/>
          </w:tcPr>
          <w:p>
            <w:pPr>
              <w:spacing w:after="0" w:line="182" w:lineRule="exact"/>
              <w:rPr>
                <w:rFonts w:ascii="Arial" w:cs="Arial" w:eastAsia="Arial" w:hAnsi="Arial"/>
                <w:sz w:val="18"/>
                <w:szCs w:val="18"/>
                <w:color w:val="0000EE"/>
                <w:w w:val="98"/>
              </w:rPr>
            </w:pPr>
            <w:hyperlink r:id="rId181">
              <w:r>
                <w:rPr>
                  <w:rFonts w:ascii="Arial" w:cs="Arial" w:eastAsia="Arial" w:hAnsi="Arial"/>
                  <w:sz w:val="18"/>
                  <w:szCs w:val="18"/>
                  <w:color w:val="0000EE"/>
                  <w:w w:val="98"/>
                </w:rPr>
                <w:t>New York Mellon Trust Company, N.A., as Trustee,</w:t>
              </w:r>
            </w:hyperlink>
          </w:p>
        </w:tc>
        <w:tc>
          <w:tcPr>
            <w:tcW w:w="180" w:type="dxa"/>
            <w:vAlign w:val="bottom"/>
            <w:gridSpan w:val="2"/>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440" w:type="dxa"/>
            <w:vAlign w:val="bottom"/>
            <w:tcBorders>
              <w:bottom w:val="single" w:sz="8" w:color="0000EE"/>
            </w:tcBorders>
            <w:gridSpan w:val="4"/>
          </w:tcPr>
          <w:p>
            <w:pPr>
              <w:spacing w:after="0" w:line="182" w:lineRule="exact"/>
              <w:rPr>
                <w:rFonts w:ascii="Arial" w:cs="Arial" w:eastAsia="Arial" w:hAnsi="Arial"/>
                <w:sz w:val="18"/>
                <w:szCs w:val="18"/>
                <w:color w:val="0000EE"/>
                <w:w w:val="99"/>
              </w:rPr>
            </w:pPr>
            <w:hyperlink r:id="rId181">
              <w:r>
                <w:rPr>
                  <w:rFonts w:ascii="Arial" w:cs="Arial" w:eastAsia="Arial" w:hAnsi="Arial"/>
                  <w:sz w:val="18"/>
                  <w:szCs w:val="18"/>
                  <w:color w:val="0000EE"/>
                  <w:w w:val="99"/>
                </w:rPr>
                <w:t>to the Indenture, dated as of May 18, 2009,</w:t>
              </w:r>
            </w:hyperlink>
          </w:p>
        </w:tc>
        <w:tc>
          <w:tcPr>
            <w:tcW w:w="780" w:type="dxa"/>
            <w:vAlign w:val="bottom"/>
            <w:gridSpan w:val="14"/>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820" w:type="dxa"/>
            <w:vAlign w:val="bottom"/>
            <w:tcBorders>
              <w:bottom w:val="single" w:sz="8" w:color="0000EE"/>
            </w:tcBorders>
            <w:gridSpan w:val="7"/>
          </w:tcPr>
          <w:p>
            <w:pPr>
              <w:spacing w:after="0" w:line="182" w:lineRule="exact"/>
              <w:rPr>
                <w:rFonts w:ascii="Arial" w:cs="Arial" w:eastAsia="Arial" w:hAnsi="Arial"/>
                <w:sz w:val="18"/>
                <w:szCs w:val="18"/>
                <w:color w:val="0000EE"/>
                <w:w w:val="99"/>
              </w:rPr>
            </w:pPr>
            <w:hyperlink r:id="rId181">
              <w:r>
                <w:rPr>
                  <w:rFonts w:ascii="Arial" w:cs="Arial" w:eastAsia="Arial" w:hAnsi="Arial"/>
                  <w:sz w:val="18"/>
                  <w:szCs w:val="18"/>
                  <w:color w:val="0000EE"/>
                  <w:w w:val="99"/>
                </w:rPr>
                <w:t>between Microsoft Corporation and The Bank of</w:t>
              </w:r>
            </w:hyperlink>
          </w:p>
        </w:tc>
        <w:tc>
          <w:tcPr>
            <w:tcW w:w="400" w:type="dxa"/>
            <w:vAlign w:val="bottom"/>
            <w:gridSpan w:val="11"/>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220" w:type="dxa"/>
            <w:vAlign w:val="bottom"/>
            <w:gridSpan w:val="18"/>
          </w:tcPr>
          <w:p>
            <w:pPr>
              <w:spacing w:after="0" w:line="182" w:lineRule="exact"/>
              <w:rPr>
                <w:rFonts w:ascii="Arial" w:cs="Arial" w:eastAsia="Arial" w:hAnsi="Arial"/>
                <w:sz w:val="18"/>
                <w:szCs w:val="18"/>
                <w:color w:val="0000EE"/>
              </w:rPr>
            </w:pPr>
            <w:hyperlink r:id="rId181">
              <w:r>
                <w:rPr>
                  <w:rFonts w:ascii="Arial" w:cs="Arial" w:eastAsia="Arial" w:hAnsi="Arial"/>
                  <w:sz w:val="18"/>
                  <w:szCs w:val="18"/>
                  <w:color w:val="0000EE"/>
                </w:rPr>
                <w:t>New York Mellon Trust Company, N.A., as Trustee</w:t>
              </w:r>
            </w:hyperlink>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1120" w:type="dxa"/>
            <w:vAlign w:val="bottom"/>
          </w:tcPr>
          <w:p>
            <w:pPr>
              <w:spacing w:after="0"/>
              <w:rPr>
                <w:sz w:val="20"/>
                <w:szCs w:val="20"/>
                <w:color w:val="auto"/>
              </w:rPr>
            </w:pPr>
            <w:r>
              <w:rPr>
                <w:rFonts w:ascii="Arial" w:cs="Arial" w:eastAsia="Arial" w:hAnsi="Arial"/>
                <w:sz w:val="18"/>
                <w:szCs w:val="18"/>
                <w:color w:val="auto"/>
              </w:rPr>
              <w:t>4.12</w:t>
            </w:r>
          </w:p>
        </w:tc>
        <w:tc>
          <w:tcPr>
            <w:tcW w:w="38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9"/>
              </w:rPr>
            </w:pPr>
            <w:hyperlink r:id="rId182">
              <w:r>
                <w:rPr>
                  <w:rFonts w:ascii="Arial" w:cs="Arial" w:eastAsia="Arial" w:hAnsi="Arial"/>
                  <w:sz w:val="18"/>
                  <w:szCs w:val="18"/>
                  <w:color w:val="0000EE"/>
                  <w:w w:val="99"/>
                </w:rPr>
                <w:t>Ninth Supplemental Indenture for 1.850% Notes</w:t>
              </w:r>
            </w:hyperlink>
          </w:p>
        </w:tc>
        <w:tc>
          <w:tcPr>
            <w:tcW w:w="160" w:type="dxa"/>
            <w:vAlign w:val="bottom"/>
            <w:tcBorders>
              <w:top w:val="single" w:sz="8" w:color="0000EE"/>
            </w:tcBorders>
            <w:gridSpan w:val="6"/>
          </w:tcPr>
          <w:p>
            <w:pPr>
              <w:spacing w:after="0"/>
              <w:rPr>
                <w:sz w:val="24"/>
                <w:szCs w:val="24"/>
                <w:color w:val="auto"/>
              </w:rPr>
            </w:pPr>
          </w:p>
        </w:tc>
        <w:tc>
          <w:tcPr>
            <w:tcW w:w="240" w:type="dxa"/>
            <w:vAlign w:val="bottom"/>
            <w:gridSpan w:val="5"/>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Pr>
          <w:p>
            <w:pPr>
              <w:ind w:left="680"/>
              <w:spacing w:after="0"/>
              <w:rPr>
                <w:sz w:val="20"/>
                <w:szCs w:val="20"/>
                <w:color w:val="auto"/>
              </w:rPr>
            </w:pPr>
            <w:r>
              <w:rPr>
                <w:rFonts w:ascii="Arial" w:cs="Arial" w:eastAsia="Arial" w:hAnsi="Arial"/>
                <w:sz w:val="18"/>
                <w:szCs w:val="18"/>
                <w:color w:val="auto"/>
              </w:rPr>
              <w:t>8-K</w:t>
            </w:r>
          </w:p>
        </w:tc>
        <w:tc>
          <w:tcPr>
            <w:tcW w:w="1100" w:type="dxa"/>
            <w:vAlign w:val="bottom"/>
          </w:tcPr>
          <w:p>
            <w:pPr>
              <w:spacing w:after="0"/>
              <w:rPr>
                <w:sz w:val="24"/>
                <w:szCs w:val="24"/>
                <w:color w:val="auto"/>
              </w:rPr>
            </w:pPr>
          </w:p>
        </w:tc>
        <w:tc>
          <w:tcPr>
            <w:tcW w:w="1440" w:type="dxa"/>
            <w:vAlign w:val="bottom"/>
          </w:tcPr>
          <w:p>
            <w:pPr>
              <w:jc w:val="right"/>
              <w:ind w:right="615"/>
              <w:spacing w:after="0"/>
              <w:rPr>
                <w:sz w:val="20"/>
                <w:szCs w:val="20"/>
                <w:color w:val="auto"/>
              </w:rPr>
            </w:pPr>
            <w:r>
              <w:rPr>
                <w:rFonts w:ascii="Arial" w:cs="Arial" w:eastAsia="Arial" w:hAnsi="Arial"/>
                <w:sz w:val="18"/>
                <w:szCs w:val="18"/>
                <w:color w:val="auto"/>
              </w:rPr>
              <w:t>4.1</w:t>
            </w:r>
          </w:p>
        </w:tc>
        <w:tc>
          <w:tcPr>
            <w:tcW w:w="1180" w:type="dxa"/>
            <w:vAlign w:val="bottom"/>
          </w:tcPr>
          <w:p>
            <w:pPr>
              <w:jc w:val="right"/>
              <w:spacing w:after="0"/>
              <w:rPr>
                <w:sz w:val="20"/>
                <w:szCs w:val="20"/>
                <w:color w:val="auto"/>
              </w:rPr>
            </w:pPr>
            <w:r>
              <w:rPr>
                <w:rFonts w:ascii="Arial" w:cs="Arial" w:eastAsia="Arial" w:hAnsi="Arial"/>
                <w:sz w:val="18"/>
                <w:szCs w:val="18"/>
                <w:color w:val="auto"/>
              </w:rPr>
              <w:t>2/12/15</w:t>
            </w: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220" w:type="dxa"/>
            <w:vAlign w:val="bottom"/>
            <w:gridSpan w:val="18"/>
          </w:tcPr>
          <w:p>
            <w:pPr>
              <w:spacing w:after="0" w:line="182" w:lineRule="exact"/>
              <w:rPr>
                <w:rFonts w:ascii="Arial" w:cs="Arial" w:eastAsia="Arial" w:hAnsi="Arial"/>
                <w:sz w:val="18"/>
                <w:szCs w:val="18"/>
                <w:color w:val="0000EE"/>
              </w:rPr>
            </w:pPr>
            <w:hyperlink r:id="rId182">
              <w:r>
                <w:rPr>
                  <w:rFonts w:ascii="Arial" w:cs="Arial" w:eastAsia="Arial" w:hAnsi="Arial"/>
                  <w:sz w:val="18"/>
                  <w:szCs w:val="18"/>
                  <w:color w:val="0000EE"/>
                </w:rPr>
                <w:t>due 2020, 2.375% Notes due 2022, 2.700% Notes</w:t>
              </w:r>
            </w:hyperlink>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20" w:type="dxa"/>
            <w:vAlign w:val="bottom"/>
          </w:tcPr>
          <w:p>
            <w:pPr>
              <w:spacing w:after="0"/>
              <w:rPr>
                <w:sz w:val="15"/>
                <w:szCs w:val="15"/>
                <w:color w:val="auto"/>
              </w:rPr>
            </w:pPr>
          </w:p>
        </w:tc>
        <w:tc>
          <w:tcPr>
            <w:tcW w:w="4220" w:type="dxa"/>
            <w:vAlign w:val="bottom"/>
            <w:gridSpan w:val="18"/>
          </w:tcPr>
          <w:p>
            <w:pPr>
              <w:spacing w:after="0" w:line="182" w:lineRule="exact"/>
              <w:rPr>
                <w:rFonts w:ascii="Arial" w:cs="Arial" w:eastAsia="Arial" w:hAnsi="Arial"/>
                <w:sz w:val="18"/>
                <w:szCs w:val="18"/>
                <w:color w:val="0000EE"/>
              </w:rPr>
            </w:pPr>
            <w:hyperlink r:id="rId182">
              <w:r>
                <w:rPr>
                  <w:rFonts w:ascii="Arial" w:cs="Arial" w:eastAsia="Arial" w:hAnsi="Arial"/>
                  <w:sz w:val="18"/>
                  <w:szCs w:val="18"/>
                  <w:color w:val="0000EE"/>
                </w:rPr>
                <w:t>due 2025, 3.500% Notes due 2035, 3.750% Notes</w:t>
              </w:r>
            </w:hyperlink>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92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w w:val="98"/>
              </w:rPr>
            </w:pPr>
            <w:hyperlink r:id="rId182">
              <w:r>
                <w:rPr>
                  <w:rFonts w:ascii="Arial" w:cs="Arial" w:eastAsia="Arial" w:hAnsi="Arial"/>
                  <w:sz w:val="18"/>
                  <w:szCs w:val="18"/>
                  <w:color w:val="0000EE"/>
                  <w:w w:val="98"/>
                </w:rPr>
                <w:t>due 2045, and 4.000% Notes due 2055, dated as</w:t>
              </w:r>
            </w:hyperlink>
          </w:p>
        </w:tc>
        <w:tc>
          <w:tcPr>
            <w:tcW w:w="80" w:type="dxa"/>
            <w:vAlign w:val="bottom"/>
            <w:tcBorders>
              <w:top w:val="single" w:sz="8" w:color="0000EE"/>
            </w:tcBorders>
            <w:gridSpan w:val="3"/>
          </w:tcPr>
          <w:p>
            <w:pPr>
              <w:spacing w:after="0"/>
              <w:rPr>
                <w:sz w:val="15"/>
                <w:szCs w:val="15"/>
                <w:color w:val="auto"/>
              </w:rPr>
            </w:pPr>
          </w:p>
        </w:tc>
        <w:tc>
          <w:tcPr>
            <w:tcW w:w="220" w:type="dxa"/>
            <w:vAlign w:val="bottom"/>
            <w:gridSpan w:val="4"/>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220" w:type="dxa"/>
            <w:vAlign w:val="bottom"/>
            <w:gridSpan w:val="18"/>
          </w:tcPr>
          <w:p>
            <w:pPr>
              <w:spacing w:after="0" w:line="182" w:lineRule="exact"/>
              <w:rPr>
                <w:rFonts w:ascii="Arial" w:cs="Arial" w:eastAsia="Arial" w:hAnsi="Arial"/>
                <w:sz w:val="18"/>
                <w:szCs w:val="18"/>
                <w:color w:val="0000EE"/>
              </w:rPr>
            </w:pPr>
            <w:hyperlink r:id="rId182">
              <w:r>
                <w:rPr>
                  <w:rFonts w:ascii="Arial" w:cs="Arial" w:eastAsia="Arial" w:hAnsi="Arial"/>
                  <w:sz w:val="18"/>
                  <w:szCs w:val="18"/>
                  <w:color w:val="0000EE"/>
                </w:rPr>
                <w:t>of February 12, 2015, between Microsoft</w:t>
              </w:r>
            </w:hyperlink>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20" w:type="dxa"/>
            <w:vAlign w:val="bottom"/>
          </w:tcPr>
          <w:p>
            <w:pPr>
              <w:spacing w:after="0"/>
              <w:rPr>
                <w:sz w:val="15"/>
                <w:szCs w:val="15"/>
                <w:color w:val="auto"/>
              </w:rPr>
            </w:pPr>
          </w:p>
        </w:tc>
        <w:tc>
          <w:tcPr>
            <w:tcW w:w="388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r:id="rId182">
              <w:r>
                <w:rPr>
                  <w:rFonts w:ascii="Arial" w:cs="Arial" w:eastAsia="Arial" w:hAnsi="Arial"/>
                  <w:sz w:val="18"/>
                  <w:szCs w:val="18"/>
                  <w:color w:val="0000EE"/>
                  <w:w w:val="99"/>
                </w:rPr>
                <w:t>Corporation and U.S. Bank National Association,</w:t>
              </w:r>
            </w:hyperlink>
          </w:p>
        </w:tc>
        <w:tc>
          <w:tcPr>
            <w:tcW w:w="340" w:type="dxa"/>
            <w:vAlign w:val="bottom"/>
            <w:gridSpan w:val="8"/>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88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r:id="rId182">
              <w:r>
                <w:rPr>
                  <w:rFonts w:ascii="Arial" w:cs="Arial" w:eastAsia="Arial" w:hAnsi="Arial"/>
                  <w:sz w:val="18"/>
                  <w:szCs w:val="18"/>
                  <w:color w:val="0000EE"/>
                  <w:w w:val="99"/>
                </w:rPr>
                <w:t>as Trustee, to the Indenture, dated as of May 18,</w:t>
              </w:r>
            </w:hyperlink>
          </w:p>
        </w:tc>
        <w:tc>
          <w:tcPr>
            <w:tcW w:w="340" w:type="dxa"/>
            <w:vAlign w:val="bottom"/>
            <w:gridSpan w:val="8"/>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660" w:type="dxa"/>
            <w:vAlign w:val="bottom"/>
            <w:tcBorders>
              <w:bottom w:val="single" w:sz="8" w:color="0000EE"/>
            </w:tcBorders>
            <w:gridSpan w:val="6"/>
          </w:tcPr>
          <w:p>
            <w:pPr>
              <w:spacing w:after="0" w:line="182" w:lineRule="exact"/>
              <w:rPr>
                <w:rFonts w:ascii="Arial" w:cs="Arial" w:eastAsia="Arial" w:hAnsi="Arial"/>
                <w:sz w:val="18"/>
                <w:szCs w:val="18"/>
                <w:color w:val="0000EE"/>
                <w:w w:val="99"/>
              </w:rPr>
            </w:pPr>
            <w:hyperlink r:id="rId182">
              <w:r>
                <w:rPr>
                  <w:rFonts w:ascii="Arial" w:cs="Arial" w:eastAsia="Arial" w:hAnsi="Arial"/>
                  <w:sz w:val="18"/>
                  <w:szCs w:val="18"/>
                  <w:color w:val="0000EE"/>
                  <w:w w:val="99"/>
                </w:rPr>
                <w:t>2009, between Microsoft Corporation and The</w:t>
              </w:r>
            </w:hyperlink>
          </w:p>
        </w:tc>
        <w:tc>
          <w:tcPr>
            <w:tcW w:w="560" w:type="dxa"/>
            <w:vAlign w:val="bottom"/>
            <w:gridSpan w:val="12"/>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000" w:type="dxa"/>
            <w:vAlign w:val="bottom"/>
            <w:tcBorders>
              <w:bottom w:val="single" w:sz="8" w:color="0000EE"/>
            </w:tcBorders>
            <w:gridSpan w:val="14"/>
          </w:tcPr>
          <w:p>
            <w:pPr>
              <w:spacing w:after="0" w:line="182" w:lineRule="exact"/>
              <w:rPr>
                <w:rFonts w:ascii="Arial" w:cs="Arial" w:eastAsia="Arial" w:hAnsi="Arial"/>
                <w:sz w:val="18"/>
                <w:szCs w:val="18"/>
                <w:color w:val="0000EE"/>
                <w:w w:val="98"/>
              </w:rPr>
            </w:pPr>
            <w:hyperlink r:id="rId182">
              <w:r>
                <w:rPr>
                  <w:rFonts w:ascii="Arial" w:cs="Arial" w:eastAsia="Arial" w:hAnsi="Arial"/>
                  <w:sz w:val="18"/>
                  <w:szCs w:val="18"/>
                  <w:color w:val="0000EE"/>
                  <w:w w:val="98"/>
                </w:rPr>
                <w:t>Bank of New York Mellon Trust Company, N.A., as</w:t>
              </w:r>
            </w:hyperlink>
          </w:p>
        </w:tc>
        <w:tc>
          <w:tcPr>
            <w:tcW w:w="220" w:type="dxa"/>
            <w:vAlign w:val="bottom"/>
            <w:gridSpan w:val="4"/>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560" w:type="dxa"/>
            <w:vAlign w:val="bottom"/>
            <w:tcBorders>
              <w:bottom w:val="single" w:sz="8" w:color="0000EE"/>
            </w:tcBorders>
          </w:tcPr>
          <w:p>
            <w:pPr>
              <w:spacing w:after="0" w:line="182" w:lineRule="exact"/>
              <w:rPr>
                <w:rFonts w:ascii="Arial" w:cs="Arial" w:eastAsia="Arial" w:hAnsi="Arial"/>
                <w:sz w:val="18"/>
                <w:szCs w:val="18"/>
                <w:color w:val="0000EE"/>
                <w:w w:val="98"/>
              </w:rPr>
            </w:pPr>
            <w:hyperlink r:id="rId182">
              <w:r>
                <w:rPr>
                  <w:rFonts w:ascii="Arial" w:cs="Arial" w:eastAsia="Arial" w:hAnsi="Arial"/>
                  <w:sz w:val="18"/>
                  <w:szCs w:val="18"/>
                  <w:color w:val="0000EE"/>
                  <w:w w:val="98"/>
                </w:rPr>
                <w:t>trustee</w:t>
              </w:r>
            </w:hyperlink>
          </w:p>
        </w:tc>
        <w:tc>
          <w:tcPr>
            <w:tcW w:w="3660" w:type="dxa"/>
            <w:vAlign w:val="bottom"/>
            <w:gridSpan w:val="17"/>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1120" w:type="dxa"/>
            <w:vAlign w:val="bottom"/>
          </w:tcPr>
          <w:p>
            <w:pPr>
              <w:spacing w:after="0"/>
              <w:rPr>
                <w:sz w:val="20"/>
                <w:szCs w:val="20"/>
                <w:color w:val="auto"/>
              </w:rPr>
            </w:pPr>
            <w:r>
              <w:rPr>
                <w:rFonts w:ascii="Arial" w:cs="Arial" w:eastAsia="Arial" w:hAnsi="Arial"/>
                <w:sz w:val="18"/>
                <w:szCs w:val="18"/>
                <w:color w:val="auto"/>
              </w:rPr>
              <w:t>4.13</w:t>
            </w:r>
          </w:p>
        </w:tc>
        <w:tc>
          <w:tcPr>
            <w:tcW w:w="4100" w:type="dxa"/>
            <w:vAlign w:val="bottom"/>
            <w:tcBorders>
              <w:bottom w:val="single" w:sz="8" w:color="0000EE"/>
            </w:tcBorders>
            <w:gridSpan w:val="17"/>
          </w:tcPr>
          <w:p>
            <w:pPr>
              <w:spacing w:after="0"/>
              <w:rPr>
                <w:rFonts w:ascii="Arial" w:cs="Arial" w:eastAsia="Arial" w:hAnsi="Arial"/>
                <w:sz w:val="18"/>
                <w:szCs w:val="18"/>
                <w:color w:val="0000EE"/>
                <w:w w:val="96"/>
              </w:rPr>
            </w:pPr>
            <w:hyperlink r:id="rId183">
              <w:r>
                <w:rPr>
                  <w:rFonts w:ascii="Arial" w:cs="Arial" w:eastAsia="Arial" w:hAnsi="Arial"/>
                  <w:sz w:val="18"/>
                  <w:szCs w:val="18"/>
                  <w:color w:val="0000EE"/>
                  <w:w w:val="96"/>
                </w:rPr>
                <w:t>Tenth Supplemental Indenture for 1.300% Notes due</w:t>
              </w:r>
            </w:hyperlink>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Pr>
          <w:p>
            <w:pPr>
              <w:ind w:left="680"/>
              <w:spacing w:after="0"/>
              <w:rPr>
                <w:sz w:val="20"/>
                <w:szCs w:val="20"/>
                <w:color w:val="auto"/>
              </w:rPr>
            </w:pPr>
            <w:r>
              <w:rPr>
                <w:rFonts w:ascii="Arial" w:cs="Arial" w:eastAsia="Arial" w:hAnsi="Arial"/>
                <w:sz w:val="18"/>
                <w:szCs w:val="18"/>
                <w:color w:val="auto"/>
              </w:rPr>
              <w:t>8-K</w:t>
            </w:r>
          </w:p>
        </w:tc>
        <w:tc>
          <w:tcPr>
            <w:tcW w:w="1100" w:type="dxa"/>
            <w:vAlign w:val="bottom"/>
          </w:tcPr>
          <w:p>
            <w:pPr>
              <w:spacing w:after="0"/>
              <w:rPr>
                <w:sz w:val="24"/>
                <w:szCs w:val="24"/>
                <w:color w:val="auto"/>
              </w:rPr>
            </w:pPr>
          </w:p>
        </w:tc>
        <w:tc>
          <w:tcPr>
            <w:tcW w:w="1440" w:type="dxa"/>
            <w:vAlign w:val="bottom"/>
          </w:tcPr>
          <w:p>
            <w:pPr>
              <w:jc w:val="right"/>
              <w:ind w:right="615"/>
              <w:spacing w:after="0"/>
              <w:rPr>
                <w:sz w:val="20"/>
                <w:szCs w:val="20"/>
                <w:color w:val="auto"/>
              </w:rPr>
            </w:pPr>
            <w:r>
              <w:rPr>
                <w:rFonts w:ascii="Arial" w:cs="Arial" w:eastAsia="Arial" w:hAnsi="Arial"/>
                <w:sz w:val="18"/>
                <w:szCs w:val="18"/>
                <w:color w:val="auto"/>
              </w:rPr>
              <w:t>4.1</w:t>
            </w:r>
          </w:p>
        </w:tc>
        <w:tc>
          <w:tcPr>
            <w:tcW w:w="1180" w:type="dxa"/>
            <w:vAlign w:val="bottom"/>
          </w:tcPr>
          <w:p>
            <w:pPr>
              <w:jc w:val="right"/>
              <w:spacing w:after="0"/>
              <w:rPr>
                <w:sz w:val="20"/>
                <w:szCs w:val="20"/>
                <w:color w:val="auto"/>
              </w:rPr>
            </w:pPr>
            <w:r>
              <w:rPr>
                <w:rFonts w:ascii="Arial" w:cs="Arial" w:eastAsia="Arial" w:hAnsi="Arial"/>
                <w:sz w:val="18"/>
                <w:szCs w:val="18"/>
                <w:color w:val="auto"/>
              </w:rPr>
              <w:t>11/3/15</w:t>
            </w: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220" w:type="dxa"/>
            <w:vAlign w:val="bottom"/>
            <w:gridSpan w:val="18"/>
          </w:tcPr>
          <w:p>
            <w:pPr>
              <w:spacing w:after="0" w:line="182" w:lineRule="exact"/>
              <w:rPr>
                <w:rFonts w:ascii="Arial" w:cs="Arial" w:eastAsia="Arial" w:hAnsi="Arial"/>
                <w:sz w:val="18"/>
                <w:szCs w:val="18"/>
                <w:color w:val="0000EE"/>
              </w:rPr>
            </w:pPr>
            <w:hyperlink r:id="rId183">
              <w:r>
                <w:rPr>
                  <w:rFonts w:ascii="Arial" w:cs="Arial" w:eastAsia="Arial" w:hAnsi="Arial"/>
                  <w:sz w:val="18"/>
                  <w:szCs w:val="18"/>
                  <w:color w:val="0000EE"/>
                </w:rPr>
                <w:t>2018, 2.000% Notes due 2020, 2.650% Notes due</w:t>
              </w:r>
            </w:hyperlink>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780" w:type="dxa"/>
            <w:vAlign w:val="bottom"/>
            <w:gridSpan w:val="3"/>
            <w:shd w:val="clear" w:color="auto" w:fill="0000EE"/>
          </w:tcPr>
          <w:p>
            <w:pPr>
              <w:spacing w:after="0" w:line="20" w:lineRule="exact"/>
              <w:rPr>
                <w:sz w:val="1"/>
                <w:szCs w:val="1"/>
                <w:color w:val="auto"/>
              </w:rPr>
            </w:pPr>
          </w:p>
        </w:tc>
        <w:tc>
          <w:tcPr>
            <w:tcW w:w="360" w:type="dxa"/>
            <w:vAlign w:val="bottom"/>
            <w:tcBorders>
              <w:right w:val="single" w:sz="8" w:color="0000EE"/>
            </w:tcBorders>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20" w:type="dxa"/>
            <w:vAlign w:val="bottom"/>
          </w:tcPr>
          <w:p>
            <w:pPr>
              <w:spacing w:after="0"/>
              <w:rPr>
                <w:sz w:val="15"/>
                <w:szCs w:val="15"/>
                <w:color w:val="auto"/>
              </w:rPr>
            </w:pPr>
          </w:p>
        </w:tc>
        <w:tc>
          <w:tcPr>
            <w:tcW w:w="4220" w:type="dxa"/>
            <w:vAlign w:val="bottom"/>
            <w:gridSpan w:val="18"/>
          </w:tcPr>
          <w:p>
            <w:pPr>
              <w:spacing w:after="0" w:line="182" w:lineRule="exact"/>
              <w:rPr>
                <w:rFonts w:ascii="Arial" w:cs="Arial" w:eastAsia="Arial" w:hAnsi="Arial"/>
                <w:sz w:val="18"/>
                <w:szCs w:val="18"/>
                <w:color w:val="0000EE"/>
              </w:rPr>
            </w:pPr>
            <w:hyperlink r:id="rId183">
              <w:r>
                <w:rPr>
                  <w:rFonts w:ascii="Arial" w:cs="Arial" w:eastAsia="Arial" w:hAnsi="Arial"/>
                  <w:sz w:val="18"/>
                  <w:szCs w:val="18"/>
                  <w:color w:val="0000EE"/>
                </w:rPr>
                <w:t>2022, 3.125% Notes due 2025, 4.200% Notes due</w:t>
              </w:r>
            </w:hyperlink>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780" w:type="dxa"/>
            <w:vAlign w:val="bottom"/>
            <w:gridSpan w:val="3"/>
            <w:shd w:val="clear" w:color="auto" w:fill="0000EE"/>
          </w:tcPr>
          <w:p>
            <w:pPr>
              <w:spacing w:after="0" w:line="20" w:lineRule="exact"/>
              <w:rPr>
                <w:sz w:val="1"/>
                <w:szCs w:val="1"/>
                <w:color w:val="auto"/>
              </w:rPr>
            </w:pPr>
          </w:p>
        </w:tc>
        <w:tc>
          <w:tcPr>
            <w:tcW w:w="360" w:type="dxa"/>
            <w:vAlign w:val="bottom"/>
            <w:tcBorders>
              <w:right w:val="single" w:sz="8" w:color="0000EE"/>
            </w:tcBorders>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20" w:type="dxa"/>
            <w:vAlign w:val="bottom"/>
          </w:tcPr>
          <w:p>
            <w:pPr>
              <w:spacing w:after="0"/>
              <w:rPr>
                <w:sz w:val="15"/>
                <w:szCs w:val="15"/>
                <w:color w:val="auto"/>
              </w:rPr>
            </w:pPr>
          </w:p>
        </w:tc>
        <w:tc>
          <w:tcPr>
            <w:tcW w:w="4220" w:type="dxa"/>
            <w:vAlign w:val="bottom"/>
            <w:gridSpan w:val="18"/>
          </w:tcPr>
          <w:p>
            <w:pPr>
              <w:spacing w:after="0" w:line="182" w:lineRule="exact"/>
              <w:rPr>
                <w:rFonts w:ascii="Arial" w:cs="Arial" w:eastAsia="Arial" w:hAnsi="Arial"/>
                <w:sz w:val="18"/>
                <w:szCs w:val="18"/>
                <w:color w:val="0000EE"/>
              </w:rPr>
            </w:pPr>
            <w:hyperlink r:id="rId183">
              <w:r>
                <w:rPr>
                  <w:rFonts w:ascii="Arial" w:cs="Arial" w:eastAsia="Arial" w:hAnsi="Arial"/>
                  <w:sz w:val="18"/>
                  <w:szCs w:val="18"/>
                  <w:color w:val="0000EE"/>
                </w:rPr>
                <w:t>2035, 4.450% Notes due 2045, and 4.750% Notes</w:t>
              </w:r>
            </w:hyperlink>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780" w:type="dxa"/>
            <w:vAlign w:val="bottom"/>
            <w:gridSpan w:val="3"/>
            <w:shd w:val="clear" w:color="auto" w:fill="0000EE"/>
          </w:tcPr>
          <w:p>
            <w:pPr>
              <w:spacing w:after="0" w:line="20" w:lineRule="exact"/>
              <w:rPr>
                <w:sz w:val="1"/>
                <w:szCs w:val="1"/>
                <w:color w:val="auto"/>
              </w:rPr>
            </w:pPr>
          </w:p>
        </w:tc>
        <w:tc>
          <w:tcPr>
            <w:tcW w:w="360" w:type="dxa"/>
            <w:vAlign w:val="bottom"/>
            <w:tcBorders>
              <w:right w:val="single" w:sz="8" w:color="0000EE"/>
            </w:tcBorders>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20" w:type="dxa"/>
            <w:vAlign w:val="bottom"/>
          </w:tcPr>
          <w:p>
            <w:pPr>
              <w:spacing w:after="0"/>
              <w:rPr>
                <w:sz w:val="15"/>
                <w:szCs w:val="15"/>
                <w:color w:val="auto"/>
              </w:rPr>
            </w:pPr>
          </w:p>
        </w:tc>
        <w:tc>
          <w:tcPr>
            <w:tcW w:w="3960" w:type="dxa"/>
            <w:vAlign w:val="bottom"/>
            <w:tcBorders>
              <w:bottom w:val="single" w:sz="8" w:color="0000EE"/>
            </w:tcBorders>
            <w:gridSpan w:val="12"/>
          </w:tcPr>
          <w:p>
            <w:pPr>
              <w:spacing w:after="0" w:line="182" w:lineRule="exact"/>
              <w:rPr>
                <w:rFonts w:ascii="Arial" w:cs="Arial" w:eastAsia="Arial" w:hAnsi="Arial"/>
                <w:sz w:val="18"/>
                <w:szCs w:val="18"/>
                <w:color w:val="0000EE"/>
                <w:w w:val="97"/>
              </w:rPr>
            </w:pPr>
            <w:hyperlink r:id="rId183">
              <w:r>
                <w:rPr>
                  <w:rFonts w:ascii="Arial" w:cs="Arial" w:eastAsia="Arial" w:hAnsi="Arial"/>
                  <w:sz w:val="18"/>
                  <w:szCs w:val="18"/>
                  <w:color w:val="0000EE"/>
                  <w:w w:val="97"/>
                </w:rPr>
                <w:t>due 2055, dated as of November 3, 2015, between</w:t>
              </w:r>
            </w:hyperlink>
          </w:p>
        </w:tc>
        <w:tc>
          <w:tcPr>
            <w:tcW w:w="260" w:type="dxa"/>
            <w:vAlign w:val="bottom"/>
            <w:gridSpan w:val="6"/>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560" w:type="dxa"/>
            <w:vAlign w:val="bottom"/>
            <w:tcBorders>
              <w:bottom w:val="single" w:sz="8" w:color="0000EE"/>
            </w:tcBorders>
            <w:gridSpan w:val="5"/>
          </w:tcPr>
          <w:p>
            <w:pPr>
              <w:spacing w:after="0" w:line="182" w:lineRule="exact"/>
              <w:rPr>
                <w:rFonts w:ascii="Arial" w:cs="Arial" w:eastAsia="Arial" w:hAnsi="Arial"/>
                <w:sz w:val="18"/>
                <w:szCs w:val="18"/>
                <w:color w:val="0000EE"/>
                <w:w w:val="97"/>
              </w:rPr>
            </w:pPr>
            <w:hyperlink r:id="rId183">
              <w:r>
                <w:rPr>
                  <w:rFonts w:ascii="Arial" w:cs="Arial" w:eastAsia="Arial" w:hAnsi="Arial"/>
                  <w:sz w:val="18"/>
                  <w:szCs w:val="18"/>
                  <w:color w:val="0000EE"/>
                  <w:w w:val="97"/>
                </w:rPr>
                <w:t>Microsoft Corporation and U.S. Bank National</w:t>
              </w:r>
            </w:hyperlink>
          </w:p>
        </w:tc>
        <w:tc>
          <w:tcPr>
            <w:tcW w:w="660" w:type="dxa"/>
            <w:vAlign w:val="bottom"/>
            <w:gridSpan w:val="13"/>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220" w:type="dxa"/>
            <w:vAlign w:val="bottom"/>
            <w:gridSpan w:val="18"/>
          </w:tcPr>
          <w:p>
            <w:pPr>
              <w:spacing w:after="0" w:line="182" w:lineRule="exact"/>
              <w:rPr>
                <w:rFonts w:ascii="Arial" w:cs="Arial" w:eastAsia="Arial" w:hAnsi="Arial"/>
                <w:sz w:val="18"/>
                <w:szCs w:val="18"/>
                <w:color w:val="0000EE"/>
                <w:w w:val="99"/>
              </w:rPr>
            </w:pPr>
            <w:hyperlink r:id="rId183">
              <w:r>
                <w:rPr>
                  <w:rFonts w:ascii="Arial" w:cs="Arial" w:eastAsia="Arial" w:hAnsi="Arial"/>
                  <w:sz w:val="18"/>
                  <w:szCs w:val="18"/>
                  <w:color w:val="0000EE"/>
                  <w:w w:val="99"/>
                </w:rPr>
                <w:t>Association, as Trustee, to the Indenture, dated as of</w:t>
              </w:r>
            </w:hyperlink>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92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w w:val="97"/>
              </w:rPr>
            </w:pPr>
            <w:hyperlink r:id="rId183">
              <w:r>
                <w:rPr>
                  <w:rFonts w:ascii="Arial" w:cs="Arial" w:eastAsia="Arial" w:hAnsi="Arial"/>
                  <w:sz w:val="18"/>
                  <w:szCs w:val="18"/>
                  <w:color w:val="0000EE"/>
                  <w:w w:val="97"/>
                </w:rPr>
                <w:t>May 18, 2009, between Microsoft Corporation and</w:t>
              </w:r>
            </w:hyperlink>
          </w:p>
        </w:tc>
        <w:tc>
          <w:tcPr>
            <w:tcW w:w="180" w:type="dxa"/>
            <w:vAlign w:val="bottom"/>
            <w:tcBorders>
              <w:top w:val="single" w:sz="8" w:color="0000EE"/>
            </w:tcBorders>
            <w:gridSpan w:val="6"/>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220" w:type="dxa"/>
            <w:vAlign w:val="bottom"/>
            <w:gridSpan w:val="18"/>
          </w:tcPr>
          <w:p>
            <w:pPr>
              <w:spacing w:after="0" w:line="182" w:lineRule="exact"/>
              <w:rPr>
                <w:rFonts w:ascii="Arial" w:cs="Arial" w:eastAsia="Arial" w:hAnsi="Arial"/>
                <w:sz w:val="18"/>
                <w:szCs w:val="18"/>
                <w:color w:val="0000EE"/>
              </w:rPr>
            </w:pPr>
            <w:hyperlink r:id="rId183">
              <w:r>
                <w:rPr>
                  <w:rFonts w:ascii="Arial" w:cs="Arial" w:eastAsia="Arial" w:hAnsi="Arial"/>
                  <w:sz w:val="18"/>
                  <w:szCs w:val="18"/>
                  <w:color w:val="0000EE"/>
                </w:rPr>
                <w:t>The Bank of New York Mellon Trust Company, N.A.,</w:t>
              </w:r>
            </w:hyperlink>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78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6"/>
              </w:rPr>
            </w:pPr>
            <w:hyperlink r:id="rId183">
              <w:r>
                <w:rPr>
                  <w:rFonts w:ascii="Arial" w:cs="Arial" w:eastAsia="Arial" w:hAnsi="Arial"/>
                  <w:sz w:val="18"/>
                  <w:szCs w:val="18"/>
                  <w:color w:val="0000EE"/>
                  <w:w w:val="96"/>
                </w:rPr>
                <w:t>as trustee</w:t>
              </w:r>
            </w:hyperlink>
          </w:p>
        </w:tc>
        <w:tc>
          <w:tcPr>
            <w:tcW w:w="3240" w:type="dxa"/>
            <w:vAlign w:val="bottom"/>
            <w:tcBorders>
              <w:top w:val="single" w:sz="8" w:color="0000EE"/>
            </w:tcBorders>
            <w:gridSpan w:val="13"/>
          </w:tcPr>
          <w:p>
            <w:pPr>
              <w:spacing w:after="0"/>
              <w:rPr>
                <w:sz w:val="15"/>
                <w:szCs w:val="15"/>
                <w:color w:val="auto"/>
              </w:rPr>
            </w:pPr>
          </w:p>
        </w:tc>
        <w:tc>
          <w:tcPr>
            <w:tcW w:w="200" w:type="dxa"/>
            <w:vAlign w:val="bottom"/>
            <w:gridSpan w:val="3"/>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1120" w:type="dxa"/>
            <w:vAlign w:val="bottom"/>
          </w:tcPr>
          <w:p>
            <w:pPr>
              <w:spacing w:after="0"/>
              <w:rPr>
                <w:sz w:val="20"/>
                <w:szCs w:val="20"/>
                <w:color w:val="auto"/>
              </w:rPr>
            </w:pPr>
            <w:r>
              <w:rPr>
                <w:rFonts w:ascii="Arial" w:cs="Arial" w:eastAsia="Arial" w:hAnsi="Arial"/>
                <w:sz w:val="18"/>
                <w:szCs w:val="18"/>
                <w:color w:val="auto"/>
              </w:rPr>
              <w:t>4.14</w:t>
            </w:r>
          </w:p>
        </w:tc>
        <w:tc>
          <w:tcPr>
            <w:tcW w:w="4220" w:type="dxa"/>
            <w:vAlign w:val="bottom"/>
            <w:gridSpan w:val="18"/>
          </w:tcPr>
          <w:p>
            <w:pPr>
              <w:spacing w:after="0"/>
              <w:rPr>
                <w:rFonts w:ascii="Arial" w:cs="Arial" w:eastAsia="Arial" w:hAnsi="Arial"/>
                <w:sz w:val="18"/>
                <w:szCs w:val="18"/>
                <w:color w:val="0000EE"/>
              </w:rPr>
            </w:pPr>
            <w:hyperlink r:id="rId184">
              <w:r>
                <w:rPr>
                  <w:rFonts w:ascii="Arial" w:cs="Arial" w:eastAsia="Arial" w:hAnsi="Arial"/>
                  <w:sz w:val="18"/>
                  <w:szCs w:val="18"/>
                  <w:color w:val="0000EE"/>
                </w:rPr>
                <w:t>Eleventh Supplemental Indenture for 1.100% Notes</w:t>
              </w:r>
            </w:hyperlink>
          </w:p>
        </w:tc>
        <w:tc>
          <w:tcPr>
            <w:tcW w:w="820" w:type="dxa"/>
            <w:vAlign w:val="bottom"/>
          </w:tcPr>
          <w:p>
            <w:pPr>
              <w:spacing w:after="0"/>
              <w:rPr>
                <w:sz w:val="24"/>
                <w:szCs w:val="24"/>
                <w:color w:val="auto"/>
              </w:rPr>
            </w:pPr>
          </w:p>
        </w:tc>
        <w:tc>
          <w:tcPr>
            <w:tcW w:w="1300" w:type="dxa"/>
            <w:vAlign w:val="bottom"/>
          </w:tcPr>
          <w:p>
            <w:pPr>
              <w:ind w:left="680"/>
              <w:spacing w:after="0"/>
              <w:rPr>
                <w:sz w:val="20"/>
                <w:szCs w:val="20"/>
                <w:color w:val="auto"/>
              </w:rPr>
            </w:pPr>
            <w:r>
              <w:rPr>
                <w:rFonts w:ascii="Arial" w:cs="Arial" w:eastAsia="Arial" w:hAnsi="Arial"/>
                <w:sz w:val="18"/>
                <w:szCs w:val="18"/>
                <w:color w:val="auto"/>
              </w:rPr>
              <w:t>8-K</w:t>
            </w:r>
          </w:p>
        </w:tc>
        <w:tc>
          <w:tcPr>
            <w:tcW w:w="1100" w:type="dxa"/>
            <w:vAlign w:val="bottom"/>
          </w:tcPr>
          <w:p>
            <w:pPr>
              <w:spacing w:after="0"/>
              <w:rPr>
                <w:sz w:val="24"/>
                <w:szCs w:val="24"/>
                <w:color w:val="auto"/>
              </w:rPr>
            </w:pPr>
          </w:p>
        </w:tc>
        <w:tc>
          <w:tcPr>
            <w:tcW w:w="1440" w:type="dxa"/>
            <w:vAlign w:val="bottom"/>
          </w:tcPr>
          <w:p>
            <w:pPr>
              <w:jc w:val="right"/>
              <w:ind w:right="615"/>
              <w:spacing w:after="0"/>
              <w:rPr>
                <w:sz w:val="20"/>
                <w:szCs w:val="20"/>
                <w:color w:val="auto"/>
              </w:rPr>
            </w:pPr>
            <w:r>
              <w:rPr>
                <w:rFonts w:ascii="Arial" w:cs="Arial" w:eastAsia="Arial" w:hAnsi="Arial"/>
                <w:sz w:val="18"/>
                <w:szCs w:val="18"/>
                <w:color w:val="auto"/>
              </w:rPr>
              <w:t>4.1</w:t>
            </w:r>
          </w:p>
        </w:tc>
        <w:tc>
          <w:tcPr>
            <w:tcW w:w="1180" w:type="dxa"/>
            <w:vAlign w:val="bottom"/>
          </w:tcPr>
          <w:p>
            <w:pPr>
              <w:jc w:val="right"/>
              <w:spacing w:after="0"/>
              <w:rPr>
                <w:sz w:val="20"/>
                <w:szCs w:val="20"/>
                <w:color w:val="auto"/>
              </w:rPr>
            </w:pPr>
            <w:r>
              <w:rPr>
                <w:rFonts w:ascii="Arial" w:cs="Arial" w:eastAsia="Arial" w:hAnsi="Arial"/>
                <w:sz w:val="18"/>
                <w:szCs w:val="18"/>
                <w:color w:val="auto"/>
              </w:rPr>
              <w:t>8/5/16</w:t>
            </w: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000" w:type="dxa"/>
            <w:vAlign w:val="bottom"/>
            <w:tcBorders>
              <w:top w:val="single" w:sz="8" w:color="0000EE"/>
            </w:tcBorders>
            <w:gridSpan w:val="14"/>
          </w:tcPr>
          <w:p>
            <w:pPr>
              <w:spacing w:after="0" w:line="182" w:lineRule="exact"/>
              <w:rPr>
                <w:rFonts w:ascii="Arial" w:cs="Arial" w:eastAsia="Arial" w:hAnsi="Arial"/>
                <w:sz w:val="18"/>
                <w:szCs w:val="18"/>
                <w:color w:val="0000EE"/>
                <w:w w:val="99"/>
              </w:rPr>
            </w:pPr>
            <w:hyperlink r:id="rId184">
              <w:r>
                <w:rPr>
                  <w:rFonts w:ascii="Arial" w:cs="Arial" w:eastAsia="Arial" w:hAnsi="Arial"/>
                  <w:sz w:val="18"/>
                  <w:szCs w:val="18"/>
                  <w:color w:val="0000EE"/>
                  <w:w w:val="99"/>
                </w:rPr>
                <w:t>due 2019, 1.550% Notes due 2021, 2.000% Notes</w:t>
              </w:r>
            </w:hyperlink>
          </w:p>
        </w:tc>
        <w:tc>
          <w:tcPr>
            <w:tcW w:w="220" w:type="dxa"/>
            <w:vAlign w:val="bottom"/>
            <w:gridSpan w:val="4"/>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 w:lineRule="exact"/>
        <w:rPr>
          <w:sz w:val="20"/>
          <w:szCs w:val="20"/>
          <w:color w:val="auto"/>
        </w:rPr>
      </w:pPr>
    </w:p>
    <w:p>
      <w:pPr>
        <w:ind w:left="1120"/>
        <w:spacing w:after="0"/>
        <w:rPr>
          <w:rFonts w:ascii="Arial" w:cs="Arial" w:eastAsia="Arial" w:hAnsi="Arial"/>
          <w:sz w:val="18"/>
          <w:szCs w:val="18"/>
          <w:u w:val="single" w:color="auto"/>
          <w:color w:val="0000EE"/>
        </w:rPr>
      </w:pPr>
      <w:hyperlink r:id="rId184">
        <w:r>
          <w:rPr>
            <w:rFonts w:ascii="Arial" w:cs="Arial" w:eastAsia="Arial" w:hAnsi="Arial"/>
            <w:sz w:val="18"/>
            <w:szCs w:val="18"/>
            <w:u w:val="single" w:color="auto"/>
            <w:color w:val="0000EE"/>
          </w:rPr>
          <w:t>due 2023, 2.400% Notes due 2026, 3.450% Notes</w:t>
        </w:r>
      </w:hyperlink>
    </w:p>
    <w:p>
      <w:pPr>
        <w:ind w:left="1120"/>
        <w:spacing w:after="0" w:line="233" w:lineRule="auto"/>
        <w:rPr>
          <w:rFonts w:ascii="Arial" w:cs="Arial" w:eastAsia="Arial" w:hAnsi="Arial"/>
          <w:sz w:val="18"/>
          <w:szCs w:val="18"/>
          <w:u w:val="single" w:color="auto"/>
          <w:color w:val="0000EE"/>
        </w:rPr>
      </w:pPr>
      <w:hyperlink r:id="rId184">
        <w:r>
          <w:rPr>
            <w:rFonts w:ascii="Arial" w:cs="Arial" w:eastAsia="Arial" w:hAnsi="Arial"/>
            <w:sz w:val="18"/>
            <w:szCs w:val="18"/>
            <w:u w:val="single" w:color="auto"/>
            <w:color w:val="0000EE"/>
          </w:rPr>
          <w:t>due 2036, 3.700% Notes due 2046, and</w:t>
        </w:r>
      </w:hyperlink>
    </w:p>
    <w:p>
      <w:pPr>
        <w:ind w:left="1120"/>
        <w:spacing w:after="0" w:line="234" w:lineRule="auto"/>
        <w:rPr>
          <w:rFonts w:ascii="Arial" w:cs="Arial" w:eastAsia="Arial" w:hAnsi="Arial"/>
          <w:sz w:val="18"/>
          <w:szCs w:val="18"/>
          <w:u w:val="single" w:color="auto"/>
          <w:color w:val="0000EE"/>
        </w:rPr>
      </w:pPr>
      <w:hyperlink r:id="rId184">
        <w:r>
          <w:rPr>
            <w:rFonts w:ascii="Arial" w:cs="Arial" w:eastAsia="Arial" w:hAnsi="Arial"/>
            <w:sz w:val="18"/>
            <w:szCs w:val="18"/>
            <w:u w:val="single" w:color="auto"/>
            <w:color w:val="0000EE"/>
          </w:rPr>
          <w:t>3.950% Notes due 2056, dated as of August 8,</w:t>
        </w:r>
      </w:hyperlink>
    </w:p>
    <w:p>
      <w:pPr>
        <w:ind w:left="1120"/>
        <w:spacing w:after="0" w:line="234" w:lineRule="auto"/>
        <w:rPr>
          <w:rFonts w:ascii="Arial" w:cs="Arial" w:eastAsia="Arial" w:hAnsi="Arial"/>
          <w:sz w:val="18"/>
          <w:szCs w:val="18"/>
          <w:u w:val="single" w:color="auto"/>
          <w:color w:val="0000EE"/>
        </w:rPr>
      </w:pPr>
      <w:hyperlink r:id="rId184">
        <w:r>
          <w:rPr>
            <w:rFonts w:ascii="Arial" w:cs="Arial" w:eastAsia="Arial" w:hAnsi="Arial"/>
            <w:sz w:val="18"/>
            <w:szCs w:val="18"/>
            <w:u w:val="single" w:color="auto"/>
            <w:color w:val="0000EE"/>
          </w:rPr>
          <w:t>2016, between Microsoft Corporation and U.S.</w:t>
        </w:r>
      </w:hyperlink>
    </w:p>
    <w:p>
      <w:pPr>
        <w:ind w:left="1120"/>
        <w:spacing w:after="0" w:line="234" w:lineRule="auto"/>
        <w:rPr>
          <w:rFonts w:ascii="Arial" w:cs="Arial" w:eastAsia="Arial" w:hAnsi="Arial"/>
          <w:sz w:val="18"/>
          <w:szCs w:val="18"/>
          <w:u w:val="single" w:color="auto"/>
          <w:color w:val="0000EE"/>
        </w:rPr>
      </w:pPr>
      <w:hyperlink r:id="rId184">
        <w:r>
          <w:rPr>
            <w:rFonts w:ascii="Arial" w:cs="Arial" w:eastAsia="Arial" w:hAnsi="Arial"/>
            <w:sz w:val="18"/>
            <w:szCs w:val="18"/>
            <w:u w:val="single" w:color="auto"/>
            <w:color w:val="0000EE"/>
          </w:rPr>
          <w:t>Bank, National Association, as Trustee, to the</w:t>
        </w:r>
      </w:hyperlink>
    </w:p>
    <w:p>
      <w:pPr>
        <w:ind w:left="1120"/>
        <w:spacing w:after="0" w:line="234" w:lineRule="auto"/>
        <w:rPr>
          <w:rFonts w:ascii="Arial" w:cs="Arial" w:eastAsia="Arial" w:hAnsi="Arial"/>
          <w:sz w:val="18"/>
          <w:szCs w:val="18"/>
          <w:u w:val="single" w:color="auto"/>
          <w:color w:val="0000EE"/>
        </w:rPr>
      </w:pPr>
      <w:hyperlink r:id="rId184">
        <w:r>
          <w:rPr>
            <w:rFonts w:ascii="Arial" w:cs="Arial" w:eastAsia="Arial" w:hAnsi="Arial"/>
            <w:sz w:val="18"/>
            <w:szCs w:val="18"/>
            <w:u w:val="single" w:color="auto"/>
            <w:color w:val="0000EE"/>
          </w:rPr>
          <w:t>Indenture, dated as of May 18, 2009, between</w:t>
        </w:r>
      </w:hyperlink>
    </w:p>
    <w:p>
      <w:pPr>
        <w:ind w:left="1120"/>
        <w:spacing w:after="0" w:line="234" w:lineRule="auto"/>
        <w:rPr>
          <w:rFonts w:ascii="Arial" w:cs="Arial" w:eastAsia="Arial" w:hAnsi="Arial"/>
          <w:sz w:val="18"/>
          <w:szCs w:val="18"/>
          <w:u w:val="single" w:color="auto"/>
          <w:color w:val="0000EE"/>
        </w:rPr>
      </w:pPr>
      <w:hyperlink r:id="rId184">
        <w:r>
          <w:rPr>
            <w:rFonts w:ascii="Arial" w:cs="Arial" w:eastAsia="Arial" w:hAnsi="Arial"/>
            <w:sz w:val="18"/>
            <w:szCs w:val="18"/>
            <w:u w:val="single" w:color="auto"/>
            <w:color w:val="0000EE"/>
          </w:rPr>
          <w:t>Microsoft Corporation and The Bank of New York</w:t>
        </w:r>
      </w:hyperlink>
    </w:p>
    <w:p>
      <w:pPr>
        <w:spacing w:after="0" w:line="1" w:lineRule="exact"/>
        <w:rPr>
          <w:sz w:val="20"/>
          <w:szCs w:val="20"/>
          <w:color w:val="auto"/>
        </w:rPr>
      </w:pPr>
    </w:p>
    <w:p>
      <w:pPr>
        <w:ind w:left="1120"/>
        <w:spacing w:after="0"/>
        <w:rPr>
          <w:rFonts w:ascii="Arial" w:cs="Arial" w:eastAsia="Arial" w:hAnsi="Arial"/>
          <w:sz w:val="18"/>
          <w:szCs w:val="18"/>
          <w:u w:val="single" w:color="auto"/>
          <w:color w:val="0000EE"/>
        </w:rPr>
      </w:pPr>
      <w:hyperlink r:id="rId184">
        <w:r>
          <w:rPr>
            <w:rFonts w:ascii="Arial" w:cs="Arial" w:eastAsia="Arial" w:hAnsi="Arial"/>
            <w:sz w:val="18"/>
            <w:szCs w:val="18"/>
            <w:u w:val="single" w:color="auto"/>
            <w:color w:val="0000EE"/>
          </w:rPr>
          <w:t>Mellon Trust Company, N.A., as trustee</w:t>
        </w:r>
      </w:hyperlink>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37" w:right="399" w:bottom="1440" w:gutter="0" w:footer="0" w:header="0"/>
        </w:sectPr>
      </w:pPr>
    </w:p>
    <w:bookmarkStart w:id="104" w:name="page105"/>
    <w:bookmarkEnd w:id="104"/>
    <w:p>
      <w:pPr>
        <w:ind w:left="5360"/>
        <w:spacing w:after="0"/>
        <w:rPr>
          <w:sz w:val="20"/>
          <w:szCs w:val="20"/>
          <w:color w:val="auto"/>
        </w:rPr>
      </w:pPr>
      <w:r>
        <w:rPr>
          <w:rFonts w:ascii="Arial" w:cs="Arial" w:eastAsia="Arial" w:hAnsi="Arial"/>
          <w:sz w:val="13"/>
          <w:szCs w:val="13"/>
          <w:u w:val="single" w:color="auto"/>
          <w:color w:val="auto"/>
        </w:rPr>
        <w:t>PART IV</w:t>
      </w:r>
    </w:p>
    <w:p>
      <w:pPr>
        <w:ind w:left="5400"/>
        <w:spacing w:after="0"/>
        <w:rPr>
          <w:sz w:val="20"/>
          <w:szCs w:val="20"/>
          <w:color w:val="auto"/>
        </w:rPr>
      </w:pPr>
      <w:r>
        <w:rPr>
          <w:rFonts w:ascii="Arial" w:cs="Arial" w:eastAsia="Arial" w:hAnsi="Arial"/>
          <w:sz w:val="13"/>
          <w:szCs w:val="13"/>
          <w:color w:val="auto"/>
        </w:rPr>
        <w:t>Item 15</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20" w:type="dxa"/>
            <w:vAlign w:val="bottom"/>
            <w:vMerge w:val="restart"/>
          </w:tcPr>
          <w:p>
            <w:pPr>
              <w:spacing w:after="0"/>
              <w:rPr>
                <w:sz w:val="20"/>
                <w:szCs w:val="20"/>
                <w:color w:val="auto"/>
              </w:rPr>
            </w:pPr>
            <w:r>
              <w:rPr>
                <w:rFonts w:ascii="Arial" w:cs="Arial" w:eastAsia="Arial" w:hAnsi="Arial"/>
                <w:sz w:val="13"/>
                <w:szCs w:val="13"/>
                <w:b w:val="1"/>
                <w:bCs w:val="1"/>
                <w:color w:val="auto"/>
              </w:rPr>
              <w:t>Exhibit</w:t>
            </w: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Filed</w:t>
            </w:r>
          </w:p>
        </w:tc>
        <w:tc>
          <w:tcPr>
            <w:tcW w:w="116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2"/>
          </w:tcPr>
          <w:p>
            <w:pPr>
              <w:jc w:val="right"/>
              <w:ind w:right="392"/>
              <w:spacing w:after="0"/>
              <w:rPr>
                <w:sz w:val="20"/>
                <w:szCs w:val="20"/>
                <w:color w:val="auto"/>
              </w:rPr>
            </w:pPr>
            <w:r>
              <w:rPr>
                <w:rFonts w:ascii="Arial" w:cs="Arial" w:eastAsia="Arial" w:hAnsi="Arial"/>
                <w:sz w:val="13"/>
                <w:szCs w:val="13"/>
                <w:b w:val="1"/>
                <w:bCs w:val="1"/>
                <w:color w:val="auto"/>
              </w:rPr>
              <w:t>Incorporated by Reference</w:t>
            </w:r>
          </w:p>
        </w:tc>
        <w:tc>
          <w:tcPr>
            <w:tcW w:w="11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12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1140" w:type="dxa"/>
            <w:vAlign w:val="bottom"/>
          </w:tcPr>
          <w:p>
            <w:pPr>
              <w:jc w:val="right"/>
              <w:ind w:right="77"/>
              <w:spacing w:after="0" w:line="125" w:lineRule="exact"/>
              <w:rPr>
                <w:sz w:val="20"/>
                <w:szCs w:val="20"/>
                <w:color w:val="auto"/>
              </w:rPr>
            </w:pPr>
            <w:r>
              <w:rPr>
                <w:rFonts w:ascii="Arial" w:cs="Arial" w:eastAsia="Arial" w:hAnsi="Arial"/>
                <w:sz w:val="13"/>
                <w:szCs w:val="13"/>
                <w:b w:val="1"/>
                <w:bCs w:val="1"/>
                <w:color w:val="auto"/>
              </w:rPr>
              <w:t>Period</w:t>
            </w:r>
          </w:p>
        </w:tc>
        <w:tc>
          <w:tcPr>
            <w:tcW w:w="15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Number</w:t>
            </w:r>
          </w:p>
        </w:tc>
        <w:tc>
          <w:tcPr>
            <w:tcW w:w="4200" w:type="dxa"/>
            <w:vAlign w:val="bottom"/>
            <w:tcBorders>
              <w:bottom w:val="single" w:sz="8" w:color="auto"/>
            </w:tcBorders>
            <w:gridSpan w:val="28"/>
          </w:tcPr>
          <w:p>
            <w:pPr>
              <w:ind w:left="20"/>
              <w:spacing w:after="0"/>
              <w:rPr>
                <w:sz w:val="20"/>
                <w:szCs w:val="20"/>
                <w:color w:val="auto"/>
              </w:rPr>
            </w:pPr>
            <w:r>
              <w:rPr>
                <w:rFonts w:ascii="Arial" w:cs="Arial" w:eastAsia="Arial" w:hAnsi="Arial"/>
                <w:sz w:val="13"/>
                <w:szCs w:val="13"/>
                <w:b w:val="1"/>
                <w:bCs w:val="1"/>
                <w:color w:val="auto"/>
              </w:rPr>
              <w:t>Exhibit Description</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Herewith</w:t>
            </w:r>
          </w:p>
        </w:tc>
        <w:tc>
          <w:tcPr>
            <w:tcW w:w="1160" w:type="dxa"/>
            <w:vAlign w:val="bottom"/>
            <w:tcBorders>
              <w:bottom w:val="single" w:sz="8" w:color="auto"/>
            </w:tcBorders>
          </w:tcPr>
          <w:p>
            <w:pPr>
              <w:jc w:val="right"/>
              <w:ind w:right="132"/>
              <w:spacing w:after="0"/>
              <w:rPr>
                <w:sz w:val="20"/>
                <w:szCs w:val="20"/>
                <w:color w:val="auto"/>
              </w:rPr>
            </w:pPr>
            <w:r>
              <w:rPr>
                <w:rFonts w:ascii="Arial" w:cs="Arial" w:eastAsia="Arial" w:hAnsi="Arial"/>
                <w:sz w:val="13"/>
                <w:szCs w:val="13"/>
                <w:b w:val="1"/>
                <w:bCs w:val="1"/>
                <w:color w:val="auto"/>
              </w:rPr>
              <w:t>Form</w:t>
            </w:r>
          </w:p>
        </w:tc>
        <w:tc>
          <w:tcPr>
            <w:tcW w:w="11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Ending</w:t>
            </w:r>
          </w:p>
        </w:tc>
        <w:tc>
          <w:tcPr>
            <w:tcW w:w="1540" w:type="dxa"/>
            <w:vAlign w:val="bottom"/>
            <w:tcBorders>
              <w:bottom w:val="single" w:sz="8" w:color="auto"/>
            </w:tcBorders>
          </w:tcPr>
          <w:p>
            <w:pPr>
              <w:jc w:val="right"/>
              <w:ind w:right="612"/>
              <w:spacing w:after="0"/>
              <w:rPr>
                <w:sz w:val="20"/>
                <w:szCs w:val="20"/>
                <w:color w:val="auto"/>
              </w:rPr>
            </w:pPr>
            <w:r>
              <w:rPr>
                <w:rFonts w:ascii="Arial" w:cs="Arial" w:eastAsia="Arial" w:hAnsi="Arial"/>
                <w:sz w:val="13"/>
                <w:szCs w:val="13"/>
                <w:b w:val="1"/>
                <w:bCs w:val="1"/>
                <w:color w:val="auto"/>
              </w:rPr>
              <w:t>Exhibit</w:t>
            </w:r>
          </w:p>
        </w:tc>
        <w:tc>
          <w:tcPr>
            <w:tcW w:w="118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Filing Date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120" w:type="dxa"/>
            <w:vAlign w:val="bottom"/>
          </w:tcPr>
          <w:p>
            <w:pPr>
              <w:spacing w:after="0"/>
              <w:rPr>
                <w:sz w:val="20"/>
                <w:szCs w:val="20"/>
                <w:color w:val="auto"/>
              </w:rPr>
            </w:pPr>
            <w:r>
              <w:rPr>
                <w:rFonts w:ascii="Arial" w:cs="Arial" w:eastAsia="Arial" w:hAnsi="Arial"/>
                <w:sz w:val="18"/>
                <w:szCs w:val="18"/>
                <w:color w:val="auto"/>
              </w:rPr>
              <w:t>4.15</w:t>
            </w:r>
          </w:p>
        </w:tc>
        <w:tc>
          <w:tcPr>
            <w:tcW w:w="3880" w:type="dxa"/>
            <w:vAlign w:val="bottom"/>
            <w:tcBorders>
              <w:bottom w:val="single" w:sz="8" w:color="0000EE"/>
            </w:tcBorders>
            <w:gridSpan w:val="18"/>
          </w:tcPr>
          <w:p>
            <w:pPr>
              <w:spacing w:after="0"/>
              <w:rPr>
                <w:rFonts w:ascii="Arial" w:cs="Arial" w:eastAsia="Arial" w:hAnsi="Arial"/>
                <w:sz w:val="18"/>
                <w:szCs w:val="18"/>
                <w:color w:val="0000EE"/>
                <w:w w:val="96"/>
              </w:rPr>
            </w:pPr>
            <w:hyperlink r:id="rId186">
              <w:r>
                <w:rPr>
                  <w:rFonts w:ascii="Arial" w:cs="Arial" w:eastAsia="Arial" w:hAnsi="Arial"/>
                  <w:sz w:val="18"/>
                  <w:szCs w:val="18"/>
                  <w:color w:val="0000EE"/>
                  <w:w w:val="96"/>
                </w:rPr>
                <w:t>Twelfth Supplemental Indenture for 1.850% Notes</w:t>
              </w:r>
            </w:hyperlink>
          </w:p>
        </w:tc>
        <w:tc>
          <w:tcPr>
            <w:tcW w:w="320" w:type="dxa"/>
            <w:vAlign w:val="bottom"/>
            <w:gridSpan w:val="10"/>
          </w:tcPr>
          <w:p>
            <w:pPr>
              <w:spacing w:after="0"/>
              <w:rPr>
                <w:sz w:val="23"/>
                <w:szCs w:val="23"/>
                <w:color w:val="auto"/>
              </w:rPr>
            </w:pPr>
          </w:p>
        </w:tc>
        <w:tc>
          <w:tcPr>
            <w:tcW w:w="840" w:type="dxa"/>
            <w:vAlign w:val="bottom"/>
          </w:tcPr>
          <w:p>
            <w:pPr>
              <w:spacing w:after="0"/>
              <w:rPr>
                <w:sz w:val="23"/>
                <w:szCs w:val="23"/>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8-K</w:t>
            </w:r>
          </w:p>
        </w:tc>
        <w:tc>
          <w:tcPr>
            <w:tcW w:w="1140" w:type="dxa"/>
            <w:vAlign w:val="bottom"/>
          </w:tcPr>
          <w:p>
            <w:pPr>
              <w:spacing w:after="0"/>
              <w:rPr>
                <w:sz w:val="23"/>
                <w:szCs w:val="23"/>
                <w:color w:val="auto"/>
              </w:rPr>
            </w:pPr>
          </w:p>
        </w:tc>
        <w:tc>
          <w:tcPr>
            <w:tcW w:w="1540" w:type="dxa"/>
            <w:vAlign w:val="bottom"/>
          </w:tcPr>
          <w:p>
            <w:pPr>
              <w:jc w:val="right"/>
              <w:ind w:right="612"/>
              <w:spacing w:after="0"/>
              <w:rPr>
                <w:sz w:val="20"/>
                <w:szCs w:val="20"/>
                <w:color w:val="auto"/>
              </w:rPr>
            </w:pPr>
            <w:r>
              <w:rPr>
                <w:rFonts w:ascii="Arial" w:cs="Arial" w:eastAsia="Arial" w:hAnsi="Arial"/>
                <w:sz w:val="18"/>
                <w:szCs w:val="18"/>
                <w:color w:val="auto"/>
              </w:rPr>
              <w:t>4.1</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2/3/17</w:t>
            </w: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940" w:type="dxa"/>
            <w:vAlign w:val="bottom"/>
            <w:tcBorders>
              <w:bottom w:val="single" w:sz="8" w:color="0000EE"/>
            </w:tcBorders>
            <w:gridSpan w:val="20"/>
          </w:tcPr>
          <w:p>
            <w:pPr>
              <w:spacing w:after="0" w:line="182" w:lineRule="exact"/>
              <w:rPr>
                <w:rFonts w:ascii="Arial" w:cs="Arial" w:eastAsia="Arial" w:hAnsi="Arial"/>
                <w:sz w:val="18"/>
                <w:szCs w:val="18"/>
                <w:color w:val="0000EE"/>
                <w:w w:val="97"/>
              </w:rPr>
            </w:pPr>
            <w:hyperlink r:id="rId186">
              <w:r>
                <w:rPr>
                  <w:rFonts w:ascii="Arial" w:cs="Arial" w:eastAsia="Arial" w:hAnsi="Arial"/>
                  <w:sz w:val="18"/>
                  <w:szCs w:val="18"/>
                  <w:color w:val="0000EE"/>
                  <w:w w:val="97"/>
                </w:rPr>
                <w:t>due 2020, 2.400% Notes due 2022, 2.875% Notes</w:t>
              </w:r>
            </w:hyperlink>
          </w:p>
        </w:tc>
        <w:tc>
          <w:tcPr>
            <w:tcW w:w="260" w:type="dxa"/>
            <w:vAlign w:val="bottom"/>
            <w:gridSpan w:val="8"/>
          </w:tcPr>
          <w:p>
            <w:pPr>
              <w:spacing w:after="0"/>
              <w:rPr>
                <w:sz w:val="15"/>
                <w:szCs w:val="15"/>
                <w:color w:val="auto"/>
              </w:rPr>
            </w:pPr>
          </w:p>
        </w:tc>
        <w:tc>
          <w:tcPr>
            <w:tcW w:w="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940" w:type="dxa"/>
            <w:vAlign w:val="bottom"/>
            <w:tcBorders>
              <w:bottom w:val="single" w:sz="8" w:color="0000EE"/>
            </w:tcBorders>
            <w:gridSpan w:val="20"/>
          </w:tcPr>
          <w:p>
            <w:pPr>
              <w:spacing w:after="0" w:line="182" w:lineRule="exact"/>
              <w:rPr>
                <w:rFonts w:ascii="Arial" w:cs="Arial" w:eastAsia="Arial" w:hAnsi="Arial"/>
                <w:sz w:val="18"/>
                <w:szCs w:val="18"/>
                <w:color w:val="0000EE"/>
                <w:w w:val="97"/>
              </w:rPr>
            </w:pPr>
            <w:hyperlink r:id="rId186">
              <w:r>
                <w:rPr>
                  <w:rFonts w:ascii="Arial" w:cs="Arial" w:eastAsia="Arial" w:hAnsi="Arial"/>
                  <w:sz w:val="18"/>
                  <w:szCs w:val="18"/>
                  <w:color w:val="0000EE"/>
                  <w:w w:val="97"/>
                </w:rPr>
                <w:t>due 2024, 3.300% Notes due 2027, 4.100% Notes</w:t>
              </w:r>
            </w:hyperlink>
          </w:p>
        </w:tc>
        <w:tc>
          <w:tcPr>
            <w:tcW w:w="260" w:type="dxa"/>
            <w:vAlign w:val="bottom"/>
            <w:gridSpan w:val="8"/>
          </w:tcPr>
          <w:p>
            <w:pPr>
              <w:spacing w:after="0"/>
              <w:rPr>
                <w:sz w:val="15"/>
                <w:szCs w:val="15"/>
                <w:color w:val="auto"/>
              </w:rPr>
            </w:pPr>
          </w:p>
        </w:tc>
        <w:tc>
          <w:tcPr>
            <w:tcW w:w="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760" w:type="dxa"/>
            <w:vAlign w:val="bottom"/>
            <w:tcBorders>
              <w:bottom w:val="single" w:sz="8" w:color="0000EE"/>
            </w:tcBorders>
            <w:gridSpan w:val="15"/>
          </w:tcPr>
          <w:p>
            <w:pPr>
              <w:spacing w:after="0" w:line="182" w:lineRule="exact"/>
              <w:rPr>
                <w:rFonts w:ascii="Arial" w:cs="Arial" w:eastAsia="Arial" w:hAnsi="Arial"/>
                <w:sz w:val="18"/>
                <w:szCs w:val="18"/>
                <w:color w:val="0000EE"/>
                <w:w w:val="97"/>
              </w:rPr>
            </w:pPr>
            <w:hyperlink r:id="rId186">
              <w:r>
                <w:rPr>
                  <w:rFonts w:ascii="Arial" w:cs="Arial" w:eastAsia="Arial" w:hAnsi="Arial"/>
                  <w:sz w:val="18"/>
                  <w:szCs w:val="18"/>
                  <w:color w:val="0000EE"/>
                  <w:w w:val="97"/>
                </w:rPr>
                <w:t>due 2037, 4.250% Notes due 2047, and 4.500%</w:t>
              </w:r>
            </w:hyperlink>
          </w:p>
        </w:tc>
        <w:tc>
          <w:tcPr>
            <w:tcW w:w="440" w:type="dxa"/>
            <w:vAlign w:val="bottom"/>
            <w:gridSpan w:val="13"/>
          </w:tcPr>
          <w:p>
            <w:pPr>
              <w:spacing w:after="0"/>
              <w:rPr>
                <w:sz w:val="15"/>
                <w:szCs w:val="15"/>
                <w:color w:val="auto"/>
              </w:rPr>
            </w:pPr>
          </w:p>
        </w:tc>
        <w:tc>
          <w:tcPr>
            <w:tcW w:w="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660" w:type="dxa"/>
            <w:vAlign w:val="bottom"/>
            <w:tcBorders>
              <w:bottom w:val="single" w:sz="8" w:color="0000EE"/>
            </w:tcBorders>
            <w:gridSpan w:val="10"/>
          </w:tcPr>
          <w:p>
            <w:pPr>
              <w:spacing w:after="0" w:line="182" w:lineRule="exact"/>
              <w:rPr>
                <w:rFonts w:ascii="Arial" w:cs="Arial" w:eastAsia="Arial" w:hAnsi="Arial"/>
                <w:sz w:val="18"/>
                <w:szCs w:val="18"/>
                <w:color w:val="0000EE"/>
                <w:w w:val="97"/>
              </w:rPr>
            </w:pPr>
            <w:hyperlink r:id="rId186">
              <w:r>
                <w:rPr>
                  <w:rFonts w:ascii="Arial" w:cs="Arial" w:eastAsia="Arial" w:hAnsi="Arial"/>
                  <w:sz w:val="18"/>
                  <w:szCs w:val="18"/>
                  <w:color w:val="0000EE"/>
                  <w:w w:val="97"/>
                </w:rPr>
                <w:t>Notes due 2057, dated as of February 6, 2017,</w:t>
              </w:r>
            </w:hyperlink>
          </w:p>
        </w:tc>
        <w:tc>
          <w:tcPr>
            <w:tcW w:w="540" w:type="dxa"/>
            <w:vAlign w:val="bottom"/>
            <w:gridSpan w:val="18"/>
          </w:tcPr>
          <w:p>
            <w:pPr>
              <w:spacing w:after="0"/>
              <w:rPr>
                <w:sz w:val="15"/>
                <w:szCs w:val="15"/>
                <w:color w:val="auto"/>
              </w:rPr>
            </w:pPr>
          </w:p>
        </w:tc>
        <w:tc>
          <w:tcPr>
            <w:tcW w:w="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740" w:type="dxa"/>
            <w:vAlign w:val="bottom"/>
            <w:tcBorders>
              <w:bottom w:val="single" w:sz="8" w:color="0000EE"/>
            </w:tcBorders>
            <w:gridSpan w:val="14"/>
          </w:tcPr>
          <w:p>
            <w:pPr>
              <w:spacing w:after="0" w:line="182" w:lineRule="exact"/>
              <w:rPr>
                <w:rFonts w:ascii="Arial" w:cs="Arial" w:eastAsia="Arial" w:hAnsi="Arial"/>
                <w:sz w:val="18"/>
                <w:szCs w:val="18"/>
                <w:color w:val="0000EE"/>
                <w:w w:val="97"/>
              </w:rPr>
            </w:pPr>
            <w:hyperlink r:id="rId186">
              <w:r>
                <w:rPr>
                  <w:rFonts w:ascii="Arial" w:cs="Arial" w:eastAsia="Arial" w:hAnsi="Arial"/>
                  <w:sz w:val="18"/>
                  <w:szCs w:val="18"/>
                  <w:color w:val="0000EE"/>
                  <w:w w:val="97"/>
                </w:rPr>
                <w:t>between Microsoft Corporation and The Bank of</w:t>
              </w:r>
            </w:hyperlink>
          </w:p>
        </w:tc>
        <w:tc>
          <w:tcPr>
            <w:tcW w:w="460" w:type="dxa"/>
            <w:vAlign w:val="bottom"/>
            <w:gridSpan w:val="14"/>
          </w:tcPr>
          <w:p>
            <w:pPr>
              <w:spacing w:after="0"/>
              <w:rPr>
                <w:sz w:val="15"/>
                <w:szCs w:val="15"/>
                <w:color w:val="auto"/>
              </w:rPr>
            </w:pPr>
          </w:p>
        </w:tc>
        <w:tc>
          <w:tcPr>
            <w:tcW w:w="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980" w:type="dxa"/>
            <w:vAlign w:val="bottom"/>
            <w:tcBorders>
              <w:bottom w:val="single" w:sz="8" w:color="0000EE"/>
            </w:tcBorders>
            <w:gridSpan w:val="22"/>
          </w:tcPr>
          <w:p>
            <w:pPr>
              <w:spacing w:after="0" w:line="182" w:lineRule="exact"/>
              <w:rPr>
                <w:rFonts w:ascii="Arial" w:cs="Arial" w:eastAsia="Arial" w:hAnsi="Arial"/>
                <w:sz w:val="18"/>
                <w:szCs w:val="18"/>
                <w:color w:val="0000EE"/>
                <w:w w:val="96"/>
              </w:rPr>
            </w:pPr>
            <w:hyperlink r:id="rId186">
              <w:r>
                <w:rPr>
                  <w:rFonts w:ascii="Arial" w:cs="Arial" w:eastAsia="Arial" w:hAnsi="Arial"/>
                  <w:sz w:val="18"/>
                  <w:szCs w:val="18"/>
                  <w:color w:val="0000EE"/>
                  <w:w w:val="96"/>
                </w:rPr>
                <w:t>New York Mellon Trust Company, N.A., as Trustee,</w:t>
              </w:r>
            </w:hyperlink>
          </w:p>
        </w:tc>
        <w:tc>
          <w:tcPr>
            <w:tcW w:w="220" w:type="dxa"/>
            <w:vAlign w:val="bottom"/>
            <w:gridSpan w:val="6"/>
          </w:tcPr>
          <w:p>
            <w:pPr>
              <w:spacing w:after="0"/>
              <w:rPr>
                <w:sz w:val="15"/>
                <w:szCs w:val="15"/>
                <w:color w:val="auto"/>
              </w:rPr>
            </w:pPr>
          </w:p>
        </w:tc>
        <w:tc>
          <w:tcPr>
            <w:tcW w:w="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080" w:type="dxa"/>
            <w:vAlign w:val="bottom"/>
            <w:tcBorders>
              <w:bottom w:val="single" w:sz="8" w:color="0000EE"/>
            </w:tcBorders>
            <w:gridSpan w:val="27"/>
          </w:tcPr>
          <w:p>
            <w:pPr>
              <w:spacing w:after="0" w:line="182" w:lineRule="exact"/>
              <w:rPr>
                <w:rFonts w:ascii="Arial" w:cs="Arial" w:eastAsia="Arial" w:hAnsi="Arial"/>
                <w:sz w:val="18"/>
                <w:szCs w:val="18"/>
                <w:color w:val="0000EE"/>
                <w:w w:val="97"/>
              </w:rPr>
            </w:pPr>
            <w:hyperlink r:id="rId186">
              <w:r>
                <w:rPr>
                  <w:rFonts w:ascii="Arial" w:cs="Arial" w:eastAsia="Arial" w:hAnsi="Arial"/>
                  <w:sz w:val="18"/>
                  <w:szCs w:val="18"/>
                  <w:color w:val="0000EE"/>
                  <w:w w:val="97"/>
                </w:rPr>
                <w:t>to the Indenture, dated as of May 18, 2009, between</w:t>
              </w:r>
            </w:hyperlink>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820" w:type="dxa"/>
            <w:vAlign w:val="bottom"/>
            <w:tcBorders>
              <w:bottom w:val="single" w:sz="8" w:color="0000EE"/>
            </w:tcBorders>
            <w:gridSpan w:val="16"/>
          </w:tcPr>
          <w:p>
            <w:pPr>
              <w:spacing w:after="0" w:line="182" w:lineRule="exact"/>
              <w:rPr>
                <w:rFonts w:ascii="Arial" w:cs="Arial" w:eastAsia="Arial" w:hAnsi="Arial"/>
                <w:sz w:val="18"/>
                <w:szCs w:val="18"/>
                <w:color w:val="0000EE"/>
                <w:w w:val="96"/>
              </w:rPr>
            </w:pPr>
            <w:hyperlink r:id="rId186">
              <w:r>
                <w:rPr>
                  <w:rFonts w:ascii="Arial" w:cs="Arial" w:eastAsia="Arial" w:hAnsi="Arial"/>
                  <w:sz w:val="18"/>
                  <w:szCs w:val="18"/>
                  <w:color w:val="0000EE"/>
                  <w:w w:val="96"/>
                </w:rPr>
                <w:t>Microsoft Corporation and The Bank of New York</w:t>
              </w:r>
            </w:hyperlink>
          </w:p>
        </w:tc>
        <w:tc>
          <w:tcPr>
            <w:tcW w:w="380" w:type="dxa"/>
            <w:vAlign w:val="bottom"/>
            <w:gridSpan w:val="12"/>
          </w:tcPr>
          <w:p>
            <w:pPr>
              <w:spacing w:after="0"/>
              <w:rPr>
                <w:sz w:val="15"/>
                <w:szCs w:val="15"/>
                <w:color w:val="auto"/>
              </w:rPr>
            </w:pPr>
          </w:p>
        </w:tc>
        <w:tc>
          <w:tcPr>
            <w:tcW w:w="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060" w:type="dxa"/>
            <w:vAlign w:val="bottom"/>
            <w:tcBorders>
              <w:bottom w:val="single" w:sz="8" w:color="0000EE"/>
            </w:tcBorders>
            <w:gridSpan w:val="6"/>
          </w:tcPr>
          <w:p>
            <w:pPr>
              <w:spacing w:after="0" w:line="182" w:lineRule="exact"/>
              <w:rPr>
                <w:rFonts w:ascii="Arial" w:cs="Arial" w:eastAsia="Arial" w:hAnsi="Arial"/>
                <w:sz w:val="18"/>
                <w:szCs w:val="18"/>
                <w:color w:val="0000EE"/>
                <w:w w:val="96"/>
              </w:rPr>
            </w:pPr>
            <w:hyperlink r:id="rId186">
              <w:r>
                <w:rPr>
                  <w:rFonts w:ascii="Arial" w:cs="Arial" w:eastAsia="Arial" w:hAnsi="Arial"/>
                  <w:sz w:val="18"/>
                  <w:szCs w:val="18"/>
                  <w:color w:val="0000EE"/>
                  <w:w w:val="96"/>
                </w:rPr>
                <w:t>Mellon Trust Company, N.A., as trustee</w:t>
              </w:r>
            </w:hyperlink>
          </w:p>
        </w:tc>
        <w:tc>
          <w:tcPr>
            <w:tcW w:w="1140" w:type="dxa"/>
            <w:vAlign w:val="bottom"/>
            <w:gridSpan w:val="22"/>
          </w:tcPr>
          <w:p>
            <w:pPr>
              <w:spacing w:after="0"/>
              <w:rPr>
                <w:sz w:val="15"/>
                <w:szCs w:val="15"/>
                <w:color w:val="auto"/>
              </w:rPr>
            </w:pPr>
          </w:p>
        </w:tc>
        <w:tc>
          <w:tcPr>
            <w:tcW w:w="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1120" w:type="dxa"/>
            <w:vAlign w:val="bottom"/>
          </w:tcPr>
          <w:p>
            <w:pPr>
              <w:spacing w:after="0"/>
              <w:rPr>
                <w:sz w:val="20"/>
                <w:szCs w:val="20"/>
                <w:color w:val="auto"/>
              </w:rPr>
            </w:pPr>
            <w:r>
              <w:rPr>
                <w:rFonts w:ascii="Arial" w:cs="Arial" w:eastAsia="Arial" w:hAnsi="Arial"/>
                <w:sz w:val="18"/>
                <w:szCs w:val="18"/>
                <w:color w:val="auto"/>
              </w:rPr>
              <w:t>4.16</w:t>
            </w:r>
          </w:p>
        </w:tc>
        <w:tc>
          <w:tcPr>
            <w:tcW w:w="4200" w:type="dxa"/>
            <w:vAlign w:val="bottom"/>
            <w:gridSpan w:val="28"/>
          </w:tcPr>
          <w:p>
            <w:pPr>
              <w:spacing w:after="0"/>
              <w:rPr>
                <w:rFonts w:ascii="Arial" w:cs="Arial" w:eastAsia="Arial" w:hAnsi="Arial"/>
                <w:sz w:val="18"/>
                <w:szCs w:val="18"/>
                <w:color w:val="0000EE"/>
              </w:rPr>
            </w:pPr>
            <w:hyperlink r:id="rId187">
              <w:r>
                <w:rPr>
                  <w:rFonts w:ascii="Arial" w:cs="Arial" w:eastAsia="Arial" w:hAnsi="Arial"/>
                  <w:sz w:val="18"/>
                  <w:szCs w:val="18"/>
                  <w:color w:val="0000EE"/>
                </w:rPr>
                <w:t>Thirteenth Supplemental Indenture for 2.525%</w:t>
              </w:r>
            </w:hyperlink>
          </w:p>
        </w:tc>
        <w:tc>
          <w:tcPr>
            <w:tcW w:w="84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8-K</w:t>
            </w:r>
          </w:p>
        </w:tc>
        <w:tc>
          <w:tcPr>
            <w:tcW w:w="1140" w:type="dxa"/>
            <w:vAlign w:val="bottom"/>
          </w:tcPr>
          <w:p>
            <w:pPr>
              <w:spacing w:after="0"/>
              <w:rPr>
                <w:sz w:val="24"/>
                <w:szCs w:val="24"/>
                <w:color w:val="auto"/>
              </w:rPr>
            </w:pPr>
          </w:p>
        </w:tc>
        <w:tc>
          <w:tcPr>
            <w:tcW w:w="1540" w:type="dxa"/>
            <w:vAlign w:val="bottom"/>
          </w:tcPr>
          <w:p>
            <w:pPr>
              <w:jc w:val="right"/>
              <w:ind w:right="612"/>
              <w:spacing w:after="0"/>
              <w:rPr>
                <w:sz w:val="20"/>
                <w:szCs w:val="20"/>
                <w:color w:val="auto"/>
              </w:rPr>
            </w:pPr>
            <w:r>
              <w:rPr>
                <w:rFonts w:ascii="Arial" w:cs="Arial" w:eastAsia="Arial" w:hAnsi="Arial"/>
                <w:sz w:val="18"/>
                <w:szCs w:val="18"/>
                <w:color w:val="auto"/>
              </w:rPr>
              <w:t>4.1</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6/1/20</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20" w:type="dxa"/>
            <w:vAlign w:val="bottom"/>
          </w:tcPr>
          <w:p>
            <w:pPr>
              <w:spacing w:after="0"/>
              <w:rPr>
                <w:sz w:val="15"/>
                <w:szCs w:val="15"/>
                <w:color w:val="auto"/>
              </w:rPr>
            </w:pPr>
          </w:p>
        </w:tc>
        <w:tc>
          <w:tcPr>
            <w:tcW w:w="4060" w:type="dxa"/>
            <w:vAlign w:val="bottom"/>
            <w:tcBorders>
              <w:bottom w:val="single" w:sz="8" w:color="0000EE"/>
            </w:tcBorders>
            <w:gridSpan w:val="26"/>
          </w:tcPr>
          <w:p>
            <w:pPr>
              <w:spacing w:after="0" w:line="182" w:lineRule="exact"/>
              <w:rPr>
                <w:rFonts w:ascii="Arial" w:cs="Arial" w:eastAsia="Arial" w:hAnsi="Arial"/>
                <w:sz w:val="18"/>
                <w:szCs w:val="18"/>
                <w:color w:val="0000EE"/>
                <w:w w:val="97"/>
              </w:rPr>
            </w:pPr>
            <w:hyperlink r:id="rId187">
              <w:r>
                <w:rPr>
                  <w:rFonts w:ascii="Arial" w:cs="Arial" w:eastAsia="Arial" w:hAnsi="Arial"/>
                  <w:sz w:val="18"/>
                  <w:szCs w:val="18"/>
                  <w:color w:val="0000EE"/>
                  <w:w w:val="97"/>
                </w:rPr>
                <w:t>Notes due 2050 and 2.675% Notes due 2060, dated</w:t>
              </w:r>
            </w:hyperlink>
          </w:p>
        </w:tc>
        <w:tc>
          <w:tcPr>
            <w:tcW w:w="140" w:type="dxa"/>
            <w:vAlign w:val="bottom"/>
            <w:gridSpan w:val="2"/>
          </w:tcPr>
          <w:p>
            <w:pPr>
              <w:spacing w:after="0"/>
              <w:rPr>
                <w:sz w:val="15"/>
                <w:szCs w:val="15"/>
                <w:color w:val="auto"/>
              </w:rPr>
            </w:pPr>
          </w:p>
        </w:tc>
        <w:tc>
          <w:tcPr>
            <w:tcW w:w="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960" w:type="dxa"/>
            <w:vAlign w:val="bottom"/>
            <w:tcBorders>
              <w:bottom w:val="single" w:sz="8" w:color="0000EE"/>
            </w:tcBorders>
            <w:gridSpan w:val="21"/>
          </w:tcPr>
          <w:p>
            <w:pPr>
              <w:spacing w:after="0" w:line="182" w:lineRule="exact"/>
              <w:rPr>
                <w:rFonts w:ascii="Arial" w:cs="Arial" w:eastAsia="Arial" w:hAnsi="Arial"/>
                <w:sz w:val="18"/>
                <w:szCs w:val="18"/>
                <w:color w:val="0000EE"/>
                <w:w w:val="97"/>
              </w:rPr>
            </w:pPr>
            <w:hyperlink r:id="rId187">
              <w:r>
                <w:rPr>
                  <w:rFonts w:ascii="Arial" w:cs="Arial" w:eastAsia="Arial" w:hAnsi="Arial"/>
                  <w:sz w:val="18"/>
                  <w:szCs w:val="18"/>
                  <w:color w:val="0000EE"/>
                  <w:w w:val="97"/>
                </w:rPr>
                <w:t>as of June 1, 2020, between Microsoft Corporation</w:t>
              </w:r>
            </w:hyperlink>
          </w:p>
        </w:tc>
        <w:tc>
          <w:tcPr>
            <w:tcW w:w="240" w:type="dxa"/>
            <w:vAlign w:val="bottom"/>
            <w:gridSpan w:val="7"/>
          </w:tcPr>
          <w:p>
            <w:pPr>
              <w:spacing w:after="0"/>
              <w:rPr>
                <w:sz w:val="15"/>
                <w:szCs w:val="15"/>
                <w:color w:val="auto"/>
              </w:rPr>
            </w:pPr>
          </w:p>
        </w:tc>
        <w:tc>
          <w:tcPr>
            <w:tcW w:w="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940" w:type="dxa"/>
            <w:vAlign w:val="bottom"/>
            <w:tcBorders>
              <w:bottom w:val="single" w:sz="8" w:color="0000EE"/>
            </w:tcBorders>
            <w:gridSpan w:val="20"/>
          </w:tcPr>
          <w:p>
            <w:pPr>
              <w:spacing w:after="0" w:line="182" w:lineRule="exact"/>
              <w:rPr>
                <w:rFonts w:ascii="Arial" w:cs="Arial" w:eastAsia="Arial" w:hAnsi="Arial"/>
                <w:sz w:val="18"/>
                <w:szCs w:val="18"/>
                <w:color w:val="0000EE"/>
                <w:w w:val="96"/>
              </w:rPr>
            </w:pPr>
            <w:hyperlink r:id="rId187">
              <w:r>
                <w:rPr>
                  <w:rFonts w:ascii="Arial" w:cs="Arial" w:eastAsia="Arial" w:hAnsi="Arial"/>
                  <w:sz w:val="18"/>
                  <w:szCs w:val="18"/>
                  <w:color w:val="0000EE"/>
                  <w:w w:val="96"/>
                </w:rPr>
                <w:t>and U.S. Bank National Association, as Trustee, to</w:t>
              </w:r>
            </w:hyperlink>
          </w:p>
        </w:tc>
        <w:tc>
          <w:tcPr>
            <w:tcW w:w="260" w:type="dxa"/>
            <w:vAlign w:val="bottom"/>
            <w:gridSpan w:val="8"/>
          </w:tcPr>
          <w:p>
            <w:pPr>
              <w:spacing w:after="0"/>
              <w:rPr>
                <w:sz w:val="15"/>
                <w:szCs w:val="15"/>
                <w:color w:val="auto"/>
              </w:rPr>
            </w:pPr>
          </w:p>
        </w:tc>
        <w:tc>
          <w:tcPr>
            <w:tcW w:w="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880" w:type="dxa"/>
            <w:vAlign w:val="bottom"/>
            <w:tcBorders>
              <w:bottom w:val="single" w:sz="8" w:color="0000EE"/>
            </w:tcBorders>
            <w:gridSpan w:val="18"/>
          </w:tcPr>
          <w:p>
            <w:pPr>
              <w:spacing w:after="0" w:line="182" w:lineRule="exact"/>
              <w:rPr>
                <w:rFonts w:ascii="Arial" w:cs="Arial" w:eastAsia="Arial" w:hAnsi="Arial"/>
                <w:sz w:val="18"/>
                <w:szCs w:val="18"/>
                <w:color w:val="0000EE"/>
                <w:w w:val="97"/>
              </w:rPr>
            </w:pPr>
            <w:hyperlink r:id="rId187">
              <w:r>
                <w:rPr>
                  <w:rFonts w:ascii="Arial" w:cs="Arial" w:eastAsia="Arial" w:hAnsi="Arial"/>
                  <w:sz w:val="18"/>
                  <w:szCs w:val="18"/>
                  <w:color w:val="0000EE"/>
                  <w:w w:val="97"/>
                </w:rPr>
                <w:t>the Indenture, dated as of May 18, 2009, between</w:t>
              </w:r>
            </w:hyperlink>
          </w:p>
        </w:tc>
        <w:tc>
          <w:tcPr>
            <w:tcW w:w="320" w:type="dxa"/>
            <w:vAlign w:val="bottom"/>
            <w:gridSpan w:val="10"/>
          </w:tcPr>
          <w:p>
            <w:pPr>
              <w:spacing w:after="0"/>
              <w:rPr>
                <w:sz w:val="15"/>
                <w:szCs w:val="15"/>
                <w:color w:val="auto"/>
              </w:rPr>
            </w:pPr>
          </w:p>
        </w:tc>
        <w:tc>
          <w:tcPr>
            <w:tcW w:w="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820" w:type="dxa"/>
            <w:vAlign w:val="bottom"/>
            <w:tcBorders>
              <w:bottom w:val="single" w:sz="8" w:color="0000EE"/>
            </w:tcBorders>
            <w:gridSpan w:val="16"/>
          </w:tcPr>
          <w:p>
            <w:pPr>
              <w:spacing w:after="0" w:line="182" w:lineRule="exact"/>
              <w:rPr>
                <w:rFonts w:ascii="Arial" w:cs="Arial" w:eastAsia="Arial" w:hAnsi="Arial"/>
                <w:sz w:val="18"/>
                <w:szCs w:val="18"/>
                <w:color w:val="0000EE"/>
                <w:w w:val="96"/>
              </w:rPr>
            </w:pPr>
            <w:hyperlink r:id="rId187">
              <w:r>
                <w:rPr>
                  <w:rFonts w:ascii="Arial" w:cs="Arial" w:eastAsia="Arial" w:hAnsi="Arial"/>
                  <w:sz w:val="18"/>
                  <w:szCs w:val="18"/>
                  <w:color w:val="0000EE"/>
                  <w:w w:val="96"/>
                </w:rPr>
                <w:t>Microsoft Corporation and The Bank of New York</w:t>
              </w:r>
            </w:hyperlink>
          </w:p>
        </w:tc>
        <w:tc>
          <w:tcPr>
            <w:tcW w:w="380" w:type="dxa"/>
            <w:vAlign w:val="bottom"/>
            <w:gridSpan w:val="12"/>
          </w:tcPr>
          <w:p>
            <w:pPr>
              <w:spacing w:after="0"/>
              <w:rPr>
                <w:sz w:val="15"/>
                <w:szCs w:val="15"/>
                <w:color w:val="auto"/>
              </w:rPr>
            </w:pPr>
          </w:p>
        </w:tc>
        <w:tc>
          <w:tcPr>
            <w:tcW w:w="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060" w:type="dxa"/>
            <w:vAlign w:val="bottom"/>
            <w:tcBorders>
              <w:bottom w:val="single" w:sz="8" w:color="0000EE"/>
            </w:tcBorders>
            <w:gridSpan w:val="6"/>
          </w:tcPr>
          <w:p>
            <w:pPr>
              <w:spacing w:after="0" w:line="182" w:lineRule="exact"/>
              <w:rPr>
                <w:rFonts w:ascii="Arial" w:cs="Arial" w:eastAsia="Arial" w:hAnsi="Arial"/>
                <w:sz w:val="18"/>
                <w:szCs w:val="18"/>
                <w:color w:val="0000EE"/>
                <w:w w:val="96"/>
              </w:rPr>
            </w:pPr>
            <w:hyperlink r:id="rId187">
              <w:r>
                <w:rPr>
                  <w:rFonts w:ascii="Arial" w:cs="Arial" w:eastAsia="Arial" w:hAnsi="Arial"/>
                  <w:sz w:val="18"/>
                  <w:szCs w:val="18"/>
                  <w:color w:val="0000EE"/>
                  <w:w w:val="96"/>
                </w:rPr>
                <w:t>Mellon Trust Company, N.A., as trustee</w:t>
              </w:r>
            </w:hyperlink>
          </w:p>
        </w:tc>
        <w:tc>
          <w:tcPr>
            <w:tcW w:w="1140" w:type="dxa"/>
            <w:vAlign w:val="bottom"/>
            <w:gridSpan w:val="22"/>
          </w:tcPr>
          <w:p>
            <w:pPr>
              <w:spacing w:after="0"/>
              <w:rPr>
                <w:sz w:val="15"/>
                <w:szCs w:val="15"/>
                <w:color w:val="auto"/>
              </w:rPr>
            </w:pPr>
          </w:p>
        </w:tc>
        <w:tc>
          <w:tcPr>
            <w:tcW w:w="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1120" w:type="dxa"/>
            <w:vAlign w:val="bottom"/>
          </w:tcPr>
          <w:p>
            <w:pPr>
              <w:spacing w:after="0"/>
              <w:rPr>
                <w:sz w:val="20"/>
                <w:szCs w:val="20"/>
                <w:color w:val="auto"/>
              </w:rPr>
            </w:pPr>
            <w:r>
              <w:rPr>
                <w:rFonts w:ascii="Arial" w:cs="Arial" w:eastAsia="Arial" w:hAnsi="Arial"/>
                <w:sz w:val="18"/>
                <w:szCs w:val="18"/>
                <w:color w:val="auto"/>
              </w:rPr>
              <w:t>4.17</w:t>
            </w:r>
          </w:p>
        </w:tc>
        <w:tc>
          <w:tcPr>
            <w:tcW w:w="3760" w:type="dxa"/>
            <w:vAlign w:val="bottom"/>
            <w:tcBorders>
              <w:bottom w:val="single" w:sz="8" w:color="0000EE"/>
            </w:tcBorders>
            <w:gridSpan w:val="15"/>
          </w:tcPr>
          <w:p>
            <w:pPr>
              <w:spacing w:after="0"/>
              <w:rPr>
                <w:rFonts w:ascii="Arial" w:cs="Arial" w:eastAsia="Arial" w:hAnsi="Arial"/>
                <w:sz w:val="18"/>
                <w:szCs w:val="18"/>
                <w:color w:val="0000EE"/>
                <w:w w:val="99"/>
              </w:rPr>
            </w:pPr>
            <w:hyperlink r:id="rId188">
              <w:r>
                <w:rPr>
                  <w:rFonts w:ascii="Arial" w:cs="Arial" w:eastAsia="Arial" w:hAnsi="Arial"/>
                  <w:sz w:val="18"/>
                  <w:szCs w:val="18"/>
                  <w:color w:val="0000EE"/>
                  <w:w w:val="99"/>
                </w:rPr>
                <w:t>Fourteenth Supplemental Indenture for 2.921%</w:t>
              </w:r>
            </w:hyperlink>
          </w:p>
        </w:tc>
        <w:tc>
          <w:tcPr>
            <w:tcW w:w="440" w:type="dxa"/>
            <w:vAlign w:val="bottom"/>
            <w:gridSpan w:val="13"/>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8-K</w:t>
            </w:r>
          </w:p>
        </w:tc>
        <w:tc>
          <w:tcPr>
            <w:tcW w:w="1140" w:type="dxa"/>
            <w:vAlign w:val="bottom"/>
          </w:tcPr>
          <w:p>
            <w:pPr>
              <w:spacing w:after="0"/>
              <w:rPr>
                <w:sz w:val="24"/>
                <w:szCs w:val="24"/>
                <w:color w:val="auto"/>
              </w:rPr>
            </w:pPr>
          </w:p>
        </w:tc>
        <w:tc>
          <w:tcPr>
            <w:tcW w:w="1540" w:type="dxa"/>
            <w:vAlign w:val="bottom"/>
          </w:tcPr>
          <w:p>
            <w:pPr>
              <w:jc w:val="right"/>
              <w:ind w:right="612"/>
              <w:spacing w:after="0"/>
              <w:rPr>
                <w:sz w:val="20"/>
                <w:szCs w:val="20"/>
                <w:color w:val="auto"/>
              </w:rPr>
            </w:pPr>
            <w:r>
              <w:rPr>
                <w:rFonts w:ascii="Arial" w:cs="Arial" w:eastAsia="Arial" w:hAnsi="Arial"/>
                <w:sz w:val="18"/>
                <w:szCs w:val="18"/>
                <w:color w:val="auto"/>
              </w:rPr>
              <w:t>4.1</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3/17/21</w:t>
            </w: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200" w:type="dxa"/>
            <w:vAlign w:val="bottom"/>
            <w:gridSpan w:val="28"/>
          </w:tcPr>
          <w:p>
            <w:pPr>
              <w:spacing w:after="0" w:line="182" w:lineRule="exact"/>
              <w:rPr>
                <w:rFonts w:ascii="Arial" w:cs="Arial" w:eastAsia="Arial" w:hAnsi="Arial"/>
                <w:sz w:val="18"/>
                <w:szCs w:val="18"/>
                <w:color w:val="0000EE"/>
              </w:rPr>
            </w:pPr>
            <w:hyperlink r:id="rId188">
              <w:r>
                <w:rPr>
                  <w:rFonts w:ascii="Arial" w:cs="Arial" w:eastAsia="Arial" w:hAnsi="Arial"/>
                  <w:sz w:val="18"/>
                  <w:szCs w:val="18"/>
                  <w:color w:val="0000EE"/>
                </w:rPr>
                <w:t>Notes due 2052 and 3.041% Notes due 2062,</w:t>
              </w:r>
            </w:hyperlink>
          </w:p>
        </w:tc>
        <w:tc>
          <w:tcPr>
            <w:tcW w:w="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20" w:type="dxa"/>
            <w:vAlign w:val="bottom"/>
          </w:tcPr>
          <w:p>
            <w:pPr>
              <w:spacing w:after="0"/>
              <w:rPr>
                <w:sz w:val="15"/>
                <w:szCs w:val="15"/>
                <w:color w:val="auto"/>
              </w:rPr>
            </w:pPr>
          </w:p>
        </w:tc>
        <w:tc>
          <w:tcPr>
            <w:tcW w:w="4200" w:type="dxa"/>
            <w:vAlign w:val="bottom"/>
            <w:gridSpan w:val="28"/>
          </w:tcPr>
          <w:p>
            <w:pPr>
              <w:spacing w:after="0" w:line="182" w:lineRule="exact"/>
              <w:rPr>
                <w:rFonts w:ascii="Arial" w:cs="Arial" w:eastAsia="Arial" w:hAnsi="Arial"/>
                <w:sz w:val="18"/>
                <w:szCs w:val="18"/>
                <w:color w:val="0000EE"/>
              </w:rPr>
            </w:pPr>
            <w:hyperlink r:id="rId188">
              <w:r>
                <w:rPr>
                  <w:rFonts w:ascii="Arial" w:cs="Arial" w:eastAsia="Arial" w:hAnsi="Arial"/>
                  <w:sz w:val="18"/>
                  <w:szCs w:val="18"/>
                  <w:color w:val="0000EE"/>
                </w:rPr>
                <w:t>dated as of March 17, 2021, between Microsoft</w:t>
              </w:r>
            </w:hyperlink>
          </w:p>
        </w:tc>
        <w:tc>
          <w:tcPr>
            <w:tcW w:w="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720" w:type="dxa"/>
            <w:vAlign w:val="bottom"/>
            <w:tcBorders>
              <w:top w:val="single" w:sz="8" w:color="0000EE"/>
              <w:bottom w:val="single" w:sz="8" w:color="0000EE"/>
            </w:tcBorders>
            <w:gridSpan w:val="13"/>
          </w:tcPr>
          <w:p>
            <w:pPr>
              <w:spacing w:after="0" w:line="182" w:lineRule="exact"/>
              <w:rPr>
                <w:rFonts w:ascii="Arial" w:cs="Arial" w:eastAsia="Arial" w:hAnsi="Arial"/>
                <w:sz w:val="18"/>
                <w:szCs w:val="18"/>
                <w:color w:val="0000EE"/>
                <w:w w:val="99"/>
              </w:rPr>
            </w:pPr>
            <w:hyperlink r:id="rId188">
              <w:r>
                <w:rPr>
                  <w:rFonts w:ascii="Arial" w:cs="Arial" w:eastAsia="Arial" w:hAnsi="Arial"/>
                  <w:sz w:val="18"/>
                  <w:szCs w:val="18"/>
                  <w:color w:val="0000EE"/>
                  <w:w w:val="99"/>
                </w:rPr>
                <w:t>Corporation and The Bank of New York Mellon</w:t>
              </w:r>
            </w:hyperlink>
          </w:p>
        </w:tc>
        <w:tc>
          <w:tcPr>
            <w:tcW w:w="20" w:type="dxa"/>
            <w:vAlign w:val="bottom"/>
            <w:tcBorders>
              <w:top w:val="single" w:sz="8" w:color="0000EE"/>
            </w:tcBorders>
          </w:tcPr>
          <w:p>
            <w:pPr>
              <w:spacing w:after="0"/>
              <w:rPr>
                <w:sz w:val="15"/>
                <w:szCs w:val="15"/>
                <w:color w:val="auto"/>
              </w:rPr>
            </w:pPr>
          </w:p>
        </w:tc>
        <w:tc>
          <w:tcPr>
            <w:tcW w:w="460" w:type="dxa"/>
            <w:vAlign w:val="bottom"/>
            <w:gridSpan w:val="14"/>
          </w:tcPr>
          <w:p>
            <w:pPr>
              <w:spacing w:after="0"/>
              <w:rPr>
                <w:sz w:val="15"/>
                <w:szCs w:val="15"/>
                <w:color w:val="auto"/>
              </w:rPr>
            </w:pPr>
          </w:p>
        </w:tc>
        <w:tc>
          <w:tcPr>
            <w:tcW w:w="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200" w:type="dxa"/>
            <w:vAlign w:val="bottom"/>
            <w:gridSpan w:val="28"/>
          </w:tcPr>
          <w:p>
            <w:pPr>
              <w:spacing w:after="0" w:line="182" w:lineRule="exact"/>
              <w:rPr>
                <w:rFonts w:ascii="Arial" w:cs="Arial" w:eastAsia="Arial" w:hAnsi="Arial"/>
                <w:sz w:val="18"/>
                <w:szCs w:val="18"/>
                <w:color w:val="0000EE"/>
              </w:rPr>
            </w:pPr>
            <w:hyperlink r:id="rId188">
              <w:r>
                <w:rPr>
                  <w:rFonts w:ascii="Arial" w:cs="Arial" w:eastAsia="Arial" w:hAnsi="Arial"/>
                  <w:sz w:val="18"/>
                  <w:szCs w:val="18"/>
                  <w:color w:val="0000EE"/>
                </w:rPr>
                <w:t>Trust Company, N.A., as Trustee, to the Indenture,</w:t>
              </w:r>
            </w:hyperlink>
          </w:p>
        </w:tc>
        <w:tc>
          <w:tcPr>
            <w:tcW w:w="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00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r:id="rId188">
              <w:r>
                <w:rPr>
                  <w:rFonts w:ascii="Arial" w:cs="Arial" w:eastAsia="Arial" w:hAnsi="Arial"/>
                  <w:sz w:val="18"/>
                  <w:szCs w:val="18"/>
                  <w:color w:val="0000EE"/>
                </w:rPr>
                <w:t>dated as of May 18, 2009, between Microsoft</w:t>
              </w:r>
            </w:hyperlink>
          </w:p>
        </w:tc>
        <w:tc>
          <w:tcPr>
            <w:tcW w:w="200" w:type="dxa"/>
            <w:vAlign w:val="bottom"/>
            <w:gridSpan w:val="5"/>
          </w:tcPr>
          <w:p>
            <w:pPr>
              <w:spacing w:after="0"/>
              <w:rPr>
                <w:sz w:val="15"/>
                <w:szCs w:val="15"/>
                <w:color w:val="auto"/>
              </w:rPr>
            </w:pPr>
          </w:p>
        </w:tc>
        <w:tc>
          <w:tcPr>
            <w:tcW w:w="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20" w:type="dxa"/>
            <w:vAlign w:val="bottom"/>
          </w:tcPr>
          <w:p>
            <w:pPr>
              <w:spacing w:after="0"/>
              <w:rPr>
                <w:sz w:val="15"/>
                <w:szCs w:val="15"/>
                <w:color w:val="auto"/>
              </w:rPr>
            </w:pPr>
          </w:p>
        </w:tc>
        <w:tc>
          <w:tcPr>
            <w:tcW w:w="3700" w:type="dxa"/>
            <w:vAlign w:val="bottom"/>
            <w:tcBorders>
              <w:bottom w:val="single" w:sz="8" w:color="0000EE"/>
            </w:tcBorders>
            <w:gridSpan w:val="12"/>
          </w:tcPr>
          <w:p>
            <w:pPr>
              <w:spacing w:after="0" w:line="182" w:lineRule="exact"/>
              <w:rPr>
                <w:rFonts w:ascii="Arial" w:cs="Arial" w:eastAsia="Arial" w:hAnsi="Arial"/>
                <w:sz w:val="18"/>
                <w:szCs w:val="18"/>
                <w:color w:val="0000EE"/>
                <w:w w:val="98"/>
              </w:rPr>
            </w:pPr>
            <w:hyperlink r:id="rId188">
              <w:r>
                <w:rPr>
                  <w:rFonts w:ascii="Arial" w:cs="Arial" w:eastAsia="Arial" w:hAnsi="Arial"/>
                  <w:sz w:val="18"/>
                  <w:szCs w:val="18"/>
                  <w:color w:val="0000EE"/>
                  <w:w w:val="98"/>
                </w:rPr>
                <w:t>Corporation and The Bank of New York Mellon</w:t>
              </w:r>
            </w:hyperlink>
          </w:p>
        </w:tc>
        <w:tc>
          <w:tcPr>
            <w:tcW w:w="500" w:type="dxa"/>
            <w:vAlign w:val="bottom"/>
            <w:gridSpan w:val="16"/>
          </w:tcPr>
          <w:p>
            <w:pPr>
              <w:spacing w:after="0"/>
              <w:rPr>
                <w:sz w:val="15"/>
                <w:szCs w:val="15"/>
                <w:color w:val="auto"/>
              </w:rPr>
            </w:pPr>
          </w:p>
        </w:tc>
        <w:tc>
          <w:tcPr>
            <w:tcW w:w="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200" w:type="dxa"/>
            <w:vAlign w:val="bottom"/>
            <w:gridSpan w:val="28"/>
          </w:tcPr>
          <w:p>
            <w:pPr>
              <w:spacing w:after="0" w:line="182" w:lineRule="exact"/>
              <w:rPr>
                <w:rFonts w:ascii="Arial" w:cs="Arial" w:eastAsia="Arial" w:hAnsi="Arial"/>
                <w:sz w:val="18"/>
                <w:szCs w:val="18"/>
                <w:color w:val="0000EE"/>
              </w:rPr>
            </w:pPr>
            <w:hyperlink r:id="rId188">
              <w:r>
                <w:rPr>
                  <w:rFonts w:ascii="Arial" w:cs="Arial" w:eastAsia="Arial" w:hAnsi="Arial"/>
                  <w:sz w:val="18"/>
                  <w:szCs w:val="18"/>
                  <w:color w:val="0000EE"/>
                </w:rPr>
                <w:t>Trust Company, N.A., as trustee</w:t>
              </w:r>
            </w:hyperlink>
          </w:p>
        </w:tc>
        <w:tc>
          <w:tcPr>
            <w:tcW w:w="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1120" w:type="dxa"/>
            <w:vAlign w:val="bottom"/>
          </w:tcPr>
          <w:p>
            <w:pPr>
              <w:spacing w:after="0"/>
              <w:rPr>
                <w:sz w:val="20"/>
                <w:szCs w:val="20"/>
                <w:color w:val="auto"/>
              </w:rPr>
            </w:pPr>
            <w:r>
              <w:rPr>
                <w:rFonts w:ascii="Arial" w:cs="Arial" w:eastAsia="Arial" w:hAnsi="Arial"/>
                <w:sz w:val="18"/>
                <w:szCs w:val="18"/>
                <w:color w:val="auto"/>
              </w:rPr>
              <w:t>4.18</w:t>
            </w:r>
          </w:p>
        </w:tc>
        <w:tc>
          <w:tcPr>
            <w:tcW w:w="19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8"/>
              </w:rPr>
            </w:pPr>
            <w:hyperlink r:id="rId189">
              <w:r>
                <w:rPr>
                  <w:rFonts w:ascii="Arial" w:cs="Arial" w:eastAsia="Arial" w:hAnsi="Arial"/>
                  <w:sz w:val="18"/>
                  <w:szCs w:val="18"/>
                  <w:color w:val="0000EE"/>
                  <w:w w:val="98"/>
                </w:rPr>
                <w:t>Description of Securities</w:t>
              </w:r>
            </w:hyperlink>
          </w:p>
        </w:tc>
        <w:tc>
          <w:tcPr>
            <w:tcW w:w="600" w:type="dxa"/>
            <w:vAlign w:val="bottom"/>
            <w:tcBorders>
              <w:top w:val="single" w:sz="8" w:color="0000EE"/>
            </w:tcBorders>
            <w:gridSpan w:val="2"/>
          </w:tcPr>
          <w:p>
            <w:pPr>
              <w:spacing w:after="0"/>
              <w:rPr>
                <w:sz w:val="24"/>
                <w:szCs w:val="24"/>
                <w:color w:val="auto"/>
              </w:rPr>
            </w:pPr>
          </w:p>
        </w:tc>
        <w:tc>
          <w:tcPr>
            <w:tcW w:w="1660" w:type="dxa"/>
            <w:vAlign w:val="bottom"/>
            <w:gridSpan w:val="23"/>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10-K</w:t>
            </w:r>
          </w:p>
        </w:tc>
        <w:tc>
          <w:tcPr>
            <w:tcW w:w="1140" w:type="dxa"/>
            <w:vAlign w:val="bottom"/>
          </w:tcPr>
          <w:p>
            <w:pPr>
              <w:jc w:val="right"/>
              <w:ind w:right="77"/>
              <w:spacing w:after="0"/>
              <w:rPr>
                <w:sz w:val="20"/>
                <w:szCs w:val="20"/>
                <w:color w:val="auto"/>
              </w:rPr>
            </w:pPr>
            <w:r>
              <w:rPr>
                <w:rFonts w:ascii="Arial" w:cs="Arial" w:eastAsia="Arial" w:hAnsi="Arial"/>
                <w:sz w:val="18"/>
                <w:szCs w:val="18"/>
                <w:color w:val="auto"/>
              </w:rPr>
              <w:t>6/30/19</w:t>
            </w:r>
          </w:p>
        </w:tc>
        <w:tc>
          <w:tcPr>
            <w:tcW w:w="1540" w:type="dxa"/>
            <w:vAlign w:val="bottom"/>
          </w:tcPr>
          <w:p>
            <w:pPr>
              <w:jc w:val="right"/>
              <w:ind w:right="612"/>
              <w:spacing w:after="0"/>
              <w:rPr>
                <w:sz w:val="20"/>
                <w:szCs w:val="20"/>
                <w:color w:val="auto"/>
              </w:rPr>
            </w:pPr>
            <w:r>
              <w:rPr>
                <w:rFonts w:ascii="Arial" w:cs="Arial" w:eastAsia="Arial" w:hAnsi="Arial"/>
                <w:sz w:val="18"/>
                <w:szCs w:val="18"/>
                <w:color w:val="auto"/>
              </w:rPr>
              <w:t>4.16</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8/1/19</w:t>
            </w:r>
          </w:p>
        </w:tc>
        <w:tc>
          <w:tcPr>
            <w:tcW w:w="0" w:type="dxa"/>
            <w:vAlign w:val="bottom"/>
          </w:tcPr>
          <w:p>
            <w:pPr>
              <w:spacing w:after="0"/>
              <w:rPr>
                <w:sz w:val="1"/>
                <w:szCs w:val="1"/>
                <w:color w:val="auto"/>
              </w:rPr>
            </w:pPr>
          </w:p>
        </w:tc>
      </w:tr>
      <w:tr>
        <w:trPr>
          <w:trHeight w:val="316"/>
        </w:trPr>
        <w:tc>
          <w:tcPr>
            <w:tcW w:w="1120" w:type="dxa"/>
            <w:vAlign w:val="bottom"/>
          </w:tcPr>
          <w:p>
            <w:pPr>
              <w:spacing w:after="0"/>
              <w:rPr>
                <w:sz w:val="20"/>
                <w:szCs w:val="20"/>
                <w:color w:val="auto"/>
              </w:rPr>
            </w:pPr>
            <w:r>
              <w:rPr>
                <w:rFonts w:ascii="Arial" w:cs="Arial" w:eastAsia="Arial" w:hAnsi="Arial"/>
                <w:sz w:val="18"/>
                <w:szCs w:val="18"/>
                <w:color w:val="auto"/>
              </w:rPr>
              <w:t>10.1*</w:t>
            </w:r>
          </w:p>
        </w:tc>
        <w:tc>
          <w:tcPr>
            <w:tcW w:w="3100" w:type="dxa"/>
            <w:vAlign w:val="bottom"/>
            <w:tcBorders>
              <w:bottom w:val="single" w:sz="8" w:color="0000EE"/>
            </w:tcBorders>
            <w:gridSpan w:val="8"/>
          </w:tcPr>
          <w:p>
            <w:pPr>
              <w:spacing w:after="0"/>
              <w:rPr>
                <w:rFonts w:ascii="Arial" w:cs="Arial" w:eastAsia="Arial" w:hAnsi="Arial"/>
                <w:sz w:val="18"/>
                <w:szCs w:val="18"/>
                <w:color w:val="0000EE"/>
                <w:w w:val="99"/>
              </w:rPr>
            </w:pPr>
            <w:hyperlink r:id="rId190">
              <w:r>
                <w:rPr>
                  <w:rFonts w:ascii="Arial" w:cs="Arial" w:eastAsia="Arial" w:hAnsi="Arial"/>
                  <w:sz w:val="18"/>
                  <w:szCs w:val="18"/>
                  <w:color w:val="0000EE"/>
                  <w:w w:val="99"/>
                </w:rPr>
                <w:t>Microsoft Corporation 2001 Stock Plan</w:t>
              </w:r>
            </w:hyperlink>
          </w:p>
        </w:tc>
        <w:tc>
          <w:tcPr>
            <w:tcW w:w="1100" w:type="dxa"/>
            <w:vAlign w:val="bottom"/>
            <w:gridSpan w:val="20"/>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10-Q</w:t>
            </w:r>
          </w:p>
        </w:tc>
        <w:tc>
          <w:tcPr>
            <w:tcW w:w="1140" w:type="dxa"/>
            <w:vAlign w:val="bottom"/>
          </w:tcPr>
          <w:p>
            <w:pPr>
              <w:jc w:val="right"/>
              <w:ind w:right="77"/>
              <w:spacing w:after="0"/>
              <w:rPr>
                <w:sz w:val="20"/>
                <w:szCs w:val="20"/>
                <w:color w:val="auto"/>
              </w:rPr>
            </w:pPr>
            <w:r>
              <w:rPr>
                <w:rFonts w:ascii="Arial" w:cs="Arial" w:eastAsia="Arial" w:hAnsi="Arial"/>
                <w:sz w:val="18"/>
                <w:szCs w:val="18"/>
                <w:color w:val="auto"/>
              </w:rPr>
              <w:t>9/30/16</w:t>
            </w:r>
          </w:p>
        </w:tc>
        <w:tc>
          <w:tcPr>
            <w:tcW w:w="1540" w:type="dxa"/>
            <w:vAlign w:val="bottom"/>
          </w:tcPr>
          <w:p>
            <w:pPr>
              <w:jc w:val="right"/>
              <w:ind w:right="612"/>
              <w:spacing w:after="0"/>
              <w:rPr>
                <w:sz w:val="20"/>
                <w:szCs w:val="20"/>
                <w:color w:val="auto"/>
              </w:rPr>
            </w:pPr>
            <w:r>
              <w:rPr>
                <w:rFonts w:ascii="Arial" w:cs="Arial" w:eastAsia="Arial" w:hAnsi="Arial"/>
                <w:sz w:val="18"/>
                <w:szCs w:val="18"/>
                <w:color w:val="auto"/>
              </w:rPr>
              <w:t>10.1</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10/20/16</w:t>
            </w:r>
          </w:p>
        </w:tc>
        <w:tc>
          <w:tcPr>
            <w:tcW w:w="0" w:type="dxa"/>
            <w:vAlign w:val="bottom"/>
          </w:tcPr>
          <w:p>
            <w:pPr>
              <w:spacing w:after="0"/>
              <w:rPr>
                <w:sz w:val="1"/>
                <w:szCs w:val="1"/>
                <w:color w:val="auto"/>
              </w:rPr>
            </w:pPr>
          </w:p>
        </w:tc>
      </w:tr>
      <w:tr>
        <w:trPr>
          <w:trHeight w:val="316"/>
        </w:trPr>
        <w:tc>
          <w:tcPr>
            <w:tcW w:w="1120" w:type="dxa"/>
            <w:vAlign w:val="bottom"/>
          </w:tcPr>
          <w:p>
            <w:pPr>
              <w:spacing w:after="0"/>
              <w:rPr>
                <w:sz w:val="20"/>
                <w:szCs w:val="20"/>
                <w:color w:val="auto"/>
              </w:rPr>
            </w:pPr>
            <w:r>
              <w:rPr>
                <w:rFonts w:ascii="Arial" w:cs="Arial" w:eastAsia="Arial" w:hAnsi="Arial"/>
                <w:sz w:val="18"/>
                <w:szCs w:val="18"/>
                <w:color w:val="auto"/>
              </w:rPr>
              <w:t>10.4*</w:t>
            </w:r>
          </w:p>
        </w:tc>
        <w:tc>
          <w:tcPr>
            <w:tcW w:w="3880" w:type="dxa"/>
            <w:vAlign w:val="bottom"/>
            <w:tcBorders>
              <w:bottom w:val="single" w:sz="8" w:color="0000EE"/>
            </w:tcBorders>
            <w:gridSpan w:val="17"/>
          </w:tcPr>
          <w:p>
            <w:pPr>
              <w:spacing w:after="0"/>
              <w:rPr>
                <w:rFonts w:ascii="Arial" w:cs="Arial" w:eastAsia="Arial" w:hAnsi="Arial"/>
                <w:sz w:val="18"/>
                <w:szCs w:val="18"/>
                <w:color w:val="0000EE"/>
                <w:w w:val="99"/>
              </w:rPr>
            </w:pPr>
            <w:hyperlink r:id="rId191">
              <w:r>
                <w:rPr>
                  <w:rFonts w:ascii="Arial" w:cs="Arial" w:eastAsia="Arial" w:hAnsi="Arial"/>
                  <w:sz w:val="18"/>
                  <w:szCs w:val="18"/>
                  <w:color w:val="0000EE"/>
                  <w:w w:val="99"/>
                </w:rPr>
                <w:t>Microsoft Corporation Employee Stock Purchase</w:t>
              </w:r>
            </w:hyperlink>
          </w:p>
        </w:tc>
        <w:tc>
          <w:tcPr>
            <w:tcW w:w="320" w:type="dxa"/>
            <w:vAlign w:val="bottom"/>
            <w:gridSpan w:val="11"/>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10-K</w:t>
            </w:r>
          </w:p>
        </w:tc>
        <w:tc>
          <w:tcPr>
            <w:tcW w:w="1140" w:type="dxa"/>
            <w:vAlign w:val="bottom"/>
          </w:tcPr>
          <w:p>
            <w:pPr>
              <w:jc w:val="right"/>
              <w:ind w:right="77"/>
              <w:spacing w:after="0"/>
              <w:rPr>
                <w:sz w:val="20"/>
                <w:szCs w:val="20"/>
                <w:color w:val="auto"/>
              </w:rPr>
            </w:pPr>
            <w:r>
              <w:rPr>
                <w:rFonts w:ascii="Arial" w:cs="Arial" w:eastAsia="Arial" w:hAnsi="Arial"/>
                <w:sz w:val="18"/>
                <w:szCs w:val="18"/>
                <w:color w:val="auto"/>
              </w:rPr>
              <w:t>6/30/12</w:t>
            </w:r>
          </w:p>
        </w:tc>
        <w:tc>
          <w:tcPr>
            <w:tcW w:w="1540" w:type="dxa"/>
            <w:vAlign w:val="bottom"/>
          </w:tcPr>
          <w:p>
            <w:pPr>
              <w:jc w:val="right"/>
              <w:ind w:right="612"/>
              <w:spacing w:after="0"/>
              <w:rPr>
                <w:sz w:val="20"/>
                <w:szCs w:val="20"/>
                <w:color w:val="auto"/>
              </w:rPr>
            </w:pPr>
            <w:r>
              <w:rPr>
                <w:rFonts w:ascii="Arial" w:cs="Arial" w:eastAsia="Arial" w:hAnsi="Arial"/>
                <w:sz w:val="18"/>
                <w:szCs w:val="18"/>
                <w:color w:val="auto"/>
              </w:rPr>
              <w:t>10.4</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7/26/12</w:t>
            </w: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200" w:type="dxa"/>
            <w:vAlign w:val="bottom"/>
            <w:gridSpan w:val="28"/>
          </w:tcPr>
          <w:p>
            <w:pPr>
              <w:spacing w:after="0" w:line="182" w:lineRule="exact"/>
              <w:rPr>
                <w:rFonts w:ascii="Arial" w:cs="Arial" w:eastAsia="Arial" w:hAnsi="Arial"/>
                <w:sz w:val="18"/>
                <w:szCs w:val="18"/>
                <w:color w:val="0000EE"/>
              </w:rPr>
            </w:pPr>
            <w:hyperlink r:id="rId191">
              <w:r>
                <w:rPr>
                  <w:rFonts w:ascii="Arial" w:cs="Arial" w:eastAsia="Arial" w:hAnsi="Arial"/>
                  <w:sz w:val="18"/>
                  <w:szCs w:val="18"/>
                  <w:color w:val="0000EE"/>
                </w:rPr>
                <w:t>Plan</w:t>
              </w:r>
            </w:hyperlink>
          </w:p>
        </w:tc>
        <w:tc>
          <w:tcPr>
            <w:tcW w:w="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1120" w:type="dxa"/>
            <w:vAlign w:val="bottom"/>
          </w:tcPr>
          <w:p>
            <w:pPr>
              <w:spacing w:after="0"/>
              <w:rPr>
                <w:sz w:val="20"/>
                <w:szCs w:val="20"/>
                <w:color w:val="auto"/>
              </w:rPr>
            </w:pPr>
            <w:r>
              <w:rPr>
                <w:rFonts w:ascii="Arial" w:cs="Arial" w:eastAsia="Arial" w:hAnsi="Arial"/>
                <w:sz w:val="18"/>
                <w:szCs w:val="18"/>
                <w:color w:val="auto"/>
              </w:rPr>
              <w:t>10.5*</w:t>
            </w:r>
          </w:p>
        </w:tc>
        <w:tc>
          <w:tcPr>
            <w:tcW w:w="4080" w:type="dxa"/>
            <w:vAlign w:val="bottom"/>
            <w:tcBorders>
              <w:bottom w:val="single" w:sz="8" w:color="0000EE"/>
            </w:tcBorders>
            <w:gridSpan w:val="27"/>
          </w:tcPr>
          <w:p>
            <w:pPr>
              <w:spacing w:after="0"/>
              <w:rPr>
                <w:rFonts w:ascii="Arial" w:cs="Arial" w:eastAsia="Arial" w:hAnsi="Arial"/>
                <w:sz w:val="18"/>
                <w:szCs w:val="18"/>
                <w:color w:val="0000EE"/>
                <w:w w:val="99"/>
              </w:rPr>
            </w:pPr>
            <w:hyperlink r:id="rId192">
              <w:r>
                <w:rPr>
                  <w:rFonts w:ascii="Arial" w:cs="Arial" w:eastAsia="Arial" w:hAnsi="Arial"/>
                  <w:sz w:val="18"/>
                  <w:szCs w:val="18"/>
                  <w:color w:val="0000EE"/>
                  <w:w w:val="99"/>
                </w:rPr>
                <w:t>Microsoft Corporation Deferred Compensation Plan</w:t>
              </w:r>
            </w:hyperlink>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10-K</w:t>
            </w:r>
          </w:p>
        </w:tc>
        <w:tc>
          <w:tcPr>
            <w:tcW w:w="1140" w:type="dxa"/>
            <w:vAlign w:val="bottom"/>
          </w:tcPr>
          <w:p>
            <w:pPr>
              <w:jc w:val="right"/>
              <w:ind w:right="77"/>
              <w:spacing w:after="0"/>
              <w:rPr>
                <w:sz w:val="20"/>
                <w:szCs w:val="20"/>
                <w:color w:val="auto"/>
              </w:rPr>
            </w:pPr>
            <w:r>
              <w:rPr>
                <w:rFonts w:ascii="Arial" w:cs="Arial" w:eastAsia="Arial" w:hAnsi="Arial"/>
                <w:sz w:val="18"/>
                <w:szCs w:val="18"/>
                <w:color w:val="auto"/>
              </w:rPr>
              <w:t>6/30/18</w:t>
            </w:r>
          </w:p>
        </w:tc>
        <w:tc>
          <w:tcPr>
            <w:tcW w:w="1540" w:type="dxa"/>
            <w:vAlign w:val="bottom"/>
          </w:tcPr>
          <w:p>
            <w:pPr>
              <w:jc w:val="right"/>
              <w:ind w:right="612"/>
              <w:spacing w:after="0"/>
              <w:rPr>
                <w:sz w:val="20"/>
                <w:szCs w:val="20"/>
                <w:color w:val="auto"/>
              </w:rPr>
            </w:pPr>
            <w:r>
              <w:rPr>
                <w:rFonts w:ascii="Arial" w:cs="Arial" w:eastAsia="Arial" w:hAnsi="Arial"/>
                <w:sz w:val="18"/>
                <w:szCs w:val="18"/>
                <w:color w:val="auto"/>
              </w:rPr>
              <w:t>10.5</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8/3/18</w:t>
            </w:r>
          </w:p>
        </w:tc>
        <w:tc>
          <w:tcPr>
            <w:tcW w:w="0" w:type="dxa"/>
            <w:vAlign w:val="bottom"/>
          </w:tcPr>
          <w:p>
            <w:pPr>
              <w:spacing w:after="0"/>
              <w:rPr>
                <w:sz w:val="1"/>
                <w:szCs w:val="1"/>
                <w:color w:val="auto"/>
              </w:rPr>
            </w:pPr>
          </w:p>
        </w:tc>
      </w:tr>
      <w:tr>
        <w:trPr>
          <w:trHeight w:val="316"/>
        </w:trPr>
        <w:tc>
          <w:tcPr>
            <w:tcW w:w="1120" w:type="dxa"/>
            <w:vAlign w:val="bottom"/>
          </w:tcPr>
          <w:p>
            <w:pPr>
              <w:spacing w:after="0"/>
              <w:rPr>
                <w:sz w:val="20"/>
                <w:szCs w:val="20"/>
                <w:color w:val="auto"/>
              </w:rPr>
            </w:pPr>
            <w:r>
              <w:rPr>
                <w:rFonts w:ascii="Arial" w:cs="Arial" w:eastAsia="Arial" w:hAnsi="Arial"/>
                <w:sz w:val="18"/>
                <w:szCs w:val="18"/>
                <w:color w:val="auto"/>
              </w:rPr>
              <w:t>10.6*</w:t>
            </w:r>
          </w:p>
        </w:tc>
        <w:tc>
          <w:tcPr>
            <w:tcW w:w="3080" w:type="dxa"/>
            <w:vAlign w:val="bottom"/>
            <w:tcBorders>
              <w:bottom w:val="single" w:sz="8" w:color="0000EE"/>
            </w:tcBorders>
            <w:gridSpan w:val="7"/>
          </w:tcPr>
          <w:p>
            <w:pPr>
              <w:spacing w:after="0"/>
              <w:rPr>
                <w:rFonts w:ascii="Arial" w:cs="Arial" w:eastAsia="Arial" w:hAnsi="Arial"/>
                <w:sz w:val="18"/>
                <w:szCs w:val="18"/>
                <w:color w:val="0000EE"/>
                <w:w w:val="99"/>
              </w:rPr>
            </w:pPr>
            <w:hyperlink r:id="rId193">
              <w:r>
                <w:rPr>
                  <w:rFonts w:ascii="Arial" w:cs="Arial" w:eastAsia="Arial" w:hAnsi="Arial"/>
                  <w:sz w:val="18"/>
                  <w:szCs w:val="18"/>
                  <w:color w:val="0000EE"/>
                  <w:w w:val="99"/>
                </w:rPr>
                <w:t>Microsoft Corporation 2017 Stock Plan</w:t>
              </w:r>
            </w:hyperlink>
          </w:p>
        </w:tc>
        <w:tc>
          <w:tcPr>
            <w:tcW w:w="1120" w:type="dxa"/>
            <w:vAlign w:val="bottom"/>
            <w:gridSpan w:val="21"/>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DEF14A</w:t>
            </w:r>
          </w:p>
        </w:tc>
        <w:tc>
          <w:tcPr>
            <w:tcW w:w="1140" w:type="dxa"/>
            <w:vAlign w:val="bottom"/>
          </w:tcPr>
          <w:p>
            <w:pPr>
              <w:spacing w:after="0"/>
              <w:rPr>
                <w:sz w:val="24"/>
                <w:szCs w:val="24"/>
                <w:color w:val="auto"/>
              </w:rPr>
            </w:pPr>
          </w:p>
        </w:tc>
        <w:tc>
          <w:tcPr>
            <w:tcW w:w="1540" w:type="dxa"/>
            <w:vAlign w:val="bottom"/>
          </w:tcPr>
          <w:p>
            <w:pPr>
              <w:jc w:val="right"/>
              <w:ind w:right="612"/>
              <w:spacing w:after="0"/>
              <w:rPr>
                <w:sz w:val="20"/>
                <w:szCs w:val="20"/>
                <w:color w:val="auto"/>
              </w:rPr>
            </w:pPr>
            <w:r>
              <w:rPr>
                <w:rFonts w:ascii="Arial" w:cs="Arial" w:eastAsia="Arial" w:hAnsi="Arial"/>
                <w:sz w:val="18"/>
                <w:szCs w:val="18"/>
                <w:color w:val="auto"/>
              </w:rPr>
              <w:t>Annex C</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10/16/17</w:t>
            </w:r>
          </w:p>
        </w:tc>
        <w:tc>
          <w:tcPr>
            <w:tcW w:w="0" w:type="dxa"/>
            <w:vAlign w:val="bottom"/>
          </w:tcPr>
          <w:p>
            <w:pPr>
              <w:spacing w:after="0"/>
              <w:rPr>
                <w:sz w:val="1"/>
                <w:szCs w:val="1"/>
                <w:color w:val="auto"/>
              </w:rPr>
            </w:pPr>
          </w:p>
        </w:tc>
      </w:tr>
      <w:tr>
        <w:trPr>
          <w:trHeight w:val="316"/>
        </w:trPr>
        <w:tc>
          <w:tcPr>
            <w:tcW w:w="1120" w:type="dxa"/>
            <w:vAlign w:val="bottom"/>
          </w:tcPr>
          <w:p>
            <w:pPr>
              <w:spacing w:after="0"/>
              <w:rPr>
                <w:sz w:val="20"/>
                <w:szCs w:val="20"/>
                <w:color w:val="auto"/>
              </w:rPr>
            </w:pPr>
            <w:r>
              <w:rPr>
                <w:rFonts w:ascii="Arial" w:cs="Arial" w:eastAsia="Arial" w:hAnsi="Arial"/>
                <w:sz w:val="18"/>
                <w:szCs w:val="18"/>
                <w:color w:val="auto"/>
              </w:rPr>
              <w:t>10.7*</w:t>
            </w:r>
          </w:p>
        </w:tc>
        <w:tc>
          <w:tcPr>
            <w:tcW w:w="4200" w:type="dxa"/>
            <w:vAlign w:val="bottom"/>
            <w:gridSpan w:val="28"/>
          </w:tcPr>
          <w:p>
            <w:pPr>
              <w:spacing w:after="0"/>
              <w:rPr>
                <w:rFonts w:ascii="Arial" w:cs="Arial" w:eastAsia="Arial" w:hAnsi="Arial"/>
                <w:sz w:val="18"/>
                <w:szCs w:val="18"/>
                <w:color w:val="0000EE"/>
                <w:w w:val="98"/>
              </w:rPr>
            </w:pPr>
            <w:hyperlink r:id="rId194">
              <w:r>
                <w:rPr>
                  <w:rFonts w:ascii="Arial" w:cs="Arial" w:eastAsia="Arial" w:hAnsi="Arial"/>
                  <w:sz w:val="18"/>
                  <w:szCs w:val="18"/>
                  <w:color w:val="0000EE"/>
                  <w:w w:val="98"/>
                </w:rPr>
                <w:t>Form of Stock Award Agreement Under the Microsoft</w:t>
              </w:r>
            </w:hyperlink>
          </w:p>
        </w:tc>
        <w:tc>
          <w:tcPr>
            <w:tcW w:w="84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10-Q</w:t>
            </w:r>
          </w:p>
        </w:tc>
        <w:tc>
          <w:tcPr>
            <w:tcW w:w="1140" w:type="dxa"/>
            <w:vAlign w:val="bottom"/>
          </w:tcPr>
          <w:p>
            <w:pPr>
              <w:jc w:val="right"/>
              <w:ind w:right="77"/>
              <w:spacing w:after="0"/>
              <w:rPr>
                <w:sz w:val="20"/>
                <w:szCs w:val="20"/>
                <w:color w:val="auto"/>
              </w:rPr>
            </w:pPr>
            <w:r>
              <w:rPr>
                <w:rFonts w:ascii="Arial" w:cs="Arial" w:eastAsia="Arial" w:hAnsi="Arial"/>
                <w:sz w:val="18"/>
                <w:szCs w:val="18"/>
                <w:color w:val="auto"/>
              </w:rPr>
              <w:t>3/31/2018</w:t>
            </w:r>
          </w:p>
        </w:tc>
        <w:tc>
          <w:tcPr>
            <w:tcW w:w="1540" w:type="dxa"/>
            <w:vAlign w:val="bottom"/>
          </w:tcPr>
          <w:p>
            <w:pPr>
              <w:jc w:val="right"/>
              <w:ind w:right="612"/>
              <w:spacing w:after="0"/>
              <w:rPr>
                <w:sz w:val="20"/>
                <w:szCs w:val="20"/>
                <w:color w:val="auto"/>
              </w:rPr>
            </w:pPr>
            <w:r>
              <w:rPr>
                <w:rFonts w:ascii="Arial" w:cs="Arial" w:eastAsia="Arial" w:hAnsi="Arial"/>
                <w:sz w:val="18"/>
                <w:szCs w:val="18"/>
                <w:color w:val="auto"/>
              </w:rPr>
              <w:t>10.26</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4/26/18</w:t>
            </w: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040" w:type="dxa"/>
            <w:vAlign w:val="bottom"/>
            <w:tcBorders>
              <w:top w:val="single" w:sz="8" w:color="0000EE"/>
            </w:tcBorders>
            <w:gridSpan w:val="25"/>
          </w:tcPr>
          <w:p>
            <w:pPr>
              <w:spacing w:after="0" w:line="182" w:lineRule="exact"/>
              <w:rPr>
                <w:rFonts w:ascii="Arial" w:cs="Arial" w:eastAsia="Arial" w:hAnsi="Arial"/>
                <w:sz w:val="18"/>
                <w:szCs w:val="18"/>
                <w:color w:val="0000EE"/>
              </w:rPr>
            </w:pPr>
            <w:hyperlink r:id="rId194">
              <w:r>
                <w:rPr>
                  <w:rFonts w:ascii="Arial" w:cs="Arial" w:eastAsia="Arial" w:hAnsi="Arial"/>
                  <w:sz w:val="18"/>
                  <w:szCs w:val="18"/>
                  <w:color w:val="0000EE"/>
                </w:rPr>
                <w:t>Corporation 2017 Stock Plan</w:t>
              </w:r>
            </w:hyperlink>
          </w:p>
        </w:tc>
        <w:tc>
          <w:tcPr>
            <w:tcW w:w="160" w:type="dxa"/>
            <w:vAlign w:val="bottom"/>
            <w:gridSpan w:val="3"/>
          </w:tcPr>
          <w:p>
            <w:pPr>
              <w:spacing w:after="0"/>
              <w:rPr>
                <w:sz w:val="15"/>
                <w:szCs w:val="15"/>
                <w:color w:val="auto"/>
              </w:rPr>
            </w:pPr>
          </w:p>
        </w:tc>
        <w:tc>
          <w:tcPr>
            <w:tcW w:w="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48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1120" w:type="dxa"/>
            <w:vAlign w:val="bottom"/>
          </w:tcPr>
          <w:p>
            <w:pPr>
              <w:spacing w:after="0"/>
              <w:rPr>
                <w:sz w:val="20"/>
                <w:szCs w:val="20"/>
                <w:color w:val="auto"/>
              </w:rPr>
            </w:pPr>
            <w:r>
              <w:rPr>
                <w:rFonts w:ascii="Arial" w:cs="Arial" w:eastAsia="Arial" w:hAnsi="Arial"/>
                <w:sz w:val="18"/>
                <w:szCs w:val="18"/>
                <w:color w:val="auto"/>
              </w:rPr>
              <w:t>10.8*</w:t>
            </w:r>
          </w:p>
        </w:tc>
        <w:tc>
          <w:tcPr>
            <w:tcW w:w="3680" w:type="dxa"/>
            <w:vAlign w:val="bottom"/>
            <w:tcBorders>
              <w:bottom w:val="single" w:sz="8" w:color="0000EE"/>
            </w:tcBorders>
            <w:gridSpan w:val="11"/>
          </w:tcPr>
          <w:p>
            <w:pPr>
              <w:spacing w:after="0"/>
              <w:rPr>
                <w:rFonts w:ascii="Arial" w:cs="Arial" w:eastAsia="Arial" w:hAnsi="Arial"/>
                <w:sz w:val="18"/>
                <w:szCs w:val="18"/>
                <w:color w:val="0000EE"/>
                <w:w w:val="99"/>
              </w:rPr>
            </w:pPr>
            <w:hyperlink r:id="rId195">
              <w:r>
                <w:rPr>
                  <w:rFonts w:ascii="Arial" w:cs="Arial" w:eastAsia="Arial" w:hAnsi="Arial"/>
                  <w:sz w:val="18"/>
                  <w:szCs w:val="18"/>
                  <w:color w:val="0000EE"/>
                  <w:w w:val="99"/>
                </w:rPr>
                <w:t>Form of Performance Stock Award Agreement</w:t>
              </w:r>
            </w:hyperlink>
          </w:p>
        </w:tc>
        <w:tc>
          <w:tcPr>
            <w:tcW w:w="520" w:type="dxa"/>
            <w:vAlign w:val="bottom"/>
            <w:gridSpan w:val="17"/>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10-Q</w:t>
            </w:r>
          </w:p>
        </w:tc>
        <w:tc>
          <w:tcPr>
            <w:tcW w:w="1140" w:type="dxa"/>
            <w:vAlign w:val="bottom"/>
          </w:tcPr>
          <w:p>
            <w:pPr>
              <w:jc w:val="right"/>
              <w:ind w:right="77"/>
              <w:spacing w:after="0"/>
              <w:rPr>
                <w:sz w:val="20"/>
                <w:szCs w:val="20"/>
                <w:color w:val="auto"/>
              </w:rPr>
            </w:pPr>
            <w:r>
              <w:rPr>
                <w:rFonts w:ascii="Arial" w:cs="Arial" w:eastAsia="Arial" w:hAnsi="Arial"/>
                <w:sz w:val="18"/>
                <w:szCs w:val="18"/>
                <w:color w:val="auto"/>
              </w:rPr>
              <w:t>3/31/2018</w:t>
            </w:r>
          </w:p>
        </w:tc>
        <w:tc>
          <w:tcPr>
            <w:tcW w:w="1540" w:type="dxa"/>
            <w:vAlign w:val="bottom"/>
          </w:tcPr>
          <w:p>
            <w:pPr>
              <w:jc w:val="right"/>
              <w:ind w:right="612"/>
              <w:spacing w:after="0"/>
              <w:rPr>
                <w:sz w:val="20"/>
                <w:szCs w:val="20"/>
                <w:color w:val="auto"/>
              </w:rPr>
            </w:pPr>
            <w:r>
              <w:rPr>
                <w:rFonts w:ascii="Arial" w:cs="Arial" w:eastAsia="Arial" w:hAnsi="Arial"/>
                <w:sz w:val="18"/>
                <w:szCs w:val="18"/>
                <w:color w:val="auto"/>
              </w:rPr>
              <w:t>10.27</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4/26/18</w:t>
            </w: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920" w:type="dxa"/>
            <w:vAlign w:val="bottom"/>
            <w:tcBorders>
              <w:bottom w:val="single" w:sz="8" w:color="0000EE"/>
            </w:tcBorders>
            <w:gridSpan w:val="19"/>
          </w:tcPr>
          <w:p>
            <w:pPr>
              <w:spacing w:after="0" w:line="182" w:lineRule="exact"/>
              <w:rPr>
                <w:rFonts w:ascii="Arial" w:cs="Arial" w:eastAsia="Arial" w:hAnsi="Arial"/>
                <w:sz w:val="18"/>
                <w:szCs w:val="18"/>
                <w:color w:val="0000EE"/>
                <w:w w:val="99"/>
              </w:rPr>
            </w:pPr>
            <w:hyperlink r:id="rId195">
              <w:r>
                <w:rPr>
                  <w:rFonts w:ascii="Arial" w:cs="Arial" w:eastAsia="Arial" w:hAnsi="Arial"/>
                  <w:sz w:val="18"/>
                  <w:szCs w:val="18"/>
                  <w:color w:val="0000EE"/>
                  <w:w w:val="99"/>
                </w:rPr>
                <w:t>Under the Microsoft Corporation 2017 Stock Plan</w:t>
              </w:r>
            </w:hyperlink>
          </w:p>
        </w:tc>
        <w:tc>
          <w:tcPr>
            <w:tcW w:w="280" w:type="dxa"/>
            <w:vAlign w:val="bottom"/>
            <w:gridSpan w:val="9"/>
          </w:tcPr>
          <w:p>
            <w:pPr>
              <w:spacing w:after="0"/>
              <w:rPr>
                <w:sz w:val="15"/>
                <w:szCs w:val="15"/>
                <w:color w:val="auto"/>
              </w:rPr>
            </w:pPr>
          </w:p>
        </w:tc>
        <w:tc>
          <w:tcPr>
            <w:tcW w:w="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1120" w:type="dxa"/>
            <w:vAlign w:val="bottom"/>
          </w:tcPr>
          <w:p>
            <w:pPr>
              <w:spacing w:after="0"/>
              <w:rPr>
                <w:sz w:val="20"/>
                <w:szCs w:val="20"/>
                <w:color w:val="auto"/>
              </w:rPr>
            </w:pPr>
            <w:r>
              <w:rPr>
                <w:rFonts w:ascii="Arial" w:cs="Arial" w:eastAsia="Arial" w:hAnsi="Arial"/>
                <w:sz w:val="18"/>
                <w:szCs w:val="18"/>
                <w:color w:val="auto"/>
              </w:rPr>
              <w:t>10.12</w:t>
            </w:r>
          </w:p>
        </w:tc>
        <w:tc>
          <w:tcPr>
            <w:tcW w:w="4200" w:type="dxa"/>
            <w:vAlign w:val="bottom"/>
            <w:gridSpan w:val="28"/>
          </w:tcPr>
          <w:p>
            <w:pPr>
              <w:spacing w:after="0"/>
              <w:rPr>
                <w:rFonts w:ascii="Arial" w:cs="Arial" w:eastAsia="Arial" w:hAnsi="Arial"/>
                <w:sz w:val="18"/>
                <w:szCs w:val="18"/>
                <w:color w:val="0000EE"/>
              </w:rPr>
            </w:pPr>
            <w:hyperlink r:id="rId196">
              <w:r>
                <w:rPr>
                  <w:rFonts w:ascii="Arial" w:cs="Arial" w:eastAsia="Arial" w:hAnsi="Arial"/>
                  <w:sz w:val="18"/>
                  <w:szCs w:val="18"/>
                  <w:color w:val="0000EE"/>
                </w:rPr>
                <w:t>Amended and Restated Officers’ Indemnification</w:t>
              </w:r>
            </w:hyperlink>
          </w:p>
        </w:tc>
        <w:tc>
          <w:tcPr>
            <w:tcW w:w="84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10-Q</w:t>
            </w:r>
          </w:p>
        </w:tc>
        <w:tc>
          <w:tcPr>
            <w:tcW w:w="1140" w:type="dxa"/>
            <w:vAlign w:val="bottom"/>
          </w:tcPr>
          <w:p>
            <w:pPr>
              <w:jc w:val="right"/>
              <w:ind w:right="77"/>
              <w:spacing w:after="0"/>
              <w:rPr>
                <w:sz w:val="20"/>
                <w:szCs w:val="20"/>
                <w:color w:val="auto"/>
              </w:rPr>
            </w:pPr>
            <w:r>
              <w:rPr>
                <w:rFonts w:ascii="Arial" w:cs="Arial" w:eastAsia="Arial" w:hAnsi="Arial"/>
                <w:sz w:val="18"/>
                <w:szCs w:val="18"/>
                <w:color w:val="auto"/>
              </w:rPr>
              <w:t>9/30/16</w:t>
            </w:r>
          </w:p>
        </w:tc>
        <w:tc>
          <w:tcPr>
            <w:tcW w:w="1540" w:type="dxa"/>
            <w:vAlign w:val="bottom"/>
          </w:tcPr>
          <w:p>
            <w:pPr>
              <w:jc w:val="right"/>
              <w:ind w:right="612"/>
              <w:spacing w:after="0"/>
              <w:rPr>
                <w:sz w:val="20"/>
                <w:szCs w:val="20"/>
                <w:color w:val="auto"/>
              </w:rPr>
            </w:pPr>
            <w:r>
              <w:rPr>
                <w:rFonts w:ascii="Arial" w:cs="Arial" w:eastAsia="Arial" w:hAnsi="Arial"/>
                <w:sz w:val="18"/>
                <w:szCs w:val="18"/>
                <w:color w:val="auto"/>
              </w:rPr>
              <w:t>10.12</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10/20/16</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980" w:type="dxa"/>
            <w:vAlign w:val="bottom"/>
            <w:gridSpan w:val="13"/>
            <w:shd w:val="clear" w:color="auto" w:fill="0000EE"/>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20" w:type="dxa"/>
            <w:vAlign w:val="bottom"/>
          </w:tcPr>
          <w:p>
            <w:pPr>
              <w:spacing w:after="0"/>
              <w:rPr>
                <w:sz w:val="15"/>
                <w:szCs w:val="15"/>
                <w:color w:val="auto"/>
              </w:rPr>
            </w:pPr>
          </w:p>
        </w:tc>
        <w:tc>
          <w:tcPr>
            <w:tcW w:w="4200" w:type="dxa"/>
            <w:vAlign w:val="bottom"/>
            <w:gridSpan w:val="28"/>
          </w:tcPr>
          <w:p>
            <w:pPr>
              <w:spacing w:after="0" w:line="182" w:lineRule="exact"/>
              <w:rPr>
                <w:rFonts w:ascii="Arial" w:cs="Arial" w:eastAsia="Arial" w:hAnsi="Arial"/>
                <w:sz w:val="18"/>
                <w:szCs w:val="18"/>
                <w:color w:val="0000EE"/>
                <w:w w:val="99"/>
              </w:rPr>
            </w:pPr>
            <w:hyperlink r:id="rId196">
              <w:r>
                <w:rPr>
                  <w:rFonts w:ascii="Arial" w:cs="Arial" w:eastAsia="Arial" w:hAnsi="Arial"/>
                  <w:sz w:val="18"/>
                  <w:szCs w:val="18"/>
                  <w:color w:val="0000EE"/>
                  <w:w w:val="99"/>
                </w:rPr>
                <w:t>Trust Agreement between Microsoft Corporation and</w:t>
              </w:r>
            </w:hyperlink>
          </w:p>
        </w:tc>
        <w:tc>
          <w:tcPr>
            <w:tcW w:w="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080" w:type="dxa"/>
            <w:vAlign w:val="bottom"/>
            <w:tcBorders>
              <w:top w:val="single" w:sz="8" w:color="0000EE"/>
            </w:tcBorders>
            <w:gridSpan w:val="27"/>
          </w:tcPr>
          <w:p>
            <w:pPr>
              <w:spacing w:after="0" w:line="182" w:lineRule="exact"/>
              <w:rPr>
                <w:rFonts w:ascii="Arial" w:cs="Arial" w:eastAsia="Arial" w:hAnsi="Arial"/>
                <w:sz w:val="18"/>
                <w:szCs w:val="18"/>
                <w:color w:val="0000EE"/>
                <w:w w:val="97"/>
              </w:rPr>
            </w:pPr>
            <w:hyperlink r:id="rId196">
              <w:r>
                <w:rPr>
                  <w:rFonts w:ascii="Arial" w:cs="Arial" w:eastAsia="Arial" w:hAnsi="Arial"/>
                  <w:sz w:val="18"/>
                  <w:szCs w:val="18"/>
                  <w:color w:val="0000EE"/>
                  <w:w w:val="97"/>
                </w:rPr>
                <w:t>The Bank of New York Mellon Trust Company, N.A.,</w:t>
              </w:r>
            </w:hyperlink>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020" w:type="dxa"/>
            <w:vAlign w:val="bottom"/>
            <w:tcBorders>
              <w:top w:val="single" w:sz="8" w:color="0000EE"/>
            </w:tcBorders>
            <w:gridSpan w:val="24"/>
          </w:tcPr>
          <w:p>
            <w:pPr>
              <w:spacing w:after="0" w:line="182" w:lineRule="exact"/>
              <w:rPr>
                <w:rFonts w:ascii="Arial" w:cs="Arial" w:eastAsia="Arial" w:hAnsi="Arial"/>
                <w:sz w:val="18"/>
                <w:szCs w:val="18"/>
                <w:color w:val="0000EE"/>
              </w:rPr>
            </w:pPr>
            <w:hyperlink r:id="rId196">
              <w:r>
                <w:rPr>
                  <w:rFonts w:ascii="Arial" w:cs="Arial" w:eastAsia="Arial" w:hAnsi="Arial"/>
                  <w:sz w:val="18"/>
                  <w:szCs w:val="18"/>
                  <w:color w:val="0000EE"/>
                </w:rPr>
                <w:t>as trustee</w:t>
              </w:r>
            </w:hyperlink>
          </w:p>
        </w:tc>
        <w:tc>
          <w:tcPr>
            <w:tcW w:w="180" w:type="dxa"/>
            <w:vAlign w:val="bottom"/>
            <w:gridSpan w:val="4"/>
          </w:tcPr>
          <w:p>
            <w:pPr>
              <w:spacing w:after="0"/>
              <w:rPr>
                <w:sz w:val="15"/>
                <w:szCs w:val="15"/>
                <w:color w:val="auto"/>
              </w:rPr>
            </w:pPr>
          </w:p>
        </w:tc>
        <w:tc>
          <w:tcPr>
            <w:tcW w:w="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9"/>
        </w:trPr>
        <w:tc>
          <w:tcPr>
            <w:tcW w:w="112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351"/>
              <w:spacing w:after="0"/>
              <w:rPr>
                <w:sz w:val="20"/>
                <w:szCs w:val="20"/>
                <w:color w:val="auto"/>
              </w:rPr>
            </w:pPr>
            <w:r>
              <w:rPr>
                <w:rFonts w:ascii="Arial" w:cs="Arial" w:eastAsia="Arial" w:hAnsi="Arial"/>
                <w:sz w:val="14"/>
                <w:szCs w:val="14"/>
                <w:color w:val="auto"/>
              </w:rPr>
              <w:t>105</w:t>
            </w: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11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105" w:name="page106"/>
    <w:bookmarkEnd w:id="105"/>
    <w:p>
      <w:pPr>
        <w:ind w:left="5360"/>
        <w:spacing w:after="0"/>
        <w:rPr>
          <w:sz w:val="20"/>
          <w:szCs w:val="20"/>
          <w:color w:val="auto"/>
        </w:rPr>
      </w:pPr>
      <w:r>
        <w:rPr>
          <w:rFonts w:ascii="Arial" w:cs="Arial" w:eastAsia="Arial" w:hAnsi="Arial"/>
          <w:sz w:val="13"/>
          <w:szCs w:val="13"/>
          <w:u w:val="single" w:color="auto"/>
          <w:color w:val="auto"/>
        </w:rPr>
        <w:t>PART IV</w:t>
      </w:r>
    </w:p>
    <w:p>
      <w:pPr>
        <w:ind w:left="5400"/>
        <w:spacing w:after="0"/>
        <w:rPr>
          <w:sz w:val="20"/>
          <w:szCs w:val="20"/>
          <w:color w:val="auto"/>
        </w:rPr>
      </w:pPr>
      <w:r>
        <w:rPr>
          <w:rFonts w:ascii="Arial" w:cs="Arial" w:eastAsia="Arial" w:hAnsi="Arial"/>
          <w:sz w:val="13"/>
          <w:szCs w:val="13"/>
          <w:color w:val="auto"/>
        </w:rPr>
        <w:t>Item 15</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20" w:type="dxa"/>
            <w:vAlign w:val="bottom"/>
            <w:vMerge w:val="restart"/>
          </w:tcPr>
          <w:p>
            <w:pPr>
              <w:spacing w:after="0"/>
              <w:rPr>
                <w:sz w:val="20"/>
                <w:szCs w:val="20"/>
                <w:color w:val="auto"/>
              </w:rPr>
            </w:pPr>
            <w:r>
              <w:rPr>
                <w:rFonts w:ascii="Arial" w:cs="Arial" w:eastAsia="Arial" w:hAnsi="Arial"/>
                <w:sz w:val="13"/>
                <w:szCs w:val="13"/>
                <w:b w:val="1"/>
                <w:bCs w:val="1"/>
                <w:color w:val="auto"/>
              </w:rPr>
              <w:t>Exhibit</w:t>
            </w: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Filed</w:t>
            </w:r>
          </w:p>
        </w:tc>
        <w:tc>
          <w:tcPr>
            <w:tcW w:w="11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2"/>
          </w:tcPr>
          <w:p>
            <w:pPr>
              <w:jc w:val="right"/>
              <w:ind w:right="352"/>
              <w:spacing w:after="0"/>
              <w:rPr>
                <w:sz w:val="20"/>
                <w:szCs w:val="20"/>
                <w:color w:val="auto"/>
              </w:rPr>
            </w:pPr>
            <w:r>
              <w:rPr>
                <w:rFonts w:ascii="Arial" w:cs="Arial" w:eastAsia="Arial" w:hAnsi="Arial"/>
                <w:sz w:val="13"/>
                <w:szCs w:val="13"/>
                <w:b w:val="1"/>
                <w:bCs w:val="1"/>
                <w:color w:val="auto"/>
              </w:rPr>
              <w:t>Incorporated by Reference</w:t>
            </w:r>
          </w:p>
        </w:tc>
        <w:tc>
          <w:tcPr>
            <w:tcW w:w="12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12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1260" w:type="dxa"/>
            <w:vAlign w:val="bottom"/>
          </w:tcPr>
          <w:p>
            <w:pPr>
              <w:jc w:val="right"/>
              <w:ind w:right="196"/>
              <w:spacing w:after="0" w:line="125" w:lineRule="exact"/>
              <w:rPr>
                <w:sz w:val="20"/>
                <w:szCs w:val="20"/>
                <w:color w:val="auto"/>
              </w:rPr>
            </w:pPr>
            <w:r>
              <w:rPr>
                <w:rFonts w:ascii="Arial" w:cs="Arial" w:eastAsia="Arial" w:hAnsi="Arial"/>
                <w:sz w:val="13"/>
                <w:szCs w:val="13"/>
                <w:b w:val="1"/>
                <w:bCs w:val="1"/>
                <w:color w:val="auto"/>
              </w:rPr>
              <w:t>Period</w:t>
            </w:r>
          </w:p>
        </w:tc>
        <w:tc>
          <w:tcPr>
            <w:tcW w:w="13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Number</w:t>
            </w:r>
          </w:p>
        </w:tc>
        <w:tc>
          <w:tcPr>
            <w:tcW w:w="4200" w:type="dxa"/>
            <w:vAlign w:val="bottom"/>
            <w:tcBorders>
              <w:bottom w:val="single" w:sz="8" w:color="auto"/>
            </w:tcBorders>
            <w:gridSpan w:val="25"/>
          </w:tcPr>
          <w:p>
            <w:pPr>
              <w:ind w:left="20"/>
              <w:spacing w:after="0"/>
              <w:rPr>
                <w:sz w:val="20"/>
                <w:szCs w:val="20"/>
                <w:color w:val="auto"/>
              </w:rPr>
            </w:pPr>
            <w:r>
              <w:rPr>
                <w:rFonts w:ascii="Arial" w:cs="Arial" w:eastAsia="Arial" w:hAnsi="Arial"/>
                <w:sz w:val="13"/>
                <w:szCs w:val="13"/>
                <w:b w:val="1"/>
                <w:bCs w:val="1"/>
                <w:color w:val="auto"/>
              </w:rPr>
              <w:t>Exhibit Description</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Herewith</w:t>
            </w:r>
          </w:p>
        </w:tc>
        <w:tc>
          <w:tcPr>
            <w:tcW w:w="1160" w:type="dxa"/>
            <w:vAlign w:val="bottom"/>
            <w:tcBorders>
              <w:bottom w:val="single" w:sz="8" w:color="auto"/>
            </w:tcBorders>
          </w:tcPr>
          <w:p>
            <w:pPr>
              <w:jc w:val="right"/>
              <w:ind w:right="132"/>
              <w:spacing w:after="0"/>
              <w:rPr>
                <w:sz w:val="20"/>
                <w:szCs w:val="20"/>
                <w:color w:val="auto"/>
              </w:rPr>
            </w:pPr>
            <w:r>
              <w:rPr>
                <w:rFonts w:ascii="Arial" w:cs="Arial" w:eastAsia="Arial" w:hAnsi="Arial"/>
                <w:sz w:val="13"/>
                <w:szCs w:val="13"/>
                <w:b w:val="1"/>
                <w:bCs w:val="1"/>
                <w:color w:val="auto"/>
              </w:rPr>
              <w:t>Form</w:t>
            </w:r>
          </w:p>
        </w:tc>
        <w:tc>
          <w:tcPr>
            <w:tcW w:w="126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Ending</w:t>
            </w:r>
          </w:p>
        </w:tc>
        <w:tc>
          <w:tcPr>
            <w:tcW w:w="1380" w:type="dxa"/>
            <w:vAlign w:val="bottom"/>
            <w:tcBorders>
              <w:bottom w:val="single" w:sz="8" w:color="auto"/>
            </w:tcBorders>
          </w:tcPr>
          <w:p>
            <w:pPr>
              <w:jc w:val="right"/>
              <w:ind w:right="572"/>
              <w:spacing w:after="0"/>
              <w:rPr>
                <w:sz w:val="20"/>
                <w:szCs w:val="20"/>
                <w:color w:val="auto"/>
              </w:rPr>
            </w:pPr>
            <w:r>
              <w:rPr>
                <w:rFonts w:ascii="Arial" w:cs="Arial" w:eastAsia="Arial" w:hAnsi="Arial"/>
                <w:sz w:val="13"/>
                <w:szCs w:val="13"/>
                <w:b w:val="1"/>
                <w:bCs w:val="1"/>
                <w:color w:val="auto"/>
              </w:rPr>
              <w:t>Exhibit</w:t>
            </w:r>
          </w:p>
        </w:tc>
        <w:tc>
          <w:tcPr>
            <w:tcW w:w="1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b w:val="1"/>
                <w:bCs w:val="1"/>
                <w:color w:val="auto"/>
              </w:rPr>
              <w:t>Filing Date</w:t>
            </w:r>
          </w:p>
        </w:tc>
        <w:tc>
          <w:tcPr>
            <w:tcW w:w="0" w:type="dxa"/>
            <w:vAlign w:val="bottom"/>
          </w:tcPr>
          <w:p>
            <w:pPr>
              <w:spacing w:after="0"/>
              <w:rPr>
                <w:sz w:val="1"/>
                <w:szCs w:val="1"/>
                <w:color w:val="auto"/>
              </w:rPr>
            </w:pPr>
          </w:p>
        </w:tc>
      </w:tr>
      <w:tr>
        <w:trPr>
          <w:trHeight w:val="276"/>
        </w:trPr>
        <w:tc>
          <w:tcPr>
            <w:tcW w:w="1120" w:type="dxa"/>
            <w:vAlign w:val="bottom"/>
          </w:tcPr>
          <w:p>
            <w:pPr>
              <w:spacing w:after="0"/>
              <w:rPr>
                <w:sz w:val="20"/>
                <w:szCs w:val="20"/>
                <w:color w:val="auto"/>
              </w:rPr>
            </w:pPr>
            <w:r>
              <w:rPr>
                <w:rFonts w:ascii="Arial" w:cs="Arial" w:eastAsia="Arial" w:hAnsi="Arial"/>
                <w:sz w:val="18"/>
                <w:szCs w:val="18"/>
                <w:color w:val="auto"/>
              </w:rPr>
              <w:t>10.13</w:t>
            </w:r>
          </w:p>
        </w:tc>
        <w:tc>
          <w:tcPr>
            <w:tcW w:w="3980" w:type="dxa"/>
            <w:vAlign w:val="bottom"/>
            <w:tcBorders>
              <w:bottom w:val="single" w:sz="8" w:color="0000EE"/>
            </w:tcBorders>
            <w:gridSpan w:val="19"/>
          </w:tcPr>
          <w:p>
            <w:pPr>
              <w:spacing w:after="0"/>
              <w:rPr>
                <w:rFonts w:ascii="Arial" w:cs="Arial" w:eastAsia="Arial" w:hAnsi="Arial"/>
                <w:sz w:val="18"/>
                <w:szCs w:val="18"/>
                <w:color w:val="0000EE"/>
                <w:w w:val="99"/>
              </w:rPr>
            </w:pPr>
            <w:hyperlink r:id="rId199">
              <w:r>
                <w:rPr>
                  <w:rFonts w:ascii="Arial" w:cs="Arial" w:eastAsia="Arial" w:hAnsi="Arial"/>
                  <w:sz w:val="18"/>
                  <w:szCs w:val="18"/>
                  <w:color w:val="0000EE"/>
                  <w:w w:val="99"/>
                </w:rPr>
                <w:t>Form of Indemnification Agreement and Amended</w:t>
              </w:r>
            </w:hyperlink>
          </w:p>
        </w:tc>
        <w:tc>
          <w:tcPr>
            <w:tcW w:w="220" w:type="dxa"/>
            <w:vAlign w:val="bottom"/>
            <w:gridSpan w:val="6"/>
          </w:tcPr>
          <w:p>
            <w:pPr>
              <w:spacing w:after="0"/>
              <w:rPr>
                <w:sz w:val="23"/>
                <w:szCs w:val="23"/>
                <w:color w:val="auto"/>
              </w:rPr>
            </w:pPr>
          </w:p>
        </w:tc>
        <w:tc>
          <w:tcPr>
            <w:tcW w:w="840" w:type="dxa"/>
            <w:vAlign w:val="bottom"/>
          </w:tcPr>
          <w:p>
            <w:pPr>
              <w:spacing w:after="0"/>
              <w:rPr>
                <w:sz w:val="23"/>
                <w:szCs w:val="23"/>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10-K</w:t>
            </w:r>
          </w:p>
        </w:tc>
        <w:tc>
          <w:tcPr>
            <w:tcW w:w="1260" w:type="dxa"/>
            <w:vAlign w:val="bottom"/>
          </w:tcPr>
          <w:p>
            <w:pPr>
              <w:jc w:val="right"/>
              <w:ind w:right="196"/>
              <w:spacing w:after="0"/>
              <w:rPr>
                <w:sz w:val="20"/>
                <w:szCs w:val="20"/>
                <w:color w:val="auto"/>
              </w:rPr>
            </w:pPr>
            <w:r>
              <w:rPr>
                <w:rFonts w:ascii="Arial" w:cs="Arial" w:eastAsia="Arial" w:hAnsi="Arial"/>
                <w:sz w:val="18"/>
                <w:szCs w:val="18"/>
                <w:color w:val="auto"/>
              </w:rPr>
              <w:t>6/30/19</w:t>
            </w:r>
          </w:p>
        </w:tc>
        <w:tc>
          <w:tcPr>
            <w:tcW w:w="1380" w:type="dxa"/>
            <w:vAlign w:val="bottom"/>
          </w:tcPr>
          <w:p>
            <w:pPr>
              <w:jc w:val="right"/>
              <w:ind w:right="572"/>
              <w:spacing w:after="0"/>
              <w:rPr>
                <w:sz w:val="20"/>
                <w:szCs w:val="20"/>
                <w:color w:val="auto"/>
              </w:rPr>
            </w:pPr>
            <w:r>
              <w:rPr>
                <w:rFonts w:ascii="Arial" w:cs="Arial" w:eastAsia="Arial" w:hAnsi="Arial"/>
                <w:sz w:val="18"/>
                <w:szCs w:val="18"/>
                <w:color w:val="auto"/>
              </w:rPr>
              <w:t>10.13</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8/1/19</w:t>
            </w: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200" w:type="dxa"/>
            <w:vAlign w:val="bottom"/>
            <w:gridSpan w:val="25"/>
          </w:tcPr>
          <w:p>
            <w:pPr>
              <w:spacing w:after="0" w:line="182" w:lineRule="exact"/>
              <w:rPr>
                <w:rFonts w:ascii="Arial" w:cs="Arial" w:eastAsia="Arial" w:hAnsi="Arial"/>
                <w:sz w:val="18"/>
                <w:szCs w:val="18"/>
                <w:color w:val="0000EE"/>
              </w:rPr>
            </w:pPr>
            <w:hyperlink r:id="rId199">
              <w:r>
                <w:rPr>
                  <w:rFonts w:ascii="Arial" w:cs="Arial" w:eastAsia="Arial" w:hAnsi="Arial"/>
                  <w:sz w:val="18"/>
                  <w:szCs w:val="18"/>
                  <w:color w:val="0000EE"/>
                </w:rPr>
                <w:t>and Restated Directors’ Indemnification Trust</w:t>
              </w:r>
            </w:hyperlink>
          </w:p>
        </w:tc>
        <w:tc>
          <w:tcPr>
            <w:tcW w:w="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20" w:type="dxa"/>
            <w:vAlign w:val="bottom"/>
          </w:tcPr>
          <w:p>
            <w:pPr>
              <w:spacing w:after="0"/>
              <w:rPr>
                <w:sz w:val="15"/>
                <w:szCs w:val="15"/>
                <w:color w:val="auto"/>
              </w:rPr>
            </w:pPr>
          </w:p>
        </w:tc>
        <w:tc>
          <w:tcPr>
            <w:tcW w:w="4120" w:type="dxa"/>
            <w:vAlign w:val="bottom"/>
            <w:tcBorders>
              <w:bottom w:val="single" w:sz="8" w:color="0000EE"/>
            </w:tcBorders>
            <w:gridSpan w:val="24"/>
          </w:tcPr>
          <w:p>
            <w:pPr>
              <w:spacing w:after="0" w:line="182" w:lineRule="exact"/>
              <w:rPr>
                <w:rFonts w:ascii="Arial" w:cs="Arial" w:eastAsia="Arial" w:hAnsi="Arial"/>
                <w:sz w:val="18"/>
                <w:szCs w:val="18"/>
                <w:color w:val="0000EE"/>
              </w:rPr>
            </w:pPr>
            <w:hyperlink r:id="rId199">
              <w:r>
                <w:rPr>
                  <w:rFonts w:ascii="Arial" w:cs="Arial" w:eastAsia="Arial" w:hAnsi="Arial"/>
                  <w:sz w:val="18"/>
                  <w:szCs w:val="18"/>
                  <w:color w:val="0000EE"/>
                </w:rPr>
                <w:t>Agreement between Microsoft Corporation and The</w:t>
              </w:r>
            </w:hyperlink>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000" w:type="dxa"/>
            <w:vAlign w:val="bottom"/>
            <w:tcBorders>
              <w:bottom w:val="single" w:sz="8" w:color="0000EE"/>
            </w:tcBorders>
            <w:gridSpan w:val="20"/>
          </w:tcPr>
          <w:p>
            <w:pPr>
              <w:spacing w:after="0" w:line="182" w:lineRule="exact"/>
              <w:rPr>
                <w:rFonts w:ascii="Arial" w:cs="Arial" w:eastAsia="Arial" w:hAnsi="Arial"/>
                <w:sz w:val="18"/>
                <w:szCs w:val="18"/>
                <w:color w:val="0000EE"/>
                <w:w w:val="98"/>
              </w:rPr>
            </w:pPr>
            <w:hyperlink r:id="rId199">
              <w:r>
                <w:rPr>
                  <w:rFonts w:ascii="Arial" w:cs="Arial" w:eastAsia="Arial" w:hAnsi="Arial"/>
                  <w:sz w:val="18"/>
                  <w:szCs w:val="18"/>
                  <w:color w:val="0000EE"/>
                  <w:w w:val="98"/>
                </w:rPr>
                <w:t>Bank of New York Mellon Trust Company, N.A., as</w:t>
              </w:r>
            </w:hyperlink>
          </w:p>
        </w:tc>
        <w:tc>
          <w:tcPr>
            <w:tcW w:w="200" w:type="dxa"/>
            <w:vAlign w:val="bottom"/>
            <w:gridSpan w:val="5"/>
          </w:tcPr>
          <w:p>
            <w:pPr>
              <w:spacing w:after="0"/>
              <w:rPr>
                <w:sz w:val="15"/>
                <w:szCs w:val="15"/>
                <w:color w:val="auto"/>
              </w:rPr>
            </w:pPr>
          </w:p>
        </w:tc>
        <w:tc>
          <w:tcPr>
            <w:tcW w:w="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560" w:type="dxa"/>
            <w:vAlign w:val="bottom"/>
            <w:tcBorders>
              <w:bottom w:val="single" w:sz="8" w:color="0000EE"/>
            </w:tcBorders>
          </w:tcPr>
          <w:p>
            <w:pPr>
              <w:spacing w:after="0" w:line="182" w:lineRule="exact"/>
              <w:rPr>
                <w:rFonts w:ascii="Arial" w:cs="Arial" w:eastAsia="Arial" w:hAnsi="Arial"/>
                <w:sz w:val="18"/>
                <w:szCs w:val="18"/>
                <w:color w:val="0000EE"/>
                <w:w w:val="98"/>
              </w:rPr>
            </w:pPr>
            <w:hyperlink r:id="rId199">
              <w:r>
                <w:rPr>
                  <w:rFonts w:ascii="Arial" w:cs="Arial" w:eastAsia="Arial" w:hAnsi="Arial"/>
                  <w:sz w:val="18"/>
                  <w:szCs w:val="18"/>
                  <w:color w:val="0000EE"/>
                  <w:w w:val="98"/>
                </w:rPr>
                <w:t>trustee</w:t>
              </w:r>
            </w:hyperlink>
          </w:p>
        </w:tc>
        <w:tc>
          <w:tcPr>
            <w:tcW w:w="3640" w:type="dxa"/>
            <w:vAlign w:val="bottom"/>
            <w:gridSpan w:val="24"/>
          </w:tcPr>
          <w:p>
            <w:pPr>
              <w:spacing w:after="0"/>
              <w:rPr>
                <w:sz w:val="15"/>
                <w:szCs w:val="15"/>
                <w:color w:val="auto"/>
              </w:rPr>
            </w:pPr>
          </w:p>
        </w:tc>
        <w:tc>
          <w:tcPr>
            <w:tcW w:w="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1120" w:type="dxa"/>
            <w:vAlign w:val="bottom"/>
          </w:tcPr>
          <w:p>
            <w:pPr>
              <w:spacing w:after="0"/>
              <w:rPr>
                <w:sz w:val="20"/>
                <w:szCs w:val="20"/>
                <w:color w:val="auto"/>
              </w:rPr>
            </w:pPr>
            <w:r>
              <w:rPr>
                <w:rFonts w:ascii="Arial" w:cs="Arial" w:eastAsia="Arial" w:hAnsi="Arial"/>
                <w:sz w:val="18"/>
                <w:szCs w:val="18"/>
                <w:color w:val="auto"/>
              </w:rPr>
              <w:t>10.14*</w:t>
            </w:r>
          </w:p>
        </w:tc>
        <w:tc>
          <w:tcPr>
            <w:tcW w:w="4120" w:type="dxa"/>
            <w:vAlign w:val="bottom"/>
            <w:tcBorders>
              <w:bottom w:val="single" w:sz="8" w:color="0000EE"/>
            </w:tcBorders>
            <w:gridSpan w:val="24"/>
          </w:tcPr>
          <w:p>
            <w:pPr>
              <w:spacing w:after="0"/>
              <w:rPr>
                <w:rFonts w:ascii="Arial" w:cs="Arial" w:eastAsia="Arial" w:hAnsi="Arial"/>
                <w:sz w:val="18"/>
                <w:szCs w:val="18"/>
                <w:color w:val="0000EE"/>
              </w:rPr>
            </w:pPr>
            <w:hyperlink r:id="rId200">
              <w:r>
                <w:rPr>
                  <w:rFonts w:ascii="Arial" w:cs="Arial" w:eastAsia="Arial" w:hAnsi="Arial"/>
                  <w:sz w:val="18"/>
                  <w:szCs w:val="18"/>
                  <w:color w:val="0000EE"/>
                </w:rPr>
                <w:t>Microsoft Corporation Deferred Compensation Plan</w:t>
              </w:r>
            </w:hyperlink>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10-Q</w:t>
            </w:r>
          </w:p>
        </w:tc>
        <w:tc>
          <w:tcPr>
            <w:tcW w:w="1260" w:type="dxa"/>
            <w:vAlign w:val="bottom"/>
          </w:tcPr>
          <w:p>
            <w:pPr>
              <w:jc w:val="right"/>
              <w:ind w:right="196"/>
              <w:spacing w:after="0"/>
              <w:rPr>
                <w:sz w:val="20"/>
                <w:szCs w:val="20"/>
                <w:color w:val="auto"/>
              </w:rPr>
            </w:pPr>
            <w:r>
              <w:rPr>
                <w:rFonts w:ascii="Arial" w:cs="Arial" w:eastAsia="Arial" w:hAnsi="Arial"/>
                <w:sz w:val="18"/>
                <w:szCs w:val="18"/>
                <w:color w:val="auto"/>
              </w:rPr>
              <w:t>12/31/17</w:t>
            </w:r>
          </w:p>
        </w:tc>
        <w:tc>
          <w:tcPr>
            <w:tcW w:w="1380" w:type="dxa"/>
            <w:vAlign w:val="bottom"/>
          </w:tcPr>
          <w:p>
            <w:pPr>
              <w:jc w:val="right"/>
              <w:ind w:right="572"/>
              <w:spacing w:after="0"/>
              <w:rPr>
                <w:sz w:val="20"/>
                <w:szCs w:val="20"/>
                <w:color w:val="auto"/>
              </w:rPr>
            </w:pPr>
            <w:r>
              <w:rPr>
                <w:rFonts w:ascii="Arial" w:cs="Arial" w:eastAsia="Arial" w:hAnsi="Arial"/>
                <w:sz w:val="18"/>
                <w:szCs w:val="18"/>
                <w:color w:val="auto"/>
              </w:rPr>
              <w:t>10.14</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1/31/18</w:t>
            </w: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2220" w:type="dxa"/>
            <w:vAlign w:val="bottom"/>
            <w:tcBorders>
              <w:bottom w:val="single" w:sz="8" w:color="0000EE"/>
            </w:tcBorders>
            <w:gridSpan w:val="4"/>
          </w:tcPr>
          <w:p>
            <w:pPr>
              <w:spacing w:after="0" w:line="182" w:lineRule="exact"/>
              <w:rPr>
                <w:rFonts w:ascii="Arial" w:cs="Arial" w:eastAsia="Arial" w:hAnsi="Arial"/>
                <w:sz w:val="18"/>
                <w:szCs w:val="18"/>
                <w:color w:val="0000EE"/>
                <w:w w:val="99"/>
              </w:rPr>
            </w:pPr>
            <w:hyperlink r:id="rId200">
              <w:r>
                <w:rPr>
                  <w:rFonts w:ascii="Arial" w:cs="Arial" w:eastAsia="Arial" w:hAnsi="Arial"/>
                  <w:sz w:val="18"/>
                  <w:szCs w:val="18"/>
                  <w:color w:val="0000EE"/>
                  <w:w w:val="99"/>
                </w:rPr>
                <w:t>for Non-Employee Directors</w:t>
              </w:r>
            </w:hyperlink>
          </w:p>
        </w:tc>
        <w:tc>
          <w:tcPr>
            <w:tcW w:w="1980" w:type="dxa"/>
            <w:vAlign w:val="bottom"/>
            <w:gridSpan w:val="21"/>
          </w:tcPr>
          <w:p>
            <w:pPr>
              <w:spacing w:after="0"/>
              <w:rPr>
                <w:sz w:val="15"/>
                <w:szCs w:val="15"/>
                <w:color w:val="auto"/>
              </w:rPr>
            </w:pPr>
          </w:p>
        </w:tc>
        <w:tc>
          <w:tcPr>
            <w:tcW w:w="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1120" w:type="dxa"/>
            <w:vAlign w:val="bottom"/>
          </w:tcPr>
          <w:p>
            <w:pPr>
              <w:spacing w:after="0"/>
              <w:rPr>
                <w:sz w:val="20"/>
                <w:szCs w:val="20"/>
                <w:color w:val="auto"/>
              </w:rPr>
            </w:pPr>
            <w:r>
              <w:rPr>
                <w:rFonts w:ascii="Arial" w:cs="Arial" w:eastAsia="Arial" w:hAnsi="Arial"/>
                <w:sz w:val="18"/>
                <w:szCs w:val="18"/>
                <w:color w:val="auto"/>
              </w:rPr>
              <w:t>10.15*</w:t>
            </w:r>
          </w:p>
        </w:tc>
        <w:tc>
          <w:tcPr>
            <w:tcW w:w="4200" w:type="dxa"/>
            <w:vAlign w:val="bottom"/>
            <w:gridSpan w:val="25"/>
          </w:tcPr>
          <w:p>
            <w:pPr>
              <w:spacing w:after="0"/>
              <w:rPr>
                <w:rFonts w:ascii="Arial" w:cs="Arial" w:eastAsia="Arial" w:hAnsi="Arial"/>
                <w:sz w:val="18"/>
                <w:szCs w:val="18"/>
                <w:color w:val="0000EE"/>
              </w:rPr>
            </w:pPr>
            <w:hyperlink r:id="rId201">
              <w:r>
                <w:rPr>
                  <w:rFonts w:ascii="Arial" w:cs="Arial" w:eastAsia="Arial" w:hAnsi="Arial"/>
                  <w:sz w:val="18"/>
                  <w:szCs w:val="18"/>
                  <w:color w:val="0000EE"/>
                </w:rPr>
                <w:t>Microsoft Corporation Executive Incentive Plan</w:t>
              </w:r>
            </w:hyperlink>
          </w:p>
        </w:tc>
        <w:tc>
          <w:tcPr>
            <w:tcW w:w="84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8-K</w:t>
            </w:r>
          </w:p>
        </w:tc>
        <w:tc>
          <w:tcPr>
            <w:tcW w:w="1260" w:type="dxa"/>
            <w:vAlign w:val="bottom"/>
          </w:tcPr>
          <w:p>
            <w:pPr>
              <w:spacing w:after="0"/>
              <w:rPr>
                <w:sz w:val="24"/>
                <w:szCs w:val="24"/>
                <w:color w:val="auto"/>
              </w:rPr>
            </w:pPr>
          </w:p>
        </w:tc>
        <w:tc>
          <w:tcPr>
            <w:tcW w:w="1380" w:type="dxa"/>
            <w:vAlign w:val="bottom"/>
          </w:tcPr>
          <w:p>
            <w:pPr>
              <w:jc w:val="right"/>
              <w:ind w:right="572"/>
              <w:spacing w:after="0"/>
              <w:rPr>
                <w:sz w:val="20"/>
                <w:szCs w:val="20"/>
                <w:color w:val="auto"/>
              </w:rPr>
            </w:pPr>
            <w:r>
              <w:rPr>
                <w:rFonts w:ascii="Arial" w:cs="Arial" w:eastAsia="Arial" w:hAnsi="Arial"/>
                <w:sz w:val="18"/>
                <w:szCs w:val="18"/>
                <w:color w:val="auto"/>
              </w:rPr>
              <w:t>10.1</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9/19/18</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1120" w:type="dxa"/>
            <w:vAlign w:val="bottom"/>
          </w:tcPr>
          <w:p>
            <w:pPr>
              <w:spacing w:after="0"/>
              <w:rPr>
                <w:sz w:val="20"/>
                <w:szCs w:val="20"/>
                <w:color w:val="auto"/>
              </w:rPr>
            </w:pPr>
            <w:r>
              <w:rPr>
                <w:rFonts w:ascii="Arial" w:cs="Arial" w:eastAsia="Arial" w:hAnsi="Arial"/>
                <w:sz w:val="18"/>
                <w:szCs w:val="18"/>
                <w:color w:val="auto"/>
              </w:rPr>
              <w:t>10.19*</w:t>
            </w:r>
          </w:p>
        </w:tc>
        <w:tc>
          <w:tcPr>
            <w:tcW w:w="4200" w:type="dxa"/>
            <w:vAlign w:val="bottom"/>
            <w:gridSpan w:val="25"/>
          </w:tcPr>
          <w:p>
            <w:pPr>
              <w:spacing w:after="0"/>
              <w:rPr>
                <w:rFonts w:ascii="Arial" w:cs="Arial" w:eastAsia="Arial" w:hAnsi="Arial"/>
                <w:sz w:val="18"/>
                <w:szCs w:val="18"/>
                <w:color w:val="0000EE"/>
              </w:rPr>
            </w:pPr>
            <w:hyperlink r:id="rId202">
              <w:r>
                <w:rPr>
                  <w:rFonts w:ascii="Arial" w:cs="Arial" w:eastAsia="Arial" w:hAnsi="Arial"/>
                  <w:sz w:val="18"/>
                  <w:szCs w:val="18"/>
                  <w:color w:val="0000EE"/>
                </w:rPr>
                <w:t>Microsoft Corporation Executive Incentive Plan</w:t>
              </w:r>
            </w:hyperlink>
          </w:p>
        </w:tc>
        <w:tc>
          <w:tcPr>
            <w:tcW w:w="84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10-Q</w:t>
            </w:r>
          </w:p>
        </w:tc>
        <w:tc>
          <w:tcPr>
            <w:tcW w:w="1260" w:type="dxa"/>
            <w:vAlign w:val="bottom"/>
          </w:tcPr>
          <w:p>
            <w:pPr>
              <w:jc w:val="right"/>
              <w:ind w:right="196"/>
              <w:spacing w:after="0"/>
              <w:rPr>
                <w:sz w:val="20"/>
                <w:szCs w:val="20"/>
                <w:color w:val="auto"/>
              </w:rPr>
            </w:pPr>
            <w:r>
              <w:rPr>
                <w:rFonts w:ascii="Arial" w:cs="Arial" w:eastAsia="Arial" w:hAnsi="Arial"/>
                <w:sz w:val="18"/>
                <w:szCs w:val="18"/>
                <w:color w:val="auto"/>
              </w:rPr>
              <w:t>9/30/16</w:t>
            </w:r>
          </w:p>
        </w:tc>
        <w:tc>
          <w:tcPr>
            <w:tcW w:w="1380" w:type="dxa"/>
            <w:vAlign w:val="bottom"/>
          </w:tcPr>
          <w:p>
            <w:pPr>
              <w:jc w:val="right"/>
              <w:ind w:right="572"/>
              <w:spacing w:after="0"/>
              <w:rPr>
                <w:sz w:val="20"/>
                <w:szCs w:val="20"/>
                <w:color w:val="auto"/>
              </w:rPr>
            </w:pPr>
            <w:r>
              <w:rPr>
                <w:rFonts w:ascii="Arial" w:cs="Arial" w:eastAsia="Arial" w:hAnsi="Arial"/>
                <w:sz w:val="18"/>
                <w:szCs w:val="18"/>
                <w:color w:val="auto"/>
              </w:rPr>
              <w:t>10.17</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10/20/16</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1120" w:type="dxa"/>
            <w:vAlign w:val="bottom"/>
          </w:tcPr>
          <w:p>
            <w:pPr>
              <w:spacing w:after="0"/>
              <w:rPr>
                <w:sz w:val="20"/>
                <w:szCs w:val="20"/>
                <w:color w:val="auto"/>
              </w:rPr>
            </w:pPr>
            <w:r>
              <w:rPr>
                <w:rFonts w:ascii="Arial" w:cs="Arial" w:eastAsia="Arial" w:hAnsi="Arial"/>
                <w:sz w:val="18"/>
                <w:szCs w:val="18"/>
                <w:color w:val="auto"/>
              </w:rPr>
              <w:t>10.20*</w:t>
            </w:r>
          </w:p>
        </w:tc>
        <w:tc>
          <w:tcPr>
            <w:tcW w:w="4120" w:type="dxa"/>
            <w:vAlign w:val="bottom"/>
            <w:tcBorders>
              <w:bottom w:val="single" w:sz="8" w:color="0000EE"/>
            </w:tcBorders>
            <w:gridSpan w:val="24"/>
          </w:tcPr>
          <w:p>
            <w:pPr>
              <w:spacing w:after="0"/>
              <w:rPr>
                <w:rFonts w:ascii="Arial" w:cs="Arial" w:eastAsia="Arial" w:hAnsi="Arial"/>
                <w:sz w:val="18"/>
                <w:szCs w:val="18"/>
                <w:color w:val="0000EE"/>
                <w:w w:val="99"/>
              </w:rPr>
            </w:pPr>
            <w:hyperlink r:id="rId203">
              <w:r>
                <w:rPr>
                  <w:rFonts w:ascii="Arial" w:cs="Arial" w:eastAsia="Arial" w:hAnsi="Arial"/>
                  <w:sz w:val="18"/>
                  <w:szCs w:val="18"/>
                  <w:color w:val="0000EE"/>
                  <w:w w:val="99"/>
                </w:rPr>
                <w:t>Form of Executive Incentive Plan (Executive Officer</w:t>
              </w:r>
            </w:hyperlink>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10-Q</w:t>
            </w:r>
          </w:p>
        </w:tc>
        <w:tc>
          <w:tcPr>
            <w:tcW w:w="1260" w:type="dxa"/>
            <w:vAlign w:val="bottom"/>
          </w:tcPr>
          <w:p>
            <w:pPr>
              <w:jc w:val="right"/>
              <w:ind w:right="196"/>
              <w:spacing w:after="0"/>
              <w:rPr>
                <w:sz w:val="20"/>
                <w:szCs w:val="20"/>
                <w:color w:val="auto"/>
              </w:rPr>
            </w:pPr>
            <w:r>
              <w:rPr>
                <w:rFonts w:ascii="Arial" w:cs="Arial" w:eastAsia="Arial" w:hAnsi="Arial"/>
                <w:sz w:val="18"/>
                <w:szCs w:val="18"/>
                <w:color w:val="auto"/>
              </w:rPr>
              <w:t>9/30/16</w:t>
            </w:r>
          </w:p>
        </w:tc>
        <w:tc>
          <w:tcPr>
            <w:tcW w:w="1380" w:type="dxa"/>
            <w:vAlign w:val="bottom"/>
          </w:tcPr>
          <w:p>
            <w:pPr>
              <w:jc w:val="right"/>
              <w:ind w:right="572"/>
              <w:spacing w:after="0"/>
              <w:rPr>
                <w:sz w:val="20"/>
                <w:szCs w:val="20"/>
                <w:color w:val="auto"/>
              </w:rPr>
            </w:pPr>
            <w:r>
              <w:rPr>
                <w:rFonts w:ascii="Arial" w:cs="Arial" w:eastAsia="Arial" w:hAnsi="Arial"/>
                <w:sz w:val="18"/>
                <w:szCs w:val="18"/>
                <w:color w:val="auto"/>
              </w:rPr>
              <w:t>10.18</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10/20/16</w:t>
            </w: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960" w:type="dxa"/>
            <w:vAlign w:val="bottom"/>
            <w:tcBorders>
              <w:bottom w:val="single" w:sz="8" w:color="0000EE"/>
            </w:tcBorders>
            <w:gridSpan w:val="18"/>
          </w:tcPr>
          <w:p>
            <w:pPr>
              <w:spacing w:after="0" w:line="182" w:lineRule="exact"/>
              <w:rPr>
                <w:rFonts w:ascii="Arial" w:cs="Arial" w:eastAsia="Arial" w:hAnsi="Arial"/>
                <w:sz w:val="18"/>
                <w:szCs w:val="18"/>
                <w:color w:val="0000EE"/>
                <w:w w:val="99"/>
              </w:rPr>
            </w:pPr>
            <w:hyperlink r:id="rId203">
              <w:r>
                <w:rPr>
                  <w:rFonts w:ascii="Arial" w:cs="Arial" w:eastAsia="Arial" w:hAnsi="Arial"/>
                  <w:sz w:val="18"/>
                  <w:szCs w:val="18"/>
                  <w:color w:val="0000EE"/>
                  <w:w w:val="99"/>
                </w:rPr>
                <w:t>SAs) Stock Award Agreement under the Microsoft</w:t>
              </w:r>
            </w:hyperlink>
          </w:p>
        </w:tc>
        <w:tc>
          <w:tcPr>
            <w:tcW w:w="240" w:type="dxa"/>
            <w:vAlign w:val="bottom"/>
            <w:gridSpan w:val="7"/>
          </w:tcPr>
          <w:p>
            <w:pPr>
              <w:spacing w:after="0"/>
              <w:rPr>
                <w:sz w:val="15"/>
                <w:szCs w:val="15"/>
                <w:color w:val="auto"/>
              </w:rPr>
            </w:pPr>
          </w:p>
        </w:tc>
        <w:tc>
          <w:tcPr>
            <w:tcW w:w="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2300" w:type="dxa"/>
            <w:vAlign w:val="bottom"/>
            <w:tcBorders>
              <w:bottom w:val="single" w:sz="8" w:color="0000EE"/>
            </w:tcBorders>
            <w:gridSpan w:val="5"/>
          </w:tcPr>
          <w:p>
            <w:pPr>
              <w:spacing w:after="0" w:line="182" w:lineRule="exact"/>
              <w:rPr>
                <w:rFonts w:ascii="Arial" w:cs="Arial" w:eastAsia="Arial" w:hAnsi="Arial"/>
                <w:sz w:val="18"/>
                <w:szCs w:val="18"/>
                <w:color w:val="0000EE"/>
                <w:w w:val="99"/>
              </w:rPr>
            </w:pPr>
            <w:hyperlink r:id="rId203">
              <w:r>
                <w:rPr>
                  <w:rFonts w:ascii="Arial" w:cs="Arial" w:eastAsia="Arial" w:hAnsi="Arial"/>
                  <w:sz w:val="18"/>
                  <w:szCs w:val="18"/>
                  <w:color w:val="0000EE"/>
                  <w:w w:val="99"/>
                </w:rPr>
                <w:t>Corporation 2001 Stock Plan</w:t>
              </w:r>
            </w:hyperlink>
          </w:p>
        </w:tc>
        <w:tc>
          <w:tcPr>
            <w:tcW w:w="1900" w:type="dxa"/>
            <w:vAlign w:val="bottom"/>
            <w:gridSpan w:val="20"/>
          </w:tcPr>
          <w:p>
            <w:pPr>
              <w:spacing w:after="0"/>
              <w:rPr>
                <w:sz w:val="15"/>
                <w:szCs w:val="15"/>
                <w:color w:val="auto"/>
              </w:rPr>
            </w:pPr>
          </w:p>
        </w:tc>
        <w:tc>
          <w:tcPr>
            <w:tcW w:w="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1120" w:type="dxa"/>
            <w:vAlign w:val="bottom"/>
          </w:tcPr>
          <w:p>
            <w:pPr>
              <w:spacing w:after="0"/>
              <w:rPr>
                <w:sz w:val="20"/>
                <w:szCs w:val="20"/>
                <w:color w:val="auto"/>
              </w:rPr>
            </w:pPr>
            <w:r>
              <w:rPr>
                <w:rFonts w:ascii="Arial" w:cs="Arial" w:eastAsia="Arial" w:hAnsi="Arial"/>
                <w:sz w:val="18"/>
                <w:szCs w:val="18"/>
                <w:color w:val="auto"/>
              </w:rPr>
              <w:t>10.21*</w:t>
            </w:r>
          </w:p>
        </w:tc>
        <w:tc>
          <w:tcPr>
            <w:tcW w:w="4200" w:type="dxa"/>
            <w:vAlign w:val="bottom"/>
            <w:gridSpan w:val="25"/>
          </w:tcPr>
          <w:p>
            <w:pPr>
              <w:spacing w:after="0"/>
              <w:rPr>
                <w:rFonts w:ascii="Arial" w:cs="Arial" w:eastAsia="Arial" w:hAnsi="Arial"/>
                <w:sz w:val="18"/>
                <w:szCs w:val="18"/>
                <w:color w:val="0000EE"/>
              </w:rPr>
            </w:pPr>
            <w:hyperlink r:id="rId204">
              <w:r>
                <w:rPr>
                  <w:rFonts w:ascii="Arial" w:cs="Arial" w:eastAsia="Arial" w:hAnsi="Arial"/>
                  <w:sz w:val="18"/>
                  <w:szCs w:val="18"/>
                  <w:color w:val="0000EE"/>
                </w:rPr>
                <w:t>Form of Executive Incentive Plan Performance</w:t>
              </w:r>
            </w:hyperlink>
          </w:p>
        </w:tc>
        <w:tc>
          <w:tcPr>
            <w:tcW w:w="84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10-Q</w:t>
            </w:r>
          </w:p>
        </w:tc>
        <w:tc>
          <w:tcPr>
            <w:tcW w:w="1260" w:type="dxa"/>
            <w:vAlign w:val="bottom"/>
          </w:tcPr>
          <w:p>
            <w:pPr>
              <w:jc w:val="right"/>
              <w:ind w:right="196"/>
              <w:spacing w:after="0"/>
              <w:rPr>
                <w:sz w:val="20"/>
                <w:szCs w:val="20"/>
                <w:color w:val="auto"/>
              </w:rPr>
            </w:pPr>
            <w:r>
              <w:rPr>
                <w:rFonts w:ascii="Arial" w:cs="Arial" w:eastAsia="Arial" w:hAnsi="Arial"/>
                <w:sz w:val="18"/>
                <w:szCs w:val="18"/>
                <w:color w:val="auto"/>
              </w:rPr>
              <w:t>9/30/16</w:t>
            </w:r>
          </w:p>
        </w:tc>
        <w:tc>
          <w:tcPr>
            <w:tcW w:w="1380" w:type="dxa"/>
            <w:vAlign w:val="bottom"/>
          </w:tcPr>
          <w:p>
            <w:pPr>
              <w:jc w:val="right"/>
              <w:ind w:right="572"/>
              <w:spacing w:after="0"/>
              <w:rPr>
                <w:sz w:val="20"/>
                <w:szCs w:val="20"/>
                <w:color w:val="auto"/>
              </w:rPr>
            </w:pPr>
            <w:r>
              <w:rPr>
                <w:rFonts w:ascii="Arial" w:cs="Arial" w:eastAsia="Arial" w:hAnsi="Arial"/>
                <w:sz w:val="18"/>
                <w:szCs w:val="18"/>
                <w:color w:val="auto"/>
              </w:rPr>
              <w:t>10.25</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10/20/16</w:t>
            </w: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580" w:type="dxa"/>
            <w:vAlign w:val="bottom"/>
            <w:tcBorders>
              <w:top w:val="single" w:sz="8" w:color="0000EE"/>
              <w:bottom w:val="single" w:sz="8" w:color="0000EE"/>
            </w:tcBorders>
            <w:gridSpan w:val="14"/>
          </w:tcPr>
          <w:p>
            <w:pPr>
              <w:spacing w:after="0" w:line="182" w:lineRule="exact"/>
              <w:rPr>
                <w:rFonts w:ascii="Arial" w:cs="Arial" w:eastAsia="Arial" w:hAnsi="Arial"/>
                <w:sz w:val="18"/>
                <w:szCs w:val="18"/>
                <w:color w:val="0000EE"/>
              </w:rPr>
            </w:pPr>
            <w:hyperlink r:id="rId204">
              <w:r>
                <w:rPr>
                  <w:rFonts w:ascii="Arial" w:cs="Arial" w:eastAsia="Arial" w:hAnsi="Arial"/>
                  <w:sz w:val="18"/>
                  <w:szCs w:val="18"/>
                  <w:color w:val="0000EE"/>
                </w:rPr>
                <w:t>Stock Award Agreement under the Microsoft</w:t>
              </w:r>
            </w:hyperlink>
          </w:p>
        </w:tc>
        <w:tc>
          <w:tcPr>
            <w:tcW w:w="140" w:type="dxa"/>
            <w:vAlign w:val="bottom"/>
            <w:tcBorders>
              <w:top w:val="single" w:sz="8" w:color="0000EE"/>
            </w:tcBorders>
          </w:tcPr>
          <w:p>
            <w:pPr>
              <w:spacing w:after="0"/>
              <w:rPr>
                <w:sz w:val="15"/>
                <w:szCs w:val="15"/>
                <w:color w:val="auto"/>
              </w:rPr>
            </w:pPr>
          </w:p>
        </w:tc>
        <w:tc>
          <w:tcPr>
            <w:tcW w:w="480" w:type="dxa"/>
            <w:vAlign w:val="bottom"/>
            <w:gridSpan w:val="10"/>
          </w:tcPr>
          <w:p>
            <w:pPr>
              <w:spacing w:after="0"/>
              <w:rPr>
                <w:sz w:val="15"/>
                <w:szCs w:val="15"/>
                <w:color w:val="auto"/>
              </w:rPr>
            </w:pPr>
          </w:p>
        </w:tc>
        <w:tc>
          <w:tcPr>
            <w:tcW w:w="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2300" w:type="dxa"/>
            <w:vAlign w:val="bottom"/>
            <w:tcBorders>
              <w:bottom w:val="single" w:sz="8" w:color="0000EE"/>
            </w:tcBorders>
            <w:gridSpan w:val="5"/>
          </w:tcPr>
          <w:p>
            <w:pPr>
              <w:spacing w:after="0" w:line="182" w:lineRule="exact"/>
              <w:rPr>
                <w:rFonts w:ascii="Arial" w:cs="Arial" w:eastAsia="Arial" w:hAnsi="Arial"/>
                <w:sz w:val="18"/>
                <w:szCs w:val="18"/>
                <w:color w:val="0000EE"/>
                <w:w w:val="99"/>
              </w:rPr>
            </w:pPr>
            <w:hyperlink r:id="rId204">
              <w:r>
                <w:rPr>
                  <w:rFonts w:ascii="Arial" w:cs="Arial" w:eastAsia="Arial" w:hAnsi="Arial"/>
                  <w:sz w:val="18"/>
                  <w:szCs w:val="18"/>
                  <w:color w:val="0000EE"/>
                  <w:w w:val="99"/>
                </w:rPr>
                <w:t>Corporation 2001 Stock Plan</w:t>
              </w:r>
            </w:hyperlink>
          </w:p>
        </w:tc>
        <w:tc>
          <w:tcPr>
            <w:tcW w:w="1900" w:type="dxa"/>
            <w:vAlign w:val="bottom"/>
            <w:gridSpan w:val="20"/>
          </w:tcPr>
          <w:p>
            <w:pPr>
              <w:spacing w:after="0"/>
              <w:rPr>
                <w:sz w:val="15"/>
                <w:szCs w:val="15"/>
                <w:color w:val="auto"/>
              </w:rPr>
            </w:pPr>
          </w:p>
        </w:tc>
        <w:tc>
          <w:tcPr>
            <w:tcW w:w="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1120" w:type="dxa"/>
            <w:vAlign w:val="bottom"/>
          </w:tcPr>
          <w:p>
            <w:pPr>
              <w:spacing w:after="0"/>
              <w:rPr>
                <w:sz w:val="20"/>
                <w:szCs w:val="20"/>
                <w:color w:val="auto"/>
              </w:rPr>
            </w:pPr>
            <w:r>
              <w:rPr>
                <w:rFonts w:ascii="Arial" w:cs="Arial" w:eastAsia="Arial" w:hAnsi="Arial"/>
                <w:sz w:val="18"/>
                <w:szCs w:val="18"/>
                <w:color w:val="auto"/>
              </w:rPr>
              <w:t>10.22*</w:t>
            </w:r>
          </w:p>
        </w:tc>
        <w:tc>
          <w:tcPr>
            <w:tcW w:w="3260" w:type="dxa"/>
            <w:vAlign w:val="bottom"/>
            <w:tcBorders>
              <w:bottom w:val="single" w:sz="8" w:color="0000EE"/>
            </w:tcBorders>
            <w:gridSpan w:val="8"/>
          </w:tcPr>
          <w:p>
            <w:pPr>
              <w:spacing w:after="0"/>
              <w:rPr>
                <w:rFonts w:ascii="Arial" w:cs="Arial" w:eastAsia="Arial" w:hAnsi="Arial"/>
                <w:sz w:val="18"/>
                <w:szCs w:val="18"/>
                <w:color w:val="0000EE"/>
                <w:w w:val="98"/>
              </w:rPr>
            </w:pPr>
            <w:hyperlink r:id="rId205">
              <w:r>
                <w:rPr>
                  <w:rFonts w:ascii="Arial" w:cs="Arial" w:eastAsia="Arial" w:hAnsi="Arial"/>
                  <w:sz w:val="18"/>
                  <w:szCs w:val="18"/>
                  <w:color w:val="0000EE"/>
                  <w:w w:val="98"/>
                </w:rPr>
                <w:t>Senior Executive Severance Benefit Plan</w:t>
              </w:r>
            </w:hyperlink>
          </w:p>
        </w:tc>
        <w:tc>
          <w:tcPr>
            <w:tcW w:w="940" w:type="dxa"/>
            <w:vAlign w:val="bottom"/>
            <w:gridSpan w:val="17"/>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10-Q</w:t>
            </w:r>
          </w:p>
        </w:tc>
        <w:tc>
          <w:tcPr>
            <w:tcW w:w="1260" w:type="dxa"/>
            <w:vAlign w:val="bottom"/>
          </w:tcPr>
          <w:p>
            <w:pPr>
              <w:jc w:val="right"/>
              <w:ind w:right="196"/>
              <w:spacing w:after="0"/>
              <w:rPr>
                <w:sz w:val="20"/>
                <w:szCs w:val="20"/>
                <w:color w:val="auto"/>
              </w:rPr>
            </w:pPr>
            <w:r>
              <w:rPr>
                <w:rFonts w:ascii="Arial" w:cs="Arial" w:eastAsia="Arial" w:hAnsi="Arial"/>
                <w:sz w:val="18"/>
                <w:szCs w:val="18"/>
                <w:color w:val="auto"/>
              </w:rPr>
              <w:t>9/30/16</w:t>
            </w:r>
          </w:p>
        </w:tc>
        <w:tc>
          <w:tcPr>
            <w:tcW w:w="1380" w:type="dxa"/>
            <w:vAlign w:val="bottom"/>
          </w:tcPr>
          <w:p>
            <w:pPr>
              <w:jc w:val="right"/>
              <w:ind w:right="572"/>
              <w:spacing w:after="0"/>
              <w:rPr>
                <w:sz w:val="20"/>
                <w:szCs w:val="20"/>
                <w:color w:val="auto"/>
              </w:rPr>
            </w:pPr>
            <w:r>
              <w:rPr>
                <w:rFonts w:ascii="Arial" w:cs="Arial" w:eastAsia="Arial" w:hAnsi="Arial"/>
                <w:sz w:val="18"/>
                <w:szCs w:val="18"/>
                <w:color w:val="auto"/>
              </w:rPr>
              <w:t>10.22</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10/20/16</w:t>
            </w:r>
          </w:p>
        </w:tc>
        <w:tc>
          <w:tcPr>
            <w:tcW w:w="0" w:type="dxa"/>
            <w:vAlign w:val="bottom"/>
          </w:tcPr>
          <w:p>
            <w:pPr>
              <w:spacing w:after="0"/>
              <w:rPr>
                <w:sz w:val="1"/>
                <w:szCs w:val="1"/>
                <w:color w:val="auto"/>
              </w:rPr>
            </w:pPr>
          </w:p>
        </w:tc>
      </w:tr>
      <w:tr>
        <w:trPr>
          <w:trHeight w:val="330"/>
        </w:trPr>
        <w:tc>
          <w:tcPr>
            <w:tcW w:w="1120" w:type="dxa"/>
            <w:vAlign w:val="bottom"/>
          </w:tcPr>
          <w:p>
            <w:pPr>
              <w:spacing w:after="0"/>
              <w:rPr>
                <w:sz w:val="20"/>
                <w:szCs w:val="20"/>
                <w:color w:val="auto"/>
              </w:rPr>
            </w:pPr>
            <w:r>
              <w:rPr>
                <w:rFonts w:ascii="Arial" w:cs="Arial" w:eastAsia="Arial" w:hAnsi="Arial"/>
                <w:sz w:val="18"/>
                <w:szCs w:val="18"/>
                <w:color w:val="auto"/>
              </w:rPr>
              <w:t>10.23*</w:t>
            </w:r>
          </w:p>
        </w:tc>
        <w:tc>
          <w:tcPr>
            <w:tcW w:w="4200" w:type="dxa"/>
            <w:vAlign w:val="bottom"/>
            <w:gridSpan w:val="25"/>
          </w:tcPr>
          <w:p>
            <w:pPr>
              <w:spacing w:after="0"/>
              <w:rPr>
                <w:rFonts w:ascii="Arial" w:cs="Arial" w:eastAsia="Arial" w:hAnsi="Arial"/>
                <w:sz w:val="18"/>
                <w:szCs w:val="18"/>
                <w:color w:val="0000EE"/>
              </w:rPr>
            </w:pPr>
            <w:hyperlink r:id="rId206">
              <w:r>
                <w:rPr>
                  <w:rFonts w:ascii="Arial" w:cs="Arial" w:eastAsia="Arial" w:hAnsi="Arial"/>
                  <w:sz w:val="18"/>
                  <w:szCs w:val="18"/>
                  <w:color w:val="0000EE"/>
                </w:rPr>
                <w:t>Offer Letter, dated February 3, 2014, between</w:t>
              </w:r>
            </w:hyperlink>
          </w:p>
        </w:tc>
        <w:tc>
          <w:tcPr>
            <w:tcW w:w="84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8-K</w:t>
            </w:r>
          </w:p>
        </w:tc>
        <w:tc>
          <w:tcPr>
            <w:tcW w:w="1260" w:type="dxa"/>
            <w:vAlign w:val="bottom"/>
          </w:tcPr>
          <w:p>
            <w:pPr>
              <w:spacing w:after="0"/>
              <w:rPr>
                <w:sz w:val="24"/>
                <w:szCs w:val="24"/>
                <w:color w:val="auto"/>
              </w:rPr>
            </w:pPr>
          </w:p>
        </w:tc>
        <w:tc>
          <w:tcPr>
            <w:tcW w:w="1380" w:type="dxa"/>
            <w:vAlign w:val="bottom"/>
          </w:tcPr>
          <w:p>
            <w:pPr>
              <w:jc w:val="right"/>
              <w:ind w:right="572"/>
              <w:spacing w:after="0"/>
              <w:rPr>
                <w:sz w:val="20"/>
                <w:szCs w:val="20"/>
                <w:color w:val="auto"/>
              </w:rPr>
            </w:pPr>
            <w:r>
              <w:rPr>
                <w:rFonts w:ascii="Arial" w:cs="Arial" w:eastAsia="Arial" w:hAnsi="Arial"/>
                <w:sz w:val="18"/>
                <w:szCs w:val="18"/>
                <w:color w:val="auto"/>
              </w:rPr>
              <w:t>10.1</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2/4/14</w:t>
            </w: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10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5"/>
              </w:rPr>
            </w:pPr>
            <w:hyperlink r:id="rId206">
              <w:r>
                <w:rPr>
                  <w:rFonts w:ascii="Arial" w:cs="Arial" w:eastAsia="Arial" w:hAnsi="Arial"/>
                  <w:sz w:val="18"/>
                  <w:szCs w:val="18"/>
                  <w:color w:val="0000EE"/>
                  <w:w w:val="95"/>
                </w:rPr>
                <w:t>Microsoft Corporation and Satya Nadella</w:t>
              </w:r>
            </w:hyperlink>
          </w:p>
        </w:tc>
        <w:tc>
          <w:tcPr>
            <w:tcW w:w="380" w:type="dxa"/>
            <w:vAlign w:val="bottom"/>
            <w:tcBorders>
              <w:top w:val="single" w:sz="8" w:color="0000EE"/>
            </w:tcBorders>
            <w:gridSpan w:val="4"/>
          </w:tcPr>
          <w:p>
            <w:pPr>
              <w:spacing w:after="0"/>
              <w:rPr>
                <w:sz w:val="15"/>
                <w:szCs w:val="15"/>
                <w:color w:val="auto"/>
              </w:rPr>
            </w:pPr>
          </w:p>
        </w:tc>
        <w:tc>
          <w:tcPr>
            <w:tcW w:w="720" w:type="dxa"/>
            <w:vAlign w:val="bottom"/>
            <w:gridSpan w:val="14"/>
          </w:tcPr>
          <w:p>
            <w:pPr>
              <w:spacing w:after="0"/>
              <w:rPr>
                <w:sz w:val="15"/>
                <w:szCs w:val="15"/>
                <w:color w:val="auto"/>
              </w:rPr>
            </w:pPr>
          </w:p>
        </w:tc>
        <w:tc>
          <w:tcPr>
            <w:tcW w:w="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1120" w:type="dxa"/>
            <w:vAlign w:val="bottom"/>
          </w:tcPr>
          <w:p>
            <w:pPr>
              <w:spacing w:after="0"/>
              <w:rPr>
                <w:sz w:val="20"/>
                <w:szCs w:val="20"/>
                <w:color w:val="auto"/>
              </w:rPr>
            </w:pPr>
            <w:r>
              <w:rPr>
                <w:rFonts w:ascii="Arial" w:cs="Arial" w:eastAsia="Arial" w:hAnsi="Arial"/>
                <w:sz w:val="18"/>
                <w:szCs w:val="18"/>
                <w:color w:val="auto"/>
              </w:rPr>
              <w:t>10.24*</w:t>
            </w:r>
          </w:p>
        </w:tc>
        <w:tc>
          <w:tcPr>
            <w:tcW w:w="3920" w:type="dxa"/>
            <w:vAlign w:val="bottom"/>
            <w:tcBorders>
              <w:bottom w:val="single" w:sz="8" w:color="0000EE"/>
            </w:tcBorders>
            <w:gridSpan w:val="17"/>
          </w:tcPr>
          <w:p>
            <w:pPr>
              <w:spacing w:after="0"/>
              <w:rPr>
                <w:rFonts w:ascii="Arial" w:cs="Arial" w:eastAsia="Arial" w:hAnsi="Arial"/>
                <w:sz w:val="18"/>
                <w:szCs w:val="18"/>
                <w:color w:val="0000EE"/>
                <w:w w:val="98"/>
              </w:rPr>
            </w:pPr>
            <w:hyperlink r:id="rId207">
              <w:r>
                <w:rPr>
                  <w:rFonts w:ascii="Arial" w:cs="Arial" w:eastAsia="Arial" w:hAnsi="Arial"/>
                  <w:sz w:val="18"/>
                  <w:szCs w:val="18"/>
                  <w:color w:val="0000EE"/>
                  <w:w w:val="98"/>
                </w:rPr>
                <w:t>Long-Term Performance Stock Award Agreement</w:t>
              </w:r>
            </w:hyperlink>
          </w:p>
        </w:tc>
        <w:tc>
          <w:tcPr>
            <w:tcW w:w="280" w:type="dxa"/>
            <w:vAlign w:val="bottom"/>
            <w:gridSpan w:val="8"/>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10-Q</w:t>
            </w:r>
          </w:p>
        </w:tc>
        <w:tc>
          <w:tcPr>
            <w:tcW w:w="1260" w:type="dxa"/>
            <w:vAlign w:val="bottom"/>
          </w:tcPr>
          <w:p>
            <w:pPr>
              <w:jc w:val="right"/>
              <w:ind w:right="196"/>
              <w:spacing w:after="0"/>
              <w:rPr>
                <w:sz w:val="20"/>
                <w:szCs w:val="20"/>
                <w:color w:val="auto"/>
              </w:rPr>
            </w:pPr>
            <w:r>
              <w:rPr>
                <w:rFonts w:ascii="Arial" w:cs="Arial" w:eastAsia="Arial" w:hAnsi="Arial"/>
                <w:sz w:val="18"/>
                <w:szCs w:val="18"/>
                <w:color w:val="auto"/>
              </w:rPr>
              <w:t>12/31/14</w:t>
            </w:r>
          </w:p>
        </w:tc>
        <w:tc>
          <w:tcPr>
            <w:tcW w:w="1380" w:type="dxa"/>
            <w:vAlign w:val="bottom"/>
          </w:tcPr>
          <w:p>
            <w:pPr>
              <w:jc w:val="right"/>
              <w:ind w:right="572"/>
              <w:spacing w:after="0"/>
              <w:rPr>
                <w:sz w:val="20"/>
                <w:szCs w:val="20"/>
                <w:color w:val="auto"/>
              </w:rPr>
            </w:pPr>
            <w:r>
              <w:rPr>
                <w:rFonts w:ascii="Arial" w:cs="Arial" w:eastAsia="Arial" w:hAnsi="Arial"/>
                <w:sz w:val="18"/>
                <w:szCs w:val="18"/>
                <w:color w:val="auto"/>
              </w:rPr>
              <w:t>10.24</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1/26/15</w:t>
            </w: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200" w:type="dxa"/>
            <w:vAlign w:val="bottom"/>
            <w:gridSpan w:val="25"/>
          </w:tcPr>
          <w:p>
            <w:pPr>
              <w:spacing w:after="0" w:line="182" w:lineRule="exact"/>
              <w:rPr>
                <w:rFonts w:ascii="Arial" w:cs="Arial" w:eastAsia="Arial" w:hAnsi="Arial"/>
                <w:sz w:val="18"/>
                <w:szCs w:val="18"/>
                <w:color w:val="0000EE"/>
              </w:rPr>
            </w:pPr>
            <w:hyperlink r:id="rId207">
              <w:r>
                <w:rPr>
                  <w:rFonts w:ascii="Arial" w:cs="Arial" w:eastAsia="Arial" w:hAnsi="Arial"/>
                  <w:sz w:val="18"/>
                  <w:szCs w:val="18"/>
                  <w:color w:val="0000EE"/>
                </w:rPr>
                <w:t>between Microsoft Corporation and Satya Nadella</w:t>
              </w:r>
            </w:hyperlink>
          </w:p>
        </w:tc>
        <w:tc>
          <w:tcPr>
            <w:tcW w:w="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1120" w:type="dxa"/>
            <w:vAlign w:val="bottom"/>
          </w:tcPr>
          <w:p>
            <w:pPr>
              <w:spacing w:after="0"/>
              <w:rPr>
                <w:sz w:val="20"/>
                <w:szCs w:val="20"/>
                <w:color w:val="auto"/>
              </w:rPr>
            </w:pPr>
            <w:r>
              <w:rPr>
                <w:rFonts w:ascii="Arial" w:cs="Arial" w:eastAsia="Arial" w:hAnsi="Arial"/>
                <w:sz w:val="18"/>
                <w:szCs w:val="18"/>
                <w:color w:val="auto"/>
              </w:rPr>
              <w:t>10.25</w:t>
            </w:r>
          </w:p>
        </w:tc>
        <w:tc>
          <w:tcPr>
            <w:tcW w:w="354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9"/>
              </w:rPr>
            </w:pPr>
            <w:hyperlink r:id="rId208">
              <w:r>
                <w:rPr>
                  <w:rFonts w:ascii="Arial" w:cs="Arial" w:eastAsia="Arial" w:hAnsi="Arial"/>
                  <w:sz w:val="18"/>
                  <w:szCs w:val="18"/>
                  <w:color w:val="0000EE"/>
                  <w:w w:val="99"/>
                </w:rPr>
                <w:t>Assumption of Beneficiaries’ Representative</w:t>
              </w:r>
            </w:hyperlink>
          </w:p>
        </w:tc>
        <w:tc>
          <w:tcPr>
            <w:tcW w:w="420" w:type="dxa"/>
            <w:vAlign w:val="bottom"/>
            <w:tcBorders>
              <w:top w:val="single" w:sz="8" w:color="0000EE"/>
            </w:tcBorders>
            <w:gridSpan w:val="5"/>
          </w:tcPr>
          <w:p>
            <w:pPr>
              <w:spacing w:after="0"/>
              <w:rPr>
                <w:sz w:val="24"/>
                <w:szCs w:val="24"/>
                <w:color w:val="auto"/>
              </w:rPr>
            </w:pPr>
          </w:p>
        </w:tc>
        <w:tc>
          <w:tcPr>
            <w:tcW w:w="240" w:type="dxa"/>
            <w:vAlign w:val="bottom"/>
            <w:gridSpan w:val="7"/>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10-K</w:t>
            </w:r>
          </w:p>
        </w:tc>
        <w:tc>
          <w:tcPr>
            <w:tcW w:w="1260" w:type="dxa"/>
            <w:vAlign w:val="bottom"/>
          </w:tcPr>
          <w:p>
            <w:pPr>
              <w:jc w:val="right"/>
              <w:ind w:right="196"/>
              <w:spacing w:after="0"/>
              <w:rPr>
                <w:sz w:val="20"/>
                <w:szCs w:val="20"/>
                <w:color w:val="auto"/>
              </w:rPr>
            </w:pPr>
            <w:r>
              <w:rPr>
                <w:rFonts w:ascii="Arial" w:cs="Arial" w:eastAsia="Arial" w:hAnsi="Arial"/>
                <w:sz w:val="18"/>
                <w:szCs w:val="18"/>
                <w:color w:val="auto"/>
              </w:rPr>
              <w:t>6/30/2020</w:t>
            </w:r>
          </w:p>
        </w:tc>
        <w:tc>
          <w:tcPr>
            <w:tcW w:w="1380" w:type="dxa"/>
            <w:vAlign w:val="bottom"/>
          </w:tcPr>
          <w:p>
            <w:pPr>
              <w:jc w:val="right"/>
              <w:ind w:right="572"/>
              <w:spacing w:after="0"/>
              <w:rPr>
                <w:sz w:val="20"/>
                <w:szCs w:val="20"/>
                <w:color w:val="auto"/>
              </w:rPr>
            </w:pPr>
            <w:r>
              <w:rPr>
                <w:rFonts w:ascii="Arial" w:cs="Arial" w:eastAsia="Arial" w:hAnsi="Arial"/>
                <w:sz w:val="18"/>
                <w:szCs w:val="18"/>
                <w:color w:val="auto"/>
              </w:rPr>
              <w:t>10.25</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7/30/2020</w:t>
            </w: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100" w:type="dxa"/>
            <w:vAlign w:val="bottom"/>
            <w:tcBorders>
              <w:bottom w:val="single" w:sz="8" w:color="0000EE"/>
            </w:tcBorders>
            <w:gridSpan w:val="23"/>
          </w:tcPr>
          <w:p>
            <w:pPr>
              <w:spacing w:after="0" w:line="182" w:lineRule="exact"/>
              <w:rPr>
                <w:rFonts w:ascii="Arial" w:cs="Arial" w:eastAsia="Arial" w:hAnsi="Arial"/>
                <w:sz w:val="18"/>
                <w:szCs w:val="18"/>
                <w:color w:val="0000EE"/>
                <w:w w:val="99"/>
              </w:rPr>
            </w:pPr>
            <w:hyperlink r:id="rId208">
              <w:r>
                <w:rPr>
                  <w:rFonts w:ascii="Arial" w:cs="Arial" w:eastAsia="Arial" w:hAnsi="Arial"/>
                  <w:sz w:val="18"/>
                  <w:szCs w:val="18"/>
                  <w:color w:val="0000EE"/>
                  <w:w w:val="99"/>
                </w:rPr>
                <w:t>Obligations Under Amended and Restated Officers’</w:t>
              </w:r>
            </w:hyperlink>
          </w:p>
        </w:tc>
        <w:tc>
          <w:tcPr>
            <w:tcW w:w="100" w:type="dxa"/>
            <w:vAlign w:val="bottom"/>
            <w:gridSpan w:val="2"/>
          </w:tcPr>
          <w:p>
            <w:pPr>
              <w:spacing w:after="0"/>
              <w:rPr>
                <w:sz w:val="15"/>
                <w:szCs w:val="15"/>
                <w:color w:val="auto"/>
              </w:rPr>
            </w:pPr>
          </w:p>
        </w:tc>
        <w:tc>
          <w:tcPr>
            <w:tcW w:w="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200" w:type="dxa"/>
            <w:vAlign w:val="bottom"/>
            <w:gridSpan w:val="25"/>
          </w:tcPr>
          <w:p>
            <w:pPr>
              <w:spacing w:after="0" w:line="182" w:lineRule="exact"/>
              <w:rPr>
                <w:rFonts w:ascii="Arial" w:cs="Arial" w:eastAsia="Arial" w:hAnsi="Arial"/>
                <w:sz w:val="18"/>
                <w:szCs w:val="18"/>
                <w:color w:val="0000EE"/>
              </w:rPr>
            </w:pPr>
            <w:hyperlink r:id="rId208">
              <w:r>
                <w:rPr>
                  <w:rFonts w:ascii="Arial" w:cs="Arial" w:eastAsia="Arial" w:hAnsi="Arial"/>
                  <w:sz w:val="18"/>
                  <w:szCs w:val="18"/>
                  <w:color w:val="0000EE"/>
                </w:rPr>
                <w:t>Indemnification Trust Agreement</w:t>
              </w:r>
            </w:hyperlink>
          </w:p>
        </w:tc>
        <w:tc>
          <w:tcPr>
            <w:tcW w:w="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1120" w:type="dxa"/>
            <w:vAlign w:val="bottom"/>
          </w:tcPr>
          <w:p>
            <w:pPr>
              <w:spacing w:after="0"/>
              <w:rPr>
                <w:sz w:val="20"/>
                <w:szCs w:val="20"/>
                <w:color w:val="auto"/>
              </w:rPr>
            </w:pPr>
            <w:r>
              <w:rPr>
                <w:rFonts w:ascii="Arial" w:cs="Arial" w:eastAsia="Arial" w:hAnsi="Arial"/>
                <w:sz w:val="18"/>
                <w:szCs w:val="18"/>
                <w:color w:val="auto"/>
              </w:rPr>
              <w:t>10.26</w:t>
            </w:r>
          </w:p>
        </w:tc>
        <w:tc>
          <w:tcPr>
            <w:tcW w:w="3520" w:type="dxa"/>
            <w:vAlign w:val="bottom"/>
            <w:tcBorders>
              <w:bottom w:val="single" w:sz="8" w:color="0000EE"/>
            </w:tcBorders>
            <w:gridSpan w:val="12"/>
          </w:tcPr>
          <w:p>
            <w:pPr>
              <w:spacing w:after="0"/>
              <w:rPr>
                <w:rFonts w:ascii="Arial" w:cs="Arial" w:eastAsia="Arial" w:hAnsi="Arial"/>
                <w:sz w:val="18"/>
                <w:szCs w:val="18"/>
                <w:color w:val="0000EE"/>
                <w:w w:val="99"/>
              </w:rPr>
            </w:pPr>
            <w:hyperlink r:id="rId209">
              <w:r>
                <w:rPr>
                  <w:rFonts w:ascii="Arial" w:cs="Arial" w:eastAsia="Arial" w:hAnsi="Arial"/>
                  <w:sz w:val="18"/>
                  <w:szCs w:val="18"/>
                  <w:color w:val="0000EE"/>
                  <w:w w:val="99"/>
                </w:rPr>
                <w:t>Assumption of Beneficiaries’ Representative</w:t>
              </w:r>
            </w:hyperlink>
          </w:p>
        </w:tc>
        <w:tc>
          <w:tcPr>
            <w:tcW w:w="680" w:type="dxa"/>
            <w:vAlign w:val="bottom"/>
            <w:gridSpan w:val="13"/>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10-K</w:t>
            </w:r>
          </w:p>
        </w:tc>
        <w:tc>
          <w:tcPr>
            <w:tcW w:w="1260" w:type="dxa"/>
            <w:vAlign w:val="bottom"/>
          </w:tcPr>
          <w:p>
            <w:pPr>
              <w:jc w:val="right"/>
              <w:ind w:right="196"/>
              <w:spacing w:after="0"/>
              <w:rPr>
                <w:sz w:val="20"/>
                <w:szCs w:val="20"/>
                <w:color w:val="auto"/>
              </w:rPr>
            </w:pPr>
            <w:r>
              <w:rPr>
                <w:rFonts w:ascii="Arial" w:cs="Arial" w:eastAsia="Arial" w:hAnsi="Arial"/>
                <w:sz w:val="18"/>
                <w:szCs w:val="18"/>
                <w:color w:val="auto"/>
              </w:rPr>
              <w:t>6/30/2020</w:t>
            </w:r>
          </w:p>
        </w:tc>
        <w:tc>
          <w:tcPr>
            <w:tcW w:w="1380" w:type="dxa"/>
            <w:vAlign w:val="bottom"/>
          </w:tcPr>
          <w:p>
            <w:pPr>
              <w:jc w:val="right"/>
              <w:ind w:right="572"/>
              <w:spacing w:after="0"/>
              <w:rPr>
                <w:sz w:val="20"/>
                <w:szCs w:val="20"/>
                <w:color w:val="auto"/>
              </w:rPr>
            </w:pPr>
            <w:r>
              <w:rPr>
                <w:rFonts w:ascii="Arial" w:cs="Arial" w:eastAsia="Arial" w:hAnsi="Arial"/>
                <w:sz w:val="18"/>
                <w:szCs w:val="18"/>
                <w:color w:val="auto"/>
              </w:rPr>
              <w:t>10.26</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7/30/2020</w:t>
            </w: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380" w:type="dxa"/>
            <w:vAlign w:val="bottom"/>
            <w:tcBorders>
              <w:bottom w:val="single" w:sz="8" w:color="0000EE"/>
            </w:tcBorders>
            <w:gridSpan w:val="9"/>
          </w:tcPr>
          <w:p>
            <w:pPr>
              <w:spacing w:after="0" w:line="182" w:lineRule="exact"/>
              <w:rPr>
                <w:rFonts w:ascii="Arial" w:cs="Arial" w:eastAsia="Arial" w:hAnsi="Arial"/>
                <w:sz w:val="18"/>
                <w:szCs w:val="18"/>
                <w:color w:val="0000EE"/>
                <w:w w:val="99"/>
              </w:rPr>
            </w:pPr>
            <w:hyperlink r:id="rId209">
              <w:r>
                <w:rPr>
                  <w:rFonts w:ascii="Arial" w:cs="Arial" w:eastAsia="Arial" w:hAnsi="Arial"/>
                  <w:sz w:val="18"/>
                  <w:szCs w:val="18"/>
                  <w:color w:val="0000EE"/>
                  <w:w w:val="99"/>
                </w:rPr>
                <w:t>Obligations Under Amended and Restated</w:t>
              </w:r>
            </w:hyperlink>
          </w:p>
        </w:tc>
        <w:tc>
          <w:tcPr>
            <w:tcW w:w="820" w:type="dxa"/>
            <w:vAlign w:val="bottom"/>
            <w:gridSpan w:val="16"/>
          </w:tcPr>
          <w:p>
            <w:pPr>
              <w:spacing w:after="0"/>
              <w:rPr>
                <w:sz w:val="15"/>
                <w:szCs w:val="15"/>
                <w:color w:val="auto"/>
              </w:rPr>
            </w:pPr>
          </w:p>
        </w:tc>
        <w:tc>
          <w:tcPr>
            <w:tcW w:w="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40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r:id="rId209">
              <w:r>
                <w:rPr>
                  <w:rFonts w:ascii="Arial" w:cs="Arial" w:eastAsia="Arial" w:hAnsi="Arial"/>
                  <w:sz w:val="18"/>
                  <w:szCs w:val="18"/>
                  <w:color w:val="0000EE"/>
                  <w:w w:val="99"/>
                </w:rPr>
                <w:t>Directors’ Indemnification Trust Agreement</w:t>
              </w:r>
            </w:hyperlink>
          </w:p>
        </w:tc>
        <w:tc>
          <w:tcPr>
            <w:tcW w:w="800" w:type="dxa"/>
            <w:vAlign w:val="bottom"/>
            <w:gridSpan w:val="15"/>
          </w:tcPr>
          <w:p>
            <w:pPr>
              <w:spacing w:after="0"/>
              <w:rPr>
                <w:sz w:val="15"/>
                <w:szCs w:val="15"/>
                <w:color w:val="auto"/>
              </w:rPr>
            </w:pPr>
          </w:p>
        </w:tc>
        <w:tc>
          <w:tcPr>
            <w:tcW w:w="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1120" w:type="dxa"/>
            <w:vAlign w:val="bottom"/>
          </w:tcPr>
          <w:p>
            <w:pPr>
              <w:spacing w:after="0"/>
              <w:rPr>
                <w:sz w:val="20"/>
                <w:szCs w:val="20"/>
                <w:color w:val="auto"/>
              </w:rPr>
            </w:pPr>
            <w:r>
              <w:rPr>
                <w:rFonts w:ascii="Arial" w:cs="Arial" w:eastAsia="Arial" w:hAnsi="Arial"/>
                <w:sz w:val="18"/>
                <w:szCs w:val="18"/>
                <w:color w:val="auto"/>
              </w:rPr>
              <w:t>21</w:t>
            </w:r>
          </w:p>
        </w:tc>
        <w:tc>
          <w:tcPr>
            <w:tcW w:w="4200" w:type="dxa"/>
            <w:vAlign w:val="bottom"/>
            <w:gridSpan w:val="25"/>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Subsidiaries of Registrant</w:t>
              </w:r>
            </w:hyperlink>
          </w:p>
        </w:tc>
        <w:tc>
          <w:tcPr>
            <w:tcW w:w="8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1120" w:type="dxa"/>
            <w:vAlign w:val="bottom"/>
          </w:tcPr>
          <w:p>
            <w:pPr>
              <w:spacing w:after="0"/>
              <w:rPr>
                <w:sz w:val="20"/>
                <w:szCs w:val="20"/>
                <w:color w:val="auto"/>
              </w:rPr>
            </w:pPr>
            <w:r>
              <w:rPr>
                <w:rFonts w:ascii="Arial" w:cs="Arial" w:eastAsia="Arial" w:hAnsi="Arial"/>
                <w:sz w:val="18"/>
                <w:szCs w:val="18"/>
                <w:color w:val="auto"/>
              </w:rPr>
              <w:t>23.1</w:t>
            </w:r>
          </w:p>
        </w:tc>
        <w:tc>
          <w:tcPr>
            <w:tcW w:w="3380" w:type="dxa"/>
            <w:vAlign w:val="bottom"/>
            <w:tcBorders>
              <w:bottom w:val="single" w:sz="8" w:color="0000EE"/>
            </w:tcBorders>
            <w:gridSpan w:val="9"/>
          </w:tcPr>
          <w:p>
            <w:pPr>
              <w:spacing w:after="0"/>
              <w:rPr>
                <w:rFonts w:ascii="Arial" w:cs="Arial" w:eastAsia="Arial" w:hAnsi="Arial"/>
                <w:sz w:val="18"/>
                <w:szCs w:val="18"/>
                <w:color w:val="0000EE"/>
                <w:w w:val="99"/>
              </w:rPr>
            </w:pPr>
            <w:hyperlink w:anchor="page112">
              <w:r>
                <w:rPr>
                  <w:rFonts w:ascii="Arial" w:cs="Arial" w:eastAsia="Arial" w:hAnsi="Arial"/>
                  <w:sz w:val="18"/>
                  <w:szCs w:val="18"/>
                  <w:color w:val="0000EE"/>
                  <w:w w:val="99"/>
                </w:rPr>
                <w:t>Consent of Independent Registered Public</w:t>
              </w:r>
            </w:hyperlink>
          </w:p>
        </w:tc>
        <w:tc>
          <w:tcPr>
            <w:tcW w:w="820" w:type="dxa"/>
            <w:vAlign w:val="bottom"/>
            <w:gridSpan w:val="16"/>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1300" w:type="dxa"/>
            <w:vAlign w:val="bottom"/>
            <w:tcBorders>
              <w:bottom w:val="single" w:sz="8" w:color="0000EE"/>
            </w:tcBorders>
            <w:gridSpan w:val="2"/>
          </w:tcPr>
          <w:p>
            <w:pPr>
              <w:spacing w:after="0" w:line="182" w:lineRule="exact"/>
              <w:rPr>
                <w:rFonts w:ascii="Arial" w:cs="Arial" w:eastAsia="Arial" w:hAnsi="Arial"/>
                <w:sz w:val="18"/>
                <w:szCs w:val="18"/>
                <w:color w:val="0000EE"/>
                <w:w w:val="98"/>
              </w:rPr>
            </w:pPr>
            <w:hyperlink w:anchor="page112">
              <w:r>
                <w:rPr>
                  <w:rFonts w:ascii="Arial" w:cs="Arial" w:eastAsia="Arial" w:hAnsi="Arial"/>
                  <w:sz w:val="18"/>
                  <w:szCs w:val="18"/>
                  <w:color w:val="0000EE"/>
                  <w:w w:val="98"/>
                </w:rPr>
                <w:t>Accounting Firm</w:t>
              </w:r>
            </w:hyperlink>
          </w:p>
        </w:tc>
        <w:tc>
          <w:tcPr>
            <w:tcW w:w="2900" w:type="dxa"/>
            <w:vAlign w:val="bottom"/>
            <w:gridSpan w:val="23"/>
          </w:tcPr>
          <w:p>
            <w:pPr>
              <w:spacing w:after="0"/>
              <w:rPr>
                <w:sz w:val="15"/>
                <w:szCs w:val="15"/>
                <w:color w:val="auto"/>
              </w:rPr>
            </w:pPr>
          </w:p>
        </w:tc>
        <w:tc>
          <w:tcPr>
            <w:tcW w:w="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1120" w:type="dxa"/>
            <w:vAlign w:val="bottom"/>
          </w:tcPr>
          <w:p>
            <w:pPr>
              <w:spacing w:after="0"/>
              <w:rPr>
                <w:sz w:val="20"/>
                <w:szCs w:val="20"/>
                <w:color w:val="auto"/>
              </w:rPr>
            </w:pPr>
            <w:r>
              <w:rPr>
                <w:rFonts w:ascii="Arial" w:cs="Arial" w:eastAsia="Arial" w:hAnsi="Arial"/>
                <w:sz w:val="18"/>
                <w:szCs w:val="18"/>
                <w:color w:val="auto"/>
              </w:rPr>
              <w:t>31.1</w:t>
            </w:r>
          </w:p>
        </w:tc>
        <w:tc>
          <w:tcPr>
            <w:tcW w:w="4080" w:type="dxa"/>
            <w:vAlign w:val="bottom"/>
            <w:tcBorders>
              <w:bottom w:val="single" w:sz="8" w:color="0000EE"/>
            </w:tcBorders>
            <w:gridSpan w:val="22"/>
          </w:tcPr>
          <w:p>
            <w:pPr>
              <w:spacing w:after="0"/>
              <w:rPr>
                <w:rFonts w:ascii="Arial" w:cs="Arial" w:eastAsia="Arial" w:hAnsi="Arial"/>
                <w:sz w:val="18"/>
                <w:szCs w:val="18"/>
                <w:color w:val="0000EE"/>
                <w:w w:val="99"/>
              </w:rPr>
            </w:pPr>
            <w:hyperlink w:anchor="page113">
              <w:r>
                <w:rPr>
                  <w:rFonts w:ascii="Arial" w:cs="Arial" w:eastAsia="Arial" w:hAnsi="Arial"/>
                  <w:sz w:val="18"/>
                  <w:szCs w:val="18"/>
                  <w:color w:val="0000EE"/>
                  <w:w w:val="99"/>
                </w:rPr>
                <w:t>Certifications of Chief Executive Officer Pursuant to</w:t>
              </w:r>
            </w:hyperlink>
          </w:p>
        </w:tc>
        <w:tc>
          <w:tcPr>
            <w:tcW w:w="120" w:type="dxa"/>
            <w:vAlign w:val="bottom"/>
            <w:gridSpan w:val="3"/>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200" w:type="dxa"/>
            <w:vAlign w:val="bottom"/>
            <w:gridSpan w:val="25"/>
          </w:tcPr>
          <w:p>
            <w:pPr>
              <w:spacing w:after="0" w:line="182" w:lineRule="exact"/>
              <w:rPr>
                <w:rFonts w:ascii="Arial" w:cs="Arial" w:eastAsia="Arial" w:hAnsi="Arial"/>
                <w:sz w:val="18"/>
                <w:szCs w:val="18"/>
                <w:color w:val="0000EE"/>
              </w:rPr>
            </w:pPr>
            <w:hyperlink w:anchor="page113">
              <w:r>
                <w:rPr>
                  <w:rFonts w:ascii="Arial" w:cs="Arial" w:eastAsia="Arial" w:hAnsi="Arial"/>
                  <w:sz w:val="18"/>
                  <w:szCs w:val="18"/>
                  <w:color w:val="0000EE"/>
                </w:rPr>
                <w:t>Section 302 of the Sarbanes-Oxley Act of 2002</w:t>
              </w:r>
            </w:hyperlink>
          </w:p>
        </w:tc>
        <w:tc>
          <w:tcPr>
            <w:tcW w:w="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740" w:type="dxa"/>
            <w:vAlign w:val="bottom"/>
            <w:gridSpan w:val="16"/>
            <w:shd w:val="clear" w:color="auto" w:fill="0000EE"/>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1120" w:type="dxa"/>
            <w:vAlign w:val="bottom"/>
          </w:tcPr>
          <w:p>
            <w:pPr>
              <w:spacing w:after="0"/>
              <w:rPr>
                <w:sz w:val="20"/>
                <w:szCs w:val="20"/>
                <w:color w:val="auto"/>
              </w:rPr>
            </w:pPr>
            <w:r>
              <w:rPr>
                <w:rFonts w:ascii="Arial" w:cs="Arial" w:eastAsia="Arial" w:hAnsi="Arial"/>
                <w:sz w:val="18"/>
                <w:szCs w:val="18"/>
                <w:color w:val="auto"/>
              </w:rPr>
              <w:t>31.2</w:t>
            </w:r>
          </w:p>
        </w:tc>
        <w:tc>
          <w:tcPr>
            <w:tcW w:w="4020" w:type="dxa"/>
            <w:vAlign w:val="bottom"/>
            <w:tcBorders>
              <w:bottom w:val="single" w:sz="8" w:color="0000EE"/>
            </w:tcBorders>
            <w:gridSpan w:val="21"/>
          </w:tcPr>
          <w:p>
            <w:pPr>
              <w:spacing w:after="0"/>
              <w:rPr>
                <w:rFonts w:ascii="Arial" w:cs="Arial" w:eastAsia="Arial" w:hAnsi="Arial"/>
                <w:sz w:val="18"/>
                <w:szCs w:val="18"/>
                <w:color w:val="0000EE"/>
                <w:w w:val="99"/>
              </w:rPr>
            </w:pPr>
            <w:hyperlink w:anchor="page114">
              <w:r>
                <w:rPr>
                  <w:rFonts w:ascii="Arial" w:cs="Arial" w:eastAsia="Arial" w:hAnsi="Arial"/>
                  <w:sz w:val="18"/>
                  <w:szCs w:val="18"/>
                  <w:color w:val="0000EE"/>
                  <w:w w:val="99"/>
                </w:rPr>
                <w:t>Certifications of Chief Financial Officer Pursuant to</w:t>
              </w:r>
            </w:hyperlink>
          </w:p>
        </w:tc>
        <w:tc>
          <w:tcPr>
            <w:tcW w:w="180" w:type="dxa"/>
            <w:vAlign w:val="bottom"/>
            <w:gridSpan w:val="4"/>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200" w:type="dxa"/>
            <w:vAlign w:val="bottom"/>
            <w:gridSpan w:val="25"/>
          </w:tcPr>
          <w:p>
            <w:pPr>
              <w:spacing w:after="0" w:line="182" w:lineRule="exact"/>
              <w:rPr>
                <w:rFonts w:ascii="Arial" w:cs="Arial" w:eastAsia="Arial" w:hAnsi="Arial"/>
                <w:sz w:val="18"/>
                <w:szCs w:val="18"/>
                <w:color w:val="0000EE"/>
              </w:rPr>
            </w:pPr>
            <w:hyperlink w:anchor="page114">
              <w:r>
                <w:rPr>
                  <w:rFonts w:ascii="Arial" w:cs="Arial" w:eastAsia="Arial" w:hAnsi="Arial"/>
                  <w:sz w:val="18"/>
                  <w:szCs w:val="18"/>
                  <w:color w:val="0000EE"/>
                </w:rPr>
                <w:t>Section 302 of the Sarbanes-Oxley Act of 2002</w:t>
              </w:r>
            </w:hyperlink>
          </w:p>
        </w:tc>
        <w:tc>
          <w:tcPr>
            <w:tcW w:w="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740" w:type="dxa"/>
            <w:vAlign w:val="bottom"/>
            <w:gridSpan w:val="16"/>
            <w:shd w:val="clear" w:color="auto" w:fill="0000EE"/>
          </w:tcPr>
          <w:p>
            <w:pPr>
              <w:spacing w:after="0" w:line="20" w:lineRule="exact"/>
              <w:rPr>
                <w:sz w:val="1"/>
                <w:szCs w:val="1"/>
                <w:color w:val="auto"/>
              </w:rPr>
            </w:pPr>
          </w:p>
        </w:tc>
        <w:tc>
          <w:tcPr>
            <w:tcW w:w="460" w:type="dxa"/>
            <w:vAlign w:val="bottom"/>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1120" w:type="dxa"/>
            <w:vAlign w:val="bottom"/>
          </w:tcPr>
          <w:p>
            <w:pPr>
              <w:spacing w:after="0"/>
              <w:rPr>
                <w:sz w:val="20"/>
                <w:szCs w:val="20"/>
                <w:color w:val="auto"/>
              </w:rPr>
            </w:pPr>
            <w:r>
              <w:rPr>
                <w:rFonts w:ascii="Arial" w:cs="Arial" w:eastAsia="Arial" w:hAnsi="Arial"/>
                <w:sz w:val="18"/>
                <w:szCs w:val="18"/>
                <w:color w:val="auto"/>
              </w:rPr>
              <w:t>32.1**</w:t>
            </w:r>
          </w:p>
        </w:tc>
        <w:tc>
          <w:tcPr>
            <w:tcW w:w="4080" w:type="dxa"/>
            <w:vAlign w:val="bottom"/>
            <w:tcBorders>
              <w:bottom w:val="single" w:sz="8" w:color="0000EE"/>
            </w:tcBorders>
            <w:gridSpan w:val="22"/>
          </w:tcPr>
          <w:p>
            <w:pPr>
              <w:spacing w:after="0"/>
              <w:rPr>
                <w:rFonts w:ascii="Arial" w:cs="Arial" w:eastAsia="Arial" w:hAnsi="Arial"/>
                <w:sz w:val="18"/>
                <w:szCs w:val="18"/>
                <w:color w:val="0000EE"/>
                <w:w w:val="99"/>
              </w:rPr>
            </w:pPr>
            <w:hyperlink w:anchor="page115">
              <w:r>
                <w:rPr>
                  <w:rFonts w:ascii="Arial" w:cs="Arial" w:eastAsia="Arial" w:hAnsi="Arial"/>
                  <w:sz w:val="18"/>
                  <w:szCs w:val="18"/>
                  <w:color w:val="0000EE"/>
                  <w:w w:val="99"/>
                </w:rPr>
                <w:t>Certifications of Chief Executive Officer Pursuant to</w:t>
              </w:r>
            </w:hyperlink>
          </w:p>
        </w:tc>
        <w:tc>
          <w:tcPr>
            <w:tcW w:w="120" w:type="dxa"/>
            <w:vAlign w:val="bottom"/>
            <w:gridSpan w:val="3"/>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200" w:type="dxa"/>
            <w:vAlign w:val="bottom"/>
            <w:gridSpan w:val="25"/>
          </w:tcPr>
          <w:p>
            <w:pPr>
              <w:spacing w:after="0" w:line="182" w:lineRule="exact"/>
              <w:rPr>
                <w:rFonts w:ascii="Arial" w:cs="Arial" w:eastAsia="Arial" w:hAnsi="Arial"/>
                <w:sz w:val="18"/>
                <w:szCs w:val="18"/>
                <w:color w:val="0000EE"/>
              </w:rPr>
            </w:pPr>
            <w:hyperlink w:anchor="page115">
              <w:r>
                <w:rPr>
                  <w:rFonts w:ascii="Arial" w:cs="Arial" w:eastAsia="Arial" w:hAnsi="Arial"/>
                  <w:sz w:val="18"/>
                  <w:szCs w:val="18"/>
                  <w:color w:val="0000EE"/>
                </w:rPr>
                <w:t>Section 906 of the Sarbanes-Oxley Act of 2002</w:t>
              </w:r>
            </w:hyperlink>
          </w:p>
        </w:tc>
        <w:tc>
          <w:tcPr>
            <w:tcW w:w="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9"/>
        </w:trPr>
        <w:tc>
          <w:tcPr>
            <w:tcW w:w="112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338"/>
              <w:spacing w:after="0"/>
              <w:rPr>
                <w:sz w:val="20"/>
                <w:szCs w:val="20"/>
                <w:color w:val="auto"/>
              </w:rPr>
            </w:pPr>
            <w:r>
              <w:rPr>
                <w:rFonts w:ascii="Arial" w:cs="Arial" w:eastAsia="Arial" w:hAnsi="Arial"/>
                <w:sz w:val="14"/>
                <w:szCs w:val="14"/>
                <w:color w:val="auto"/>
              </w:rPr>
              <w:t>106</w:t>
            </w: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11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106" w:name="page107"/>
    <w:bookmarkEnd w:id="106"/>
    <w:p>
      <w:pPr>
        <w:ind w:left="5360"/>
        <w:spacing w:after="0"/>
        <w:rPr>
          <w:sz w:val="20"/>
          <w:szCs w:val="20"/>
          <w:color w:val="auto"/>
        </w:rPr>
      </w:pPr>
      <w:r>
        <w:rPr>
          <w:rFonts w:ascii="Arial" w:cs="Arial" w:eastAsia="Arial" w:hAnsi="Arial"/>
          <w:sz w:val="13"/>
          <w:szCs w:val="13"/>
          <w:u w:val="single" w:color="auto"/>
          <w:color w:val="auto"/>
        </w:rPr>
        <w:t>PART IV</w:t>
      </w:r>
    </w:p>
    <w:p>
      <w:pPr>
        <w:ind w:left="5400"/>
        <w:spacing w:after="0"/>
        <w:rPr>
          <w:sz w:val="20"/>
          <w:szCs w:val="20"/>
          <w:color w:val="auto"/>
        </w:rPr>
      </w:pPr>
      <w:r>
        <w:rPr>
          <w:rFonts w:ascii="Arial" w:cs="Arial" w:eastAsia="Arial" w:hAnsi="Arial"/>
          <w:sz w:val="13"/>
          <w:szCs w:val="13"/>
          <w:color w:val="auto"/>
        </w:rPr>
        <w:t>Item 15</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20" w:type="dxa"/>
            <w:vAlign w:val="bottom"/>
            <w:vMerge w:val="restart"/>
          </w:tcPr>
          <w:p>
            <w:pPr>
              <w:spacing w:after="0"/>
              <w:rPr>
                <w:sz w:val="20"/>
                <w:szCs w:val="20"/>
                <w:color w:val="auto"/>
              </w:rPr>
            </w:pPr>
            <w:r>
              <w:rPr>
                <w:rFonts w:ascii="Arial" w:cs="Arial" w:eastAsia="Arial" w:hAnsi="Arial"/>
                <w:sz w:val="13"/>
                <w:szCs w:val="13"/>
                <w:b w:val="1"/>
                <w:bCs w:val="1"/>
                <w:color w:val="auto"/>
              </w:rPr>
              <w:t>Exhibit</w:t>
            </w:r>
          </w:p>
        </w:tc>
        <w:tc>
          <w:tcPr>
            <w:tcW w:w="3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Filed</w:t>
            </w:r>
          </w:p>
        </w:tc>
        <w:tc>
          <w:tcPr>
            <w:tcW w:w="13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2"/>
          </w:tcPr>
          <w:p>
            <w:pPr>
              <w:ind w:left="360"/>
              <w:spacing w:after="0"/>
              <w:rPr>
                <w:sz w:val="20"/>
                <w:szCs w:val="20"/>
                <w:color w:val="auto"/>
              </w:rPr>
            </w:pPr>
            <w:r>
              <w:rPr>
                <w:rFonts w:ascii="Arial" w:cs="Arial" w:eastAsia="Arial" w:hAnsi="Arial"/>
                <w:sz w:val="13"/>
                <w:szCs w:val="13"/>
                <w:b w:val="1"/>
                <w:bCs w:val="1"/>
                <w:color w:val="auto"/>
              </w:rPr>
              <w:t>Incorporated by Reference</w:t>
            </w: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120" w:type="dxa"/>
            <w:vAlign w:val="bottom"/>
            <w:vMerge w:val="continue"/>
          </w:tcPr>
          <w:p>
            <w:pPr>
              <w:spacing w:after="0"/>
              <w:rPr>
                <w:sz w:val="10"/>
                <w:szCs w:val="10"/>
                <w:color w:val="auto"/>
              </w:rPr>
            </w:pPr>
          </w:p>
        </w:tc>
        <w:tc>
          <w:tcPr>
            <w:tcW w:w="3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100" w:type="dxa"/>
            <w:vAlign w:val="bottom"/>
          </w:tcPr>
          <w:p>
            <w:pPr>
              <w:jc w:val="right"/>
              <w:ind w:right="193"/>
              <w:spacing w:after="0" w:line="125" w:lineRule="exact"/>
              <w:rPr>
                <w:sz w:val="20"/>
                <w:szCs w:val="20"/>
                <w:color w:val="auto"/>
              </w:rPr>
            </w:pPr>
            <w:r>
              <w:rPr>
                <w:rFonts w:ascii="Arial" w:cs="Arial" w:eastAsia="Arial" w:hAnsi="Arial"/>
                <w:sz w:val="13"/>
                <w:szCs w:val="13"/>
                <w:b w:val="1"/>
                <w:bCs w:val="1"/>
                <w:color w:val="auto"/>
              </w:rPr>
              <w:t>Period</w:t>
            </w:r>
          </w:p>
        </w:tc>
        <w:tc>
          <w:tcPr>
            <w:tcW w:w="14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Number</w:t>
            </w:r>
          </w:p>
        </w:tc>
        <w:tc>
          <w:tcPr>
            <w:tcW w:w="416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Exhibit Description</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Herewith</w:t>
            </w:r>
          </w:p>
        </w:tc>
        <w:tc>
          <w:tcPr>
            <w:tcW w:w="1300" w:type="dxa"/>
            <w:vAlign w:val="bottom"/>
            <w:tcBorders>
              <w:bottom w:val="single" w:sz="8" w:color="auto"/>
            </w:tcBorders>
          </w:tcPr>
          <w:p>
            <w:pPr>
              <w:ind w:left="600"/>
              <w:spacing w:after="0"/>
              <w:rPr>
                <w:sz w:val="20"/>
                <w:szCs w:val="20"/>
                <w:color w:val="auto"/>
              </w:rPr>
            </w:pPr>
            <w:r>
              <w:rPr>
                <w:rFonts w:ascii="Arial" w:cs="Arial" w:eastAsia="Arial" w:hAnsi="Arial"/>
                <w:sz w:val="13"/>
                <w:szCs w:val="13"/>
                <w:b w:val="1"/>
                <w:bCs w:val="1"/>
                <w:color w:val="auto"/>
              </w:rPr>
              <w:t>Form</w:t>
            </w:r>
          </w:p>
        </w:tc>
        <w:tc>
          <w:tcPr>
            <w:tcW w:w="110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Ending</w:t>
            </w:r>
          </w:p>
        </w:tc>
        <w:tc>
          <w:tcPr>
            <w:tcW w:w="144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Exhibit</w:t>
            </w:r>
          </w:p>
        </w:tc>
        <w:tc>
          <w:tcPr>
            <w:tcW w:w="118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Filing Date</w:t>
            </w:r>
          </w:p>
        </w:tc>
        <w:tc>
          <w:tcPr>
            <w:tcW w:w="0" w:type="dxa"/>
            <w:vAlign w:val="bottom"/>
          </w:tcPr>
          <w:p>
            <w:pPr>
              <w:spacing w:after="0"/>
              <w:rPr>
                <w:sz w:val="1"/>
                <w:szCs w:val="1"/>
                <w:color w:val="auto"/>
              </w:rPr>
            </w:pPr>
          </w:p>
        </w:tc>
      </w:tr>
      <w:tr>
        <w:trPr>
          <w:trHeight w:val="276"/>
        </w:trPr>
        <w:tc>
          <w:tcPr>
            <w:tcW w:w="1120" w:type="dxa"/>
            <w:vAlign w:val="bottom"/>
          </w:tcPr>
          <w:p>
            <w:pPr>
              <w:spacing w:after="0"/>
              <w:rPr>
                <w:sz w:val="20"/>
                <w:szCs w:val="20"/>
                <w:color w:val="auto"/>
              </w:rPr>
            </w:pPr>
            <w:r>
              <w:rPr>
                <w:rFonts w:ascii="Arial" w:cs="Arial" w:eastAsia="Arial" w:hAnsi="Arial"/>
                <w:sz w:val="18"/>
                <w:szCs w:val="18"/>
                <w:color w:val="auto"/>
              </w:rPr>
              <w:t>32.2**</w:t>
            </w:r>
          </w:p>
        </w:tc>
        <w:tc>
          <w:tcPr>
            <w:tcW w:w="4020" w:type="dxa"/>
            <w:vAlign w:val="bottom"/>
            <w:tcBorders>
              <w:bottom w:val="single" w:sz="8" w:color="0000EE"/>
            </w:tcBorders>
            <w:gridSpan w:val="2"/>
          </w:tcPr>
          <w:p>
            <w:pPr>
              <w:spacing w:after="0"/>
              <w:rPr>
                <w:rFonts w:ascii="Arial" w:cs="Arial" w:eastAsia="Arial" w:hAnsi="Arial"/>
                <w:sz w:val="18"/>
                <w:szCs w:val="18"/>
                <w:color w:val="0000EE"/>
                <w:w w:val="99"/>
              </w:rPr>
            </w:pPr>
            <w:hyperlink w:anchor="page116">
              <w:r>
                <w:rPr>
                  <w:rFonts w:ascii="Arial" w:cs="Arial" w:eastAsia="Arial" w:hAnsi="Arial"/>
                  <w:sz w:val="18"/>
                  <w:szCs w:val="18"/>
                  <w:color w:val="0000EE"/>
                  <w:w w:val="99"/>
                </w:rPr>
                <w:t>Certifications of Chief Financial Officer Pursuant to</w:t>
              </w:r>
            </w:hyperlink>
          </w:p>
        </w:tc>
        <w:tc>
          <w:tcPr>
            <w:tcW w:w="14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160" w:type="dxa"/>
            <w:vAlign w:val="bottom"/>
            <w:gridSpan w:val="3"/>
          </w:tcPr>
          <w:p>
            <w:pPr>
              <w:spacing w:after="0" w:line="182" w:lineRule="exact"/>
              <w:rPr>
                <w:rFonts w:ascii="Arial" w:cs="Arial" w:eastAsia="Arial" w:hAnsi="Arial"/>
                <w:sz w:val="18"/>
                <w:szCs w:val="18"/>
                <w:color w:val="0000EE"/>
              </w:rPr>
            </w:pPr>
            <w:hyperlink w:anchor="page116">
              <w:r>
                <w:rPr>
                  <w:rFonts w:ascii="Arial" w:cs="Arial" w:eastAsia="Arial" w:hAnsi="Arial"/>
                  <w:sz w:val="18"/>
                  <w:szCs w:val="18"/>
                  <w:color w:val="0000EE"/>
                </w:rPr>
                <w:t>Section 906 of the Sarbanes-Oxley Act of 2002</w:t>
              </w:r>
            </w:hyperlink>
          </w:p>
        </w:tc>
        <w:tc>
          <w:tcPr>
            <w:tcW w:w="8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5"/>
        </w:trPr>
        <w:tc>
          <w:tcPr>
            <w:tcW w:w="1120" w:type="dxa"/>
            <w:vAlign w:val="bottom"/>
          </w:tcPr>
          <w:p>
            <w:pPr>
              <w:spacing w:after="0"/>
              <w:rPr>
                <w:sz w:val="20"/>
                <w:szCs w:val="20"/>
                <w:color w:val="auto"/>
              </w:rPr>
            </w:pPr>
            <w:r>
              <w:rPr>
                <w:rFonts w:ascii="Arial" w:cs="Arial" w:eastAsia="Arial" w:hAnsi="Arial"/>
                <w:sz w:val="18"/>
                <w:szCs w:val="18"/>
                <w:color w:val="auto"/>
              </w:rPr>
              <w:t>101.INS</w:t>
            </w:r>
          </w:p>
        </w:tc>
        <w:tc>
          <w:tcPr>
            <w:tcW w:w="374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Inline XBRL Instance Document</w:t>
            </w:r>
            <w:r>
              <w:rPr>
                <w:rFonts w:ascii="Arial" w:cs="Arial" w:eastAsia="Arial" w:hAnsi="Arial"/>
                <w:sz w:val="18"/>
                <w:szCs w:val="18"/>
                <w:color w:val="212529"/>
              </w:rPr>
              <w:t>—the instance</w:t>
            </w:r>
          </w:p>
        </w:tc>
        <w:tc>
          <w:tcPr>
            <w:tcW w:w="420" w:type="dxa"/>
            <w:vAlign w:val="bottom"/>
            <w:gridSpan w:val="2"/>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120" w:type="dxa"/>
            <w:vAlign w:val="bottom"/>
          </w:tcPr>
          <w:p>
            <w:pPr>
              <w:spacing w:after="0"/>
              <w:rPr>
                <w:sz w:val="17"/>
                <w:szCs w:val="17"/>
                <w:color w:val="auto"/>
              </w:rPr>
            </w:pPr>
          </w:p>
        </w:tc>
        <w:tc>
          <w:tcPr>
            <w:tcW w:w="4160" w:type="dxa"/>
            <w:vAlign w:val="bottom"/>
            <w:gridSpan w:val="3"/>
          </w:tcPr>
          <w:p>
            <w:pPr>
              <w:spacing w:after="0" w:line="201" w:lineRule="exact"/>
              <w:rPr>
                <w:sz w:val="20"/>
                <w:szCs w:val="20"/>
                <w:color w:val="auto"/>
              </w:rPr>
            </w:pPr>
            <w:r>
              <w:rPr>
                <w:rFonts w:ascii="Arial" w:cs="Arial" w:eastAsia="Arial" w:hAnsi="Arial"/>
                <w:sz w:val="18"/>
                <w:szCs w:val="18"/>
                <w:color w:val="212529"/>
              </w:rPr>
              <w:t>document does not appear in the Interactive Data</w:t>
            </w:r>
          </w:p>
        </w:tc>
        <w:tc>
          <w:tcPr>
            <w:tcW w:w="8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20" w:type="dxa"/>
            <w:vAlign w:val="bottom"/>
          </w:tcPr>
          <w:p>
            <w:pPr>
              <w:spacing w:after="0"/>
              <w:rPr>
                <w:sz w:val="17"/>
                <w:szCs w:val="17"/>
                <w:color w:val="auto"/>
              </w:rPr>
            </w:pPr>
          </w:p>
        </w:tc>
        <w:tc>
          <w:tcPr>
            <w:tcW w:w="4160" w:type="dxa"/>
            <w:vAlign w:val="bottom"/>
            <w:gridSpan w:val="3"/>
          </w:tcPr>
          <w:p>
            <w:pPr>
              <w:spacing w:after="0" w:line="201" w:lineRule="exact"/>
              <w:rPr>
                <w:sz w:val="20"/>
                <w:szCs w:val="20"/>
                <w:color w:val="auto"/>
              </w:rPr>
            </w:pPr>
            <w:r>
              <w:rPr>
                <w:rFonts w:ascii="Arial" w:cs="Arial" w:eastAsia="Arial" w:hAnsi="Arial"/>
                <w:sz w:val="18"/>
                <w:szCs w:val="18"/>
                <w:color w:val="212529"/>
              </w:rPr>
              <w:t>File as its XBRL tags are embedded within the</w:t>
            </w:r>
          </w:p>
        </w:tc>
        <w:tc>
          <w:tcPr>
            <w:tcW w:w="8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212529"/>
              </w:rPr>
              <w:t>Inline XBRL document</w:t>
            </w:r>
          </w:p>
        </w:tc>
        <w:tc>
          <w:tcPr>
            <w:tcW w:w="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1120" w:type="dxa"/>
            <w:vAlign w:val="bottom"/>
          </w:tcPr>
          <w:p>
            <w:pPr>
              <w:spacing w:after="0"/>
              <w:rPr>
                <w:sz w:val="20"/>
                <w:szCs w:val="20"/>
                <w:color w:val="auto"/>
              </w:rPr>
            </w:pPr>
            <w:r>
              <w:rPr>
                <w:rFonts w:ascii="Arial" w:cs="Arial" w:eastAsia="Arial" w:hAnsi="Arial"/>
                <w:sz w:val="18"/>
                <w:szCs w:val="18"/>
                <w:color w:val="auto"/>
              </w:rPr>
              <w:t>101.SCH</w:t>
            </w:r>
          </w:p>
        </w:tc>
        <w:tc>
          <w:tcPr>
            <w:tcW w:w="4160" w:type="dxa"/>
            <w:vAlign w:val="bottom"/>
            <w:gridSpan w:val="3"/>
          </w:tcPr>
          <w:p>
            <w:pPr>
              <w:spacing w:after="0"/>
              <w:rPr>
                <w:sz w:val="20"/>
                <w:szCs w:val="20"/>
                <w:color w:val="auto"/>
              </w:rPr>
            </w:pPr>
            <w:r>
              <w:rPr>
                <w:rFonts w:ascii="Arial" w:cs="Arial" w:eastAsia="Arial" w:hAnsi="Arial"/>
                <w:sz w:val="18"/>
                <w:szCs w:val="18"/>
                <w:color w:val="auto"/>
              </w:rPr>
              <w:t>Inline XBRL Taxonomy Extension Schema</w:t>
            </w: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1120" w:type="dxa"/>
            <w:vAlign w:val="bottom"/>
          </w:tcPr>
          <w:p>
            <w:pPr>
              <w:spacing w:after="0"/>
              <w:rPr>
                <w:sz w:val="20"/>
                <w:szCs w:val="20"/>
                <w:color w:val="auto"/>
              </w:rPr>
            </w:pPr>
            <w:r>
              <w:rPr>
                <w:rFonts w:ascii="Arial" w:cs="Arial" w:eastAsia="Arial" w:hAnsi="Arial"/>
                <w:sz w:val="18"/>
                <w:szCs w:val="18"/>
                <w:color w:val="auto"/>
              </w:rPr>
              <w:t>101.CAL</w:t>
            </w:r>
          </w:p>
        </w:tc>
        <w:tc>
          <w:tcPr>
            <w:tcW w:w="4160" w:type="dxa"/>
            <w:vAlign w:val="bottom"/>
            <w:gridSpan w:val="3"/>
          </w:tcPr>
          <w:p>
            <w:pPr>
              <w:spacing w:after="0"/>
              <w:rPr>
                <w:sz w:val="20"/>
                <w:szCs w:val="20"/>
                <w:color w:val="auto"/>
              </w:rPr>
            </w:pPr>
            <w:r>
              <w:rPr>
                <w:rFonts w:ascii="Arial" w:cs="Arial" w:eastAsia="Arial" w:hAnsi="Arial"/>
                <w:sz w:val="18"/>
                <w:szCs w:val="18"/>
                <w:color w:val="auto"/>
              </w:rPr>
              <w:t>Inline XBRL Taxonomy Extension Calculation</w:t>
            </w: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Linkbase</w:t>
            </w:r>
          </w:p>
        </w:tc>
        <w:tc>
          <w:tcPr>
            <w:tcW w:w="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5"/>
        </w:trPr>
        <w:tc>
          <w:tcPr>
            <w:tcW w:w="1120" w:type="dxa"/>
            <w:vAlign w:val="bottom"/>
          </w:tcPr>
          <w:p>
            <w:pPr>
              <w:spacing w:after="0"/>
              <w:rPr>
                <w:sz w:val="20"/>
                <w:szCs w:val="20"/>
                <w:color w:val="auto"/>
              </w:rPr>
            </w:pPr>
            <w:r>
              <w:rPr>
                <w:rFonts w:ascii="Arial" w:cs="Arial" w:eastAsia="Arial" w:hAnsi="Arial"/>
                <w:sz w:val="18"/>
                <w:szCs w:val="18"/>
                <w:color w:val="auto"/>
              </w:rPr>
              <w:t>101.DEF</w:t>
            </w:r>
          </w:p>
        </w:tc>
        <w:tc>
          <w:tcPr>
            <w:tcW w:w="4160" w:type="dxa"/>
            <w:vAlign w:val="bottom"/>
            <w:gridSpan w:val="3"/>
          </w:tcPr>
          <w:p>
            <w:pPr>
              <w:spacing w:after="0"/>
              <w:rPr>
                <w:sz w:val="20"/>
                <w:szCs w:val="20"/>
                <w:color w:val="auto"/>
              </w:rPr>
            </w:pPr>
            <w:r>
              <w:rPr>
                <w:rFonts w:ascii="Arial" w:cs="Arial" w:eastAsia="Arial" w:hAnsi="Arial"/>
                <w:sz w:val="18"/>
                <w:szCs w:val="18"/>
                <w:color w:val="auto"/>
              </w:rPr>
              <w:t>Inline XBRL Taxonomy Extension Definition</w:t>
            </w: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Linkbase</w:t>
            </w:r>
          </w:p>
        </w:tc>
        <w:tc>
          <w:tcPr>
            <w:tcW w:w="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1120" w:type="dxa"/>
            <w:vAlign w:val="bottom"/>
          </w:tcPr>
          <w:p>
            <w:pPr>
              <w:spacing w:after="0"/>
              <w:rPr>
                <w:sz w:val="20"/>
                <w:szCs w:val="20"/>
                <w:color w:val="auto"/>
              </w:rPr>
            </w:pPr>
            <w:r>
              <w:rPr>
                <w:rFonts w:ascii="Arial" w:cs="Arial" w:eastAsia="Arial" w:hAnsi="Arial"/>
                <w:sz w:val="18"/>
                <w:szCs w:val="18"/>
                <w:color w:val="auto"/>
              </w:rPr>
              <w:t>101.LAB</w:t>
            </w:r>
          </w:p>
        </w:tc>
        <w:tc>
          <w:tcPr>
            <w:tcW w:w="4160" w:type="dxa"/>
            <w:vAlign w:val="bottom"/>
            <w:gridSpan w:val="3"/>
          </w:tcPr>
          <w:p>
            <w:pPr>
              <w:spacing w:after="0"/>
              <w:rPr>
                <w:sz w:val="20"/>
                <w:szCs w:val="20"/>
                <w:color w:val="auto"/>
              </w:rPr>
            </w:pPr>
            <w:r>
              <w:rPr>
                <w:rFonts w:ascii="Arial" w:cs="Arial" w:eastAsia="Arial" w:hAnsi="Arial"/>
                <w:sz w:val="18"/>
                <w:szCs w:val="18"/>
                <w:color w:val="auto"/>
              </w:rPr>
              <w:t>Inline XBRL Taxonomy Extension Label Linkbase</w:t>
            </w: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1120" w:type="dxa"/>
            <w:vAlign w:val="bottom"/>
          </w:tcPr>
          <w:p>
            <w:pPr>
              <w:spacing w:after="0"/>
              <w:rPr>
                <w:sz w:val="20"/>
                <w:szCs w:val="20"/>
                <w:color w:val="auto"/>
              </w:rPr>
            </w:pPr>
            <w:r>
              <w:rPr>
                <w:rFonts w:ascii="Arial" w:cs="Arial" w:eastAsia="Arial" w:hAnsi="Arial"/>
                <w:sz w:val="18"/>
                <w:szCs w:val="18"/>
                <w:color w:val="auto"/>
              </w:rPr>
              <w:t>101.PRE</w:t>
            </w:r>
          </w:p>
        </w:tc>
        <w:tc>
          <w:tcPr>
            <w:tcW w:w="4160" w:type="dxa"/>
            <w:vAlign w:val="bottom"/>
            <w:gridSpan w:val="3"/>
          </w:tcPr>
          <w:p>
            <w:pPr>
              <w:spacing w:after="0"/>
              <w:rPr>
                <w:sz w:val="20"/>
                <w:szCs w:val="20"/>
                <w:color w:val="auto"/>
              </w:rPr>
            </w:pPr>
            <w:r>
              <w:rPr>
                <w:rFonts w:ascii="Arial" w:cs="Arial" w:eastAsia="Arial" w:hAnsi="Arial"/>
                <w:sz w:val="18"/>
                <w:szCs w:val="18"/>
                <w:color w:val="auto"/>
              </w:rPr>
              <w:t>Inline XBRL Taxonomy Extension Presentation</w:t>
            </w: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Linkbase</w:t>
            </w:r>
          </w:p>
        </w:tc>
        <w:tc>
          <w:tcPr>
            <w:tcW w:w="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5"/>
        </w:trPr>
        <w:tc>
          <w:tcPr>
            <w:tcW w:w="1120" w:type="dxa"/>
            <w:vAlign w:val="bottom"/>
          </w:tcPr>
          <w:p>
            <w:pPr>
              <w:spacing w:after="0"/>
              <w:rPr>
                <w:sz w:val="20"/>
                <w:szCs w:val="20"/>
                <w:color w:val="auto"/>
              </w:rPr>
            </w:pPr>
            <w:r>
              <w:rPr>
                <w:rFonts w:ascii="Arial" w:cs="Arial" w:eastAsia="Arial" w:hAnsi="Arial"/>
                <w:sz w:val="18"/>
                <w:szCs w:val="18"/>
                <w:color w:val="auto"/>
              </w:rPr>
              <w:t>104</w:t>
            </w:r>
          </w:p>
        </w:tc>
        <w:tc>
          <w:tcPr>
            <w:tcW w:w="4160" w:type="dxa"/>
            <w:vAlign w:val="bottom"/>
            <w:gridSpan w:val="3"/>
          </w:tcPr>
          <w:p>
            <w:pPr>
              <w:spacing w:after="0"/>
              <w:rPr>
                <w:sz w:val="20"/>
                <w:szCs w:val="20"/>
                <w:color w:val="auto"/>
              </w:rPr>
            </w:pPr>
            <w:r>
              <w:rPr>
                <w:rFonts w:ascii="Arial" w:cs="Arial" w:eastAsia="Arial" w:hAnsi="Arial"/>
                <w:sz w:val="18"/>
                <w:szCs w:val="18"/>
                <w:color w:val="auto"/>
              </w:rPr>
              <w:t>Cover page formatted as Inline XBRL and</w:t>
            </w: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contained in Exhibit 101</w:t>
            </w:r>
          </w:p>
        </w:tc>
        <w:tc>
          <w:tcPr>
            <w:tcW w:w="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540" w:hanging="532"/>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Indicates a management contract or compensatory plan or arrangement.</w:t>
      </w:r>
    </w:p>
    <w:p>
      <w:pPr>
        <w:spacing w:after="0" w:line="1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i w:val="1"/>
          <w:iCs w:val="1"/>
          <w:color w:val="auto"/>
        </w:rPr>
        <w:t>Furnished, not filed.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37" w:right="399" w:bottom="1440" w:gutter="0" w:footer="0" w:header="0"/>
        </w:sectPr>
      </w:pPr>
    </w:p>
    <w:bookmarkStart w:id="107" w:name="page108"/>
    <w:bookmarkEnd w:id="107"/>
    <w:p>
      <w:pPr>
        <w:ind w:left="5360"/>
        <w:spacing w:after="0"/>
        <w:rPr>
          <w:sz w:val="20"/>
          <w:szCs w:val="20"/>
          <w:color w:val="auto"/>
        </w:rPr>
      </w:pPr>
      <w:r>
        <w:rPr>
          <w:rFonts w:ascii="Arial" w:cs="Arial" w:eastAsia="Arial" w:hAnsi="Arial"/>
          <w:sz w:val="13"/>
          <w:szCs w:val="13"/>
          <w:u w:val="single" w:color="auto"/>
          <w:color w:val="auto"/>
        </w:rPr>
        <w:t>PART IV</w:t>
      </w:r>
    </w:p>
    <w:p>
      <w:pPr>
        <w:ind w:left="5400"/>
        <w:spacing w:after="0"/>
        <w:rPr>
          <w:sz w:val="20"/>
          <w:szCs w:val="20"/>
          <w:color w:val="auto"/>
        </w:rPr>
      </w:pPr>
      <w:r>
        <w:rPr>
          <w:rFonts w:ascii="Arial" w:cs="Arial" w:eastAsia="Arial" w:hAnsi="Arial"/>
          <w:sz w:val="13"/>
          <w:szCs w:val="13"/>
          <w:color w:val="auto"/>
        </w:rPr>
        <w:t>Item 16</w:t>
      </w:r>
    </w:p>
    <w:p>
      <w:pPr>
        <w:spacing w:after="0" w:line="168" w:lineRule="exact"/>
        <w:rPr>
          <w:sz w:val="20"/>
          <w:szCs w:val="20"/>
          <w:color w:val="auto"/>
        </w:rPr>
      </w:pPr>
    </w:p>
    <w:p>
      <w:pPr>
        <w:jc w:val="right"/>
        <w:ind w:right="2879"/>
        <w:spacing w:after="0"/>
        <w:rPr>
          <w:sz w:val="20"/>
          <w:szCs w:val="20"/>
          <w:color w:val="auto"/>
        </w:rPr>
      </w:pPr>
      <w:r>
        <w:rPr>
          <w:rFonts w:ascii="Arial" w:cs="Arial" w:eastAsia="Arial" w:hAnsi="Arial"/>
          <w:sz w:val="22"/>
          <w:szCs w:val="22"/>
          <w:b w:val="1"/>
          <w:bCs w:val="1"/>
          <w:color w:val="auto"/>
        </w:rPr>
        <w:t>ITEM 16. FORM 10-K SUMMARY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39"/>
          </w:cols>
          <w:pgMar w:left="320" w:top="137" w:right="1440"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SIGNATURES</w:t>
      </w:r>
    </w:p>
    <w:p>
      <w:pPr>
        <w:spacing w:after="0" w:line="17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in the City of Redmond, State of Washington, on July 29,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3"/>
          <w:szCs w:val="13"/>
          <w:color w:val="auto"/>
        </w:rPr>
        <w:t>ICROSOFT</w:t>
      </w:r>
      <w:r>
        <w:rPr>
          <w:rFonts w:ascii="Arial" w:cs="Arial" w:eastAsia="Arial" w:hAnsi="Arial"/>
          <w:sz w:val="18"/>
          <w:szCs w:val="18"/>
          <w:color w:val="auto"/>
        </w:rPr>
        <w:t xml:space="preserve"> C</w:t>
      </w:r>
      <w:r>
        <w:rPr>
          <w:rFonts w:ascii="Arial" w:cs="Arial" w:eastAsia="Arial" w:hAnsi="Arial"/>
          <w:sz w:val="13"/>
          <w:szCs w:val="13"/>
          <w:color w:val="auto"/>
        </w:rPr>
        <w:t>ORPORATION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A</w:t>
      </w:r>
      <w:r>
        <w:rPr>
          <w:rFonts w:ascii="Arial" w:cs="Arial" w:eastAsia="Arial" w:hAnsi="Arial"/>
          <w:sz w:val="13"/>
          <w:szCs w:val="13"/>
          <w:color w:val="auto"/>
        </w:rPr>
        <w:t>LICE</w:t>
      </w:r>
      <w:r>
        <w:rPr>
          <w:rFonts w:ascii="Arial" w:cs="Arial" w:eastAsia="Arial" w:hAnsi="Arial"/>
          <w:sz w:val="18"/>
          <w:szCs w:val="18"/>
          <w:color w:val="auto"/>
        </w:rPr>
        <w:t xml:space="preserve"> L. J</w:t>
      </w:r>
      <w:r>
        <w:rPr>
          <w:rFonts w:ascii="Arial" w:cs="Arial" w:eastAsia="Arial" w:hAnsi="Arial"/>
          <w:sz w:val="13"/>
          <w:szCs w:val="13"/>
          <w:color w:val="auto"/>
        </w:rPr>
        <w:t>OLLA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3915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4">
                      <a:extLst>
                        <a:ext uri="{28A0092B-C50C-407E-A947-70E740481C1C}"/>
                      </a:extLst>
                    </a:blip>
                    <a:srcRect/>
                    <a:stretch>
                      <a:fillRect/>
                    </a:stretch>
                  </pic:blipFill>
                  <pic:spPr bwMode="auto">
                    <a:xfrm>
                      <a:off x="0" y="0"/>
                      <a:ext cx="339153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Alice L. Jolla</w:t>
      </w:r>
    </w:p>
    <w:p>
      <w:pPr>
        <w:spacing w:after="0" w:line="233" w:lineRule="auto"/>
        <w:rPr>
          <w:sz w:val="20"/>
          <w:szCs w:val="20"/>
          <w:color w:val="auto"/>
        </w:rPr>
      </w:pPr>
      <w:r>
        <w:rPr>
          <w:rFonts w:ascii="Arial" w:cs="Arial" w:eastAsia="Arial" w:hAnsi="Arial"/>
          <w:sz w:val="18"/>
          <w:szCs w:val="18"/>
          <w:color w:val="auto"/>
        </w:rPr>
        <w:t>Corporate Vice President and Chief Accounting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109" w:name="page110"/>
    <w:bookmarkEnd w:id="109"/>
    <w:p>
      <w:pPr>
        <w:ind w:right="20"/>
        <w:spacing w:after="0" w:line="244"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Registrant and in the capacities indicated on July 29, 2021.</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520" w:type="dxa"/>
            <w:vAlign w:val="bottom"/>
          </w:tcPr>
          <w:p>
            <w:pPr>
              <w:spacing w:after="0"/>
              <w:rPr>
                <w:sz w:val="20"/>
                <w:szCs w:val="20"/>
                <w:color w:val="auto"/>
              </w:rPr>
            </w:pPr>
            <w:r>
              <w:rPr>
                <w:rFonts w:ascii="Arial" w:cs="Arial" w:eastAsia="Arial" w:hAnsi="Arial"/>
                <w:sz w:val="13"/>
                <w:szCs w:val="13"/>
                <w:b w:val="1"/>
                <w:bCs w:val="1"/>
                <w:color w:val="auto"/>
              </w:rPr>
              <w:t>Signature</w:t>
            </w:r>
          </w:p>
        </w:tc>
        <w:tc>
          <w:tcPr>
            <w:tcW w:w="5720" w:type="dxa"/>
            <w:vAlign w:val="bottom"/>
          </w:tcPr>
          <w:p>
            <w:pPr>
              <w:ind w:left="120"/>
              <w:spacing w:after="0"/>
              <w:rPr>
                <w:sz w:val="20"/>
                <w:szCs w:val="20"/>
                <w:color w:val="auto"/>
              </w:rPr>
            </w:pPr>
            <w:r>
              <w:rPr>
                <w:rFonts w:ascii="Arial" w:cs="Arial" w:eastAsia="Arial" w:hAnsi="Arial"/>
                <w:sz w:val="13"/>
                <w:szCs w:val="13"/>
                <w:b w:val="1"/>
                <w:bCs w:val="1"/>
                <w:color w:val="auto"/>
              </w:rPr>
              <w:t>Title</w:t>
            </w:r>
          </w:p>
        </w:tc>
      </w:tr>
      <w:tr>
        <w:trPr>
          <w:trHeight w:val="95"/>
        </w:trPr>
        <w:tc>
          <w:tcPr>
            <w:tcW w:w="5520" w:type="dxa"/>
            <w:vAlign w:val="bottom"/>
            <w:tcBorders>
              <w:bottom w:val="single" w:sz="8" w:color="auto"/>
            </w:tcBorders>
          </w:tcPr>
          <w:p>
            <w:pPr>
              <w:spacing w:after="0"/>
              <w:rPr>
                <w:sz w:val="8"/>
                <w:szCs w:val="8"/>
                <w:color w:val="auto"/>
              </w:rPr>
            </w:pPr>
          </w:p>
        </w:tc>
        <w:tc>
          <w:tcPr>
            <w:tcW w:w="5720" w:type="dxa"/>
            <w:vAlign w:val="bottom"/>
            <w:tcBorders>
              <w:bottom w:val="single" w:sz="8" w:color="auto"/>
            </w:tcBorders>
          </w:tcPr>
          <w:p>
            <w:pPr>
              <w:spacing w:after="0"/>
              <w:rPr>
                <w:sz w:val="8"/>
                <w:szCs w:val="8"/>
                <w:color w:val="auto"/>
              </w:rPr>
            </w:pPr>
          </w:p>
        </w:tc>
      </w:tr>
      <w:tr>
        <w:trPr>
          <w:trHeight w:val="316"/>
        </w:trPr>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ATYA</w:t>
            </w:r>
            <w:r>
              <w:rPr>
                <w:rFonts w:ascii="Arial" w:cs="Arial" w:eastAsia="Arial" w:hAnsi="Arial"/>
                <w:sz w:val="18"/>
                <w:szCs w:val="18"/>
                <w:color w:val="auto"/>
              </w:rPr>
              <w:t xml:space="preserve"> N</w:t>
            </w:r>
            <w:r>
              <w:rPr>
                <w:rFonts w:ascii="Arial" w:cs="Arial" w:eastAsia="Arial" w:hAnsi="Arial"/>
                <w:sz w:val="13"/>
                <w:szCs w:val="13"/>
                <w:color w:val="auto"/>
              </w:rPr>
              <w:t>ADELLA</w:t>
            </w:r>
          </w:p>
        </w:tc>
        <w:tc>
          <w:tcPr>
            <w:tcW w:w="5720" w:type="dxa"/>
            <w:vAlign w:val="bottom"/>
          </w:tcPr>
          <w:p>
            <w:pPr>
              <w:ind w:left="120"/>
              <w:spacing w:after="0"/>
              <w:rPr>
                <w:sz w:val="20"/>
                <w:szCs w:val="20"/>
                <w:color w:val="auto"/>
              </w:rPr>
            </w:pPr>
            <w:r>
              <w:rPr>
                <w:rFonts w:ascii="Arial" w:cs="Arial" w:eastAsia="Arial" w:hAnsi="Arial"/>
                <w:sz w:val="18"/>
                <w:szCs w:val="18"/>
                <w:color w:val="auto"/>
              </w:rPr>
              <w:t>Chairman and Chief Executive Officer (Principal Executive Officer)</w:t>
            </w:r>
          </w:p>
        </w:tc>
      </w:tr>
      <w:tr>
        <w:trPr>
          <w:trHeight w:val="222"/>
        </w:trPr>
        <w:tc>
          <w:tcPr>
            <w:tcW w:w="5520" w:type="dxa"/>
            <w:vAlign w:val="bottom"/>
          </w:tcPr>
          <w:p>
            <w:pPr>
              <w:spacing w:after="0"/>
              <w:rPr>
                <w:sz w:val="20"/>
                <w:szCs w:val="20"/>
                <w:color w:val="auto"/>
              </w:rPr>
            </w:pPr>
            <w:r>
              <w:rPr>
                <w:rFonts w:ascii="Arial" w:cs="Arial" w:eastAsia="Arial" w:hAnsi="Arial"/>
                <w:sz w:val="18"/>
                <w:szCs w:val="18"/>
                <w:color w:val="auto"/>
              </w:rPr>
              <w:t>Satya Nadella</w:t>
            </w:r>
          </w:p>
        </w:tc>
        <w:tc>
          <w:tcPr>
            <w:tcW w:w="5720" w:type="dxa"/>
            <w:vAlign w:val="bottom"/>
          </w:tcPr>
          <w:p>
            <w:pPr>
              <w:spacing w:after="0"/>
              <w:rPr>
                <w:sz w:val="19"/>
                <w:szCs w:val="19"/>
                <w:color w:val="auto"/>
              </w:rPr>
            </w:pPr>
          </w:p>
        </w:tc>
      </w:tr>
      <w:tr>
        <w:trPr>
          <w:trHeight w:val="309"/>
        </w:trPr>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w:t>
            </w:r>
            <w:r>
              <w:rPr>
                <w:rFonts w:ascii="Arial" w:cs="Arial" w:eastAsia="Arial" w:hAnsi="Arial"/>
                <w:sz w:val="13"/>
                <w:szCs w:val="13"/>
                <w:color w:val="auto"/>
              </w:rPr>
              <w:t>EID</w:t>
            </w:r>
            <w:r>
              <w:rPr>
                <w:rFonts w:ascii="Arial" w:cs="Arial" w:eastAsia="Arial" w:hAnsi="Arial"/>
                <w:sz w:val="18"/>
                <w:szCs w:val="18"/>
                <w:color w:val="auto"/>
              </w:rPr>
              <w:t xml:space="preserve"> H</w:t>
            </w:r>
            <w:r>
              <w:rPr>
                <w:rFonts w:ascii="Arial" w:cs="Arial" w:eastAsia="Arial" w:hAnsi="Arial"/>
                <w:sz w:val="13"/>
                <w:szCs w:val="13"/>
                <w:color w:val="auto"/>
              </w:rPr>
              <w:t>OFFMAN</w:t>
            </w:r>
          </w:p>
        </w:tc>
        <w:tc>
          <w:tcPr>
            <w:tcW w:w="5720" w:type="dxa"/>
            <w:vAlign w:val="bottom"/>
          </w:tcPr>
          <w:p>
            <w:pPr>
              <w:ind w:left="120"/>
              <w:spacing w:after="0"/>
              <w:rPr>
                <w:sz w:val="20"/>
                <w:szCs w:val="20"/>
                <w:color w:val="auto"/>
              </w:rPr>
            </w:pPr>
            <w:r>
              <w:rPr>
                <w:rFonts w:ascii="Arial" w:cs="Arial" w:eastAsia="Arial" w:hAnsi="Arial"/>
                <w:sz w:val="18"/>
                <w:szCs w:val="18"/>
                <w:color w:val="auto"/>
              </w:rPr>
              <w:t>Director</w:t>
            </w:r>
          </w:p>
        </w:tc>
      </w:tr>
      <w:tr>
        <w:trPr>
          <w:trHeight w:val="222"/>
        </w:trPr>
        <w:tc>
          <w:tcPr>
            <w:tcW w:w="5520" w:type="dxa"/>
            <w:vAlign w:val="bottom"/>
          </w:tcPr>
          <w:p>
            <w:pPr>
              <w:spacing w:after="0"/>
              <w:rPr>
                <w:sz w:val="20"/>
                <w:szCs w:val="20"/>
                <w:color w:val="auto"/>
              </w:rPr>
            </w:pPr>
            <w:r>
              <w:rPr>
                <w:rFonts w:ascii="Arial" w:cs="Arial" w:eastAsia="Arial" w:hAnsi="Arial"/>
                <w:sz w:val="18"/>
                <w:szCs w:val="18"/>
                <w:color w:val="auto"/>
              </w:rPr>
              <w:t>Reid Hoffman</w:t>
            </w:r>
          </w:p>
        </w:tc>
        <w:tc>
          <w:tcPr>
            <w:tcW w:w="5720" w:type="dxa"/>
            <w:vAlign w:val="bottom"/>
          </w:tcPr>
          <w:p>
            <w:pPr>
              <w:spacing w:after="0"/>
              <w:rPr>
                <w:sz w:val="19"/>
                <w:szCs w:val="19"/>
                <w:color w:val="auto"/>
              </w:rPr>
            </w:pPr>
          </w:p>
        </w:tc>
      </w:tr>
      <w:tr>
        <w:trPr>
          <w:trHeight w:val="309"/>
        </w:trPr>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w:t>
            </w:r>
            <w:r>
              <w:rPr>
                <w:rFonts w:ascii="Arial" w:cs="Arial" w:eastAsia="Arial" w:hAnsi="Arial"/>
                <w:sz w:val="13"/>
                <w:szCs w:val="13"/>
                <w:color w:val="auto"/>
              </w:rPr>
              <w:t>UGH</w:t>
            </w:r>
            <w:r>
              <w:rPr>
                <w:rFonts w:ascii="Arial" w:cs="Arial" w:eastAsia="Arial" w:hAnsi="Arial"/>
                <w:sz w:val="18"/>
                <w:szCs w:val="18"/>
                <w:color w:val="auto"/>
              </w:rPr>
              <w:t xml:space="preserve"> F. J</w:t>
            </w:r>
            <w:r>
              <w:rPr>
                <w:rFonts w:ascii="Arial" w:cs="Arial" w:eastAsia="Arial" w:hAnsi="Arial"/>
                <w:sz w:val="13"/>
                <w:szCs w:val="13"/>
                <w:color w:val="auto"/>
              </w:rPr>
              <w:t>OHNSTON</w:t>
            </w:r>
          </w:p>
        </w:tc>
        <w:tc>
          <w:tcPr>
            <w:tcW w:w="5720" w:type="dxa"/>
            <w:vAlign w:val="bottom"/>
          </w:tcPr>
          <w:p>
            <w:pPr>
              <w:ind w:left="120"/>
              <w:spacing w:after="0"/>
              <w:rPr>
                <w:sz w:val="20"/>
                <w:szCs w:val="20"/>
                <w:color w:val="auto"/>
              </w:rPr>
            </w:pPr>
            <w:r>
              <w:rPr>
                <w:rFonts w:ascii="Arial" w:cs="Arial" w:eastAsia="Arial" w:hAnsi="Arial"/>
                <w:sz w:val="18"/>
                <w:szCs w:val="18"/>
                <w:color w:val="auto"/>
              </w:rPr>
              <w:t>Director</w:t>
            </w:r>
          </w:p>
        </w:tc>
      </w:tr>
      <w:tr>
        <w:trPr>
          <w:trHeight w:val="222"/>
        </w:trPr>
        <w:tc>
          <w:tcPr>
            <w:tcW w:w="5520" w:type="dxa"/>
            <w:vAlign w:val="bottom"/>
          </w:tcPr>
          <w:p>
            <w:pPr>
              <w:spacing w:after="0"/>
              <w:rPr>
                <w:sz w:val="20"/>
                <w:szCs w:val="20"/>
                <w:color w:val="auto"/>
              </w:rPr>
            </w:pPr>
            <w:r>
              <w:rPr>
                <w:rFonts w:ascii="Arial" w:cs="Arial" w:eastAsia="Arial" w:hAnsi="Arial"/>
                <w:sz w:val="18"/>
                <w:szCs w:val="18"/>
                <w:color w:val="auto"/>
              </w:rPr>
              <w:t>Hugh F. Johnston</w:t>
            </w:r>
          </w:p>
        </w:tc>
        <w:tc>
          <w:tcPr>
            <w:tcW w:w="5720" w:type="dxa"/>
            <w:vAlign w:val="bottom"/>
          </w:tcPr>
          <w:p>
            <w:pPr>
              <w:spacing w:after="0"/>
              <w:rPr>
                <w:sz w:val="19"/>
                <w:szCs w:val="19"/>
                <w:color w:val="auto"/>
              </w:rPr>
            </w:pPr>
          </w:p>
        </w:tc>
      </w:tr>
      <w:tr>
        <w:trPr>
          <w:trHeight w:val="309"/>
        </w:trPr>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w:t>
            </w:r>
            <w:r>
              <w:rPr>
                <w:rFonts w:ascii="Arial" w:cs="Arial" w:eastAsia="Arial" w:hAnsi="Arial"/>
                <w:sz w:val="13"/>
                <w:szCs w:val="13"/>
                <w:color w:val="auto"/>
              </w:rPr>
              <w:t>ERI</w:t>
            </w:r>
            <w:r>
              <w:rPr>
                <w:rFonts w:ascii="Arial" w:cs="Arial" w:eastAsia="Arial" w:hAnsi="Arial"/>
                <w:sz w:val="18"/>
                <w:szCs w:val="18"/>
                <w:color w:val="auto"/>
              </w:rPr>
              <w:t xml:space="preserve"> L. L</w:t>
            </w:r>
            <w:r>
              <w:rPr>
                <w:rFonts w:ascii="Arial" w:cs="Arial" w:eastAsia="Arial" w:hAnsi="Arial"/>
                <w:sz w:val="13"/>
                <w:szCs w:val="13"/>
                <w:color w:val="auto"/>
              </w:rPr>
              <w:t>IST</w:t>
            </w:r>
          </w:p>
        </w:tc>
        <w:tc>
          <w:tcPr>
            <w:tcW w:w="5720" w:type="dxa"/>
            <w:vAlign w:val="bottom"/>
          </w:tcPr>
          <w:p>
            <w:pPr>
              <w:ind w:left="120"/>
              <w:spacing w:after="0"/>
              <w:rPr>
                <w:sz w:val="20"/>
                <w:szCs w:val="20"/>
                <w:color w:val="auto"/>
              </w:rPr>
            </w:pPr>
            <w:r>
              <w:rPr>
                <w:rFonts w:ascii="Arial" w:cs="Arial" w:eastAsia="Arial" w:hAnsi="Arial"/>
                <w:sz w:val="18"/>
                <w:szCs w:val="18"/>
                <w:color w:val="auto"/>
              </w:rPr>
              <w:t>Director</w:t>
            </w:r>
          </w:p>
        </w:tc>
      </w:tr>
      <w:tr>
        <w:trPr>
          <w:trHeight w:val="222"/>
        </w:trPr>
        <w:tc>
          <w:tcPr>
            <w:tcW w:w="5520" w:type="dxa"/>
            <w:vAlign w:val="bottom"/>
          </w:tcPr>
          <w:p>
            <w:pPr>
              <w:spacing w:after="0"/>
              <w:rPr>
                <w:sz w:val="20"/>
                <w:szCs w:val="20"/>
                <w:color w:val="auto"/>
              </w:rPr>
            </w:pPr>
            <w:r>
              <w:rPr>
                <w:rFonts w:ascii="Arial" w:cs="Arial" w:eastAsia="Arial" w:hAnsi="Arial"/>
                <w:sz w:val="18"/>
                <w:szCs w:val="18"/>
                <w:color w:val="auto"/>
              </w:rPr>
              <w:t>Teri L. List</w:t>
            </w:r>
          </w:p>
        </w:tc>
        <w:tc>
          <w:tcPr>
            <w:tcW w:w="5720" w:type="dxa"/>
            <w:vAlign w:val="bottom"/>
          </w:tcPr>
          <w:p>
            <w:pPr>
              <w:spacing w:after="0"/>
              <w:rPr>
                <w:sz w:val="19"/>
                <w:szCs w:val="19"/>
                <w:color w:val="auto"/>
              </w:rPr>
            </w:pPr>
          </w:p>
        </w:tc>
      </w:tr>
      <w:tr>
        <w:trPr>
          <w:trHeight w:val="309"/>
        </w:trPr>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ANDRA</w:t>
            </w:r>
            <w:r>
              <w:rPr>
                <w:rFonts w:ascii="Arial" w:cs="Arial" w:eastAsia="Arial" w:hAnsi="Arial"/>
                <w:sz w:val="18"/>
                <w:szCs w:val="18"/>
                <w:color w:val="auto"/>
              </w:rPr>
              <w:t xml:space="preserve"> E. P</w:t>
            </w:r>
            <w:r>
              <w:rPr>
                <w:rFonts w:ascii="Arial" w:cs="Arial" w:eastAsia="Arial" w:hAnsi="Arial"/>
                <w:sz w:val="13"/>
                <w:szCs w:val="13"/>
                <w:color w:val="auto"/>
              </w:rPr>
              <w:t>ETERSON</w:t>
            </w:r>
          </w:p>
        </w:tc>
        <w:tc>
          <w:tcPr>
            <w:tcW w:w="5720" w:type="dxa"/>
            <w:vAlign w:val="bottom"/>
          </w:tcPr>
          <w:p>
            <w:pPr>
              <w:ind w:left="120"/>
              <w:spacing w:after="0"/>
              <w:rPr>
                <w:sz w:val="20"/>
                <w:szCs w:val="20"/>
                <w:color w:val="auto"/>
              </w:rPr>
            </w:pPr>
            <w:r>
              <w:rPr>
                <w:rFonts w:ascii="Arial" w:cs="Arial" w:eastAsia="Arial" w:hAnsi="Arial"/>
                <w:sz w:val="18"/>
                <w:szCs w:val="18"/>
                <w:color w:val="auto"/>
              </w:rPr>
              <w:t>Director</w:t>
            </w:r>
          </w:p>
        </w:tc>
      </w:tr>
      <w:tr>
        <w:trPr>
          <w:trHeight w:val="222"/>
        </w:trPr>
        <w:tc>
          <w:tcPr>
            <w:tcW w:w="5520" w:type="dxa"/>
            <w:vAlign w:val="bottom"/>
          </w:tcPr>
          <w:p>
            <w:pPr>
              <w:spacing w:after="0"/>
              <w:rPr>
                <w:sz w:val="20"/>
                <w:szCs w:val="20"/>
                <w:color w:val="auto"/>
              </w:rPr>
            </w:pPr>
            <w:r>
              <w:rPr>
                <w:rFonts w:ascii="Arial" w:cs="Arial" w:eastAsia="Arial" w:hAnsi="Arial"/>
                <w:sz w:val="18"/>
                <w:szCs w:val="18"/>
                <w:color w:val="auto"/>
              </w:rPr>
              <w:t>Sandra E. Peterson</w:t>
            </w:r>
          </w:p>
        </w:tc>
        <w:tc>
          <w:tcPr>
            <w:tcW w:w="5720" w:type="dxa"/>
            <w:vAlign w:val="bottom"/>
          </w:tcPr>
          <w:p>
            <w:pPr>
              <w:spacing w:after="0"/>
              <w:rPr>
                <w:sz w:val="19"/>
                <w:szCs w:val="19"/>
                <w:color w:val="auto"/>
              </w:rPr>
            </w:pPr>
          </w:p>
        </w:tc>
      </w:tr>
      <w:tr>
        <w:trPr>
          <w:trHeight w:val="309"/>
        </w:trPr>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w:t>
            </w:r>
            <w:r>
              <w:rPr>
                <w:rFonts w:ascii="Arial" w:cs="Arial" w:eastAsia="Arial" w:hAnsi="Arial"/>
                <w:sz w:val="13"/>
                <w:szCs w:val="13"/>
                <w:color w:val="auto"/>
              </w:rPr>
              <w:t>ENNY</w:t>
            </w:r>
            <w:r>
              <w:rPr>
                <w:rFonts w:ascii="Arial" w:cs="Arial" w:eastAsia="Arial" w:hAnsi="Arial"/>
                <w:sz w:val="18"/>
                <w:szCs w:val="18"/>
                <w:color w:val="auto"/>
              </w:rPr>
              <w:t xml:space="preserve"> S. P</w:t>
            </w:r>
            <w:r>
              <w:rPr>
                <w:rFonts w:ascii="Arial" w:cs="Arial" w:eastAsia="Arial" w:hAnsi="Arial"/>
                <w:sz w:val="13"/>
                <w:szCs w:val="13"/>
                <w:color w:val="auto"/>
              </w:rPr>
              <w:t>RITZKER</w:t>
            </w:r>
          </w:p>
        </w:tc>
        <w:tc>
          <w:tcPr>
            <w:tcW w:w="5720" w:type="dxa"/>
            <w:vAlign w:val="bottom"/>
          </w:tcPr>
          <w:p>
            <w:pPr>
              <w:ind w:left="120"/>
              <w:spacing w:after="0"/>
              <w:rPr>
                <w:sz w:val="20"/>
                <w:szCs w:val="20"/>
                <w:color w:val="auto"/>
              </w:rPr>
            </w:pPr>
            <w:r>
              <w:rPr>
                <w:rFonts w:ascii="Arial" w:cs="Arial" w:eastAsia="Arial" w:hAnsi="Arial"/>
                <w:sz w:val="18"/>
                <w:szCs w:val="18"/>
                <w:color w:val="auto"/>
              </w:rPr>
              <w:t>Director</w:t>
            </w:r>
          </w:p>
        </w:tc>
      </w:tr>
      <w:tr>
        <w:trPr>
          <w:trHeight w:val="222"/>
        </w:trPr>
        <w:tc>
          <w:tcPr>
            <w:tcW w:w="5520" w:type="dxa"/>
            <w:vAlign w:val="bottom"/>
          </w:tcPr>
          <w:p>
            <w:pPr>
              <w:spacing w:after="0"/>
              <w:rPr>
                <w:sz w:val="20"/>
                <w:szCs w:val="20"/>
                <w:color w:val="auto"/>
              </w:rPr>
            </w:pPr>
            <w:r>
              <w:rPr>
                <w:rFonts w:ascii="Arial" w:cs="Arial" w:eastAsia="Arial" w:hAnsi="Arial"/>
                <w:sz w:val="18"/>
                <w:szCs w:val="18"/>
                <w:color w:val="auto"/>
              </w:rPr>
              <w:t>Penny S. Pritzker</w:t>
            </w:r>
          </w:p>
        </w:tc>
        <w:tc>
          <w:tcPr>
            <w:tcW w:w="5720" w:type="dxa"/>
            <w:vAlign w:val="bottom"/>
          </w:tcPr>
          <w:p>
            <w:pPr>
              <w:spacing w:after="0"/>
              <w:rPr>
                <w:sz w:val="19"/>
                <w:szCs w:val="19"/>
                <w:color w:val="auto"/>
              </w:rPr>
            </w:pPr>
          </w:p>
        </w:tc>
      </w:tr>
      <w:tr>
        <w:trPr>
          <w:trHeight w:val="309"/>
        </w:trPr>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w:t>
            </w:r>
            <w:r>
              <w:rPr>
                <w:rFonts w:ascii="Arial" w:cs="Arial" w:eastAsia="Arial" w:hAnsi="Arial"/>
                <w:sz w:val="13"/>
                <w:szCs w:val="13"/>
                <w:color w:val="auto"/>
              </w:rPr>
              <w:t>HARLES</w:t>
            </w:r>
            <w:r>
              <w:rPr>
                <w:rFonts w:ascii="Arial" w:cs="Arial" w:eastAsia="Arial" w:hAnsi="Arial"/>
                <w:sz w:val="18"/>
                <w:szCs w:val="18"/>
                <w:color w:val="auto"/>
              </w:rPr>
              <w:t xml:space="preserve"> W. S</w:t>
            </w:r>
            <w:r>
              <w:rPr>
                <w:rFonts w:ascii="Arial" w:cs="Arial" w:eastAsia="Arial" w:hAnsi="Arial"/>
                <w:sz w:val="13"/>
                <w:szCs w:val="13"/>
                <w:color w:val="auto"/>
              </w:rPr>
              <w:t>CHARF</w:t>
            </w:r>
          </w:p>
        </w:tc>
        <w:tc>
          <w:tcPr>
            <w:tcW w:w="5720" w:type="dxa"/>
            <w:vAlign w:val="bottom"/>
          </w:tcPr>
          <w:p>
            <w:pPr>
              <w:ind w:left="120"/>
              <w:spacing w:after="0"/>
              <w:rPr>
                <w:sz w:val="20"/>
                <w:szCs w:val="20"/>
                <w:color w:val="auto"/>
              </w:rPr>
            </w:pPr>
            <w:r>
              <w:rPr>
                <w:rFonts w:ascii="Arial" w:cs="Arial" w:eastAsia="Arial" w:hAnsi="Arial"/>
                <w:sz w:val="18"/>
                <w:szCs w:val="18"/>
                <w:color w:val="auto"/>
              </w:rPr>
              <w:t>Director</w:t>
            </w:r>
          </w:p>
        </w:tc>
      </w:tr>
      <w:tr>
        <w:trPr>
          <w:trHeight w:val="222"/>
        </w:trPr>
        <w:tc>
          <w:tcPr>
            <w:tcW w:w="5520" w:type="dxa"/>
            <w:vAlign w:val="bottom"/>
          </w:tcPr>
          <w:p>
            <w:pPr>
              <w:spacing w:after="0"/>
              <w:rPr>
                <w:sz w:val="20"/>
                <w:szCs w:val="20"/>
                <w:color w:val="auto"/>
              </w:rPr>
            </w:pPr>
            <w:r>
              <w:rPr>
                <w:rFonts w:ascii="Arial" w:cs="Arial" w:eastAsia="Arial" w:hAnsi="Arial"/>
                <w:sz w:val="18"/>
                <w:szCs w:val="18"/>
                <w:color w:val="auto"/>
              </w:rPr>
              <w:t>Charles W. Scharf</w:t>
            </w:r>
          </w:p>
        </w:tc>
        <w:tc>
          <w:tcPr>
            <w:tcW w:w="5720" w:type="dxa"/>
            <w:vAlign w:val="bottom"/>
          </w:tcPr>
          <w:p>
            <w:pPr>
              <w:spacing w:after="0"/>
              <w:rPr>
                <w:sz w:val="19"/>
                <w:szCs w:val="19"/>
                <w:color w:val="auto"/>
              </w:rPr>
            </w:pPr>
          </w:p>
        </w:tc>
      </w:tr>
      <w:tr>
        <w:trPr>
          <w:trHeight w:val="309"/>
        </w:trPr>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w:t>
            </w:r>
            <w:r>
              <w:rPr>
                <w:rFonts w:ascii="Arial" w:cs="Arial" w:eastAsia="Arial" w:hAnsi="Arial"/>
                <w:sz w:val="13"/>
                <w:szCs w:val="13"/>
                <w:color w:val="auto"/>
              </w:rPr>
              <w:t>OHN</w:t>
            </w:r>
            <w:r>
              <w:rPr>
                <w:rFonts w:ascii="Arial" w:cs="Arial" w:eastAsia="Arial" w:hAnsi="Arial"/>
                <w:sz w:val="18"/>
                <w:szCs w:val="18"/>
                <w:color w:val="auto"/>
              </w:rPr>
              <w:t xml:space="preserve"> W. S</w:t>
            </w:r>
            <w:r>
              <w:rPr>
                <w:rFonts w:ascii="Arial" w:cs="Arial" w:eastAsia="Arial" w:hAnsi="Arial"/>
                <w:sz w:val="13"/>
                <w:szCs w:val="13"/>
                <w:color w:val="auto"/>
              </w:rPr>
              <w:t>TANTON</w:t>
            </w:r>
          </w:p>
        </w:tc>
        <w:tc>
          <w:tcPr>
            <w:tcW w:w="5720" w:type="dxa"/>
            <w:vAlign w:val="bottom"/>
          </w:tcPr>
          <w:p>
            <w:pPr>
              <w:ind w:left="120"/>
              <w:spacing w:after="0"/>
              <w:rPr>
                <w:sz w:val="20"/>
                <w:szCs w:val="20"/>
                <w:color w:val="auto"/>
              </w:rPr>
            </w:pPr>
            <w:r>
              <w:rPr>
                <w:rFonts w:ascii="Arial" w:cs="Arial" w:eastAsia="Arial" w:hAnsi="Arial"/>
                <w:sz w:val="18"/>
                <w:szCs w:val="18"/>
                <w:color w:val="auto"/>
              </w:rPr>
              <w:t>Director</w:t>
            </w:r>
          </w:p>
        </w:tc>
      </w:tr>
      <w:tr>
        <w:trPr>
          <w:trHeight w:val="222"/>
        </w:trPr>
        <w:tc>
          <w:tcPr>
            <w:tcW w:w="5520" w:type="dxa"/>
            <w:vAlign w:val="bottom"/>
          </w:tcPr>
          <w:p>
            <w:pPr>
              <w:spacing w:after="0"/>
              <w:rPr>
                <w:sz w:val="20"/>
                <w:szCs w:val="20"/>
                <w:color w:val="auto"/>
              </w:rPr>
            </w:pPr>
            <w:r>
              <w:rPr>
                <w:rFonts w:ascii="Arial" w:cs="Arial" w:eastAsia="Arial" w:hAnsi="Arial"/>
                <w:sz w:val="18"/>
                <w:szCs w:val="18"/>
                <w:color w:val="auto"/>
              </w:rPr>
              <w:t>John W. Stanton</w:t>
            </w:r>
          </w:p>
        </w:tc>
        <w:tc>
          <w:tcPr>
            <w:tcW w:w="5720" w:type="dxa"/>
            <w:vAlign w:val="bottom"/>
          </w:tcPr>
          <w:p>
            <w:pPr>
              <w:spacing w:after="0"/>
              <w:rPr>
                <w:sz w:val="19"/>
                <w:szCs w:val="19"/>
                <w:color w:val="auto"/>
              </w:rPr>
            </w:pPr>
          </w:p>
        </w:tc>
      </w:tr>
    </w:tbl>
    <w:p>
      <w:pPr>
        <w:spacing w:after="0" w:line="93" w:lineRule="exact"/>
        <w:rPr>
          <w:sz w:val="20"/>
          <w:szCs w:val="20"/>
          <w:color w:val="auto"/>
        </w:rPr>
      </w:pPr>
    </w:p>
    <w:p>
      <w:pPr>
        <w:sectPr>
          <w:pgSz w:w="11900" w:h="16838" w:orient="portrait"/>
          <w:cols w:equalWidth="0" w:num="1">
            <w:col w:w="11240"/>
          </w:cols>
          <w:pgMar w:left="320" w:top="367" w:right="339" w:bottom="1440" w:gutter="0" w:footer="0" w:header="0"/>
        </w:sectPr>
      </w:pPr>
    </w:p>
    <w:p>
      <w:pPr>
        <w:spacing w:after="0"/>
        <w:rPr>
          <w:sz w:val="20"/>
          <w:szCs w:val="20"/>
          <w:color w:val="auto"/>
        </w:rPr>
      </w:pPr>
      <w:r>
        <w:rPr>
          <w:rFonts w:ascii="Arial" w:cs="Arial" w:eastAsia="Arial" w:hAnsi="Arial"/>
          <w:sz w:val="18"/>
          <w:szCs w:val="18"/>
          <w:color w:val="auto"/>
        </w:rPr>
        <w:t>/s/ J</w:t>
      </w:r>
      <w:r>
        <w:rPr>
          <w:rFonts w:ascii="Arial" w:cs="Arial" w:eastAsia="Arial" w:hAnsi="Arial"/>
          <w:sz w:val="13"/>
          <w:szCs w:val="13"/>
          <w:color w:val="auto"/>
        </w:rPr>
        <w:t>OHN</w:t>
      </w:r>
      <w:r>
        <w:rPr>
          <w:rFonts w:ascii="Arial" w:cs="Arial" w:eastAsia="Arial" w:hAnsi="Arial"/>
          <w:sz w:val="18"/>
          <w:szCs w:val="18"/>
          <w:color w:val="auto"/>
        </w:rPr>
        <w:t xml:space="preserve"> W. T</w:t>
      </w:r>
      <w:r>
        <w:rPr>
          <w:rFonts w:ascii="Arial" w:cs="Arial" w:eastAsia="Arial" w:hAnsi="Arial"/>
          <w:sz w:val="13"/>
          <w:szCs w:val="13"/>
          <w:color w:val="auto"/>
        </w:rPr>
        <w: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5020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6">
                      <a:extLst>
                        <a:ext uri="{28A0092B-C50C-407E-A947-70E740481C1C}"/>
                      </a:extLst>
                    </a:blip>
                    <a:srcRect/>
                    <a:stretch>
                      <a:fillRect/>
                    </a:stretch>
                  </pic:blipFill>
                  <pic:spPr bwMode="auto">
                    <a:xfrm>
                      <a:off x="0" y="0"/>
                      <a:ext cx="350202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John W. Thompson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/s/ E</w:t>
      </w:r>
      <w:r>
        <w:rPr>
          <w:rFonts w:ascii="Arial" w:cs="Arial" w:eastAsia="Arial" w:hAnsi="Arial"/>
          <w:sz w:val="13"/>
          <w:szCs w:val="13"/>
          <w:color w:val="auto"/>
        </w:rPr>
        <w:t>MMA</w:t>
      </w:r>
      <w:r>
        <w:rPr>
          <w:rFonts w:ascii="Arial" w:cs="Arial" w:eastAsia="Arial" w:hAnsi="Arial"/>
          <w:sz w:val="18"/>
          <w:szCs w:val="18"/>
          <w:color w:val="auto"/>
        </w:rPr>
        <w:t xml:space="preserve"> N. W</w:t>
      </w:r>
      <w:r>
        <w:rPr>
          <w:rFonts w:ascii="Arial" w:cs="Arial" w:eastAsia="Arial" w:hAnsi="Arial"/>
          <w:sz w:val="13"/>
          <w:szCs w:val="13"/>
          <w:color w:val="auto"/>
        </w:rPr>
        <w:t>ALMSLEY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5020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7">
                      <a:extLst>
                        <a:ext uri="{28A0092B-C50C-407E-A947-70E740481C1C}"/>
                      </a:extLst>
                    </a:blip>
                    <a:srcRect/>
                    <a:stretch>
                      <a:fillRect/>
                    </a:stretch>
                  </pic:blipFill>
                  <pic:spPr bwMode="auto">
                    <a:xfrm>
                      <a:off x="0" y="0"/>
                      <a:ext cx="3502025"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Emma N. Walmsley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/s/ P</w:t>
      </w:r>
      <w:r>
        <w:rPr>
          <w:rFonts w:ascii="Arial" w:cs="Arial" w:eastAsia="Arial" w:hAnsi="Arial"/>
          <w:sz w:val="13"/>
          <w:szCs w:val="13"/>
          <w:color w:val="auto"/>
        </w:rPr>
        <w:t>ADMASREE</w:t>
      </w:r>
      <w:r>
        <w:rPr>
          <w:rFonts w:ascii="Arial" w:cs="Arial" w:eastAsia="Arial" w:hAnsi="Arial"/>
          <w:sz w:val="18"/>
          <w:szCs w:val="18"/>
          <w:color w:val="auto"/>
        </w:rPr>
        <w:t xml:space="preserve"> W</w:t>
      </w:r>
      <w:r>
        <w:rPr>
          <w:rFonts w:ascii="Arial" w:cs="Arial" w:eastAsia="Arial" w:hAnsi="Arial"/>
          <w:sz w:val="13"/>
          <w:szCs w:val="13"/>
          <w:color w:val="auto"/>
        </w:rPr>
        <w:t>ARRIOR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5020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8">
                      <a:extLst>
                        <a:ext uri="{28A0092B-C50C-407E-A947-70E740481C1C}"/>
                      </a:extLst>
                    </a:blip>
                    <a:srcRect/>
                    <a:stretch>
                      <a:fillRect/>
                    </a:stretch>
                  </pic:blipFill>
                  <pic:spPr bwMode="auto">
                    <a:xfrm>
                      <a:off x="0" y="0"/>
                      <a:ext cx="3502025"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Padmasree Warrior</w:t>
      </w:r>
    </w:p>
    <w:p>
      <w:pPr>
        <w:spacing w:after="0" w:line="20" w:lineRule="exact"/>
        <w:rPr>
          <w:sz w:val="20"/>
          <w:szCs w:val="20"/>
          <w:color w:val="auto"/>
        </w:rPr>
      </w:pPr>
      <w:r>
        <w:rPr>
          <w:sz w:val="20"/>
          <w:szCs w:val="20"/>
          <w:color w:val="auto"/>
        </w:rPr>
        <w:br w:type="column"/>
      </w:r>
    </w:p>
    <w:p>
      <w:pPr>
        <w:jc w:val="center"/>
        <w:ind w:right="3480"/>
        <w:spacing w:after="0"/>
        <w:rPr>
          <w:sz w:val="20"/>
          <w:szCs w:val="20"/>
          <w:color w:val="auto"/>
        </w:rPr>
      </w:pPr>
      <w:r>
        <w:rPr>
          <w:rFonts w:ascii="Arial" w:cs="Arial" w:eastAsia="Arial" w:hAnsi="Arial"/>
          <w:sz w:val="17"/>
          <w:szCs w:val="17"/>
          <w:color w:val="auto"/>
        </w:rPr>
        <w:t>Lead Independent Director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39" w:lineRule="exact"/>
        <w:rPr>
          <w:sz w:val="20"/>
          <w:szCs w:val="20"/>
          <w:color w:val="auto"/>
        </w:rPr>
      </w:pPr>
    </w:p>
    <w:p>
      <w:pPr>
        <w:sectPr>
          <w:pgSz w:w="11900" w:h="16838" w:orient="portrait"/>
          <w:cols w:equalWidth="0" w:num="2">
            <w:col w:w="4920" w:space="720"/>
            <w:col w:w="5600"/>
          </w:cols>
          <w:pgMar w:left="320" w:top="367" w:right="33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w:t>
            </w:r>
            <w:r>
              <w:rPr>
                <w:rFonts w:ascii="Arial" w:cs="Arial" w:eastAsia="Arial" w:hAnsi="Arial"/>
                <w:sz w:val="13"/>
                <w:szCs w:val="13"/>
                <w:color w:val="auto"/>
              </w:rPr>
              <w:t>MY</w:t>
            </w:r>
            <w:r>
              <w:rPr>
                <w:rFonts w:ascii="Arial" w:cs="Arial" w:eastAsia="Arial" w:hAnsi="Arial"/>
                <w:sz w:val="18"/>
                <w:szCs w:val="18"/>
                <w:color w:val="auto"/>
              </w:rPr>
              <w:t xml:space="preserve"> E. H</w:t>
            </w:r>
            <w:r>
              <w:rPr>
                <w:rFonts w:ascii="Arial" w:cs="Arial" w:eastAsia="Arial" w:hAnsi="Arial"/>
                <w:sz w:val="13"/>
                <w:szCs w:val="13"/>
                <w:color w:val="auto"/>
              </w:rPr>
              <w:t>OOD</w:t>
            </w:r>
          </w:p>
        </w:tc>
        <w:tc>
          <w:tcPr>
            <w:tcW w:w="2100" w:type="dxa"/>
            <w:vAlign w:val="bottom"/>
            <w:tcBorders>
              <w:bottom w:val="single" w:sz="8" w:color="auto"/>
            </w:tcBorders>
          </w:tcPr>
          <w:p>
            <w:pPr>
              <w:spacing w:after="0"/>
              <w:rPr>
                <w:sz w:val="18"/>
                <w:szCs w:val="18"/>
                <w:color w:val="auto"/>
              </w:rPr>
            </w:pPr>
          </w:p>
        </w:tc>
        <w:tc>
          <w:tcPr>
            <w:tcW w:w="4420" w:type="dxa"/>
            <w:vAlign w:val="bottom"/>
          </w:tcPr>
          <w:p>
            <w:pPr>
              <w:ind w:left="1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29"/>
        </w:trPr>
        <w:tc>
          <w:tcPr>
            <w:tcW w:w="3420" w:type="dxa"/>
            <w:vAlign w:val="bottom"/>
          </w:tcPr>
          <w:p>
            <w:pPr>
              <w:spacing w:after="0"/>
              <w:rPr>
                <w:sz w:val="20"/>
                <w:szCs w:val="20"/>
                <w:color w:val="auto"/>
              </w:rPr>
            </w:pPr>
            <w:r>
              <w:rPr>
                <w:rFonts w:ascii="Arial" w:cs="Arial" w:eastAsia="Arial" w:hAnsi="Arial"/>
                <w:sz w:val="18"/>
                <w:szCs w:val="18"/>
                <w:color w:val="auto"/>
              </w:rPr>
              <w:t>Amy E. Hood</w:t>
            </w:r>
          </w:p>
        </w:tc>
        <w:tc>
          <w:tcPr>
            <w:tcW w:w="2100" w:type="dxa"/>
            <w:vAlign w:val="bottom"/>
          </w:tcPr>
          <w:p>
            <w:pPr>
              <w:spacing w:after="0"/>
              <w:rPr>
                <w:sz w:val="19"/>
                <w:szCs w:val="19"/>
                <w:color w:val="auto"/>
              </w:rPr>
            </w:pPr>
          </w:p>
        </w:tc>
        <w:tc>
          <w:tcPr>
            <w:tcW w:w="4420" w:type="dxa"/>
            <w:vAlign w:val="bottom"/>
          </w:tcPr>
          <w:p>
            <w:pPr>
              <w:ind w:left="120"/>
              <w:spacing w:after="0" w:line="189" w:lineRule="exact"/>
              <w:rPr>
                <w:sz w:val="20"/>
                <w:szCs w:val="20"/>
                <w:color w:val="auto"/>
              </w:rPr>
            </w:pPr>
            <w:r>
              <w:rPr>
                <w:rFonts w:ascii="Arial" w:cs="Arial" w:eastAsia="Arial" w:hAnsi="Arial"/>
                <w:sz w:val="18"/>
                <w:szCs w:val="18"/>
                <w:color w:val="auto"/>
              </w:rPr>
              <w:t>(Principal Financial Officer)</w:t>
            </w:r>
          </w:p>
        </w:tc>
      </w:tr>
      <w:tr>
        <w:trPr>
          <w:trHeight w:val="303"/>
        </w:trPr>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w:t>
            </w:r>
            <w:r>
              <w:rPr>
                <w:rFonts w:ascii="Arial" w:cs="Arial" w:eastAsia="Arial" w:hAnsi="Arial"/>
                <w:sz w:val="13"/>
                <w:szCs w:val="13"/>
                <w:color w:val="auto"/>
              </w:rPr>
              <w:t>LICE</w:t>
            </w:r>
            <w:r>
              <w:rPr>
                <w:rFonts w:ascii="Arial" w:cs="Arial" w:eastAsia="Arial" w:hAnsi="Arial"/>
                <w:sz w:val="18"/>
                <w:szCs w:val="18"/>
                <w:color w:val="auto"/>
              </w:rPr>
              <w:t xml:space="preserve"> L. J</w:t>
            </w:r>
            <w:r>
              <w:rPr>
                <w:rFonts w:ascii="Arial" w:cs="Arial" w:eastAsia="Arial" w:hAnsi="Arial"/>
                <w:sz w:val="13"/>
                <w:szCs w:val="13"/>
                <w:color w:val="auto"/>
              </w:rPr>
              <w:t>OLLA</w:t>
            </w:r>
          </w:p>
        </w:tc>
        <w:tc>
          <w:tcPr>
            <w:tcW w:w="2100" w:type="dxa"/>
            <w:vAlign w:val="bottom"/>
            <w:tcBorders>
              <w:bottom w:val="single" w:sz="8" w:color="auto"/>
            </w:tcBorders>
          </w:tcPr>
          <w:p>
            <w:pPr>
              <w:spacing w:after="0"/>
              <w:rPr>
                <w:sz w:val="24"/>
                <w:szCs w:val="24"/>
                <w:color w:val="auto"/>
              </w:rPr>
            </w:pPr>
          </w:p>
        </w:tc>
        <w:tc>
          <w:tcPr>
            <w:tcW w:w="4420" w:type="dxa"/>
            <w:vAlign w:val="bottom"/>
          </w:tcPr>
          <w:p>
            <w:pPr>
              <w:ind w:left="120"/>
              <w:spacing w:after="0"/>
              <w:rPr>
                <w:sz w:val="20"/>
                <w:szCs w:val="20"/>
                <w:color w:val="auto"/>
              </w:rPr>
            </w:pPr>
            <w:r>
              <w:rPr>
                <w:rFonts w:ascii="Arial" w:cs="Arial" w:eastAsia="Arial" w:hAnsi="Arial"/>
                <w:sz w:val="18"/>
                <w:szCs w:val="18"/>
                <w:color w:val="auto"/>
                <w:w w:val="98"/>
              </w:rPr>
              <w:t>Corporate Vice President and Chief Accounting Officer</w:t>
            </w:r>
          </w:p>
        </w:tc>
      </w:tr>
      <w:tr>
        <w:trPr>
          <w:trHeight w:val="229"/>
        </w:trPr>
        <w:tc>
          <w:tcPr>
            <w:tcW w:w="3420" w:type="dxa"/>
            <w:vAlign w:val="bottom"/>
          </w:tcPr>
          <w:p>
            <w:pPr>
              <w:spacing w:after="0"/>
              <w:rPr>
                <w:sz w:val="20"/>
                <w:szCs w:val="20"/>
                <w:color w:val="auto"/>
              </w:rPr>
            </w:pPr>
            <w:r>
              <w:rPr>
                <w:rFonts w:ascii="Arial" w:cs="Arial" w:eastAsia="Arial" w:hAnsi="Arial"/>
                <w:sz w:val="18"/>
                <w:szCs w:val="18"/>
                <w:color w:val="auto"/>
              </w:rPr>
              <w:t>Alice L. Jolla</w:t>
            </w:r>
          </w:p>
        </w:tc>
        <w:tc>
          <w:tcPr>
            <w:tcW w:w="2100" w:type="dxa"/>
            <w:vAlign w:val="bottom"/>
          </w:tcPr>
          <w:p>
            <w:pPr>
              <w:spacing w:after="0"/>
              <w:rPr>
                <w:sz w:val="19"/>
                <w:szCs w:val="19"/>
                <w:color w:val="auto"/>
              </w:rPr>
            </w:pPr>
          </w:p>
        </w:tc>
        <w:tc>
          <w:tcPr>
            <w:tcW w:w="4420" w:type="dxa"/>
            <w:vAlign w:val="bottom"/>
          </w:tcPr>
          <w:p>
            <w:pPr>
              <w:ind w:left="120"/>
              <w:spacing w:after="0" w:line="189" w:lineRule="exact"/>
              <w:rPr>
                <w:sz w:val="20"/>
                <w:szCs w:val="20"/>
                <w:color w:val="auto"/>
              </w:rPr>
            </w:pPr>
            <w:r>
              <w:rPr>
                <w:rFonts w:ascii="Arial" w:cs="Arial" w:eastAsia="Arial" w:hAnsi="Arial"/>
                <w:sz w:val="18"/>
                <w:szCs w:val="18"/>
                <w:color w:val="auto"/>
              </w:rPr>
              <w:t>(Principal Accounting Officer)</w:t>
            </w:r>
          </w:p>
        </w:tc>
      </w:tr>
      <w:tr>
        <w:trPr>
          <w:trHeight w:val="701"/>
        </w:trPr>
        <w:tc>
          <w:tcPr>
            <w:tcW w:w="3420" w:type="dxa"/>
            <w:vAlign w:val="bottom"/>
          </w:tcPr>
          <w:p>
            <w:pPr>
              <w:spacing w:after="0"/>
              <w:rPr>
                <w:sz w:val="24"/>
                <w:szCs w:val="24"/>
                <w:color w:val="auto"/>
              </w:rPr>
            </w:pPr>
          </w:p>
        </w:tc>
        <w:tc>
          <w:tcPr>
            <w:tcW w:w="6520" w:type="dxa"/>
            <w:vAlign w:val="bottom"/>
            <w:gridSpan w:val="2"/>
          </w:tcPr>
          <w:p>
            <w:pPr>
              <w:jc w:val="right"/>
              <w:ind w:right="4110"/>
              <w:spacing w:after="0"/>
              <w:rPr>
                <w:sz w:val="20"/>
                <w:szCs w:val="20"/>
                <w:color w:val="auto"/>
              </w:rPr>
            </w:pPr>
            <w:r>
              <w:rPr>
                <w:rFonts w:ascii="Arial" w:cs="Arial" w:eastAsia="Arial" w:hAnsi="Arial"/>
                <w:sz w:val="14"/>
                <w:szCs w:val="14"/>
                <w:color w:val="auto"/>
              </w:rPr>
              <w:t>110</w:t>
            </w:r>
          </w:p>
        </w:tc>
      </w:tr>
    </w:tbl>
    <w:p>
      <w:pPr>
        <w:sectPr>
          <w:pgSz w:w="11900" w:h="16838" w:orient="portrait"/>
          <w:cols w:equalWidth="0" w:num="1">
            <w:col w:w="11240"/>
          </w:cols>
          <w:pgMar w:left="320" w:top="367" w:right="339" w:bottom="1440" w:gutter="0" w:footer="0" w:header="0"/>
          <w:type w:val="continuous"/>
        </w:sectPr>
      </w:pPr>
    </w:p>
    <w:bookmarkStart w:id="110" w:name="page111"/>
    <w:bookmarkEnd w:id="110"/>
    <w:p>
      <w:pPr>
        <w:jc w:val="right"/>
        <w:spacing w:after="0"/>
        <w:rPr>
          <w:sz w:val="20"/>
          <w:szCs w:val="20"/>
          <w:color w:val="auto"/>
        </w:rPr>
      </w:pPr>
      <w:r>
        <w:rPr>
          <w:rFonts w:ascii="Arial" w:cs="Arial" w:eastAsia="Arial" w:hAnsi="Arial"/>
          <w:sz w:val="18"/>
          <w:szCs w:val="18"/>
          <w:color w:val="auto"/>
        </w:rPr>
        <w:t>Exhibit 21</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REGISTRANT</w:t>
      </w:r>
    </w:p>
    <w:p>
      <w:pPr>
        <w:spacing w:after="0" w:line="17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following is a list of subsidiaries of Microsoft Corporation as of June 30, 2021, omitting subsidiaries which, considered in the aggregate, would not constitute a significant subsidiary.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6960" w:type="dxa"/>
            <w:vAlign w:val="bottom"/>
            <w:tcBorders>
              <w:bottom w:val="single" w:sz="8" w:color="auto"/>
            </w:tcBorders>
          </w:tcPr>
          <w:p>
            <w:pPr>
              <w:ind w:left="1380"/>
              <w:spacing w:after="0"/>
              <w:rPr>
                <w:sz w:val="20"/>
                <w:szCs w:val="20"/>
                <w:color w:val="auto"/>
              </w:rPr>
            </w:pPr>
            <w:r>
              <w:rPr>
                <w:rFonts w:ascii="Arial" w:cs="Arial" w:eastAsia="Arial" w:hAnsi="Arial"/>
                <w:sz w:val="13"/>
                <w:szCs w:val="13"/>
                <w:b w:val="1"/>
                <w:bCs w:val="1"/>
                <w:color w:val="auto"/>
              </w:rPr>
              <w:t>Where Incorporated</w:t>
            </w:r>
          </w:p>
        </w:tc>
      </w:tr>
      <w:tr>
        <w:trPr>
          <w:trHeight w:val="335"/>
        </w:trPr>
        <w:tc>
          <w:tcPr>
            <w:tcW w:w="4280" w:type="dxa"/>
            <w:vAlign w:val="bottom"/>
          </w:tcPr>
          <w:p>
            <w:pPr>
              <w:spacing w:after="0"/>
              <w:rPr>
                <w:sz w:val="20"/>
                <w:szCs w:val="20"/>
                <w:color w:val="auto"/>
              </w:rPr>
            </w:pPr>
            <w:r>
              <w:rPr>
                <w:rFonts w:ascii="Arial" w:cs="Arial" w:eastAsia="Arial" w:hAnsi="Arial"/>
                <w:sz w:val="18"/>
                <w:szCs w:val="18"/>
                <w:color w:val="auto"/>
              </w:rPr>
              <w:t>Microsoft Ireland Research</w:t>
            </w:r>
          </w:p>
        </w:tc>
        <w:tc>
          <w:tcPr>
            <w:tcW w:w="6960" w:type="dxa"/>
            <w:vAlign w:val="bottom"/>
          </w:tcPr>
          <w:p>
            <w:pPr>
              <w:ind w:left="1360"/>
              <w:spacing w:after="0"/>
              <w:rPr>
                <w:sz w:val="20"/>
                <w:szCs w:val="20"/>
                <w:color w:val="auto"/>
              </w:rPr>
            </w:pPr>
            <w:r>
              <w:rPr>
                <w:rFonts w:ascii="Arial" w:cs="Arial" w:eastAsia="Arial" w:hAnsi="Arial"/>
                <w:sz w:val="18"/>
                <w:szCs w:val="18"/>
                <w:color w:val="auto"/>
              </w:rPr>
              <w:t>Ireland</w:t>
            </w:r>
          </w:p>
        </w:tc>
      </w:tr>
      <w:tr>
        <w:trPr>
          <w:trHeight w:val="202"/>
        </w:trPr>
        <w:tc>
          <w:tcPr>
            <w:tcW w:w="4280" w:type="dxa"/>
            <w:vAlign w:val="bottom"/>
          </w:tcPr>
          <w:p>
            <w:pPr>
              <w:spacing w:after="0" w:line="201" w:lineRule="exact"/>
              <w:rPr>
                <w:sz w:val="20"/>
                <w:szCs w:val="20"/>
                <w:color w:val="auto"/>
              </w:rPr>
            </w:pPr>
            <w:r>
              <w:rPr>
                <w:rFonts w:ascii="Arial" w:cs="Arial" w:eastAsia="Arial" w:hAnsi="Arial"/>
                <w:sz w:val="18"/>
                <w:szCs w:val="18"/>
                <w:color w:val="auto"/>
              </w:rPr>
              <w:t>Microsoft Global Finance</w:t>
            </w:r>
          </w:p>
        </w:tc>
        <w:tc>
          <w:tcPr>
            <w:tcW w:w="6960" w:type="dxa"/>
            <w:vAlign w:val="bottom"/>
          </w:tcPr>
          <w:p>
            <w:pPr>
              <w:ind w:left="1360"/>
              <w:spacing w:after="0" w:line="201" w:lineRule="exact"/>
              <w:rPr>
                <w:sz w:val="20"/>
                <w:szCs w:val="20"/>
                <w:color w:val="auto"/>
              </w:rPr>
            </w:pPr>
            <w:r>
              <w:rPr>
                <w:rFonts w:ascii="Arial" w:cs="Arial" w:eastAsia="Arial" w:hAnsi="Arial"/>
                <w:sz w:val="18"/>
                <w:szCs w:val="18"/>
                <w:color w:val="auto"/>
              </w:rPr>
              <w:t>Ireland</w:t>
            </w:r>
          </w:p>
        </w:tc>
      </w:tr>
      <w:tr>
        <w:trPr>
          <w:trHeight w:val="202"/>
        </w:trPr>
        <w:tc>
          <w:tcPr>
            <w:tcW w:w="4280" w:type="dxa"/>
            <w:vAlign w:val="bottom"/>
          </w:tcPr>
          <w:p>
            <w:pPr>
              <w:spacing w:after="0" w:line="201" w:lineRule="exact"/>
              <w:rPr>
                <w:sz w:val="20"/>
                <w:szCs w:val="20"/>
                <w:color w:val="auto"/>
              </w:rPr>
            </w:pPr>
            <w:r>
              <w:rPr>
                <w:rFonts w:ascii="Arial" w:cs="Arial" w:eastAsia="Arial" w:hAnsi="Arial"/>
                <w:sz w:val="18"/>
                <w:szCs w:val="18"/>
                <w:color w:val="auto"/>
              </w:rPr>
              <w:t>Microsoft Ireland Operations Limited</w:t>
            </w:r>
          </w:p>
        </w:tc>
        <w:tc>
          <w:tcPr>
            <w:tcW w:w="6960" w:type="dxa"/>
            <w:vAlign w:val="bottom"/>
          </w:tcPr>
          <w:p>
            <w:pPr>
              <w:ind w:left="1360"/>
              <w:spacing w:after="0" w:line="201" w:lineRule="exact"/>
              <w:rPr>
                <w:sz w:val="20"/>
                <w:szCs w:val="20"/>
                <w:color w:val="auto"/>
              </w:rPr>
            </w:pPr>
            <w:r>
              <w:rPr>
                <w:rFonts w:ascii="Arial" w:cs="Arial" w:eastAsia="Arial" w:hAnsi="Arial"/>
                <w:sz w:val="18"/>
                <w:szCs w:val="18"/>
                <w:color w:val="auto"/>
              </w:rPr>
              <w:t>Ireland</w:t>
            </w:r>
          </w:p>
        </w:tc>
      </w:tr>
      <w:tr>
        <w:trPr>
          <w:trHeight w:val="202"/>
        </w:trPr>
        <w:tc>
          <w:tcPr>
            <w:tcW w:w="4280" w:type="dxa"/>
            <w:vAlign w:val="bottom"/>
          </w:tcPr>
          <w:p>
            <w:pPr>
              <w:spacing w:after="0" w:line="201" w:lineRule="exact"/>
              <w:rPr>
                <w:sz w:val="20"/>
                <w:szCs w:val="20"/>
                <w:color w:val="auto"/>
              </w:rPr>
            </w:pPr>
            <w:r>
              <w:rPr>
                <w:rFonts w:ascii="Arial" w:cs="Arial" w:eastAsia="Arial" w:hAnsi="Arial"/>
                <w:sz w:val="18"/>
                <w:szCs w:val="18"/>
                <w:color w:val="auto"/>
              </w:rPr>
              <w:t>Microsoft Online, Inc.</w:t>
            </w:r>
          </w:p>
        </w:tc>
        <w:tc>
          <w:tcPr>
            <w:tcW w:w="6960" w:type="dxa"/>
            <w:vAlign w:val="bottom"/>
          </w:tcPr>
          <w:p>
            <w:pPr>
              <w:ind w:left="1360"/>
              <w:spacing w:after="0" w:line="201" w:lineRule="exact"/>
              <w:rPr>
                <w:sz w:val="20"/>
                <w:szCs w:val="20"/>
                <w:color w:val="auto"/>
              </w:rPr>
            </w:pPr>
            <w:r>
              <w:rPr>
                <w:rFonts w:ascii="Arial" w:cs="Arial" w:eastAsia="Arial" w:hAnsi="Arial"/>
                <w:sz w:val="18"/>
                <w:szCs w:val="18"/>
                <w:color w:val="auto"/>
              </w:rPr>
              <w:t>United States</w:t>
            </w:r>
          </w:p>
        </w:tc>
      </w:tr>
      <w:tr>
        <w:trPr>
          <w:trHeight w:val="202"/>
        </w:trPr>
        <w:tc>
          <w:tcPr>
            <w:tcW w:w="4280" w:type="dxa"/>
            <w:vAlign w:val="bottom"/>
          </w:tcPr>
          <w:p>
            <w:pPr>
              <w:spacing w:after="0" w:line="201" w:lineRule="exact"/>
              <w:rPr>
                <w:sz w:val="20"/>
                <w:szCs w:val="20"/>
                <w:color w:val="auto"/>
              </w:rPr>
            </w:pPr>
            <w:r>
              <w:rPr>
                <w:rFonts w:ascii="Arial" w:cs="Arial" w:eastAsia="Arial" w:hAnsi="Arial"/>
                <w:sz w:val="18"/>
                <w:szCs w:val="18"/>
                <w:color w:val="auto"/>
              </w:rPr>
              <w:t>LinkedIn Corporation</w:t>
            </w:r>
          </w:p>
        </w:tc>
        <w:tc>
          <w:tcPr>
            <w:tcW w:w="6960" w:type="dxa"/>
            <w:vAlign w:val="bottom"/>
          </w:tcPr>
          <w:p>
            <w:pPr>
              <w:ind w:left="1360"/>
              <w:spacing w:after="0" w:line="201" w:lineRule="exact"/>
              <w:rPr>
                <w:sz w:val="20"/>
                <w:szCs w:val="20"/>
                <w:color w:val="auto"/>
              </w:rPr>
            </w:pPr>
            <w:r>
              <w:rPr>
                <w:rFonts w:ascii="Arial" w:cs="Arial" w:eastAsia="Arial" w:hAnsi="Arial"/>
                <w:sz w:val="18"/>
                <w:szCs w:val="18"/>
                <w:color w:val="auto"/>
              </w:rPr>
              <w:t>United States</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LinkedIn Ireland Unlimited Company</w:t>
            </w:r>
          </w:p>
        </w:tc>
        <w:tc>
          <w:tcPr>
            <w:tcW w:w="6960" w:type="dxa"/>
            <w:vAlign w:val="bottom"/>
          </w:tcPr>
          <w:p>
            <w:pPr>
              <w:ind w:left="1360"/>
              <w:spacing w:after="0"/>
              <w:rPr>
                <w:sz w:val="20"/>
                <w:szCs w:val="20"/>
                <w:color w:val="auto"/>
              </w:rPr>
            </w:pPr>
            <w:r>
              <w:rPr>
                <w:rFonts w:ascii="Arial" w:cs="Arial" w:eastAsia="Arial" w:hAnsi="Arial"/>
                <w:sz w:val="18"/>
                <w:szCs w:val="18"/>
                <w:color w:val="auto"/>
              </w:rPr>
              <w:t>Ireland</w:t>
            </w:r>
          </w:p>
        </w:tc>
      </w:tr>
    </w:tbl>
    <w:p>
      <w:pPr>
        <w:sectPr>
          <w:pgSz w:w="11900" w:h="16838" w:orient="portrait"/>
          <w:cols w:equalWidth="0" w:num="1">
            <w:col w:w="11240"/>
          </w:cols>
          <w:pgMar w:left="320" w:top="367"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color w:val="auto"/>
        </w:rPr>
        <w:t>Exhibit 23.1</w:t>
      </w:r>
    </w:p>
    <w:p>
      <w:pPr>
        <w:spacing w:after="0" w:line="133"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8" w:lineRule="exact"/>
        <w:rPr>
          <w:sz w:val="20"/>
          <w:szCs w:val="20"/>
          <w:color w:val="auto"/>
        </w:rPr>
      </w:pPr>
    </w:p>
    <w:p>
      <w:pPr>
        <w:jc w:val="both"/>
        <w:ind w:right="340"/>
        <w:spacing w:after="0" w:line="237" w:lineRule="auto"/>
        <w:rPr>
          <w:sz w:val="20"/>
          <w:szCs w:val="20"/>
          <w:color w:val="auto"/>
        </w:rPr>
      </w:pPr>
      <w:r>
        <w:rPr>
          <w:rFonts w:ascii="Arial" w:cs="Arial" w:eastAsia="Arial" w:hAnsi="Arial"/>
          <w:sz w:val="18"/>
          <w:szCs w:val="18"/>
          <w:color w:val="auto"/>
        </w:rPr>
        <w:t>We consent to the incorporation by reference in Registration Statement Nos. 333-109185, 333-118764, 333-52852, 333-132100, 333-161516, 333-75243, 333-185757, and 333-221833 on Form S-8 and Registration Statement Nos. 333-228062, 333-228244, and 333-240227 on Form S-3 of our reports dated July 29, 2021, relating to the financial statements of Microsoft Corporation and subsidiaries (the "Company"), and the effectiveness of the Company's internal control over financial reporting, appearing in this Annual Report on Form 10-K of Microsoft Corporation for the year ended June 30, 2021.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 D</w:t>
      </w:r>
      <w:r>
        <w:rPr>
          <w:rFonts w:ascii="Arial" w:cs="Arial" w:eastAsia="Arial" w:hAnsi="Arial"/>
          <w:sz w:val="13"/>
          <w:szCs w:val="13"/>
          <w:color w:val="auto"/>
        </w:rPr>
        <w:t>ELOITTE</w:t>
      </w:r>
      <w:r>
        <w:rPr>
          <w:rFonts w:ascii="Arial" w:cs="Arial" w:eastAsia="Arial" w:hAnsi="Arial"/>
          <w:sz w:val="18"/>
          <w:szCs w:val="18"/>
          <w:color w:val="auto"/>
        </w:rPr>
        <w:t xml:space="preserve"> &amp; T</w:t>
      </w:r>
      <w:r>
        <w:rPr>
          <w:rFonts w:ascii="Arial" w:cs="Arial" w:eastAsia="Arial" w:hAnsi="Arial"/>
          <w:sz w:val="13"/>
          <w:szCs w:val="13"/>
          <w:color w:val="auto"/>
        </w:rPr>
        <w:t>OUCHE</w:t>
      </w:r>
      <w:r>
        <w:rPr>
          <w:rFonts w:ascii="Arial" w:cs="Arial" w:eastAsia="Arial" w:hAnsi="Arial"/>
          <w:sz w:val="18"/>
          <w:szCs w:val="18"/>
          <w:color w:val="auto"/>
        </w:rPr>
        <w:t xml:space="preserve"> LLP</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rPr>
          <w:sz w:val="20"/>
          <w:szCs w:val="20"/>
          <w:color w:val="auto"/>
        </w:rPr>
      </w:pPr>
      <w:r>
        <w:rPr>
          <w:rFonts w:ascii="Arial" w:cs="Arial" w:eastAsia="Arial" w:hAnsi="Arial"/>
          <w:sz w:val="18"/>
          <w:szCs w:val="18"/>
          <w:color w:val="auto"/>
        </w:rPr>
        <w:t>July 29, 2021</w:t>
      </w:r>
    </w:p>
    <w:p>
      <w:pPr>
        <w:sectPr>
          <w:pgSz w:w="11900" w:h="16838" w:orient="portrait"/>
          <w:cols w:equalWidth="0" w:num="1">
            <w:col w:w="11040"/>
          </w:cols>
          <w:pgMar w:left="520" w:top="140"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color w:val="auto"/>
        </w:rPr>
        <w:t>Exhibit 31.1</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 Satya Nadella, certify that:</w:t>
      </w:r>
    </w:p>
    <w:p>
      <w:pPr>
        <w:spacing w:after="0" w:line="156" w:lineRule="exact"/>
        <w:rPr>
          <w:sz w:val="20"/>
          <w:szCs w:val="20"/>
          <w:color w:val="auto"/>
        </w:rPr>
      </w:pPr>
    </w:p>
    <w:p>
      <w:pPr>
        <w:ind w:left="200" w:hanging="192"/>
        <w:spacing w:after="0"/>
        <w:tabs>
          <w:tab w:leader="none" w:pos="2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Microsoft Corporation;</w:t>
      </w:r>
    </w:p>
    <w:p>
      <w:pPr>
        <w:spacing w:after="0" w:line="156" w:lineRule="exact"/>
        <w:rPr>
          <w:rFonts w:ascii="Arial" w:cs="Arial" w:eastAsia="Arial" w:hAnsi="Arial"/>
          <w:sz w:val="18"/>
          <w:szCs w:val="18"/>
          <w:color w:val="auto"/>
        </w:rPr>
      </w:pPr>
    </w:p>
    <w:p>
      <w:pPr>
        <w:jc w:val="both"/>
        <w:ind w:firstLine="8"/>
        <w:spacing w:after="0" w:line="239" w:lineRule="auto"/>
        <w:tabs>
          <w:tab w:leader="none" w:pos="209"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Arial" w:cs="Arial" w:eastAsia="Arial" w:hAnsi="Arial"/>
          <w:sz w:val="18"/>
          <w:szCs w:val="18"/>
          <w:color w:val="auto"/>
        </w:rPr>
      </w:pPr>
    </w:p>
    <w:p>
      <w:pPr>
        <w:ind w:firstLine="8"/>
        <w:spacing w:after="0" w:line="244" w:lineRule="auto"/>
        <w:tabs>
          <w:tab w:leader="none" w:pos="23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4" w:lineRule="exact"/>
        <w:rPr>
          <w:rFonts w:ascii="Arial" w:cs="Arial" w:eastAsia="Arial" w:hAnsi="Arial"/>
          <w:sz w:val="18"/>
          <w:szCs w:val="18"/>
          <w:color w:val="auto"/>
        </w:rPr>
      </w:pPr>
    </w:p>
    <w:p>
      <w:pPr>
        <w:jc w:val="both"/>
        <w:ind w:firstLine="8"/>
        <w:spacing w:after="0" w:line="239" w:lineRule="auto"/>
        <w:tabs>
          <w:tab w:leader="none" w:pos="233"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sz w:val="20"/>
          <w:szCs w:val="20"/>
          <w:color w:val="auto"/>
        </w:rPr>
      </w:pPr>
    </w:p>
    <w:p>
      <w:pPr>
        <w:jc w:val="both"/>
        <w:ind w:firstLine="8"/>
        <w:spacing w:after="0" w:line="239" w:lineRule="auto"/>
        <w:tabs>
          <w:tab w:leader="none" w:pos="254"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8"/>
          <w:szCs w:val="18"/>
          <w:color w:val="auto"/>
        </w:rPr>
      </w:pPr>
    </w:p>
    <w:p>
      <w:pPr>
        <w:jc w:val="both"/>
        <w:ind w:firstLine="8"/>
        <w:spacing w:after="0" w:line="239" w:lineRule="auto"/>
        <w:tabs>
          <w:tab w:leader="none" w:pos="224"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8"/>
          <w:szCs w:val="18"/>
          <w:color w:val="auto"/>
        </w:rPr>
      </w:pPr>
    </w:p>
    <w:p>
      <w:pPr>
        <w:ind w:firstLine="8"/>
        <w:spacing w:after="0" w:line="244" w:lineRule="auto"/>
        <w:tabs>
          <w:tab w:leader="none" w:pos="213" w:val="left"/>
        </w:tabs>
        <w:numPr>
          <w:ilvl w:val="0"/>
          <w:numId w:val="5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4" w:lineRule="exact"/>
        <w:rPr>
          <w:rFonts w:ascii="Arial" w:cs="Arial" w:eastAsia="Arial" w:hAnsi="Arial"/>
          <w:sz w:val="18"/>
          <w:szCs w:val="18"/>
          <w:color w:val="auto"/>
        </w:rPr>
      </w:pPr>
    </w:p>
    <w:p>
      <w:pPr>
        <w:jc w:val="both"/>
        <w:ind w:firstLine="8"/>
        <w:spacing w:after="0" w:line="239" w:lineRule="auto"/>
        <w:tabs>
          <w:tab w:leader="none" w:pos="23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sz w:val="20"/>
          <w:szCs w:val="20"/>
          <w:color w:val="auto"/>
        </w:rPr>
      </w:pPr>
    </w:p>
    <w:p>
      <w:pPr>
        <w:ind w:firstLine="8"/>
        <w:spacing w:after="0" w:line="273" w:lineRule="auto"/>
        <w:tabs>
          <w:tab w:leader="none" w:pos="2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20" w:lineRule="exact"/>
        <w:rPr>
          <w:sz w:val="20"/>
          <w:szCs w:val="20"/>
          <w:color w:val="auto"/>
        </w:rPr>
      </w:pPr>
    </w:p>
    <w:p>
      <w:pPr>
        <w:ind w:right="20" w:firstLine="8"/>
        <w:spacing w:after="0" w:line="244" w:lineRule="auto"/>
        <w:tabs>
          <w:tab w:leader="none" w:pos="247"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4" w:lineRule="exact"/>
        <w:rPr>
          <w:rFonts w:ascii="Arial" w:cs="Arial" w:eastAsia="Arial" w:hAnsi="Arial"/>
          <w:sz w:val="18"/>
          <w:szCs w:val="18"/>
          <w:color w:val="auto"/>
        </w:rPr>
      </w:pPr>
    </w:p>
    <w:p>
      <w:pPr>
        <w:ind w:firstLine="8"/>
        <w:spacing w:after="0" w:line="244" w:lineRule="auto"/>
        <w:tabs>
          <w:tab w:leader="none" w:pos="22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ATYA</w:t>
      </w:r>
      <w:r>
        <w:rPr>
          <w:rFonts w:ascii="Arial" w:cs="Arial" w:eastAsia="Arial" w:hAnsi="Arial"/>
          <w:sz w:val="18"/>
          <w:szCs w:val="18"/>
          <w:color w:val="auto"/>
        </w:rPr>
        <w:t xml:space="preserve"> N</w:t>
      </w:r>
      <w:r>
        <w:rPr>
          <w:rFonts w:ascii="Arial" w:cs="Arial" w:eastAsia="Arial" w:hAnsi="Arial"/>
          <w:sz w:val="13"/>
          <w:szCs w:val="13"/>
          <w:color w:val="auto"/>
        </w:rPr>
        <w:t>ADELLA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85305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9">
                      <a:extLst>
                        <a:ext uri="{28A0092B-C50C-407E-A947-70E740481C1C}"/>
                      </a:extLst>
                    </a:blip>
                    <a:srcRect/>
                    <a:stretch>
                      <a:fillRect/>
                    </a:stretch>
                  </pic:blipFill>
                  <pic:spPr bwMode="auto">
                    <a:xfrm>
                      <a:off x="0" y="0"/>
                      <a:ext cx="285305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Satya Nadella</w:t>
      </w:r>
    </w:p>
    <w:p>
      <w:pPr>
        <w:spacing w:after="0"/>
        <w:rPr>
          <w:sz w:val="20"/>
          <w:szCs w:val="20"/>
          <w:color w:val="auto"/>
        </w:rPr>
      </w:pPr>
      <w:r>
        <w:rPr>
          <w:rFonts w:ascii="Arial" w:cs="Arial" w:eastAsia="Arial" w:hAnsi="Arial"/>
          <w:sz w:val="18"/>
          <w:szCs w:val="18"/>
          <w:color w:val="auto"/>
        </w:rPr>
        <w:t>Chief Executive Officer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July 29, 2021</w:t>
      </w:r>
    </w:p>
    <w:p>
      <w:pPr>
        <w:sectPr>
          <w:pgSz w:w="11900" w:h="16838" w:orient="portrait"/>
          <w:cols w:equalWidth="0" w:num="1">
            <w:col w:w="11240"/>
          </w:cols>
          <w:pgMar w:left="320" w:top="367"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color w:val="auto"/>
        </w:rPr>
        <w:t>Exhibit 31.2</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 Amy E. Hood, certify that:</w:t>
      </w:r>
    </w:p>
    <w:p>
      <w:pPr>
        <w:spacing w:after="0" w:line="156" w:lineRule="exact"/>
        <w:rPr>
          <w:sz w:val="20"/>
          <w:szCs w:val="20"/>
          <w:color w:val="auto"/>
        </w:rPr>
      </w:pPr>
    </w:p>
    <w:p>
      <w:pPr>
        <w:ind w:left="200" w:hanging="192"/>
        <w:spacing w:after="0"/>
        <w:tabs>
          <w:tab w:leader="none" w:pos="2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Microsoft Corporation;</w:t>
      </w:r>
    </w:p>
    <w:p>
      <w:pPr>
        <w:spacing w:after="0" w:line="156" w:lineRule="exact"/>
        <w:rPr>
          <w:rFonts w:ascii="Arial" w:cs="Arial" w:eastAsia="Arial" w:hAnsi="Arial"/>
          <w:sz w:val="18"/>
          <w:szCs w:val="18"/>
          <w:color w:val="auto"/>
        </w:rPr>
      </w:pPr>
    </w:p>
    <w:p>
      <w:pPr>
        <w:jc w:val="both"/>
        <w:ind w:firstLine="8"/>
        <w:spacing w:after="0" w:line="239" w:lineRule="auto"/>
        <w:tabs>
          <w:tab w:leader="none" w:pos="209"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Arial" w:cs="Arial" w:eastAsia="Arial" w:hAnsi="Arial"/>
          <w:sz w:val="18"/>
          <w:szCs w:val="18"/>
          <w:color w:val="auto"/>
        </w:rPr>
      </w:pPr>
    </w:p>
    <w:p>
      <w:pPr>
        <w:ind w:firstLine="8"/>
        <w:spacing w:after="0" w:line="244" w:lineRule="auto"/>
        <w:tabs>
          <w:tab w:leader="none" w:pos="23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4" w:lineRule="exact"/>
        <w:rPr>
          <w:rFonts w:ascii="Arial" w:cs="Arial" w:eastAsia="Arial" w:hAnsi="Arial"/>
          <w:sz w:val="18"/>
          <w:szCs w:val="18"/>
          <w:color w:val="auto"/>
        </w:rPr>
      </w:pPr>
    </w:p>
    <w:p>
      <w:pPr>
        <w:jc w:val="both"/>
        <w:ind w:firstLine="8"/>
        <w:spacing w:after="0" w:line="239" w:lineRule="auto"/>
        <w:tabs>
          <w:tab w:leader="none" w:pos="233"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sz w:val="20"/>
          <w:szCs w:val="20"/>
          <w:color w:val="auto"/>
        </w:rPr>
      </w:pPr>
    </w:p>
    <w:p>
      <w:pPr>
        <w:jc w:val="both"/>
        <w:ind w:firstLine="8"/>
        <w:spacing w:after="0" w:line="239" w:lineRule="auto"/>
        <w:tabs>
          <w:tab w:leader="none" w:pos="254"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8"/>
          <w:szCs w:val="18"/>
          <w:color w:val="auto"/>
        </w:rPr>
      </w:pPr>
    </w:p>
    <w:p>
      <w:pPr>
        <w:jc w:val="both"/>
        <w:ind w:firstLine="8"/>
        <w:spacing w:after="0" w:line="239" w:lineRule="auto"/>
        <w:tabs>
          <w:tab w:leader="none" w:pos="224"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8"/>
          <w:szCs w:val="18"/>
          <w:color w:val="auto"/>
        </w:rPr>
      </w:pPr>
    </w:p>
    <w:p>
      <w:pPr>
        <w:ind w:firstLine="8"/>
        <w:spacing w:after="0" w:line="244" w:lineRule="auto"/>
        <w:tabs>
          <w:tab w:leader="none" w:pos="213" w:val="left"/>
        </w:tabs>
        <w:numPr>
          <w:ilvl w:val="0"/>
          <w:numId w:val="5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4" w:lineRule="exact"/>
        <w:rPr>
          <w:rFonts w:ascii="Arial" w:cs="Arial" w:eastAsia="Arial" w:hAnsi="Arial"/>
          <w:sz w:val="18"/>
          <w:szCs w:val="18"/>
          <w:color w:val="auto"/>
        </w:rPr>
      </w:pPr>
    </w:p>
    <w:p>
      <w:pPr>
        <w:jc w:val="both"/>
        <w:ind w:firstLine="8"/>
        <w:spacing w:after="0" w:line="239" w:lineRule="auto"/>
        <w:tabs>
          <w:tab w:leader="none" w:pos="23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sz w:val="20"/>
          <w:szCs w:val="20"/>
          <w:color w:val="auto"/>
        </w:rPr>
      </w:pPr>
    </w:p>
    <w:p>
      <w:pPr>
        <w:ind w:firstLine="8"/>
        <w:spacing w:after="0" w:line="273" w:lineRule="auto"/>
        <w:tabs>
          <w:tab w:leader="none" w:pos="2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20" w:lineRule="exact"/>
        <w:rPr>
          <w:sz w:val="20"/>
          <w:szCs w:val="20"/>
          <w:color w:val="auto"/>
        </w:rPr>
      </w:pPr>
    </w:p>
    <w:p>
      <w:pPr>
        <w:ind w:right="20" w:firstLine="8"/>
        <w:spacing w:after="0" w:line="244" w:lineRule="auto"/>
        <w:tabs>
          <w:tab w:leader="none" w:pos="247"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4" w:lineRule="exact"/>
        <w:rPr>
          <w:rFonts w:ascii="Arial" w:cs="Arial" w:eastAsia="Arial" w:hAnsi="Arial"/>
          <w:sz w:val="18"/>
          <w:szCs w:val="18"/>
          <w:color w:val="auto"/>
        </w:rPr>
      </w:pPr>
    </w:p>
    <w:p>
      <w:pPr>
        <w:ind w:firstLine="8"/>
        <w:spacing w:after="0" w:line="244" w:lineRule="auto"/>
        <w:tabs>
          <w:tab w:leader="none" w:pos="225"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/s/ A</w:t>
      </w:r>
      <w:r>
        <w:rPr>
          <w:rFonts w:ascii="Arial" w:cs="Arial" w:eastAsia="Arial" w:hAnsi="Arial"/>
          <w:sz w:val="13"/>
          <w:szCs w:val="13"/>
          <w:color w:val="auto"/>
        </w:rPr>
        <w:t>MY</w:t>
      </w:r>
      <w:r>
        <w:rPr>
          <w:rFonts w:ascii="Arial" w:cs="Arial" w:eastAsia="Arial" w:hAnsi="Arial"/>
          <w:sz w:val="18"/>
          <w:szCs w:val="18"/>
          <w:color w:val="auto"/>
        </w:rPr>
        <w:t xml:space="preserve"> E. H</w:t>
      </w:r>
      <w:r>
        <w:rPr>
          <w:rFonts w:ascii="Arial" w:cs="Arial" w:eastAsia="Arial" w:hAnsi="Arial"/>
          <w:sz w:val="13"/>
          <w:szCs w:val="13"/>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85305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0">
                      <a:extLst>
                        <a:ext uri="{28A0092B-C50C-407E-A947-70E740481C1C}"/>
                      </a:extLst>
                    </a:blip>
                    <a:srcRect/>
                    <a:stretch>
                      <a:fillRect/>
                    </a:stretch>
                  </pic:blipFill>
                  <pic:spPr bwMode="auto">
                    <a:xfrm>
                      <a:off x="0" y="0"/>
                      <a:ext cx="285305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Amy E. Hood</w:t>
      </w:r>
    </w:p>
    <w:p>
      <w:pPr>
        <w:spacing w:after="0" w:line="233" w:lineRule="auto"/>
        <w:rPr>
          <w:sz w:val="20"/>
          <w:szCs w:val="20"/>
          <w:color w:val="auto"/>
        </w:rPr>
      </w:pPr>
      <w:r>
        <w:rPr>
          <w:rFonts w:ascii="Arial" w:cs="Arial" w:eastAsia="Arial" w:hAnsi="Arial"/>
          <w:sz w:val="18"/>
          <w:szCs w:val="18"/>
          <w:color w:val="auto"/>
        </w:rPr>
        <w:t>Executive Vice President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July 29, 2021</w:t>
      </w:r>
    </w:p>
    <w:p>
      <w:pPr>
        <w:sectPr>
          <w:pgSz w:w="11900" w:h="16838" w:orient="portrait"/>
          <w:cols w:equalWidth="0" w:num="1">
            <w:col w:w="11240"/>
          </w:cols>
          <w:pgMar w:left="320" w:top="367"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color w:val="auto"/>
        </w:rPr>
        <w:t>Exhibit 32.1</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connection with the Annual Report of Microsoft Corporation, a Washington corporation (the “Company”), on Form 10-K for the year ended June 30, 2021, as filed with the Securities and Exchange Commission (the “Report”), Satya Nadella, Chief Executive Officer of the Company, does hereby certify, pursuant to § 906 of the Sarbanes-Oxley Act of 2002 (18 U.S.C. § 1350), that to his knowledge:</w:t>
      </w:r>
    </w:p>
    <w:p>
      <w:pPr>
        <w:spacing w:after="0" w:line="148" w:lineRule="exact"/>
        <w:rPr>
          <w:sz w:val="20"/>
          <w:szCs w:val="20"/>
          <w:color w:val="auto"/>
        </w:rPr>
      </w:pPr>
    </w:p>
    <w:p>
      <w:pPr>
        <w:ind w:left="280" w:hanging="272"/>
        <w:spacing w:after="0"/>
        <w:tabs>
          <w:tab w:leader="none" w:pos="2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6" w:lineRule="exact"/>
        <w:rPr>
          <w:rFonts w:ascii="Arial" w:cs="Arial" w:eastAsia="Arial" w:hAnsi="Arial"/>
          <w:sz w:val="18"/>
          <w:szCs w:val="18"/>
          <w:color w:val="auto"/>
        </w:rPr>
      </w:pPr>
    </w:p>
    <w:p>
      <w:pPr>
        <w:ind w:right="20" w:firstLine="8"/>
        <w:spacing w:after="0" w:line="244" w:lineRule="auto"/>
        <w:tabs>
          <w:tab w:leader="none" w:pos="289"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ATYA</w:t>
      </w:r>
      <w:r>
        <w:rPr>
          <w:rFonts w:ascii="Arial" w:cs="Arial" w:eastAsia="Arial" w:hAnsi="Arial"/>
          <w:sz w:val="18"/>
          <w:szCs w:val="18"/>
          <w:color w:val="auto"/>
        </w:rPr>
        <w:t xml:space="preserve"> N</w:t>
      </w:r>
      <w:r>
        <w:rPr>
          <w:rFonts w:ascii="Arial" w:cs="Arial" w:eastAsia="Arial" w:hAnsi="Arial"/>
          <w:sz w:val="13"/>
          <w:szCs w:val="13"/>
          <w:color w:val="auto"/>
        </w:rPr>
        <w:t>ADELLA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85305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1">
                      <a:extLst>
                        <a:ext uri="{28A0092B-C50C-407E-A947-70E740481C1C}"/>
                      </a:extLst>
                    </a:blip>
                    <a:srcRect/>
                    <a:stretch>
                      <a:fillRect/>
                    </a:stretch>
                  </pic:blipFill>
                  <pic:spPr bwMode="auto">
                    <a:xfrm>
                      <a:off x="0" y="0"/>
                      <a:ext cx="285305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Satya Nadella</w:t>
      </w:r>
    </w:p>
    <w:p>
      <w:pPr>
        <w:spacing w:after="0"/>
        <w:rPr>
          <w:sz w:val="20"/>
          <w:szCs w:val="20"/>
          <w:color w:val="auto"/>
        </w:rPr>
      </w:pPr>
      <w:r>
        <w:rPr>
          <w:rFonts w:ascii="Arial" w:cs="Arial" w:eastAsia="Arial" w:hAnsi="Arial"/>
          <w:sz w:val="18"/>
          <w:szCs w:val="18"/>
          <w:color w:val="auto"/>
        </w:rPr>
        <w:t>Chief Executive Officer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July 29, 2021</w:t>
      </w:r>
    </w:p>
    <w:p>
      <w:pPr>
        <w:spacing w:after="0" w:line="156"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[A signed original of this written statement required by Section 906 has been provided to Microsoft Corporation and will be retained by Microsoft Corporation and furnished to the Securities and Exchange Commission or its staff upon request.]</w:t>
      </w:r>
    </w:p>
    <w:p>
      <w:pPr>
        <w:sectPr>
          <w:pgSz w:w="11900" w:h="16838" w:orient="portrait"/>
          <w:cols w:equalWidth="0" w:num="1">
            <w:col w:w="11240"/>
          </w:cols>
          <w:pgMar w:left="320" w:top="140"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color w:val="auto"/>
        </w:rPr>
        <w:t>Exhibit 32.2</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connection with the Annual Report of Microsoft Corporation, a Washington corporation (the “Company”), on Form 10-K for the year ended June 30, 2021, as filed with the Securities and Exchange Commission (the “Report”), Amy E. Hood, Chief Financial Officer of the Company, does hereby certify, pursuant to § 906 of the Sarbanes-Oxley Act of 2002 (18 U.S.C. § 1350), that to her knowledge:</w:t>
      </w:r>
    </w:p>
    <w:p>
      <w:pPr>
        <w:spacing w:after="0" w:line="148" w:lineRule="exact"/>
        <w:rPr>
          <w:sz w:val="20"/>
          <w:szCs w:val="20"/>
          <w:color w:val="auto"/>
        </w:rPr>
      </w:pPr>
    </w:p>
    <w:p>
      <w:pPr>
        <w:ind w:left="280" w:hanging="272"/>
        <w:spacing w:after="0"/>
        <w:tabs>
          <w:tab w:leader="none" w:pos="2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6" w:lineRule="exact"/>
        <w:rPr>
          <w:rFonts w:ascii="Arial" w:cs="Arial" w:eastAsia="Arial" w:hAnsi="Arial"/>
          <w:sz w:val="18"/>
          <w:szCs w:val="18"/>
          <w:color w:val="auto"/>
        </w:rPr>
      </w:pPr>
    </w:p>
    <w:p>
      <w:pPr>
        <w:ind w:right="20" w:firstLine="8"/>
        <w:spacing w:after="0" w:line="244" w:lineRule="auto"/>
        <w:tabs>
          <w:tab w:leader="none" w:pos="289"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/s/ A</w:t>
      </w:r>
      <w:r>
        <w:rPr>
          <w:rFonts w:ascii="Arial" w:cs="Arial" w:eastAsia="Arial" w:hAnsi="Arial"/>
          <w:sz w:val="13"/>
          <w:szCs w:val="13"/>
          <w:color w:val="auto"/>
        </w:rPr>
        <w:t>MY</w:t>
      </w:r>
      <w:r>
        <w:rPr>
          <w:rFonts w:ascii="Arial" w:cs="Arial" w:eastAsia="Arial" w:hAnsi="Arial"/>
          <w:sz w:val="18"/>
          <w:szCs w:val="18"/>
          <w:color w:val="auto"/>
        </w:rPr>
        <w:t xml:space="preserve"> E. H</w:t>
      </w:r>
      <w:r>
        <w:rPr>
          <w:rFonts w:ascii="Arial" w:cs="Arial" w:eastAsia="Arial" w:hAnsi="Arial"/>
          <w:sz w:val="13"/>
          <w:szCs w:val="13"/>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85305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2">
                      <a:extLst>
                        <a:ext uri="{28A0092B-C50C-407E-A947-70E740481C1C}"/>
                      </a:extLst>
                    </a:blip>
                    <a:srcRect/>
                    <a:stretch>
                      <a:fillRect/>
                    </a:stretch>
                  </pic:blipFill>
                  <pic:spPr bwMode="auto">
                    <a:xfrm>
                      <a:off x="0" y="0"/>
                      <a:ext cx="285305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Amy E. Hood</w:t>
      </w:r>
    </w:p>
    <w:p>
      <w:pPr>
        <w:spacing w:after="0" w:line="233" w:lineRule="auto"/>
        <w:rPr>
          <w:sz w:val="20"/>
          <w:szCs w:val="20"/>
          <w:color w:val="auto"/>
        </w:rPr>
      </w:pPr>
      <w:r>
        <w:rPr>
          <w:rFonts w:ascii="Arial" w:cs="Arial" w:eastAsia="Arial" w:hAnsi="Arial"/>
          <w:sz w:val="18"/>
          <w:szCs w:val="18"/>
          <w:color w:val="auto"/>
        </w:rPr>
        <w:t>Executive Vice President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July 29, 2021</w:t>
      </w:r>
    </w:p>
    <w:p>
      <w:pPr>
        <w:spacing w:after="0" w:line="156"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[A signed original of this written statement required by Section 906 has been provided to Microsoft Corporation and will be retained by Microsoft Corporation and furnished to the Securities and Exchange Commission or its staff upon request.]</w:t>
      </w:r>
    </w:p>
    <w:sectPr>
      <w:pgSz w:w="11900" w:h="16838" w:orient="portrait"/>
      <w:cols w:equalWidth="0" w:num="1">
        <w:col w:w="11240"/>
      </w:cols>
      <w:pgMar w:left="320" w:top="36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1)"/>
      <w:numFmt w:val="lowerLetter"/>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1)"/>
      <w:numFmt w:val="lowerLetter"/>
      <w:start w:val="1"/>
    </w:lvl>
  </w:abstractNum>
  <w:abstractNum w:abstractNumId="33">
    <w:nsid w:val="542289EC"/>
    <w:multiLevelType w:val="hybridMultilevel"/>
    <w:lvl w:ilvl="0">
      <w:lvlJc w:val="left"/>
      <w:lvlText w:val="(%1)"/>
      <w:numFmt w:val="lowerLetter"/>
      <w:start w:val="1"/>
    </w:lvl>
  </w:abstractNum>
  <w:abstractNum w:abstractNumId="34">
    <w:nsid w:val="6DE91B18"/>
    <w:multiLevelType w:val="hybridMultilevel"/>
    <w:lvl w:ilvl="0">
      <w:lvlJc w:val="left"/>
      <w:lvlText w:val="(%1)"/>
      <w:numFmt w:val="lowerLetter"/>
      <w:start w:val="1"/>
    </w:lvl>
  </w:abstractNum>
  <w:abstractNum w:abstractNumId="35">
    <w:nsid w:val="38437FDB"/>
    <w:multiLevelType w:val="hybridMultilevel"/>
    <w:lvl w:ilvl="0">
      <w:lvlJc w:val="left"/>
      <w:lvlText w:val="(%1)"/>
      <w:numFmt w:val="lowerLetter"/>
      <w:start w:val="1"/>
    </w:lvl>
  </w:abstractNum>
  <w:abstractNum w:abstractNumId="36">
    <w:nsid w:val="7644A45C"/>
    <w:multiLevelType w:val="hybridMultilevel"/>
    <w:lvl w:ilvl="0">
      <w:lvlJc w:val="left"/>
      <w:lvlText w:val="(%1)"/>
      <w:numFmt w:val="lowerLetter"/>
      <w:start w:val="1"/>
    </w:lvl>
  </w:abstractNum>
  <w:abstractNum w:abstractNumId="37">
    <w:nsid w:val="32FFF902"/>
    <w:multiLevelType w:val="hybridMultilevel"/>
    <w:lvl w:ilvl="0">
      <w:lvlJc w:val="left"/>
      <w:lvlText w:val="•"/>
      <w:numFmt w:val="bullet"/>
      <w:start w:val="1"/>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
      <w:numFmt w:val="bullet"/>
      <w:start w:val="1"/>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1)"/>
      <w:numFmt w:val="lowerLetter"/>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
      <w:numFmt w:val="bullet"/>
      <w:start w:val="1"/>
    </w:lvl>
    <w:lvl w:ilvl="1">
      <w:lvlJc w:val="left"/>
      <w:lvlText w:val="-"/>
      <w:numFmt w:val="bullet"/>
      <w:start w:val="1"/>
    </w:lvl>
  </w:abstractNum>
  <w:abstractNum w:abstractNumId="44">
    <w:nsid w:val="75C6C33A"/>
    <w:multiLevelType w:val="hybridMultilevel"/>
    <w:lvl w:ilvl="0">
      <w:lvlJc w:val="left"/>
      <w:lvlText w:val="•"/>
      <w:numFmt w:val="bullet"/>
      <w:start w:val="1"/>
    </w:lvl>
  </w:abstractNum>
  <w:abstractNum w:abstractNumId="45">
    <w:nsid w:val="12E685FB"/>
    <w:multiLevelType w:val="hybridMultilevel"/>
    <w:lvl w:ilvl="0">
      <w:lvlJc w:val="left"/>
      <w:lvlText w:val="•"/>
      <w:numFmt w:val="bullet"/>
      <w:start w:val="1"/>
    </w:lvl>
  </w:abstractNum>
  <w:abstractNum w:abstractNumId="46">
    <w:nsid w:val="70C6A529"/>
    <w:multiLevelType w:val="hybridMultilevel"/>
    <w:lvl w:ilvl="0">
      <w:lvlJc w:val="left"/>
      <w:lvlText w:val="(%1)"/>
      <w:numFmt w:val="lowerLetter"/>
      <w:start w:val="1"/>
    </w:lvl>
  </w:abstractNum>
  <w:abstractNum w:abstractNumId="47">
    <w:nsid w:val="520EEDD1"/>
    <w:multiLevelType w:val="hybridMultilevel"/>
    <w:lvl w:ilvl="0">
      <w:lvlJc w:val="left"/>
      <w:lvlText w:val="(%1)"/>
      <w:numFmt w:val="lowerLetter"/>
      <w:start w:val="2"/>
    </w:lvl>
  </w:abstractNum>
  <w:abstractNum w:abstractNumId="48">
    <w:nsid w:val="374A3FE6"/>
    <w:multiLevelType w:val="hybridMultilevel"/>
    <w:lvl w:ilvl="0">
      <w:lvlJc w:val="left"/>
      <w:lvlText w:val="*"/>
      <w:numFmt w:val="bullet"/>
      <w:start w:val="1"/>
    </w:lvl>
  </w:abstractNum>
  <w:abstractNum w:abstractNumId="49">
    <w:nsid w:val="4F4EF005"/>
    <w:multiLevelType w:val="hybridMultilevel"/>
    <w:lvl w:ilvl="0">
      <w:lvlJc w:val="left"/>
      <w:lvlText w:val="%1."/>
      <w:numFmt w:val="decimal"/>
      <w:start w:val="1"/>
    </w:lvl>
  </w:abstractNum>
  <w:abstractNum w:abstractNumId="50">
    <w:nsid w:val="23F9C13C"/>
    <w:multiLevelType w:val="hybridMultilevel"/>
    <w:lvl w:ilvl="0">
      <w:lvlJc w:val="left"/>
      <w:lvlText w:val="%1)"/>
      <w:numFmt w:val="lowerLetter"/>
      <w:start w:val="1"/>
    </w:lvl>
  </w:abstractNum>
  <w:abstractNum w:abstractNumId="51">
    <w:nsid w:val="649BB77C"/>
    <w:multiLevelType w:val="hybridMultilevel"/>
    <w:lvl w:ilvl="0">
      <w:lvlJc w:val="left"/>
      <w:lvlText w:val="%1."/>
      <w:numFmt w:val="decimal"/>
      <w:start w:val="5"/>
    </w:lvl>
  </w:abstractNum>
  <w:abstractNum w:abstractNumId="52">
    <w:nsid w:val="275AC794"/>
    <w:multiLevelType w:val="hybridMultilevel"/>
    <w:lvl w:ilvl="0">
      <w:lvlJc w:val="left"/>
      <w:lvlText w:val="%1)"/>
      <w:numFmt w:val="lowerLetter"/>
      <w:start w:val="1"/>
    </w:lvl>
  </w:abstractNum>
  <w:abstractNum w:abstractNumId="53">
    <w:nsid w:val="39386575"/>
    <w:multiLevelType w:val="hybridMultilevel"/>
    <w:lvl w:ilvl="0">
      <w:lvlJc w:val="left"/>
      <w:lvlText w:val="%1."/>
      <w:numFmt w:val="decimal"/>
      <w:start w:val="1"/>
    </w:lvl>
  </w:abstractNum>
  <w:abstractNum w:abstractNumId="54">
    <w:nsid w:val="1CF10FD8"/>
    <w:multiLevelType w:val="hybridMultilevel"/>
    <w:lvl w:ilvl="0">
      <w:lvlJc w:val="left"/>
      <w:lvlText w:val="%1)"/>
      <w:numFmt w:val="lowerLetter"/>
      <w:start w:val="1"/>
    </w:lvl>
  </w:abstractNum>
  <w:abstractNum w:abstractNumId="55">
    <w:nsid w:val="180115BE"/>
    <w:multiLevelType w:val="hybridMultilevel"/>
    <w:lvl w:ilvl="0">
      <w:lvlJc w:val="left"/>
      <w:lvlText w:val="%1."/>
      <w:numFmt w:val="decimal"/>
      <w:start w:val="5"/>
    </w:lvl>
  </w:abstractNum>
  <w:abstractNum w:abstractNumId="56">
    <w:nsid w:val="235BA861"/>
    <w:multiLevelType w:val="hybridMultilevel"/>
    <w:lvl w:ilvl="0">
      <w:lvlJc w:val="left"/>
      <w:lvlText w:val="%1)"/>
      <w:numFmt w:val="lowerLetter"/>
      <w:start w:val="1"/>
    </w:lvl>
  </w:abstractNum>
  <w:abstractNum w:abstractNumId="57">
    <w:nsid w:val="47398C89"/>
    <w:multiLevelType w:val="hybridMultilevel"/>
    <w:lvl w:ilvl="0">
      <w:lvlJc w:val="left"/>
      <w:lvlText w:val="(%1)"/>
      <w:numFmt w:val="decimal"/>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74" Type="http://schemas.openxmlformats.org/officeDocument/2006/relationships/image" Target="media/image162.png"/><Relationship Id="rId180" Type="http://schemas.openxmlformats.org/officeDocument/2006/relationships/image" Target="media/image163.png"/><Relationship Id="rId185" Type="http://schemas.openxmlformats.org/officeDocument/2006/relationships/image" Target="media/image164.png"/><Relationship Id="rId197" Type="http://schemas.openxmlformats.org/officeDocument/2006/relationships/image" Target="media/image165.png"/><Relationship Id="rId198" Type="http://schemas.openxmlformats.org/officeDocument/2006/relationships/image" Target="media/image166.png"/><Relationship Id="rId210" Type="http://schemas.openxmlformats.org/officeDocument/2006/relationships/image" Target="media/image167.png"/><Relationship Id="rId211" Type="http://schemas.openxmlformats.org/officeDocument/2006/relationships/image" Target="media/image168.png"/><Relationship Id="rId212" Type="http://schemas.openxmlformats.org/officeDocument/2006/relationships/image" Target="media/image169.png"/><Relationship Id="rId213" Type="http://schemas.openxmlformats.org/officeDocument/2006/relationships/image" Target="media/image170.png"/><Relationship Id="rId214" Type="http://schemas.openxmlformats.org/officeDocument/2006/relationships/image" Target="media/image171.png"/><Relationship Id="rId215" Type="http://schemas.openxmlformats.org/officeDocument/2006/relationships/image" Target="media/image172.png"/><Relationship Id="rId216" Type="http://schemas.openxmlformats.org/officeDocument/2006/relationships/image" Target="media/image173.png"/><Relationship Id="rId217" Type="http://schemas.openxmlformats.org/officeDocument/2006/relationships/image" Target="media/image174.png"/><Relationship Id="rId218" Type="http://schemas.openxmlformats.org/officeDocument/2006/relationships/image" Target="media/image175.png"/><Relationship Id="rId219" Type="http://schemas.openxmlformats.org/officeDocument/2006/relationships/image" Target="media/image176.png"/><Relationship Id="rId220" Type="http://schemas.openxmlformats.org/officeDocument/2006/relationships/image" Target="media/image177.png"/><Relationship Id="rId221" Type="http://schemas.openxmlformats.org/officeDocument/2006/relationships/image" Target="media/image178.png"/><Relationship Id="rId222" Type="http://schemas.openxmlformats.org/officeDocument/2006/relationships/image" Target="media/image179.png"/><Relationship Id="rId169" Type="http://schemas.openxmlformats.org/officeDocument/2006/relationships/hyperlink" Target="http://www.sec.gov/Archives/edgar/data/789019/000119312516782569/d305147dex31.htm" TargetMode="External"/><Relationship Id="rId170" Type="http://schemas.openxmlformats.org/officeDocument/2006/relationships/hyperlink" Target="http://www.sec.gov/Archives/edgar/data/789019/000119312517203579/d347274dex32.htm" TargetMode="External"/><Relationship Id="rId171" Type="http://schemas.openxmlformats.org/officeDocument/2006/relationships/hyperlink" Target="http://www.sec.gov/Archives/edgar/data/789019/000119312515357088/d97665dex41.htm" TargetMode="External"/><Relationship Id="rId172" Type="http://schemas.openxmlformats.org/officeDocument/2006/relationships/hyperlink" Target="http://www.sec.gov/Archives/edgar/data/789019/000119312509113054/dex42.htm" TargetMode="External"/><Relationship Id="rId173" Type="http://schemas.openxmlformats.org/officeDocument/2006/relationships/hyperlink" Target="http://www.sec.gov/Archives/edgar/data/789019/000119312510216531/dex42.htm" TargetMode="External"/><Relationship Id="rId175" Type="http://schemas.openxmlformats.org/officeDocument/2006/relationships/hyperlink" Target="http://www.sec.gov/Archives/edgar/data/789019/000119312511026916/dex42.htm" TargetMode="External"/><Relationship Id="rId176" Type="http://schemas.openxmlformats.org/officeDocument/2006/relationships/hyperlink" Target="http://www.sec.gov/Archives/edgar/data/789019/000119312512456267/d433368dex41.htm" TargetMode="External"/><Relationship Id="rId177" Type="http://schemas.openxmlformats.org/officeDocument/2006/relationships/hyperlink" Target="http://www.sec.gov/Archives/edgar/data/789019/000119312513192843/d531397dex41.htm" TargetMode="External"/><Relationship Id="rId178" Type="http://schemas.openxmlformats.org/officeDocument/2006/relationships/hyperlink" Target="http://www.sec.gov/Archives/edgar/data/789019/000119312513192843/d531397dex42.htm" TargetMode="External"/><Relationship Id="rId179" Type="http://schemas.openxmlformats.org/officeDocument/2006/relationships/hyperlink" Target="http://www.sec.gov/Archives/edgar/data/789019/000119312513464138/d638276dex41.htm" TargetMode="External"/><Relationship Id="rId181" Type="http://schemas.openxmlformats.org/officeDocument/2006/relationships/hyperlink" Target="http://www.sec.gov/Archives/edgar/data/789019/000119312513464138/d638276dex42.htm" TargetMode="External"/><Relationship Id="rId182" Type="http://schemas.openxmlformats.org/officeDocument/2006/relationships/hyperlink" Target="http://www.sec.gov/Archives/edgar/data/789019/000119312515045564/d871136dex41.htm" TargetMode="External"/><Relationship Id="rId183" Type="http://schemas.openxmlformats.org/officeDocument/2006/relationships/hyperlink" Target="http://www.sec.gov/Archives/edgar/data/789019/000119312515363226/d88549dex41.htm" TargetMode="External"/><Relationship Id="rId184" Type="http://schemas.openxmlformats.org/officeDocument/2006/relationships/hyperlink" Target="http://www.sec.gov/Archives/edgar/data/789019/000119312516673577/d236874dex41.htm" TargetMode="External"/><Relationship Id="rId186" Type="http://schemas.openxmlformats.org/officeDocument/2006/relationships/hyperlink" Target="http://www.sec.gov/Archives/edgar/data/789019/000119312517030734/d270302dex41.htm" TargetMode="External"/><Relationship Id="rId187" Type="http://schemas.openxmlformats.org/officeDocument/2006/relationships/hyperlink" Target="http://www.sec.gov/Archives/edgar/data/789019/000119312520157234/d829164dex41.htm" TargetMode="External"/><Relationship Id="rId188" Type="http://schemas.openxmlformats.org/officeDocument/2006/relationships/hyperlink" Target="http://www.sec.gov/Archives/edgar/data/0000789019/000119312521084239/d130687dex41.htm" TargetMode="External"/><Relationship Id="rId189" Type="http://schemas.openxmlformats.org/officeDocument/2006/relationships/hyperlink" Target="http://www.sec.gov/Archives/edgar/data/789019/000156459019027952/msft-ex416_464.htm" TargetMode="External"/><Relationship Id="rId190" Type="http://schemas.openxmlformats.org/officeDocument/2006/relationships/hyperlink" Target="http://www.sec.gov/Archives/edgar/data/789019/000119312516742796/d245252dex101.htm" TargetMode="External"/><Relationship Id="rId191" Type="http://schemas.openxmlformats.org/officeDocument/2006/relationships/hyperlink" Target="http://www.sec.gov/Archives/edgar/data/789019/000119312512316848/d347676dex104.htm" TargetMode="External"/><Relationship Id="rId192" Type="http://schemas.openxmlformats.org/officeDocument/2006/relationships/hyperlink" Target="http://www.sec.gov/Archives/edgar/data/789019/000156459018019062/msft-ex105_244.htm" TargetMode="External"/><Relationship Id="rId193" Type="http://schemas.openxmlformats.org/officeDocument/2006/relationships/hyperlink" Target="http://www.sec.gov/Archives/edgar/data/789019/000119312517310951/d461626ddef14a.htm" TargetMode="External"/><Relationship Id="rId194" Type="http://schemas.openxmlformats.org/officeDocument/2006/relationships/hyperlink" Target="http://www.sec.gov/Archives/edgar/data/789019/000156459018009307/msft-ex1026_280.htm" TargetMode="External"/><Relationship Id="rId195" Type="http://schemas.openxmlformats.org/officeDocument/2006/relationships/hyperlink" Target="http://www.sec.gov/Archives/edgar/data/789019/000156459018009307/msft-ex1027_281.htm" TargetMode="External"/><Relationship Id="rId196" Type="http://schemas.openxmlformats.org/officeDocument/2006/relationships/hyperlink" Target="http://www.sec.gov/Archives/edgar/data/789019/000119312516742796/d245252dex1012.htm" TargetMode="External"/><Relationship Id="rId199" Type="http://schemas.openxmlformats.org/officeDocument/2006/relationships/hyperlink" Target="http://www.sec.gov/Archives/edgar/data/789019/000156459019027952/msft-ex1013_465.htm" TargetMode="External"/><Relationship Id="rId200" Type="http://schemas.openxmlformats.org/officeDocument/2006/relationships/hyperlink" Target="http://www.sec.gov/Archives/edgar/data/789019/000119312515272806/d918813dex1014.htm" TargetMode="External"/><Relationship Id="rId201" Type="http://schemas.openxmlformats.org/officeDocument/2006/relationships/hyperlink" Target="http://www.sec.gov/Archives/edgar/data/789019/000119312518277602/d602842dex101.htm" TargetMode="External"/><Relationship Id="rId202" Type="http://schemas.openxmlformats.org/officeDocument/2006/relationships/hyperlink" Target="http://www.sec.gov/Archives/edgar/data/789019/000119312516742796/d245252dex1017.htm" TargetMode="External"/><Relationship Id="rId203" Type="http://schemas.openxmlformats.org/officeDocument/2006/relationships/hyperlink" Target="http://www.sec.gov/Archives/edgar/data/789019/000119312516742796/d245252dex1018.htm" TargetMode="External"/><Relationship Id="rId204" Type="http://schemas.openxmlformats.org/officeDocument/2006/relationships/hyperlink" Target="http://www.sec.gov/Archives/edgar/data/789019/000119312516742796/d245252dex1025.htm" TargetMode="External"/><Relationship Id="rId205" Type="http://schemas.openxmlformats.org/officeDocument/2006/relationships/hyperlink" Target="http://www.sec.gov/Archives/edgar/data/789019/000119312516742796/d245252dex1022.htm" TargetMode="External"/><Relationship Id="rId206" Type="http://schemas.openxmlformats.org/officeDocument/2006/relationships/hyperlink" Target="http://www.sec.gov/Archives/edgar/data/789019/000119312514035080/d669538dex101.htm" TargetMode="External"/><Relationship Id="rId207" Type="http://schemas.openxmlformats.org/officeDocument/2006/relationships/hyperlink" Target="http://www.sec.gov/Archives/edgar/data/789019/000119312515020351/d827041dex1024.htm" TargetMode="External"/><Relationship Id="rId208" Type="http://schemas.openxmlformats.org/officeDocument/2006/relationships/hyperlink" Target="http://www.sec.gov/Archives/edgar/data/789019/000156459020034944/msft-ex1025_365.htm" TargetMode="External"/><Relationship Id="rId209" Type="http://schemas.openxmlformats.org/officeDocument/2006/relationships/hyperlink" Target="http://www.sec.gov/Archives/edgar/data/789019/000156459020034944/msft-ex1026_36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2021-07-29T16:37:57Z</dcterms:created>
  <dcterms:modified xsi:type="dcterms:W3CDTF">2021-07-29T16:37:57Z</dcterms:modified>
</cp:coreProperties>
</file>