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894080</wp:posOffset>
            </wp:positionH>
            <wp:positionV relativeFrom="page">
              <wp:posOffset>1049020</wp:posOffset>
            </wp:positionV>
            <wp:extent cx="57607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page">
              <wp:posOffset>894080</wp:posOffset>
            </wp:positionH>
            <wp:positionV relativeFrom="page">
              <wp:posOffset>1066165</wp:posOffset>
            </wp:positionV>
            <wp:extent cx="5760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45085</wp:posOffset>
            </wp:positionV>
            <wp:extent cx="1440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11-K</w:t>
      </w:r>
    </w:p>
    <w:p>
      <w:pPr>
        <w:spacing w:after="0" w:line="179" w:lineRule="exact"/>
        <w:rPr>
          <w:sz w:val="24"/>
          <w:szCs w:val="24"/>
          <w:color w:val="auto"/>
        </w:rPr>
      </w:pPr>
    </w:p>
    <w:p>
      <w:pPr>
        <w:ind w:left="460" w:right="20" w:hanging="452"/>
        <w:spacing w:after="0" w:line="270" w:lineRule="auto"/>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15(d) OF THE SECURITIES EXCHANGE ACT OF 1934</w:t>
      </w:r>
    </w:p>
    <w:p>
      <w:pPr>
        <w:spacing w:after="0" w:line="81"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48" w:lineRule="exact"/>
        <w:rPr>
          <w:sz w:val="24"/>
          <w:szCs w:val="24"/>
          <w:color w:val="auto"/>
        </w:rPr>
      </w:pPr>
    </w:p>
    <w:p>
      <w:pPr>
        <w:ind w:left="460" w:right="20" w:hanging="452"/>
        <w:spacing w:after="0" w:line="270" w:lineRule="auto"/>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15(d) OF THE SECURITIES EXCHANGE ACT OF 1934</w:t>
      </w:r>
    </w:p>
    <w:p>
      <w:pPr>
        <w:spacing w:after="0" w:line="81"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For the Transition Period From _____ to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111760</wp:posOffset>
            </wp:positionV>
            <wp:extent cx="14401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001-37845</w:t>
      </w:r>
    </w:p>
    <w:p>
      <w:pPr>
        <w:spacing w:after="0" w:line="171" w:lineRule="exact"/>
        <w:rPr>
          <w:sz w:val="24"/>
          <w:szCs w:val="24"/>
          <w:color w:val="auto"/>
        </w:rPr>
      </w:pPr>
    </w:p>
    <w:p>
      <w:pPr>
        <w:ind w:left="520" w:hanging="512"/>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8"/>
          <w:szCs w:val="18"/>
          <w:color w:val="auto"/>
        </w:rPr>
        <w:t>Full title of the plan and the address of the plan, if different from that of the issuer named below:</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ONE MICROSOFT PUERTO RICO RETIREMENT PLAN</w:t>
      </w:r>
    </w:p>
    <w:p>
      <w:pPr>
        <w:spacing w:after="0" w:line="183" w:lineRule="exact"/>
        <w:rPr>
          <w:sz w:val="24"/>
          <w:szCs w:val="24"/>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Microsoft Corporation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Microsoft Way</w:t>
      </w:r>
    </w:p>
    <w:p>
      <w:pPr>
        <w:jc w:val="center"/>
        <w:ind w:right="-19"/>
        <w:spacing w:after="0"/>
        <w:rPr>
          <w:sz w:val="20"/>
          <w:szCs w:val="20"/>
          <w:color w:val="auto"/>
        </w:rPr>
      </w:pPr>
      <w:r>
        <w:rPr>
          <w:rFonts w:ascii="Arial" w:cs="Arial" w:eastAsia="Arial" w:hAnsi="Arial"/>
          <w:sz w:val="18"/>
          <w:szCs w:val="18"/>
          <w:b w:val="1"/>
          <w:bCs w:val="1"/>
          <w:color w:val="auto"/>
        </w:rPr>
        <w:t>Redmond, Washington 98052-6399</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REQUIRED INFORMATION</w:t>
      </w:r>
    </w:p>
    <w:p>
      <w:pPr>
        <w:spacing w:after="0" w:line="158" w:lineRule="exact"/>
        <w:rPr>
          <w:sz w:val="24"/>
          <w:szCs w:val="24"/>
          <w:color w:val="auto"/>
        </w:rPr>
      </w:pPr>
    </w:p>
    <w:p>
      <w:pPr>
        <w:jc w:val="both"/>
        <w:spacing w:after="0" w:line="242" w:lineRule="auto"/>
        <w:rPr>
          <w:sz w:val="20"/>
          <w:szCs w:val="20"/>
          <w:color w:val="auto"/>
        </w:rPr>
      </w:pPr>
      <w:r>
        <w:rPr>
          <w:rFonts w:ascii="Arial" w:cs="Arial" w:eastAsia="Arial" w:hAnsi="Arial"/>
          <w:sz w:val="18"/>
          <w:szCs w:val="18"/>
          <w:color w:val="auto"/>
        </w:rPr>
        <w:t>The One Microsoft Puerto Rico Retirement Plan (the “Plan”) is subject to the Employee Retirement Income Security Act of 1974, as amended (“ERISA”). Therefore, in lieu of the required information outlined as Items 1-3 of the Form 11-K, the statements of net assets available for benefits as of December 31, 2025 and 2024 and the related statement of changes in net assets available for benefits for the year ended December 31, 2025, which have been prepared in accordance with the financial reporting requirements of ERISA, are attached hereto as Appendix 1 and incorporated herein by this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-633095</wp:posOffset>
            </wp:positionH>
            <wp:positionV relativeFrom="paragraph">
              <wp:posOffset>1038860</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576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5760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sectPr>
      </w:pPr>
    </w:p>
    <w:bookmarkStart w:id="1" w:name="page2"/>
    <w:bookmarkEnd w:id="1"/>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jc w:val="both"/>
        <w:ind w:left="980" w:right="980"/>
        <w:spacing w:after="0" w:line="253"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who administer the employee benefit plan) have duly caused this annual report to be signed on its behalf by the undersigned hereunto duly authorized.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One Microsoft Puerto Rico Retirement Plan</w:t>
            </w:r>
          </w:p>
        </w:tc>
      </w:tr>
      <w:tr>
        <w:trPr>
          <w:trHeight w:val="455"/>
        </w:trPr>
        <w:tc>
          <w:tcPr>
            <w:tcW w:w="1520" w:type="dxa"/>
            <w:vAlign w:val="bottom"/>
          </w:tcPr>
          <w:p>
            <w:pPr>
              <w:ind w:left="980"/>
              <w:spacing w:after="0"/>
              <w:rPr>
                <w:sz w:val="20"/>
                <w:szCs w:val="20"/>
                <w:color w:val="auto"/>
              </w:rPr>
            </w:pPr>
            <w:r>
              <w:rPr>
                <w:rFonts w:ascii="Arial" w:cs="Arial" w:eastAsia="Arial" w:hAnsi="Arial"/>
                <w:sz w:val="18"/>
                <w:szCs w:val="18"/>
                <w:color w:val="auto"/>
              </w:rPr>
              <w:t>Date:</w:t>
            </w:r>
          </w:p>
        </w:tc>
        <w:tc>
          <w:tcPr>
            <w:tcW w:w="1940" w:type="dxa"/>
            <w:vAlign w:val="bottom"/>
          </w:tcPr>
          <w:p>
            <w:pPr>
              <w:ind w:left="120"/>
              <w:spacing w:after="0"/>
              <w:rPr>
                <w:sz w:val="20"/>
                <w:szCs w:val="20"/>
                <w:color w:val="auto"/>
              </w:rPr>
            </w:pPr>
            <w:r>
              <w:rPr>
                <w:rFonts w:ascii="Arial" w:cs="Arial" w:eastAsia="Arial" w:hAnsi="Arial"/>
                <w:sz w:val="18"/>
                <w:szCs w:val="18"/>
                <w:color w:val="auto"/>
              </w:rPr>
              <w:t>June 25, 2026</w:t>
            </w:r>
          </w:p>
        </w:tc>
        <w:tc>
          <w:tcPr>
            <w:tcW w:w="7580" w:type="dxa"/>
            <w:vAlign w:val="bottom"/>
            <w:gridSpan w:val="2"/>
          </w:tcPr>
          <w:p>
            <w:pPr>
              <w:spacing w:after="0"/>
              <w:rPr>
                <w:sz w:val="20"/>
                <w:szCs w:val="20"/>
                <w:color w:val="auto"/>
              </w:rPr>
            </w:pPr>
            <w:r>
              <w:rPr>
                <w:rFonts w:ascii="Arial" w:cs="Arial" w:eastAsia="Arial" w:hAnsi="Arial"/>
                <w:sz w:val="18"/>
                <w:szCs w:val="18"/>
                <w:color w:val="auto"/>
              </w:rPr>
              <w:t>/s/ H</w:t>
            </w:r>
            <w:r>
              <w:rPr>
                <w:rFonts w:ascii="Arial" w:cs="Arial" w:eastAsia="Arial" w:hAnsi="Arial"/>
                <w:sz w:val="13"/>
                <w:szCs w:val="13"/>
                <w:color w:val="auto"/>
              </w:rPr>
              <w:t>ERBERT</w:t>
            </w:r>
            <w:r>
              <w:rPr>
                <w:rFonts w:ascii="Arial" w:cs="Arial" w:eastAsia="Arial" w:hAnsi="Arial"/>
                <w:sz w:val="18"/>
                <w:szCs w:val="18"/>
                <w:color w:val="auto"/>
              </w:rPr>
              <w:t xml:space="preserve"> L</w:t>
            </w:r>
            <w:r>
              <w:rPr>
                <w:rFonts w:ascii="Arial" w:cs="Arial" w:eastAsia="Arial" w:hAnsi="Arial"/>
                <w:sz w:val="13"/>
                <w:szCs w:val="13"/>
                <w:color w:val="auto"/>
              </w:rPr>
              <w:t>EWY</w:t>
            </w:r>
          </w:p>
        </w:tc>
      </w:tr>
      <w:tr>
        <w:trPr>
          <w:trHeight w:val="191"/>
        </w:trPr>
        <w:tc>
          <w:tcPr>
            <w:tcW w:w="15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Herbert Lewy</w:t>
            </w:r>
          </w:p>
        </w:tc>
        <w:tc>
          <w:tcPr>
            <w:tcW w:w="2960" w:type="dxa"/>
            <w:vAlign w:val="bottom"/>
          </w:tcPr>
          <w:p>
            <w:pPr>
              <w:spacing w:after="0"/>
              <w:rPr>
                <w:sz w:val="16"/>
                <w:szCs w:val="16"/>
                <w:color w:val="auto"/>
              </w:rPr>
            </w:pPr>
          </w:p>
        </w:tc>
      </w:tr>
      <w:tr>
        <w:trPr>
          <w:trHeight w:val="239"/>
        </w:trPr>
        <w:tc>
          <w:tcPr>
            <w:tcW w:w="1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General Manager</w:t>
            </w:r>
          </w:p>
        </w:tc>
      </w:tr>
      <w:tr>
        <w:trPr>
          <w:trHeight w:val="455"/>
        </w:trPr>
        <w:tc>
          <w:tcPr>
            <w:tcW w:w="1520" w:type="dxa"/>
            <w:vAlign w:val="bottom"/>
          </w:tcPr>
          <w:p>
            <w:pPr>
              <w:ind w:left="980"/>
              <w:spacing w:after="0"/>
              <w:rPr>
                <w:sz w:val="20"/>
                <w:szCs w:val="20"/>
                <w:color w:val="auto"/>
              </w:rPr>
            </w:pPr>
            <w:r>
              <w:rPr>
                <w:rFonts w:ascii="Arial" w:cs="Arial" w:eastAsia="Arial" w:hAnsi="Arial"/>
                <w:sz w:val="18"/>
                <w:szCs w:val="18"/>
                <w:color w:val="auto"/>
              </w:rPr>
              <w:t>Date:</w:t>
            </w:r>
          </w:p>
        </w:tc>
        <w:tc>
          <w:tcPr>
            <w:tcW w:w="1940" w:type="dxa"/>
            <w:vAlign w:val="bottom"/>
          </w:tcPr>
          <w:p>
            <w:pPr>
              <w:ind w:left="120"/>
              <w:spacing w:after="0"/>
              <w:rPr>
                <w:sz w:val="20"/>
                <w:szCs w:val="20"/>
                <w:color w:val="auto"/>
              </w:rPr>
            </w:pPr>
            <w:r>
              <w:rPr>
                <w:rFonts w:ascii="Arial" w:cs="Arial" w:eastAsia="Arial" w:hAnsi="Arial"/>
                <w:sz w:val="18"/>
                <w:szCs w:val="18"/>
                <w:color w:val="auto"/>
              </w:rPr>
              <w:t>June 25, 2026</w:t>
            </w:r>
          </w:p>
        </w:tc>
        <w:tc>
          <w:tcPr>
            <w:tcW w:w="7580" w:type="dxa"/>
            <w:vAlign w:val="bottom"/>
            <w:gridSpan w:val="2"/>
          </w:tcPr>
          <w:p>
            <w:pPr>
              <w:spacing w:after="0"/>
              <w:rPr>
                <w:sz w:val="20"/>
                <w:szCs w:val="20"/>
                <w:color w:val="auto"/>
              </w:rPr>
            </w:pPr>
            <w:r>
              <w:rPr>
                <w:rFonts w:ascii="Arial" w:cs="Arial" w:eastAsia="Arial" w:hAnsi="Arial"/>
                <w:sz w:val="18"/>
                <w:szCs w:val="18"/>
                <w:color w:val="auto"/>
              </w:rPr>
              <w:t>/s/ V</w:t>
            </w:r>
            <w:r>
              <w:rPr>
                <w:rFonts w:ascii="Arial" w:cs="Arial" w:eastAsia="Arial" w:hAnsi="Arial"/>
                <w:sz w:val="13"/>
                <w:szCs w:val="13"/>
                <w:color w:val="auto"/>
              </w:rPr>
              <w:t>IVIAN</w:t>
            </w:r>
            <w:r>
              <w:rPr>
                <w:rFonts w:ascii="Arial" w:cs="Arial" w:eastAsia="Arial" w:hAnsi="Arial"/>
                <w:sz w:val="18"/>
                <w:szCs w:val="18"/>
                <w:color w:val="auto"/>
              </w:rPr>
              <w:t xml:space="preserve"> M</w:t>
            </w:r>
            <w:r>
              <w:rPr>
                <w:rFonts w:ascii="Arial" w:cs="Arial" w:eastAsia="Arial" w:hAnsi="Arial"/>
                <w:sz w:val="13"/>
                <w:szCs w:val="13"/>
                <w:color w:val="auto"/>
              </w:rPr>
              <w:t>ARTINEZ</w:t>
            </w:r>
          </w:p>
        </w:tc>
      </w:tr>
      <w:tr>
        <w:trPr>
          <w:trHeight w:val="191"/>
        </w:trPr>
        <w:tc>
          <w:tcPr>
            <w:tcW w:w="15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Vivian Martinez</w:t>
            </w:r>
          </w:p>
        </w:tc>
        <w:tc>
          <w:tcPr>
            <w:tcW w:w="2960" w:type="dxa"/>
            <w:vAlign w:val="bottom"/>
          </w:tcPr>
          <w:p>
            <w:pPr>
              <w:spacing w:after="0"/>
              <w:rPr>
                <w:sz w:val="16"/>
                <w:szCs w:val="16"/>
                <w:color w:val="auto"/>
              </w:rPr>
            </w:pPr>
          </w:p>
        </w:tc>
      </w:tr>
      <w:tr>
        <w:trPr>
          <w:trHeight w:val="239"/>
        </w:trPr>
        <w:tc>
          <w:tcPr>
            <w:tcW w:w="1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Controller</w:t>
            </w:r>
          </w:p>
        </w:tc>
      </w:tr>
      <w:tr>
        <w:trPr>
          <w:trHeight w:val="1623"/>
        </w:trPr>
        <w:tc>
          <w:tcPr>
            <w:tcW w:w="15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2" w:name="page3"/>
    <w:bookmarkEnd w:id="2"/>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APPENDIX 1</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ONE MICROSOFT PUERTO RICO RETIREMENT PLAN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FINANCIAL STATEMENTS AS OF DECEMBER 31, 2025 AND 2024 AND FOR THE YEAR ENDED</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31, 2025;</w:t>
      </w:r>
    </w:p>
    <w:p>
      <w:pPr>
        <w:jc w:val="center"/>
        <w:ind w:right="79"/>
        <w:spacing w:after="0" w:line="234" w:lineRule="auto"/>
        <w:rPr>
          <w:sz w:val="20"/>
          <w:szCs w:val="20"/>
          <w:color w:val="auto"/>
        </w:rPr>
      </w:pPr>
      <w:r>
        <w:rPr>
          <w:rFonts w:ascii="Arial" w:cs="Arial" w:eastAsia="Arial" w:hAnsi="Arial"/>
          <w:sz w:val="18"/>
          <w:szCs w:val="18"/>
          <w:color w:val="auto"/>
        </w:rPr>
        <w:t>NOTES TO FINANCIAL STATEMENTS;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SUPPLEMENTAL SCHEDULE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876300</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spacing w:after="0" w:line="8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ONE MICROSOFT PUERTO RICO RETIREMENT PLAN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760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6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344"/>
        </w:trPr>
        <w:tc>
          <w:tcPr>
            <w:tcW w:w="8300" w:type="dxa"/>
            <w:vAlign w:val="bottom"/>
            <w:gridSpan w:val="8"/>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443"/>
        </w:trPr>
        <w:tc>
          <w:tcPr>
            <w:tcW w:w="46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Financial Statements:</w:t>
            </w:r>
          </w:p>
        </w:tc>
        <w:tc>
          <w:tcPr>
            <w:tcW w:w="370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0"/>
        </w:trPr>
        <w:tc>
          <w:tcPr>
            <w:tcW w:w="46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0000FF"/>
              </w:rPr>
              <w:t>Statements of Net Assets Available for Benefits as of December 31, 2025 and 2024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6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78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FF"/>
                <w:w w:val="99"/>
              </w:rPr>
              <w:t>Statement of Changes in Net Assets Available for Benefits for the Year Ended December 31, 2025</w:t>
            </w:r>
          </w:p>
        </w:tc>
        <w:tc>
          <w:tcPr>
            <w:tcW w:w="40" w:type="dxa"/>
            <w:vAlign w:val="bottom"/>
            <w:tcBorders>
              <w:bottom w:val="single" w:sz="8" w:color="0000EE"/>
            </w:tcBorders>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46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0000FF"/>
              </w:rPr>
              <w:t>Notes to Financial Statements</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0"/>
        </w:trPr>
        <w:tc>
          <w:tcPr>
            <w:tcW w:w="46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43"/>
        </w:trPr>
        <w:tc>
          <w:tcPr>
            <w:tcW w:w="8300" w:type="dxa"/>
            <w:vAlign w:val="bottom"/>
            <w:gridSpan w:val="8"/>
          </w:tcPr>
          <w:p>
            <w:pPr>
              <w:spacing w:after="0"/>
              <w:rPr>
                <w:sz w:val="20"/>
                <w:szCs w:val="20"/>
                <w:color w:val="auto"/>
              </w:rPr>
            </w:pPr>
            <w:r>
              <w:rPr>
                <w:rFonts w:ascii="Arial" w:cs="Arial" w:eastAsia="Arial" w:hAnsi="Arial"/>
                <w:sz w:val="18"/>
                <w:szCs w:val="18"/>
                <w:color w:val="auto"/>
              </w:rPr>
              <w:t>Supplemental Schedule:</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0"/>
        </w:trPr>
        <w:tc>
          <w:tcPr>
            <w:tcW w:w="46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Arial" w:cs="Arial" w:eastAsia="Arial" w:hAnsi="Arial"/>
                <w:sz w:val="18"/>
                <w:szCs w:val="18"/>
                <w:color w:val="0000FF"/>
              </w:rPr>
              <w:t>Supplemental Schedule of Assets (Held at End of Year) as of December 31, 2025</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9</w:t>
            </w:r>
          </w:p>
        </w:tc>
      </w:tr>
      <w:tr>
        <w:trPr>
          <w:trHeight w:val="20"/>
        </w:trPr>
        <w:tc>
          <w:tcPr>
            <w:tcW w:w="460" w:type="dxa"/>
            <w:vAlign w:val="bottom"/>
          </w:tcPr>
          <w:p>
            <w:pPr>
              <w:spacing w:after="0" w:line="20" w:lineRule="exact"/>
              <w:rPr>
                <w:sz w:val="1"/>
                <w:szCs w:val="1"/>
                <w:color w:val="auto"/>
              </w:rPr>
            </w:pPr>
          </w:p>
        </w:tc>
        <w:tc>
          <w:tcPr>
            <w:tcW w:w="4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43"/>
        </w:trPr>
        <w:tc>
          <w:tcPr>
            <w:tcW w:w="8300" w:type="dxa"/>
            <w:vAlign w:val="bottom"/>
            <w:gridSpan w:val="8"/>
          </w:tcPr>
          <w:p>
            <w:pPr>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0"/>
        </w:trPr>
        <w:tc>
          <w:tcPr>
            <w:tcW w:w="460" w:type="dxa"/>
            <w:vAlign w:val="bottom"/>
          </w:tcPr>
          <w:p>
            <w:pPr>
              <w:spacing w:after="0"/>
              <w:rPr>
                <w:sz w:val="24"/>
                <w:szCs w:val="24"/>
                <w:color w:val="auto"/>
              </w:rPr>
            </w:pPr>
          </w:p>
        </w:tc>
        <w:tc>
          <w:tcPr>
            <w:tcW w:w="47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Consent of Independent Registered Public Accounting Firm</w:t>
            </w:r>
          </w:p>
        </w:tc>
        <w:tc>
          <w:tcPr>
            <w:tcW w:w="20" w:type="dxa"/>
            <w:vAlign w:val="bottom"/>
            <w:tcBorders>
              <w:bottom w:val="single" w:sz="8" w:color="0000EE"/>
            </w:tcBorders>
          </w:tcPr>
          <w:p>
            <w:pPr>
              <w:spacing w:after="0"/>
              <w:rPr>
                <w:sz w:val="24"/>
                <w:szCs w:val="24"/>
                <w:color w:val="auto"/>
              </w:rPr>
            </w:pPr>
          </w:p>
        </w:tc>
        <w:tc>
          <w:tcPr>
            <w:tcW w:w="308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left="660" w:hanging="659"/>
        <w:spacing w:after="0" w:line="220" w:lineRule="exact"/>
        <w:tabs>
          <w:tab w:leader="none" w:pos="64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All other schedules required by Section 2520.103</w:t>
      </w:r>
      <w:r>
        <w:rPr>
          <w:rFonts w:ascii="MS PGothic" w:cs="MS PGothic" w:eastAsia="MS PGothic" w:hAnsi="MS PGothic"/>
          <w:sz w:val="16"/>
          <w:szCs w:val="16"/>
          <w:color w:val="auto"/>
        </w:rPr>
        <w:t>‑</w:t>
      </w:r>
      <w:r>
        <w:rPr>
          <w:rFonts w:ascii="Arial" w:cs="Arial" w:eastAsia="Arial" w:hAnsi="Arial"/>
          <w:sz w:val="16"/>
          <w:szCs w:val="16"/>
          <w:color w:val="auto"/>
        </w:rPr>
        <w:t>10 of the Department of Labor’s Rules and Regulations for Reporting and Disclosure under ERISA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1009650</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Plan Participants and Plan Administrator of the One Microsoft Puerto Rico Retirement Plan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statements of net assets available for benefits of the One Microsoft Puerto Rico Retirement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Supplemental Schedule</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supplemental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June 25,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the Plan since 1999.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476250</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17" w:right="14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172085</wp:posOffset>
            </wp:positionV>
            <wp:extent cx="57607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Arial" w:cs="Arial" w:eastAsia="Arial" w:hAnsi="Arial"/>
                <w:sz w:val="13"/>
                <w:szCs w:val="13"/>
                <w:b w:val="1"/>
                <w:bCs w:val="1"/>
                <w:color w:val="auto"/>
              </w:rPr>
              <w:t>December 31,</w:t>
            </w: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98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0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ASSETS</w:t>
            </w:r>
          </w:p>
        </w:tc>
        <w:tc>
          <w:tcPr>
            <w:tcW w:w="21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Investments, at fair value</w:t>
            </w:r>
          </w:p>
        </w:tc>
        <w:tc>
          <w:tcPr>
            <w:tcW w:w="24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38,556,819</w:t>
            </w: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33,716,275</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Receivables:</w:t>
            </w:r>
          </w:p>
        </w:tc>
        <w:tc>
          <w:tcPr>
            <w:tcW w:w="21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040" w:type="dxa"/>
            <w:vAlign w:val="bottom"/>
          </w:tcPr>
          <w:p>
            <w:pPr>
              <w:ind w:left="260"/>
              <w:spacing w:after="0" w:line="202" w:lineRule="exact"/>
              <w:rPr>
                <w:sz w:val="20"/>
                <w:szCs w:val="20"/>
                <w:color w:val="auto"/>
              </w:rPr>
            </w:pPr>
            <w:r>
              <w:rPr>
                <w:rFonts w:ascii="Arial" w:cs="Arial" w:eastAsia="Arial" w:hAnsi="Arial"/>
                <w:sz w:val="18"/>
                <w:szCs w:val="18"/>
                <w:color w:val="auto"/>
              </w:rPr>
              <w:t>Participant loans</w:t>
            </w:r>
          </w:p>
        </w:tc>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181,787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131,853</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04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Participant contributions</w:t>
            </w:r>
          </w:p>
        </w:tc>
        <w:tc>
          <w:tcPr>
            <w:tcW w:w="21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18,122</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14,022</w:t>
            </w:r>
          </w:p>
        </w:tc>
        <w:tc>
          <w:tcPr>
            <w:tcW w:w="80" w:type="dxa"/>
            <w:vAlign w:val="bottom"/>
            <w:shd w:val="clear" w:color="auto" w:fill="E5E5E5"/>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040" w:type="dxa"/>
            <w:vAlign w:val="bottom"/>
          </w:tcPr>
          <w:p>
            <w:pPr>
              <w:ind w:left="260"/>
              <w:spacing w:after="0" w:line="202" w:lineRule="exact"/>
              <w:rPr>
                <w:sz w:val="20"/>
                <w:szCs w:val="20"/>
                <w:color w:val="auto"/>
              </w:rPr>
            </w:pPr>
            <w:r>
              <w:rPr>
                <w:rFonts w:ascii="Arial" w:cs="Arial" w:eastAsia="Arial" w:hAnsi="Arial"/>
                <w:sz w:val="18"/>
                <w:szCs w:val="18"/>
                <w:color w:val="auto"/>
              </w:rPr>
              <w:t>Employer contributions</w:t>
            </w:r>
          </w:p>
        </w:tc>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6,576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5,226</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04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Interest and other</w:t>
            </w:r>
          </w:p>
        </w:tc>
        <w:tc>
          <w:tcPr>
            <w:tcW w:w="21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682</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772</w:t>
            </w:r>
          </w:p>
        </w:tc>
        <w:tc>
          <w:tcPr>
            <w:tcW w:w="80" w:type="dxa"/>
            <w:vAlign w:val="bottom"/>
            <w:shd w:val="clear" w:color="auto" w:fill="E5E5E5"/>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980" w:type="dxa"/>
            <w:vAlign w:val="bottom"/>
          </w:tcPr>
          <w:p>
            <w:pPr>
              <w:spacing w:after="0"/>
              <w:rPr>
                <w:sz w:val="3"/>
                <w:szCs w:val="3"/>
                <w:color w:val="auto"/>
              </w:rPr>
            </w:pPr>
          </w:p>
        </w:tc>
        <w:tc>
          <w:tcPr>
            <w:tcW w:w="404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40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Total receivables</w:t>
            </w:r>
          </w:p>
        </w:tc>
        <w:tc>
          <w:tcPr>
            <w:tcW w:w="2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207,167</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151,873</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98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0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NET ASSETS AVAILABLE FOR BENEFITS</w:t>
            </w:r>
          </w:p>
        </w:tc>
        <w:tc>
          <w:tcPr>
            <w:tcW w:w="24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38,763,986</w:t>
            </w:r>
          </w:p>
        </w:tc>
        <w:tc>
          <w:tcPr>
            <w:tcW w:w="4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33,868,148</w:t>
            </w:r>
          </w:p>
        </w:tc>
        <w:tc>
          <w:tcPr>
            <w:tcW w:w="80" w:type="dxa"/>
            <w:vAlign w:val="bottom"/>
            <w:shd w:val="clear" w:color="auto" w:fill="E5E5E5"/>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80" w:type="dxa"/>
            <w:vAlign w:val="bottom"/>
          </w:tcPr>
          <w:p>
            <w:pPr>
              <w:spacing w:after="0"/>
              <w:rPr>
                <w:sz w:val="5"/>
                <w:szCs w:val="5"/>
                <w:color w:val="auto"/>
              </w:rPr>
            </w:pPr>
          </w:p>
        </w:tc>
        <w:tc>
          <w:tcPr>
            <w:tcW w:w="4040" w:type="dxa"/>
            <w:vAlign w:val="bottom"/>
            <w:vMerge w:val="restart"/>
          </w:tcPr>
          <w:p>
            <w:pPr>
              <w:spacing w:after="0"/>
              <w:rPr>
                <w:sz w:val="20"/>
                <w:szCs w:val="20"/>
                <w:color w:val="auto"/>
              </w:rPr>
            </w:pPr>
            <w:r>
              <w:rPr>
                <w:rFonts w:ascii="Arial" w:cs="Arial" w:eastAsia="Arial" w:hAnsi="Arial"/>
                <w:sz w:val="18"/>
                <w:szCs w:val="18"/>
                <w:color w:val="auto"/>
              </w:rPr>
              <w:t>Refer to accompanying notes.</w:t>
            </w:r>
          </w:p>
        </w:tc>
        <w:tc>
          <w:tcPr>
            <w:tcW w:w="21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980" w:type="dxa"/>
            <w:vAlign w:val="bottom"/>
          </w:tcPr>
          <w:p>
            <w:pPr>
              <w:spacing w:after="0"/>
              <w:rPr>
                <w:sz w:val="22"/>
                <w:szCs w:val="22"/>
                <w:color w:val="auto"/>
              </w:rPr>
            </w:pPr>
          </w:p>
        </w:tc>
        <w:tc>
          <w:tcPr>
            <w:tcW w:w="4040" w:type="dxa"/>
            <w:vAlign w:val="bottom"/>
            <w:vMerge w:val="continue"/>
          </w:tcPr>
          <w:p>
            <w:pPr>
              <w:spacing w:after="0"/>
              <w:rPr>
                <w:sz w:val="22"/>
                <w:szCs w:val="22"/>
                <w:color w:val="auto"/>
              </w:rPr>
            </w:pPr>
          </w:p>
        </w:tc>
        <w:tc>
          <w:tcPr>
            <w:tcW w:w="2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9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180" w:type="dxa"/>
            <w:vAlign w:val="bottom"/>
          </w:tcPr>
          <w:p>
            <w:pPr>
              <w:jc w:val="right"/>
              <w:ind w:right="153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9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17"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163195</wp:posOffset>
            </wp:positionV>
            <wp:extent cx="57607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98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762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ADDITIONS</w:t>
            </w:r>
          </w:p>
        </w:tc>
        <w:tc>
          <w:tcPr>
            <w:tcW w:w="28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7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and dividends</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532,397</w:t>
            </w:r>
          </w:p>
        </w:tc>
        <w:tc>
          <w:tcPr>
            <w:tcW w:w="80" w:type="dxa"/>
            <w:vAlign w:val="bottom"/>
            <w:shd w:val="clear" w:color="auto" w:fill="E5E5E5"/>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increase in fair value of investments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4,489,769</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spacing w:after="0"/>
              <w:rPr>
                <w:sz w:val="17"/>
                <w:szCs w:val="17"/>
                <w:color w:val="auto"/>
              </w:rPr>
            </w:pPr>
          </w:p>
        </w:tc>
        <w:tc>
          <w:tcPr>
            <w:tcW w:w="762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5,022,166</w:t>
            </w:r>
          </w:p>
        </w:tc>
        <w:tc>
          <w:tcPr>
            <w:tcW w:w="80" w:type="dxa"/>
            <w:vAlign w:val="bottom"/>
            <w:shd w:val="clear" w:color="auto" w:fill="E5E5E5"/>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980" w:type="dxa"/>
            <w:vAlign w:val="bottom"/>
          </w:tcPr>
          <w:p>
            <w:pPr>
              <w:spacing w:after="0"/>
              <w:rPr>
                <w:sz w:val="3"/>
                <w:szCs w:val="3"/>
                <w:color w:val="auto"/>
              </w:rPr>
            </w:pPr>
          </w:p>
        </w:tc>
        <w:tc>
          <w:tcPr>
            <w:tcW w:w="7620" w:type="dxa"/>
            <w:vAlign w:val="bottom"/>
            <w:vMerge w:val="restart"/>
          </w:tcPr>
          <w:p>
            <w:pPr>
              <w:spacing w:after="0"/>
              <w:rPr>
                <w:sz w:val="20"/>
                <w:szCs w:val="20"/>
                <w:color w:val="auto"/>
              </w:rPr>
            </w:pPr>
            <w:r>
              <w:rPr>
                <w:rFonts w:ascii="Arial" w:cs="Arial" w:eastAsia="Arial" w:hAnsi="Arial"/>
                <w:sz w:val="18"/>
                <w:szCs w:val="18"/>
                <w:color w:val="auto"/>
              </w:rPr>
              <w:t>Contributions:</w:t>
            </w: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7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7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Participant contributions</w:t>
            </w:r>
          </w:p>
        </w:tc>
        <w:tc>
          <w:tcPr>
            <w:tcW w:w="28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885,867</w:t>
            </w:r>
          </w:p>
        </w:tc>
        <w:tc>
          <w:tcPr>
            <w:tcW w:w="80" w:type="dxa"/>
            <w:vAlign w:val="bottom"/>
            <w:shd w:val="clear" w:color="auto" w:fill="E5E5E5"/>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Rollover contributions</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76,063</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7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Employer contributions</w:t>
            </w:r>
          </w:p>
        </w:tc>
        <w:tc>
          <w:tcPr>
            <w:tcW w:w="28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324,569</w:t>
            </w:r>
          </w:p>
        </w:tc>
        <w:tc>
          <w:tcPr>
            <w:tcW w:w="80" w:type="dxa"/>
            <w:vAlign w:val="bottom"/>
            <w:shd w:val="clear" w:color="auto" w:fill="E5E5E5"/>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980" w:type="dxa"/>
            <w:vAlign w:val="bottom"/>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980" w:type="dxa"/>
            <w:vAlign w:val="bottom"/>
          </w:tcPr>
          <w:p>
            <w:pPr>
              <w:spacing w:after="0"/>
              <w:rPr>
                <w:sz w:val="23"/>
                <w:szCs w:val="23"/>
                <w:color w:val="auto"/>
              </w:rPr>
            </w:pPr>
          </w:p>
        </w:tc>
        <w:tc>
          <w:tcPr>
            <w:tcW w:w="7620" w:type="dxa"/>
            <w:vAlign w:val="bottom"/>
          </w:tcPr>
          <w:p>
            <w:pPr>
              <w:ind w:left="260"/>
              <w:spacing w:after="0"/>
              <w:rPr>
                <w:sz w:val="20"/>
                <w:szCs w:val="20"/>
                <w:color w:val="auto"/>
              </w:rPr>
            </w:pPr>
            <w:r>
              <w:rPr>
                <w:rFonts w:ascii="Arial" w:cs="Arial" w:eastAsia="Arial" w:hAnsi="Arial"/>
                <w:sz w:val="18"/>
                <w:szCs w:val="18"/>
                <w:color w:val="auto"/>
              </w:rPr>
              <w:t>Total contributions</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1,286,499</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980" w:type="dxa"/>
            <w:vAlign w:val="bottom"/>
          </w:tcPr>
          <w:p>
            <w:pPr>
              <w:spacing w:after="0"/>
              <w:rPr>
                <w:sz w:val="3"/>
                <w:szCs w:val="3"/>
                <w:color w:val="auto"/>
              </w:rPr>
            </w:pPr>
          </w:p>
        </w:tc>
        <w:tc>
          <w:tcPr>
            <w:tcW w:w="7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7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income on participant loans</w:t>
            </w:r>
          </w:p>
        </w:tc>
        <w:tc>
          <w:tcPr>
            <w:tcW w:w="28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10,926</w:t>
            </w:r>
          </w:p>
        </w:tc>
        <w:tc>
          <w:tcPr>
            <w:tcW w:w="80" w:type="dxa"/>
            <w:vAlign w:val="bottom"/>
            <w:shd w:val="clear" w:color="auto" w:fill="E5E5E5"/>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980" w:type="dxa"/>
            <w:vAlign w:val="bottom"/>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980" w:type="dxa"/>
            <w:vAlign w:val="bottom"/>
          </w:tcPr>
          <w:p>
            <w:pPr>
              <w:spacing w:after="0"/>
              <w:rPr>
                <w:sz w:val="23"/>
                <w:szCs w:val="23"/>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Total additions</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6,319,591</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980" w:type="dxa"/>
            <w:vAlign w:val="bottom"/>
          </w:tcPr>
          <w:p>
            <w:pPr>
              <w:spacing w:after="0"/>
              <w:rPr>
                <w:sz w:val="3"/>
                <w:szCs w:val="3"/>
                <w:color w:val="auto"/>
              </w:rPr>
            </w:pPr>
          </w:p>
        </w:tc>
        <w:tc>
          <w:tcPr>
            <w:tcW w:w="7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762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DEDUCTIONS</w:t>
            </w:r>
          </w:p>
        </w:tc>
        <w:tc>
          <w:tcPr>
            <w:tcW w:w="28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7620" w:type="dxa"/>
            <w:vAlign w:val="bottom"/>
          </w:tcPr>
          <w:p>
            <w:pPr>
              <w:spacing w:after="0" w:line="202" w:lineRule="exact"/>
              <w:rPr>
                <w:sz w:val="20"/>
                <w:szCs w:val="20"/>
                <w:color w:val="auto"/>
              </w:rPr>
            </w:pPr>
            <w:r>
              <w:rPr>
                <w:rFonts w:ascii="Arial" w:cs="Arial" w:eastAsia="Arial" w:hAnsi="Arial"/>
                <w:sz w:val="18"/>
                <w:szCs w:val="18"/>
                <w:color w:val="auto"/>
              </w:rPr>
              <w:t>Benefits paid to participants</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1,423,378</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7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Administrative expenses</w:t>
            </w:r>
          </w:p>
        </w:tc>
        <w:tc>
          <w:tcPr>
            <w:tcW w:w="28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375</w:t>
            </w:r>
          </w:p>
        </w:tc>
        <w:tc>
          <w:tcPr>
            <w:tcW w:w="80" w:type="dxa"/>
            <w:vAlign w:val="bottom"/>
            <w:shd w:val="clear" w:color="auto" w:fill="E5E5E5"/>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980" w:type="dxa"/>
            <w:vAlign w:val="bottom"/>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980" w:type="dxa"/>
            <w:vAlign w:val="bottom"/>
          </w:tcPr>
          <w:p>
            <w:pPr>
              <w:spacing w:after="0"/>
              <w:rPr>
                <w:sz w:val="23"/>
                <w:szCs w:val="23"/>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Total deductions</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1,423,753</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980" w:type="dxa"/>
            <w:vAlign w:val="bottom"/>
          </w:tcPr>
          <w:p>
            <w:pPr>
              <w:spacing w:after="0"/>
              <w:rPr>
                <w:sz w:val="3"/>
                <w:szCs w:val="3"/>
                <w:color w:val="auto"/>
              </w:rPr>
            </w:pPr>
          </w:p>
        </w:tc>
        <w:tc>
          <w:tcPr>
            <w:tcW w:w="7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762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NET INCREASE IN NET ASSETS AVAILABLE FOR BENEFITS</w:t>
            </w:r>
          </w:p>
        </w:tc>
        <w:tc>
          <w:tcPr>
            <w:tcW w:w="28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4,895,838</w:t>
            </w:r>
          </w:p>
        </w:tc>
        <w:tc>
          <w:tcPr>
            <w:tcW w:w="80" w:type="dxa"/>
            <w:vAlign w:val="bottom"/>
            <w:shd w:val="clear" w:color="auto" w:fill="E5E5E5"/>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980" w:type="dxa"/>
            <w:vAlign w:val="bottom"/>
          </w:tcPr>
          <w:p>
            <w:pPr>
              <w:spacing w:after="0"/>
              <w:rPr>
                <w:sz w:val="24"/>
                <w:szCs w:val="24"/>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NET ASSETS AVAILABLE FOR BENEFITS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7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Beginning of year</w:t>
            </w:r>
          </w:p>
        </w:tc>
        <w:tc>
          <w:tcPr>
            <w:tcW w:w="28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33,868,148</w:t>
            </w:r>
          </w:p>
        </w:tc>
        <w:tc>
          <w:tcPr>
            <w:tcW w:w="80" w:type="dxa"/>
            <w:vAlign w:val="bottom"/>
            <w:shd w:val="clear" w:color="auto" w:fill="E5E5E5"/>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980" w:type="dxa"/>
            <w:vAlign w:val="bottom"/>
          </w:tcPr>
          <w:p>
            <w:pPr>
              <w:spacing w:after="0"/>
              <w:rPr>
                <w:sz w:val="3"/>
                <w:szCs w:val="3"/>
                <w:color w:val="auto"/>
              </w:rPr>
            </w:pPr>
          </w:p>
        </w:tc>
        <w:tc>
          <w:tcPr>
            <w:tcW w:w="7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980" w:type="dxa"/>
            <w:vAlign w:val="bottom"/>
          </w:tcPr>
          <w:p>
            <w:pPr>
              <w:spacing w:after="0"/>
              <w:rPr>
                <w:sz w:val="24"/>
                <w:szCs w:val="24"/>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End of year</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38,763,986</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98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Refer to accompanying notes.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8600" w:type="dxa"/>
            <w:vAlign w:val="bottom"/>
            <w:gridSpan w:val="2"/>
          </w:tcPr>
          <w:p>
            <w:pPr>
              <w:jc w:val="right"/>
              <w:ind w:right="2931"/>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98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17"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760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DESCRIPTION OF THE PLAN AND ACCOUNTING POLICIES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Description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One Microsoft Puerto Rico Retirement Plan (the “Plan”) is a defined contribution retirement plan. Effective April 1, 2024, Microsoft Caribbean, Inc. became the Plan’s sole sponsor (the “Sponsor”). Prior to April 1, 2024, the Plan was sponsored by the following participating employers: Microsoft Operations Puerto Rico, LLC, Microsoft Caribbean, Inc., and Microsoft Retail Store-Puerto Rico, LLC, all of which are wholly-owned subsidiaries of Microsoft Corporation. Effective June 30, 2024, Microsoft Operations Puerto Rico, LLC and Microsoft Retail Store-Puerto Rico, LLC ceased to be participating employers in the Plan. Effective January 1, 2025, the Plan was amended to eliminate an eligibility exclusion, consistent with applicable SECURE 2.0 Act requirements. The Plan year is January 1 through December 31. The Plan is administered by the Administrative Committee (the “Plan Administrator”) and subject to the provisions of the Employee Retirement Income Security Act of 1974, as amended (“ERISA”) and Puerto Rico income tax laws. The Plan’s trustee and recordkeeper is Banco Popular de Puerto Rico – Fiduciary Services Division (“Banco Popular de Puerto Rico”). The information below summarizes certain aspects of the Plan as in effect during 2025 and is intended to be a summary only. Plan participants should refer to the Summary Plan Description for more complete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financial statements and accompanying notes are prepared in accordance with accounting principles generally accepted in the United States of America (“GAAP”).</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employees of participating employers who have reached age 18 and are residents of Puerto Rico may enroll in the Plan at any time. Eligible employees may become a participant in the Plan immediately on their hire date since there is no service requirement to become a Plan participant.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Compensation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Eligible compensation represents total compensation paid to participants that is included in income for income tax purposes, excluding car allowance, Christmas bonus, severance package, relocation package, signing bonus, rewards, and recognitions.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Participant Contributions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Participants may contribute to the Plan on a pre-tax basis using eligible compensation each pay period. Participants reaching age 50 or older by the end of the Plan year may also elect to make additional catch-up contributions to the Plan on a pre-tax basis. Additionally, participants may make contributions on an after-tax basis which may not exceed 10 percent of the aggregate compensation paid to the employee during all the years they have been a Plan participant. Participants may choose to make rollover contributions representing distributions from other Puerto Rico qualified plans. All contributions are subject to certain Puerto Rico Internal Revenue Code (“PRIRC”) limitations and the limitations set forth in the Plan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476250</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17" w:right="1419" w:bottom="1440" w:gutter="0" w:footer="0" w:header="0"/>
        </w:sectPr>
      </w:pPr>
    </w:p>
    <w:bookmarkStart w:id="8" w:name="page9"/>
    <w:bookmarkEnd w:id="8"/>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July 2016, the investment of new contributions or transfer of existing account holdings into Microsoft Common Stock within the Plan was discontinued. Participant accounts with existing Microsoft Common Stock can retain those holdings, and dividends on Microsoft Common Stock can continue to be reinvested.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Participant contributions are recorded when withheld.</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Sponsor provides participants with a matching contribution on eligible pre-tax contributions up to 50 percent of the amount of the participant’s contribution. The maximum participant contribution amount eligible to be matched is 6 percent of eligible compensation as defined by the Plan. Participants do not receive a match on after-tax contributions.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Employer matching contributions are recorded when participant contributions are withheld.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Each participant’s account is credited with (a) participant contributions and employer contributions, and (b) the allocation of Plan earnings and expenses, based on participant earnings or account balances, as defined. The benefit to which a participant is entitled is the benefit that can be provided from the participant’s vested account. All amounts in participant accounts are participant-directed. Participants may invest in various instruments including money markets and mutual funds.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fully vested in Plan accounts at all times.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Active participants may take a withdrawal from the Plan in the event of a financial hardship. A hardship withdrawal is limited to pre-tax and catch-up contribution accounts. A hardship withdrawal will generally result in a twelve-month suspension of pre-tax and after-tax contributions to the Plan.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After reaching age 59½, active participants may withdraw all, or any portion, of the balance in their accounts, including withdrawals from their rollover and after-tax account types within the Plan, without meeting one of the hardship criteria.</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Distributions, in full or any portion, may also occur if the participant terminates employment, retires, becomes permanently disabled, or dies. Distributions of investments are in the form of cash and are normally made in a lump sum, unless periodic payments are elected (monthly, quarterly, semiannual, or annual installments of substantially equal amounts over a period not to exceed 10 years). There were no participants who elected to withdraw from the Plan that had not yet been paid as of December 31, 2025 or 2024.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476250</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sectPr>
      </w:pPr>
    </w:p>
    <w:bookmarkStart w:id="9" w:name="page10"/>
    <w:bookmarkEnd w:id="9"/>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Plan administrative expenses are paid by the Sponsor to the extent not paid or offset by the Plan, as provided in the Plan document. Participants are responsible for fees associated with certain transactions such as loan originations and maintenance.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Amendment and Termination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Sponsor has the right to amend or terminate the Plan. If the Plan is terminated, all account balances will be distributed in the form and manner determined by the Plan Administrator.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Plan utilizes various investment instruments, including common stock and mutual funds. Investment securities, in general, are exposed to various risks, such as interest rate risk, credit risk, and overall market volatility. Due to the level of risk associated with certain investment securities, including systemic market disruptions and geopolitical events, it is reasonably possible that changes in the values of investment securities will occur in the near term and that such changes could materially affect the amounts reported in the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changes therein. Actual results and outcomes may differ from management’s estimates and assumptions due to risks and uncertainties. The Plan has no contingent assets or liabilities for any periods presented in these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 and Income (Loss) Recognition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Investments are recorded at fair value. Security transactions are accounted for as of the trade date. Dividend income is recorded on the ex-dividend date, and interest income is recorded as earned. Net increase in fair value of investments includes the Plan’s gains and losses on investments bought, sold, and held during the year.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Loans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Participant loans are measured at their unpaid principal balance plus any accrued but unpaid interest, and participant loans deemed distributed due to default are included in benefits paid to participants on the statement of changes in net assets available for benefits.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FAIR VALUE MEASUREMENTS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Plan accounts for certain assets at fair value. The hierarchy below lists three levels of fair value based on the extent to which inputs used in measuring fair value are observable in the market. The Plan categorizes each of its fair value measurements in one of these three levels based on the lowest level input that is significant to the fair value measurement in its entirety. These levels are:</w:t>
      </w:r>
    </w:p>
    <w:p>
      <w:pPr>
        <w:spacing w:after="0" w:line="66" w:lineRule="exact"/>
        <w:rPr>
          <w:sz w:val="20"/>
          <w:szCs w:val="20"/>
          <w:color w:val="auto"/>
        </w:rPr>
      </w:pPr>
    </w:p>
    <w:p>
      <w:pPr>
        <w:jc w:val="both"/>
        <w:ind w:left="880" w:hanging="432"/>
        <w:spacing w:after="0" w:line="252" w:lineRule="auto"/>
        <w:tabs>
          <w:tab w:leader="none" w:pos="8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Level 1 – inputs are based upon unadjusted quoted prices for identical instruments in active markets. The Plan’s Level 1 investments primarily include mutual funds, Microsoft Common Stock, and money market funds.</w:t>
      </w:r>
    </w:p>
    <w:p>
      <w:pPr>
        <w:spacing w:after="0" w:line="62" w:lineRule="exact"/>
        <w:rPr>
          <w:rFonts w:ascii="Times New Roman" w:cs="Times New Roman" w:eastAsia="Times New Roman" w:hAnsi="Times New Roman"/>
          <w:sz w:val="18"/>
          <w:szCs w:val="18"/>
          <w:color w:val="auto"/>
        </w:rPr>
      </w:pPr>
    </w:p>
    <w:p>
      <w:pPr>
        <w:jc w:val="both"/>
        <w:ind w:left="880" w:hanging="432"/>
        <w:spacing w:after="0" w:line="243" w:lineRule="auto"/>
        <w:tabs>
          <w:tab w:leader="none" w:pos="8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Level 2 – inputs are based upon quoted prices for similar instruments in active markets, quoted prices for identical or similar 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476250</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sectPr>
      </w:pPr>
    </w:p>
    <w:bookmarkStart w:id="10" w:name="page11"/>
    <w:bookmarkEnd w:id="10"/>
    <w:p>
      <w:pPr>
        <w:spacing w:after="0" w:line="85" w:lineRule="exact"/>
        <w:rPr>
          <w:sz w:val="20"/>
          <w:szCs w:val="20"/>
          <w:color w:val="auto"/>
        </w:rPr>
      </w:pPr>
    </w:p>
    <w:p>
      <w:pPr>
        <w:jc w:val="both"/>
        <w:ind w:left="880"/>
        <w:spacing w:after="0" w:line="247" w:lineRule="auto"/>
        <w:rPr>
          <w:sz w:val="20"/>
          <w:szCs w:val="20"/>
          <w:color w:val="auto"/>
        </w:rPr>
      </w:pPr>
      <w:r>
        <w:rPr>
          <w:rFonts w:ascii="Arial" w:cs="Arial" w:eastAsia="Arial" w:hAnsi="Arial"/>
          <w:sz w:val="18"/>
          <w:szCs w:val="18"/>
          <w:color w:val="auto"/>
        </w:rPr>
        <w:t>applicable, these models project future cash flows and discount the future amounts to a present value using market-based observable inputs including interest rate curves, credit spreads, foreign exchange rates, and forward and spot prices for currencies and commodities. The Plan’s Level 2 investments consist of time deposits.</w:t>
      </w:r>
    </w:p>
    <w:p>
      <w:pPr>
        <w:spacing w:after="0" w:line="66" w:lineRule="exact"/>
        <w:rPr>
          <w:sz w:val="20"/>
          <w:szCs w:val="20"/>
          <w:color w:val="auto"/>
        </w:rPr>
      </w:pPr>
    </w:p>
    <w:p>
      <w:pPr>
        <w:jc w:val="both"/>
        <w:ind w:left="880" w:hanging="432"/>
        <w:spacing w:after="0" w:line="243" w:lineRule="auto"/>
        <w:tabs>
          <w:tab w:leader="none" w:pos="8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The fair values are therefore determined using model-based techniques, including option pricing models and discounted cash flow models. As of December 31, 2025 and 2024, the Plan did not hold any financial instruments categorized as Level 3.</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Mutual funds and money market funds are valued at the closing price as reported by the fund. Common stocks are valued at the closing price reported on the active markets on which the individual securities are traded.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Pr>
          <w:p>
            <w:pPr>
              <w:spacing w:after="0"/>
              <w:rPr>
                <w:sz w:val="20"/>
                <w:szCs w:val="20"/>
                <w:color w:val="auto"/>
              </w:rPr>
            </w:pPr>
            <w:r>
              <w:rPr>
                <w:rFonts w:ascii="Arial" w:cs="Arial" w:eastAsia="Arial" w:hAnsi="Arial"/>
                <w:sz w:val="13"/>
                <w:szCs w:val="13"/>
                <w:b w:val="1"/>
                <w:bCs w:val="1"/>
                <w:color w:val="auto"/>
              </w:rPr>
              <w:t>December 31, 2025</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Level 1</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Level 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660"/>
              <w:spacing w:after="0"/>
              <w:rPr>
                <w:sz w:val="20"/>
                <w:szCs w:val="20"/>
                <w:color w:val="auto"/>
              </w:rPr>
            </w:pPr>
            <w:r>
              <w:rPr>
                <w:rFonts w:ascii="Arial" w:cs="Arial" w:eastAsia="Arial" w:hAnsi="Arial"/>
                <w:sz w:val="13"/>
                <w:szCs w:val="13"/>
                <w:b w:val="1"/>
                <w:bCs w:val="1"/>
                <w:color w:val="auto"/>
              </w:rPr>
              <w:t>Total</w:t>
            </w:r>
          </w:p>
        </w:tc>
      </w:tr>
      <w:tr>
        <w:trPr>
          <w:trHeight w:val="40"/>
        </w:trPr>
        <w:tc>
          <w:tcPr>
            <w:tcW w:w="350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3"/>
        </w:trPr>
        <w:tc>
          <w:tcPr>
            <w:tcW w:w="3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Mutual funds</w:t>
            </w:r>
          </w:p>
        </w:tc>
        <w:tc>
          <w:tcPr>
            <w:tcW w:w="16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32,067,322</w:t>
            </w:r>
          </w:p>
        </w:tc>
        <w:tc>
          <w:tcPr>
            <w:tcW w:w="5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32,067,322</w:t>
            </w:r>
          </w:p>
        </w:tc>
        <w:tc>
          <w:tcPr>
            <w:tcW w:w="80" w:type="dxa"/>
            <w:vAlign w:val="bottom"/>
            <w:shd w:val="clear" w:color="auto" w:fill="E5E5E5"/>
          </w:tcPr>
          <w:p>
            <w:pPr>
              <w:spacing w:after="0"/>
              <w:rPr>
                <w:sz w:val="17"/>
                <w:szCs w:val="17"/>
                <w:color w:val="auto"/>
              </w:rPr>
            </w:pP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Microsoft Common Stock</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5,749,758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5,749,758</w:t>
            </w:r>
          </w:p>
        </w:tc>
        <w:tc>
          <w:tcPr>
            <w:tcW w:w="80" w:type="dxa"/>
            <w:vAlign w:val="bottom"/>
          </w:tcPr>
          <w:p>
            <w:pPr>
              <w:spacing w:after="0"/>
              <w:rPr>
                <w:sz w:val="17"/>
                <w:szCs w:val="17"/>
                <w:color w:val="auto"/>
              </w:rPr>
            </w:pPr>
          </w:p>
        </w:tc>
      </w:tr>
      <w:tr>
        <w:trPr>
          <w:trHeight w:val="203"/>
        </w:trPr>
        <w:tc>
          <w:tcPr>
            <w:tcW w:w="3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Money market funds</w:t>
            </w:r>
          </w:p>
        </w:tc>
        <w:tc>
          <w:tcPr>
            <w:tcW w:w="14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708,003</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708,003</w:t>
            </w:r>
          </w:p>
        </w:tc>
        <w:tc>
          <w:tcPr>
            <w:tcW w:w="80" w:type="dxa"/>
            <w:vAlign w:val="bottom"/>
            <w:shd w:val="clear" w:color="auto" w:fill="E5E5E5"/>
          </w:tcPr>
          <w:p>
            <w:pPr>
              <w:spacing w:after="0"/>
              <w:rPr>
                <w:sz w:val="17"/>
                <w:szCs w:val="17"/>
                <w:color w:val="auto"/>
              </w:rPr>
            </w:pPr>
          </w:p>
        </w:tc>
      </w:tr>
      <w:tr>
        <w:trPr>
          <w:trHeight w:val="243"/>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31,736</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31,736</w:t>
            </w:r>
          </w:p>
        </w:tc>
        <w:tc>
          <w:tcPr>
            <w:tcW w:w="80" w:type="dxa"/>
            <w:vAlign w:val="bottom"/>
          </w:tcPr>
          <w:p>
            <w:pPr>
              <w:spacing w:after="0"/>
              <w:rPr>
                <w:sz w:val="21"/>
                <w:szCs w:val="21"/>
                <w:color w:val="auto"/>
              </w:rPr>
            </w:pPr>
          </w:p>
        </w:tc>
      </w:tr>
      <w:tr>
        <w:trPr>
          <w:trHeight w:val="34"/>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5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w:t>
            </w:r>
          </w:p>
        </w:tc>
        <w:tc>
          <w:tcPr>
            <w:tcW w:w="16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38,525,083</w:t>
            </w:r>
          </w:p>
        </w:tc>
        <w:tc>
          <w:tcPr>
            <w:tcW w:w="5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31,736</w:t>
            </w: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38,556,819</w:t>
            </w:r>
          </w:p>
        </w:tc>
        <w:tc>
          <w:tcPr>
            <w:tcW w:w="80" w:type="dxa"/>
            <w:vAlign w:val="bottom"/>
            <w:shd w:val="clear" w:color="auto" w:fill="E5E5E5"/>
          </w:tcPr>
          <w:p>
            <w:pPr>
              <w:spacing w:after="0"/>
              <w:rPr>
                <w:sz w:val="17"/>
                <w:szCs w:val="17"/>
                <w:color w:val="auto"/>
              </w:rPr>
            </w:pPr>
          </w:p>
        </w:tc>
      </w:tr>
      <w:tr>
        <w:trPr>
          <w:trHeight w:val="61"/>
        </w:trPr>
        <w:tc>
          <w:tcPr>
            <w:tcW w:w="35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466"/>
        </w:trPr>
        <w:tc>
          <w:tcPr>
            <w:tcW w:w="3500" w:type="dxa"/>
            <w:vAlign w:val="bottom"/>
          </w:tcPr>
          <w:p>
            <w:pPr>
              <w:spacing w:after="0"/>
              <w:rPr>
                <w:sz w:val="20"/>
                <w:szCs w:val="20"/>
                <w:color w:val="auto"/>
              </w:rPr>
            </w:pPr>
            <w:r>
              <w:rPr>
                <w:rFonts w:ascii="Arial" w:cs="Arial" w:eastAsia="Arial" w:hAnsi="Arial"/>
                <w:sz w:val="13"/>
                <w:szCs w:val="13"/>
                <w:b w:val="1"/>
                <w:bCs w:val="1"/>
                <w:color w:val="auto"/>
              </w:rPr>
              <w:t>December 31, 2024</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Level 1</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Level 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ind w:left="660"/>
              <w:spacing w:after="0"/>
              <w:rPr>
                <w:sz w:val="20"/>
                <w:szCs w:val="20"/>
                <w:color w:val="auto"/>
              </w:rPr>
            </w:pPr>
            <w:r>
              <w:rPr>
                <w:rFonts w:ascii="Arial" w:cs="Arial" w:eastAsia="Arial" w:hAnsi="Arial"/>
                <w:sz w:val="13"/>
                <w:szCs w:val="13"/>
                <w:b w:val="1"/>
                <w:bCs w:val="1"/>
                <w:color w:val="auto"/>
              </w:rPr>
              <w:t>Total</w:t>
            </w:r>
          </w:p>
        </w:tc>
      </w:tr>
      <w:tr>
        <w:trPr>
          <w:trHeight w:val="40"/>
        </w:trPr>
        <w:tc>
          <w:tcPr>
            <w:tcW w:w="350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03"/>
        </w:trPr>
        <w:tc>
          <w:tcPr>
            <w:tcW w:w="3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Mutual funds</w:t>
            </w:r>
          </w:p>
        </w:tc>
        <w:tc>
          <w:tcPr>
            <w:tcW w:w="16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27,935,127</w:t>
            </w:r>
          </w:p>
        </w:tc>
        <w:tc>
          <w:tcPr>
            <w:tcW w:w="5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27,935,127</w:t>
            </w:r>
          </w:p>
        </w:tc>
        <w:tc>
          <w:tcPr>
            <w:tcW w:w="80" w:type="dxa"/>
            <w:vAlign w:val="bottom"/>
            <w:shd w:val="clear" w:color="auto" w:fill="E5E5E5"/>
          </w:tcPr>
          <w:p>
            <w:pPr>
              <w:spacing w:after="0"/>
              <w:rPr>
                <w:sz w:val="17"/>
                <w:szCs w:val="17"/>
                <w:color w:val="auto"/>
              </w:rPr>
            </w:pP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Microsoft Common Stock</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5,008,685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5,008,685</w:t>
            </w:r>
          </w:p>
        </w:tc>
        <w:tc>
          <w:tcPr>
            <w:tcW w:w="80" w:type="dxa"/>
            <w:vAlign w:val="bottom"/>
          </w:tcPr>
          <w:p>
            <w:pPr>
              <w:spacing w:after="0"/>
              <w:rPr>
                <w:sz w:val="17"/>
                <w:szCs w:val="17"/>
                <w:color w:val="auto"/>
              </w:rPr>
            </w:pPr>
          </w:p>
        </w:tc>
      </w:tr>
      <w:tr>
        <w:trPr>
          <w:trHeight w:val="203"/>
        </w:trPr>
        <w:tc>
          <w:tcPr>
            <w:tcW w:w="3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Money market funds</w:t>
            </w:r>
          </w:p>
        </w:tc>
        <w:tc>
          <w:tcPr>
            <w:tcW w:w="14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728,685</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728,685</w:t>
            </w:r>
          </w:p>
        </w:tc>
        <w:tc>
          <w:tcPr>
            <w:tcW w:w="80" w:type="dxa"/>
            <w:vAlign w:val="bottom"/>
            <w:shd w:val="clear" w:color="auto" w:fill="E5E5E5"/>
          </w:tcPr>
          <w:p>
            <w:pPr>
              <w:spacing w:after="0"/>
              <w:rPr>
                <w:sz w:val="17"/>
                <w:szCs w:val="17"/>
                <w:color w:val="auto"/>
              </w:rPr>
            </w:pPr>
          </w:p>
        </w:tc>
      </w:tr>
      <w:tr>
        <w:trPr>
          <w:trHeight w:val="24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43,778</w:t>
            </w:r>
          </w:p>
        </w:tc>
        <w:tc>
          <w:tcPr>
            <w:tcW w:w="80" w:type="dxa"/>
            <w:vAlign w:val="bottom"/>
          </w:tcPr>
          <w:p>
            <w:pPr>
              <w:spacing w:after="0"/>
              <w:rPr>
                <w:sz w:val="20"/>
                <w:szCs w:val="20"/>
                <w:color w:val="auto"/>
              </w:rPr>
            </w:pPr>
          </w:p>
        </w:tc>
      </w:tr>
      <w:tr>
        <w:trPr>
          <w:trHeight w:val="36"/>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03"/>
        </w:trPr>
        <w:tc>
          <w:tcPr>
            <w:tcW w:w="35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Total</w:t>
            </w:r>
          </w:p>
        </w:tc>
        <w:tc>
          <w:tcPr>
            <w:tcW w:w="16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33,672,497</w:t>
            </w:r>
          </w:p>
        </w:tc>
        <w:tc>
          <w:tcPr>
            <w:tcW w:w="58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43,778</w:t>
            </w:r>
          </w:p>
        </w:tc>
        <w:tc>
          <w:tcPr>
            <w:tcW w:w="4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33,716,275</w:t>
            </w:r>
          </w:p>
        </w:tc>
        <w:tc>
          <w:tcPr>
            <w:tcW w:w="80" w:type="dxa"/>
            <w:vAlign w:val="bottom"/>
            <w:shd w:val="clear" w:color="auto" w:fill="E5E5E5"/>
          </w:tcPr>
          <w:p>
            <w:pPr>
              <w:spacing w:after="0"/>
              <w:rPr>
                <w:sz w:val="17"/>
                <w:szCs w:val="17"/>
                <w:color w:val="auto"/>
              </w:rPr>
            </w:pPr>
          </w:p>
        </w:tc>
      </w:tr>
      <w:tr>
        <w:trPr>
          <w:trHeight w:val="61"/>
        </w:trPr>
        <w:tc>
          <w:tcPr>
            <w:tcW w:w="35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3 — PARTICIPANT LOANS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Participants may borrow from their accounts up to a maximum loan amount equal to the lesser of (a) 50 percent of the vested account balance; or (b) $50,000, reduced by: (1) the current outstanding balance of all other loans from the Plan, and (2) the excess (if any) of all Plan loans during the previous 12 months over the current outstanding balance of Plan loans. The minimum amount that a participant can borrow is $500. Participants are limited to two loans outstanding at a time – one Primary Residence Loan and one General Purpose Loan. Subject to approval of the Plan Administrator and a natural disaster (as defined in the Plan document), participants may also have an Emergency Loan outstanding.</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term of a Primary Residence Loan may not exceed 15 years. The term of a General Purpose Loan may not exceed five years or be less than 12 months. The interest rate for participant loans is one percent over the prime rate, determined on a monthly basis. The range of interest rates for outstanding Primary Residence Loans as of December 31, 2025 was 4.25 percent to 9.50 percent, maturing at various dates through September 2038. The range of interest rates for outstanding General Purpose Loans as of December 31, 2025 was 4.25 percent to 9.50 percent, maturing at various dates through March 2030. There were no Emergency Loans outstanding as of December 31, 2025 or 2024.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476250</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sectPr>
      </w:pPr>
    </w:p>
    <w:bookmarkStart w:id="11" w:name="page12"/>
    <w:bookmarkEnd w:id="11"/>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Loan repayments are made through after-tax payroll deductions. Terminated employees generally have 90 days to elect to continue to make loan repayments or pay off the loan in full. Failure of the terminated employee to establish a loan repayment schedule or payoff the loan in full during this 90-day window generally results in a default of the loan, which is taxable income to the participant.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TAX STATUS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PRTD has determined and informed the Plan, by a letter dated June 2, 2014, that the Plan is qualified as a tax-exempt plan under the appropriate sections of the PRIRC. The determination letter covered Plan amendments adopted through April 1, 2013. The Plan has been amended since receiving the determination letter; however, the Plan Administrator believes that the Plan is currently designed and operated in compliance with the applicable requirements of the PRIRC. Therefore, the Plan is tax-exempt as of the financial statement date and no provision for income taxes has been recorded in the financial statements.</w:t>
      </w:r>
    </w:p>
    <w:p>
      <w:pPr>
        <w:spacing w:after="0" w:line="260" w:lineRule="exact"/>
        <w:rPr>
          <w:sz w:val="20"/>
          <w:szCs w:val="20"/>
          <w:color w:val="auto"/>
        </w:rPr>
      </w:pPr>
    </w:p>
    <w:p>
      <w:pPr>
        <w:ind w:left="2460"/>
        <w:spacing w:after="0"/>
        <w:rPr>
          <w:sz w:val="20"/>
          <w:szCs w:val="20"/>
          <w:color w:val="auto"/>
        </w:rPr>
      </w:pPr>
      <w:r>
        <w:rPr>
          <w:rFonts w:ascii="Arial" w:cs="Arial" w:eastAsia="Arial" w:hAnsi="Arial"/>
          <w:sz w:val="18"/>
          <w:szCs w:val="18"/>
          <w:u w:val="single" w:color="auto"/>
          <w:color w:val="auto"/>
        </w:rPr>
        <w:t>NOTE 5 — PARTY-IN-INTEREST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 Party-In-Interest Transactions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Plan investments include time deposits with Banco Popular de Puerto Rico; therefore, these transactions qualify as party-in-interest transactions.</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Microsoft Corporation is the parent company of the Sponsor. Accordingly, transactions in Microsoft Common Stock qualify as exempt party-in-interest transactions. As of December 31, 2025 and 2024, the Plan held 11,889 shares of Microsoft Common Stock valued at $5,749,758 and 11,883 shares valued at $5,008,685, respectively. For the year ended December 31, 2025, the Plan recorded Microsoft Common Stock dividend income of $40,387.</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Participant loans, which are secured by the vested balances in the participants’ accounts, also qualify as party-in-interest transactions.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6 — RELATED PARTY TRANSACTIONS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general and administrative expenses are paid by the Sponsor on behalf of the Plan. For the year ended December 31, 2025, these expenses amounted to $109,208, which are not included in the Plan’s statement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476250</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ONE MICROSOFT PUERTO RICO RETIREMENT PLAN</w:t>
      </w:r>
    </w:p>
    <w:p>
      <w:pPr>
        <w:spacing w:after="0" w:line="21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Employer ID No: 98-0459037, Plan No: 001 SUPPLEMENTAL SCHEDULE OF ASSETS (HELD AT END OF YEAR)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57607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2780" w:type="dxa"/>
            <w:vAlign w:val="bottom"/>
          </w:tcPr>
          <w:p>
            <w:pPr>
              <w:ind w:left="140"/>
              <w:spacing w:after="0"/>
              <w:rPr>
                <w:sz w:val="20"/>
                <w:szCs w:val="20"/>
                <w:color w:val="auto"/>
              </w:rPr>
            </w:pPr>
            <w:r>
              <w:rPr>
                <w:rFonts w:ascii="Arial" w:cs="Arial" w:eastAsia="Arial" w:hAnsi="Arial"/>
                <w:sz w:val="13"/>
                <w:szCs w:val="13"/>
                <w:b w:val="1"/>
                <w:bCs w:val="1"/>
                <w:color w:val="auto"/>
              </w:rPr>
              <w:t>Description of Investment</w:t>
            </w:r>
          </w:p>
        </w:tc>
        <w:tc>
          <w:tcPr>
            <w:tcW w:w="12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Cost*</w:t>
            </w:r>
          </w:p>
        </w:tc>
        <w:tc>
          <w:tcPr>
            <w:tcW w:w="1140" w:type="dxa"/>
            <w:vAlign w:val="bottom"/>
            <w:gridSpan w:val="2"/>
          </w:tcPr>
          <w:p>
            <w:pPr>
              <w:ind w:left="140"/>
              <w:spacing w:after="0"/>
              <w:rPr>
                <w:sz w:val="20"/>
                <w:szCs w:val="20"/>
                <w:color w:val="auto"/>
              </w:rPr>
            </w:pPr>
            <w:r>
              <w:rPr>
                <w:rFonts w:ascii="Arial" w:cs="Arial" w:eastAsia="Arial" w:hAnsi="Arial"/>
                <w:sz w:val="13"/>
                <w:szCs w:val="13"/>
                <w:b w:val="1"/>
                <w:bCs w:val="1"/>
                <w:color w:val="auto"/>
              </w:rPr>
              <w:t>Current Value</w:t>
            </w:r>
          </w:p>
        </w:tc>
      </w:tr>
      <w:tr>
        <w:trPr>
          <w:trHeight w:val="171"/>
        </w:trPr>
        <w:tc>
          <w:tcPr>
            <w:tcW w:w="392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MUTUAL FUNDS</w:t>
            </w:r>
          </w:p>
        </w:tc>
        <w:tc>
          <w:tcPr>
            <w:tcW w:w="2780" w:type="dxa"/>
            <w:vAlign w:val="bottom"/>
            <w:shd w:val="clear" w:color="auto" w:fill="E5E5E5"/>
          </w:tcPr>
          <w:p>
            <w:pPr>
              <w:spacing w:after="0"/>
              <w:rPr>
                <w:sz w:val="14"/>
                <w:szCs w:val="14"/>
                <w:color w:val="auto"/>
              </w:rPr>
            </w:pPr>
          </w:p>
        </w:tc>
        <w:tc>
          <w:tcPr>
            <w:tcW w:w="10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r>
      <w:tr>
        <w:trPr>
          <w:trHeight w:val="41"/>
        </w:trPr>
        <w:tc>
          <w:tcPr>
            <w:tcW w:w="3920" w:type="dxa"/>
            <w:vAlign w:val="bottom"/>
            <w:tcBorders>
              <w:bottom w:val="single" w:sz="8" w:color="auto"/>
            </w:tcBorders>
          </w:tcPr>
          <w:p>
            <w:pPr>
              <w:spacing w:after="0"/>
              <w:rPr>
                <w:sz w:val="3"/>
                <w:szCs w:val="3"/>
                <w:color w:val="auto"/>
              </w:rPr>
            </w:pPr>
          </w:p>
        </w:tc>
        <w:tc>
          <w:tcPr>
            <w:tcW w:w="2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3920" w:type="dxa"/>
            <w:vAlign w:val="bottom"/>
          </w:tcPr>
          <w:p>
            <w:pPr>
              <w:spacing w:after="0"/>
              <w:rPr>
                <w:sz w:val="20"/>
                <w:szCs w:val="20"/>
                <w:color w:val="auto"/>
              </w:rPr>
            </w:pPr>
            <w:r>
              <w:rPr>
                <w:rFonts w:ascii="Arial" w:cs="Arial" w:eastAsia="Arial" w:hAnsi="Arial"/>
                <w:sz w:val="14"/>
                <w:szCs w:val="14"/>
                <w:color w:val="auto"/>
              </w:rPr>
              <w:t>Vanguard Windsor II Fund Investor Shares</w:t>
            </w:r>
          </w:p>
        </w:tc>
        <w:tc>
          <w:tcPr>
            <w:tcW w:w="2780" w:type="dxa"/>
            <w:vAlign w:val="bottom"/>
          </w:tcPr>
          <w:p>
            <w:pPr>
              <w:ind w:left="140"/>
              <w:spacing w:after="0"/>
              <w:rPr>
                <w:sz w:val="20"/>
                <w:szCs w:val="20"/>
                <w:color w:val="auto"/>
              </w:rPr>
            </w:pPr>
            <w:r>
              <w:rPr>
                <w:rFonts w:ascii="Arial" w:cs="Arial" w:eastAsia="Arial" w:hAnsi="Arial"/>
                <w:sz w:val="14"/>
                <w:szCs w:val="14"/>
                <w:color w:val="auto"/>
              </w:rPr>
              <w:t>Registered Investment Company</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4,220,299</w:t>
            </w:r>
          </w:p>
        </w:tc>
        <w:tc>
          <w:tcPr>
            <w:tcW w:w="100" w:type="dxa"/>
            <w:vAlign w:val="bottom"/>
          </w:tcPr>
          <w:p>
            <w:pPr>
              <w:spacing w:after="0"/>
              <w:rPr>
                <w:sz w:val="17"/>
                <w:szCs w:val="17"/>
                <w:color w:val="auto"/>
              </w:rPr>
            </w:pPr>
          </w:p>
        </w:tc>
      </w:tr>
      <w:tr>
        <w:trPr>
          <w:trHeight w:val="162"/>
        </w:trPr>
        <w:tc>
          <w:tcPr>
            <w:tcW w:w="3920" w:type="dxa"/>
            <w:vAlign w:val="bottom"/>
            <w:shd w:val="clear" w:color="auto" w:fill="E5E5E5"/>
          </w:tcPr>
          <w:p>
            <w:pPr>
              <w:spacing w:after="0"/>
              <w:rPr>
                <w:sz w:val="20"/>
                <w:szCs w:val="20"/>
                <w:color w:val="auto"/>
              </w:rPr>
            </w:pPr>
            <w:r>
              <w:rPr>
                <w:rFonts w:ascii="Arial" w:cs="Arial" w:eastAsia="Arial" w:hAnsi="Arial"/>
                <w:sz w:val="14"/>
                <w:szCs w:val="14"/>
                <w:color w:val="auto"/>
              </w:rPr>
              <w:t>Columbia Small Cap Index Fund - Class A</w:t>
            </w:r>
          </w:p>
        </w:tc>
        <w:tc>
          <w:tcPr>
            <w:tcW w:w="278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981,692</w:t>
            </w:r>
          </w:p>
        </w:tc>
        <w:tc>
          <w:tcPr>
            <w:tcW w:w="100" w:type="dxa"/>
            <w:vAlign w:val="bottom"/>
            <w:shd w:val="clear" w:color="auto" w:fill="E5E5E5"/>
          </w:tcPr>
          <w:p>
            <w:pPr>
              <w:spacing w:after="0"/>
              <w:rPr>
                <w:sz w:val="14"/>
                <w:szCs w:val="14"/>
                <w:color w:val="auto"/>
              </w:rPr>
            </w:pPr>
          </w:p>
        </w:tc>
      </w:tr>
      <w:tr>
        <w:trPr>
          <w:trHeight w:val="162"/>
        </w:trPr>
        <w:tc>
          <w:tcPr>
            <w:tcW w:w="3920" w:type="dxa"/>
            <w:vAlign w:val="bottom"/>
          </w:tcPr>
          <w:p>
            <w:pPr>
              <w:spacing w:after="0"/>
              <w:rPr>
                <w:sz w:val="20"/>
                <w:szCs w:val="20"/>
                <w:color w:val="auto"/>
              </w:rPr>
            </w:pPr>
            <w:r>
              <w:rPr>
                <w:rFonts w:ascii="Arial" w:cs="Arial" w:eastAsia="Arial" w:hAnsi="Arial"/>
                <w:sz w:val="14"/>
                <w:szCs w:val="14"/>
                <w:color w:val="auto"/>
              </w:rPr>
              <w:t>American New Perspective Fund - Class R-4</w:t>
            </w:r>
          </w:p>
        </w:tc>
        <w:tc>
          <w:tcPr>
            <w:tcW w:w="2780" w:type="dxa"/>
            <w:vAlign w:val="bottom"/>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1,580,422</w:t>
            </w:r>
          </w:p>
        </w:tc>
        <w:tc>
          <w:tcPr>
            <w:tcW w:w="100" w:type="dxa"/>
            <w:vAlign w:val="bottom"/>
          </w:tcPr>
          <w:p>
            <w:pPr>
              <w:spacing w:after="0"/>
              <w:rPr>
                <w:sz w:val="14"/>
                <w:szCs w:val="14"/>
                <w:color w:val="auto"/>
              </w:rPr>
            </w:pPr>
          </w:p>
        </w:tc>
      </w:tr>
      <w:tr>
        <w:trPr>
          <w:trHeight w:val="162"/>
        </w:trPr>
        <w:tc>
          <w:tcPr>
            <w:tcW w:w="3920" w:type="dxa"/>
            <w:vAlign w:val="bottom"/>
            <w:shd w:val="clear" w:color="auto" w:fill="E5E5E5"/>
          </w:tcPr>
          <w:p>
            <w:pPr>
              <w:spacing w:after="0"/>
              <w:rPr>
                <w:sz w:val="20"/>
                <w:szCs w:val="20"/>
                <w:color w:val="auto"/>
              </w:rPr>
            </w:pPr>
            <w:r>
              <w:rPr>
                <w:rFonts w:ascii="Arial" w:cs="Arial" w:eastAsia="Arial" w:hAnsi="Arial"/>
                <w:sz w:val="14"/>
                <w:szCs w:val="14"/>
                <w:color w:val="auto"/>
              </w:rPr>
              <w:t>MFS Research International Fund - Class A</w:t>
            </w:r>
          </w:p>
        </w:tc>
        <w:tc>
          <w:tcPr>
            <w:tcW w:w="278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149,092</w:t>
            </w:r>
          </w:p>
        </w:tc>
        <w:tc>
          <w:tcPr>
            <w:tcW w:w="100" w:type="dxa"/>
            <w:vAlign w:val="bottom"/>
            <w:shd w:val="clear" w:color="auto" w:fill="E5E5E5"/>
          </w:tcPr>
          <w:p>
            <w:pPr>
              <w:spacing w:after="0"/>
              <w:rPr>
                <w:sz w:val="14"/>
                <w:szCs w:val="14"/>
                <w:color w:val="auto"/>
              </w:rPr>
            </w:pPr>
          </w:p>
        </w:tc>
      </w:tr>
      <w:tr>
        <w:trPr>
          <w:trHeight w:val="162"/>
        </w:trPr>
        <w:tc>
          <w:tcPr>
            <w:tcW w:w="3920" w:type="dxa"/>
            <w:vAlign w:val="bottom"/>
          </w:tcPr>
          <w:p>
            <w:pPr>
              <w:spacing w:after="0"/>
              <w:rPr>
                <w:sz w:val="20"/>
                <w:szCs w:val="20"/>
                <w:color w:val="auto"/>
              </w:rPr>
            </w:pPr>
            <w:r>
              <w:rPr>
                <w:rFonts w:ascii="Arial" w:cs="Arial" w:eastAsia="Arial" w:hAnsi="Arial"/>
                <w:sz w:val="14"/>
                <w:szCs w:val="14"/>
                <w:color w:val="auto"/>
              </w:rPr>
              <w:t>BlackRock Total Return Fund</w:t>
            </w:r>
          </w:p>
        </w:tc>
        <w:tc>
          <w:tcPr>
            <w:tcW w:w="2780" w:type="dxa"/>
            <w:vAlign w:val="bottom"/>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1,856,790</w:t>
            </w:r>
          </w:p>
        </w:tc>
        <w:tc>
          <w:tcPr>
            <w:tcW w:w="100" w:type="dxa"/>
            <w:vAlign w:val="bottom"/>
          </w:tcPr>
          <w:p>
            <w:pPr>
              <w:spacing w:after="0"/>
              <w:rPr>
                <w:sz w:val="14"/>
                <w:szCs w:val="14"/>
                <w:color w:val="auto"/>
              </w:rPr>
            </w:pPr>
          </w:p>
        </w:tc>
      </w:tr>
      <w:tr>
        <w:trPr>
          <w:trHeight w:val="162"/>
        </w:trPr>
        <w:tc>
          <w:tcPr>
            <w:tcW w:w="3920" w:type="dxa"/>
            <w:vAlign w:val="bottom"/>
            <w:shd w:val="clear" w:color="auto" w:fill="E5E5E5"/>
          </w:tcPr>
          <w:p>
            <w:pPr>
              <w:spacing w:after="0"/>
              <w:rPr>
                <w:sz w:val="20"/>
                <w:szCs w:val="20"/>
                <w:color w:val="auto"/>
              </w:rPr>
            </w:pPr>
            <w:r>
              <w:rPr>
                <w:rFonts w:ascii="Arial" w:cs="Arial" w:eastAsia="Arial" w:hAnsi="Arial"/>
                <w:sz w:val="14"/>
                <w:szCs w:val="14"/>
                <w:color w:val="auto"/>
              </w:rPr>
              <w:t>American Funds Bond Fund of Amer R4</w:t>
            </w:r>
          </w:p>
        </w:tc>
        <w:tc>
          <w:tcPr>
            <w:tcW w:w="278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248,183</w:t>
            </w:r>
          </w:p>
        </w:tc>
        <w:tc>
          <w:tcPr>
            <w:tcW w:w="100" w:type="dxa"/>
            <w:vAlign w:val="bottom"/>
            <w:shd w:val="clear" w:color="auto" w:fill="E5E5E5"/>
          </w:tcPr>
          <w:p>
            <w:pPr>
              <w:spacing w:after="0"/>
              <w:rPr>
                <w:sz w:val="14"/>
                <w:szCs w:val="14"/>
                <w:color w:val="auto"/>
              </w:rPr>
            </w:pPr>
          </w:p>
        </w:tc>
      </w:tr>
      <w:tr>
        <w:trPr>
          <w:trHeight w:val="162"/>
        </w:trPr>
        <w:tc>
          <w:tcPr>
            <w:tcW w:w="3920" w:type="dxa"/>
            <w:vAlign w:val="bottom"/>
          </w:tcPr>
          <w:p>
            <w:pPr>
              <w:spacing w:after="0"/>
              <w:rPr>
                <w:sz w:val="20"/>
                <w:szCs w:val="20"/>
                <w:color w:val="auto"/>
              </w:rPr>
            </w:pPr>
            <w:r>
              <w:rPr>
                <w:rFonts w:ascii="Arial" w:cs="Arial" w:eastAsia="Arial" w:hAnsi="Arial"/>
                <w:sz w:val="14"/>
                <w:szCs w:val="14"/>
                <w:color w:val="auto"/>
              </w:rPr>
              <w:t>T Rowe Price Retirement Income – Advisor Class</w:t>
            </w:r>
          </w:p>
        </w:tc>
        <w:tc>
          <w:tcPr>
            <w:tcW w:w="2780" w:type="dxa"/>
            <w:vAlign w:val="bottom"/>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315,826</w:t>
            </w:r>
          </w:p>
        </w:tc>
        <w:tc>
          <w:tcPr>
            <w:tcW w:w="100" w:type="dxa"/>
            <w:vAlign w:val="bottom"/>
          </w:tcPr>
          <w:p>
            <w:pPr>
              <w:spacing w:after="0"/>
              <w:rPr>
                <w:sz w:val="14"/>
                <w:szCs w:val="14"/>
                <w:color w:val="auto"/>
              </w:rPr>
            </w:pPr>
          </w:p>
        </w:tc>
      </w:tr>
      <w:tr>
        <w:trPr>
          <w:trHeight w:val="162"/>
        </w:trPr>
        <w:tc>
          <w:tcPr>
            <w:tcW w:w="3920" w:type="dxa"/>
            <w:vAlign w:val="bottom"/>
            <w:shd w:val="clear" w:color="auto" w:fill="E5E5E5"/>
          </w:tcPr>
          <w:p>
            <w:pPr>
              <w:spacing w:after="0"/>
              <w:rPr>
                <w:sz w:val="20"/>
                <w:szCs w:val="20"/>
                <w:color w:val="auto"/>
              </w:rPr>
            </w:pPr>
            <w:r>
              <w:rPr>
                <w:rFonts w:ascii="Arial" w:cs="Arial" w:eastAsia="Arial" w:hAnsi="Arial"/>
                <w:sz w:val="14"/>
                <w:szCs w:val="14"/>
                <w:color w:val="auto"/>
              </w:rPr>
              <w:t>T Rowe Price Retirement 2010 Fund - Advisor Class</w:t>
            </w:r>
          </w:p>
        </w:tc>
        <w:tc>
          <w:tcPr>
            <w:tcW w:w="278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315,243</w:t>
            </w:r>
          </w:p>
        </w:tc>
        <w:tc>
          <w:tcPr>
            <w:tcW w:w="100" w:type="dxa"/>
            <w:vAlign w:val="bottom"/>
            <w:shd w:val="clear" w:color="auto" w:fill="E5E5E5"/>
          </w:tcPr>
          <w:p>
            <w:pPr>
              <w:spacing w:after="0"/>
              <w:rPr>
                <w:sz w:val="14"/>
                <w:szCs w:val="14"/>
                <w:color w:val="auto"/>
              </w:rPr>
            </w:pPr>
          </w:p>
        </w:tc>
      </w:tr>
      <w:tr>
        <w:trPr>
          <w:trHeight w:val="162"/>
        </w:trPr>
        <w:tc>
          <w:tcPr>
            <w:tcW w:w="3920" w:type="dxa"/>
            <w:vAlign w:val="bottom"/>
          </w:tcPr>
          <w:p>
            <w:pPr>
              <w:spacing w:after="0"/>
              <w:rPr>
                <w:sz w:val="20"/>
                <w:szCs w:val="20"/>
                <w:color w:val="auto"/>
              </w:rPr>
            </w:pPr>
            <w:r>
              <w:rPr>
                <w:rFonts w:ascii="Arial" w:cs="Arial" w:eastAsia="Arial" w:hAnsi="Arial"/>
                <w:sz w:val="14"/>
                <w:szCs w:val="14"/>
                <w:color w:val="auto"/>
              </w:rPr>
              <w:t>T Rowe Price Retirement 2015 Fund - Advisor Class</w:t>
            </w:r>
          </w:p>
        </w:tc>
        <w:tc>
          <w:tcPr>
            <w:tcW w:w="2780" w:type="dxa"/>
            <w:vAlign w:val="bottom"/>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21,122</w:t>
            </w:r>
          </w:p>
        </w:tc>
        <w:tc>
          <w:tcPr>
            <w:tcW w:w="100" w:type="dxa"/>
            <w:vAlign w:val="bottom"/>
          </w:tcPr>
          <w:p>
            <w:pPr>
              <w:spacing w:after="0"/>
              <w:rPr>
                <w:sz w:val="14"/>
                <w:szCs w:val="14"/>
                <w:color w:val="auto"/>
              </w:rPr>
            </w:pPr>
          </w:p>
        </w:tc>
      </w:tr>
      <w:tr>
        <w:trPr>
          <w:trHeight w:val="162"/>
        </w:trPr>
        <w:tc>
          <w:tcPr>
            <w:tcW w:w="3920" w:type="dxa"/>
            <w:vAlign w:val="bottom"/>
            <w:shd w:val="clear" w:color="auto" w:fill="E5E5E5"/>
          </w:tcPr>
          <w:p>
            <w:pPr>
              <w:spacing w:after="0"/>
              <w:rPr>
                <w:sz w:val="20"/>
                <w:szCs w:val="20"/>
                <w:color w:val="auto"/>
              </w:rPr>
            </w:pPr>
            <w:r>
              <w:rPr>
                <w:rFonts w:ascii="Arial" w:cs="Arial" w:eastAsia="Arial" w:hAnsi="Arial"/>
                <w:sz w:val="14"/>
                <w:szCs w:val="14"/>
                <w:color w:val="auto"/>
              </w:rPr>
              <w:t>T Rowe Price Retirement 2020 Fund - Advisor Class</w:t>
            </w:r>
          </w:p>
        </w:tc>
        <w:tc>
          <w:tcPr>
            <w:tcW w:w="278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1,523,116</w:t>
            </w:r>
          </w:p>
        </w:tc>
        <w:tc>
          <w:tcPr>
            <w:tcW w:w="100" w:type="dxa"/>
            <w:vAlign w:val="bottom"/>
            <w:shd w:val="clear" w:color="auto" w:fill="E5E5E5"/>
          </w:tcPr>
          <w:p>
            <w:pPr>
              <w:spacing w:after="0"/>
              <w:rPr>
                <w:sz w:val="14"/>
                <w:szCs w:val="14"/>
                <w:color w:val="auto"/>
              </w:rPr>
            </w:pPr>
          </w:p>
        </w:tc>
      </w:tr>
      <w:tr>
        <w:trPr>
          <w:trHeight w:val="162"/>
        </w:trPr>
        <w:tc>
          <w:tcPr>
            <w:tcW w:w="3920" w:type="dxa"/>
            <w:vAlign w:val="bottom"/>
          </w:tcPr>
          <w:p>
            <w:pPr>
              <w:spacing w:after="0"/>
              <w:rPr>
                <w:sz w:val="20"/>
                <w:szCs w:val="20"/>
                <w:color w:val="auto"/>
              </w:rPr>
            </w:pPr>
            <w:r>
              <w:rPr>
                <w:rFonts w:ascii="Arial" w:cs="Arial" w:eastAsia="Arial" w:hAnsi="Arial"/>
                <w:sz w:val="14"/>
                <w:szCs w:val="14"/>
                <w:color w:val="auto"/>
              </w:rPr>
              <w:t>T Rowe Price Retirement 2025 Fund - Advisor Class</w:t>
            </w:r>
          </w:p>
        </w:tc>
        <w:tc>
          <w:tcPr>
            <w:tcW w:w="2780" w:type="dxa"/>
            <w:vAlign w:val="bottom"/>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291,392</w:t>
            </w:r>
          </w:p>
        </w:tc>
        <w:tc>
          <w:tcPr>
            <w:tcW w:w="100" w:type="dxa"/>
            <w:vAlign w:val="bottom"/>
          </w:tcPr>
          <w:p>
            <w:pPr>
              <w:spacing w:after="0"/>
              <w:rPr>
                <w:sz w:val="14"/>
                <w:szCs w:val="14"/>
                <w:color w:val="auto"/>
              </w:rPr>
            </w:pPr>
          </w:p>
        </w:tc>
      </w:tr>
      <w:tr>
        <w:trPr>
          <w:trHeight w:val="162"/>
        </w:trPr>
        <w:tc>
          <w:tcPr>
            <w:tcW w:w="3920" w:type="dxa"/>
            <w:vAlign w:val="bottom"/>
            <w:shd w:val="clear" w:color="auto" w:fill="E5E5E5"/>
          </w:tcPr>
          <w:p>
            <w:pPr>
              <w:spacing w:after="0"/>
              <w:rPr>
                <w:sz w:val="20"/>
                <w:szCs w:val="20"/>
                <w:color w:val="auto"/>
              </w:rPr>
            </w:pPr>
            <w:r>
              <w:rPr>
                <w:rFonts w:ascii="Arial" w:cs="Arial" w:eastAsia="Arial" w:hAnsi="Arial"/>
                <w:sz w:val="14"/>
                <w:szCs w:val="14"/>
                <w:color w:val="auto"/>
              </w:rPr>
              <w:t>T Rowe Price Retirement 2030 Fund - Advisor Class</w:t>
            </w:r>
          </w:p>
        </w:tc>
        <w:tc>
          <w:tcPr>
            <w:tcW w:w="278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4,028,086</w:t>
            </w:r>
          </w:p>
        </w:tc>
        <w:tc>
          <w:tcPr>
            <w:tcW w:w="100" w:type="dxa"/>
            <w:vAlign w:val="bottom"/>
            <w:shd w:val="clear" w:color="auto" w:fill="E5E5E5"/>
          </w:tcPr>
          <w:p>
            <w:pPr>
              <w:spacing w:after="0"/>
              <w:rPr>
                <w:sz w:val="14"/>
                <w:szCs w:val="14"/>
                <w:color w:val="auto"/>
              </w:rPr>
            </w:pPr>
          </w:p>
        </w:tc>
      </w:tr>
      <w:tr>
        <w:trPr>
          <w:trHeight w:val="162"/>
        </w:trPr>
        <w:tc>
          <w:tcPr>
            <w:tcW w:w="3920" w:type="dxa"/>
            <w:vAlign w:val="bottom"/>
          </w:tcPr>
          <w:p>
            <w:pPr>
              <w:spacing w:after="0"/>
              <w:rPr>
                <w:sz w:val="20"/>
                <w:szCs w:val="20"/>
                <w:color w:val="auto"/>
              </w:rPr>
            </w:pPr>
            <w:r>
              <w:rPr>
                <w:rFonts w:ascii="Arial" w:cs="Arial" w:eastAsia="Arial" w:hAnsi="Arial"/>
                <w:sz w:val="14"/>
                <w:szCs w:val="14"/>
                <w:color w:val="auto"/>
              </w:rPr>
              <w:t>T Rowe Price Retirement 2035 Fund - Advisor Class</w:t>
            </w:r>
          </w:p>
        </w:tc>
        <w:tc>
          <w:tcPr>
            <w:tcW w:w="2780" w:type="dxa"/>
            <w:vAlign w:val="bottom"/>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1,499,753</w:t>
            </w:r>
          </w:p>
        </w:tc>
        <w:tc>
          <w:tcPr>
            <w:tcW w:w="100" w:type="dxa"/>
            <w:vAlign w:val="bottom"/>
          </w:tcPr>
          <w:p>
            <w:pPr>
              <w:spacing w:after="0"/>
              <w:rPr>
                <w:sz w:val="14"/>
                <w:szCs w:val="14"/>
                <w:color w:val="auto"/>
              </w:rPr>
            </w:pPr>
          </w:p>
        </w:tc>
      </w:tr>
      <w:tr>
        <w:trPr>
          <w:trHeight w:val="162"/>
        </w:trPr>
        <w:tc>
          <w:tcPr>
            <w:tcW w:w="3920" w:type="dxa"/>
            <w:vAlign w:val="bottom"/>
            <w:shd w:val="clear" w:color="auto" w:fill="E5E5E5"/>
          </w:tcPr>
          <w:p>
            <w:pPr>
              <w:spacing w:after="0"/>
              <w:rPr>
                <w:sz w:val="20"/>
                <w:szCs w:val="20"/>
                <w:color w:val="auto"/>
              </w:rPr>
            </w:pPr>
            <w:r>
              <w:rPr>
                <w:rFonts w:ascii="Arial" w:cs="Arial" w:eastAsia="Arial" w:hAnsi="Arial"/>
                <w:sz w:val="14"/>
                <w:szCs w:val="14"/>
                <w:color w:val="auto"/>
              </w:rPr>
              <w:t>T Rowe Price Retirement 2040 Fund - Advisor Class</w:t>
            </w:r>
          </w:p>
        </w:tc>
        <w:tc>
          <w:tcPr>
            <w:tcW w:w="278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4,773,700</w:t>
            </w:r>
          </w:p>
        </w:tc>
        <w:tc>
          <w:tcPr>
            <w:tcW w:w="100" w:type="dxa"/>
            <w:vAlign w:val="bottom"/>
            <w:shd w:val="clear" w:color="auto" w:fill="E5E5E5"/>
          </w:tcPr>
          <w:p>
            <w:pPr>
              <w:spacing w:after="0"/>
              <w:rPr>
                <w:sz w:val="14"/>
                <w:szCs w:val="14"/>
                <w:color w:val="auto"/>
              </w:rPr>
            </w:pPr>
          </w:p>
        </w:tc>
      </w:tr>
      <w:tr>
        <w:trPr>
          <w:trHeight w:val="162"/>
        </w:trPr>
        <w:tc>
          <w:tcPr>
            <w:tcW w:w="3920" w:type="dxa"/>
            <w:vAlign w:val="bottom"/>
          </w:tcPr>
          <w:p>
            <w:pPr>
              <w:spacing w:after="0"/>
              <w:rPr>
                <w:sz w:val="20"/>
                <w:szCs w:val="20"/>
                <w:color w:val="auto"/>
              </w:rPr>
            </w:pPr>
            <w:r>
              <w:rPr>
                <w:rFonts w:ascii="Arial" w:cs="Arial" w:eastAsia="Arial" w:hAnsi="Arial"/>
                <w:sz w:val="14"/>
                <w:szCs w:val="14"/>
                <w:color w:val="auto"/>
              </w:rPr>
              <w:t>T Rowe Price Retirement 2045 Fund - Advisor Class</w:t>
            </w:r>
          </w:p>
        </w:tc>
        <w:tc>
          <w:tcPr>
            <w:tcW w:w="2780" w:type="dxa"/>
            <w:vAlign w:val="bottom"/>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1,912,582</w:t>
            </w:r>
          </w:p>
        </w:tc>
        <w:tc>
          <w:tcPr>
            <w:tcW w:w="100" w:type="dxa"/>
            <w:vAlign w:val="bottom"/>
          </w:tcPr>
          <w:p>
            <w:pPr>
              <w:spacing w:after="0"/>
              <w:rPr>
                <w:sz w:val="14"/>
                <w:szCs w:val="14"/>
                <w:color w:val="auto"/>
              </w:rPr>
            </w:pPr>
          </w:p>
        </w:tc>
      </w:tr>
      <w:tr>
        <w:trPr>
          <w:trHeight w:val="162"/>
        </w:trPr>
        <w:tc>
          <w:tcPr>
            <w:tcW w:w="3920" w:type="dxa"/>
            <w:vAlign w:val="bottom"/>
            <w:shd w:val="clear" w:color="auto" w:fill="E5E5E5"/>
          </w:tcPr>
          <w:p>
            <w:pPr>
              <w:spacing w:after="0"/>
              <w:rPr>
                <w:sz w:val="20"/>
                <w:szCs w:val="20"/>
                <w:color w:val="auto"/>
              </w:rPr>
            </w:pPr>
            <w:r>
              <w:rPr>
                <w:rFonts w:ascii="Arial" w:cs="Arial" w:eastAsia="Arial" w:hAnsi="Arial"/>
                <w:sz w:val="14"/>
                <w:szCs w:val="14"/>
                <w:color w:val="auto"/>
              </w:rPr>
              <w:t>T Rowe Price Retirement 2050 Fund - Advisor Class</w:t>
            </w:r>
          </w:p>
        </w:tc>
        <w:tc>
          <w:tcPr>
            <w:tcW w:w="278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2,180,098</w:t>
            </w:r>
          </w:p>
        </w:tc>
        <w:tc>
          <w:tcPr>
            <w:tcW w:w="100" w:type="dxa"/>
            <w:vAlign w:val="bottom"/>
            <w:shd w:val="clear" w:color="auto" w:fill="E5E5E5"/>
          </w:tcPr>
          <w:p>
            <w:pPr>
              <w:spacing w:after="0"/>
              <w:rPr>
                <w:sz w:val="14"/>
                <w:szCs w:val="14"/>
                <w:color w:val="auto"/>
              </w:rPr>
            </w:pPr>
          </w:p>
        </w:tc>
      </w:tr>
      <w:tr>
        <w:trPr>
          <w:trHeight w:val="162"/>
        </w:trPr>
        <w:tc>
          <w:tcPr>
            <w:tcW w:w="3920" w:type="dxa"/>
            <w:vAlign w:val="bottom"/>
          </w:tcPr>
          <w:p>
            <w:pPr>
              <w:spacing w:after="0"/>
              <w:rPr>
                <w:sz w:val="20"/>
                <w:szCs w:val="20"/>
                <w:color w:val="auto"/>
              </w:rPr>
            </w:pPr>
            <w:r>
              <w:rPr>
                <w:rFonts w:ascii="Arial" w:cs="Arial" w:eastAsia="Arial" w:hAnsi="Arial"/>
                <w:sz w:val="14"/>
                <w:szCs w:val="14"/>
                <w:color w:val="auto"/>
              </w:rPr>
              <w:t>T Rowe Price Retirement 2055 Fund - Advisor Class</w:t>
            </w:r>
          </w:p>
        </w:tc>
        <w:tc>
          <w:tcPr>
            <w:tcW w:w="2780" w:type="dxa"/>
            <w:vAlign w:val="bottom"/>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836,038</w:t>
            </w:r>
          </w:p>
        </w:tc>
        <w:tc>
          <w:tcPr>
            <w:tcW w:w="100" w:type="dxa"/>
            <w:vAlign w:val="bottom"/>
          </w:tcPr>
          <w:p>
            <w:pPr>
              <w:spacing w:after="0"/>
              <w:rPr>
                <w:sz w:val="14"/>
                <w:szCs w:val="14"/>
                <w:color w:val="auto"/>
              </w:rPr>
            </w:pPr>
          </w:p>
        </w:tc>
      </w:tr>
      <w:tr>
        <w:trPr>
          <w:trHeight w:val="162"/>
        </w:trPr>
        <w:tc>
          <w:tcPr>
            <w:tcW w:w="3920" w:type="dxa"/>
            <w:vAlign w:val="bottom"/>
            <w:shd w:val="clear" w:color="auto" w:fill="E5E5E5"/>
          </w:tcPr>
          <w:p>
            <w:pPr>
              <w:spacing w:after="0"/>
              <w:rPr>
                <w:sz w:val="20"/>
                <w:szCs w:val="20"/>
                <w:color w:val="auto"/>
              </w:rPr>
            </w:pPr>
            <w:r>
              <w:rPr>
                <w:rFonts w:ascii="Arial" w:cs="Arial" w:eastAsia="Arial" w:hAnsi="Arial"/>
                <w:sz w:val="14"/>
                <w:szCs w:val="14"/>
                <w:color w:val="auto"/>
              </w:rPr>
              <w:t>T Rowe Price Retirement 2060 Fund - Advisor Class</w:t>
            </w:r>
          </w:p>
        </w:tc>
        <w:tc>
          <w:tcPr>
            <w:tcW w:w="278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418,068</w:t>
            </w:r>
          </w:p>
        </w:tc>
        <w:tc>
          <w:tcPr>
            <w:tcW w:w="100" w:type="dxa"/>
            <w:vAlign w:val="bottom"/>
            <w:shd w:val="clear" w:color="auto" w:fill="E5E5E5"/>
          </w:tcPr>
          <w:p>
            <w:pPr>
              <w:spacing w:after="0"/>
              <w:rPr>
                <w:sz w:val="14"/>
                <w:szCs w:val="14"/>
                <w:color w:val="auto"/>
              </w:rPr>
            </w:pPr>
          </w:p>
        </w:tc>
      </w:tr>
      <w:tr>
        <w:trPr>
          <w:trHeight w:val="162"/>
        </w:trPr>
        <w:tc>
          <w:tcPr>
            <w:tcW w:w="3920" w:type="dxa"/>
            <w:vAlign w:val="bottom"/>
          </w:tcPr>
          <w:p>
            <w:pPr>
              <w:spacing w:after="0"/>
              <w:rPr>
                <w:sz w:val="20"/>
                <w:szCs w:val="20"/>
                <w:color w:val="auto"/>
              </w:rPr>
            </w:pPr>
            <w:r>
              <w:rPr>
                <w:rFonts w:ascii="Arial" w:cs="Arial" w:eastAsia="Arial" w:hAnsi="Arial"/>
                <w:sz w:val="14"/>
                <w:szCs w:val="14"/>
                <w:color w:val="auto"/>
              </w:rPr>
              <w:t>T Rowe Price Retirement 2065 Fund - Advisor Class</w:t>
            </w:r>
          </w:p>
        </w:tc>
        <w:tc>
          <w:tcPr>
            <w:tcW w:w="2780" w:type="dxa"/>
            <w:vAlign w:val="bottom"/>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3,864</w:t>
            </w:r>
          </w:p>
        </w:tc>
        <w:tc>
          <w:tcPr>
            <w:tcW w:w="100" w:type="dxa"/>
            <w:vAlign w:val="bottom"/>
          </w:tcPr>
          <w:p>
            <w:pPr>
              <w:spacing w:after="0"/>
              <w:rPr>
                <w:sz w:val="14"/>
                <w:szCs w:val="14"/>
                <w:color w:val="auto"/>
              </w:rPr>
            </w:pPr>
          </w:p>
        </w:tc>
      </w:tr>
      <w:tr>
        <w:trPr>
          <w:trHeight w:val="162"/>
        </w:trPr>
        <w:tc>
          <w:tcPr>
            <w:tcW w:w="3920" w:type="dxa"/>
            <w:vAlign w:val="bottom"/>
            <w:shd w:val="clear" w:color="auto" w:fill="E5E5E5"/>
          </w:tcPr>
          <w:p>
            <w:pPr>
              <w:spacing w:after="0"/>
              <w:rPr>
                <w:sz w:val="20"/>
                <w:szCs w:val="20"/>
                <w:color w:val="auto"/>
              </w:rPr>
            </w:pPr>
            <w:r>
              <w:rPr>
                <w:rFonts w:ascii="Arial" w:cs="Arial" w:eastAsia="Arial" w:hAnsi="Arial"/>
                <w:sz w:val="14"/>
                <w:szCs w:val="14"/>
                <w:color w:val="auto"/>
              </w:rPr>
              <w:t>JPMorgan Large Cap Growth R4</w:t>
            </w:r>
          </w:p>
        </w:tc>
        <w:tc>
          <w:tcPr>
            <w:tcW w:w="278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Registered Investment Company</w:t>
            </w:r>
          </w:p>
        </w:tc>
        <w:tc>
          <w:tcPr>
            <w:tcW w:w="10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4,911,956</w:t>
            </w:r>
          </w:p>
        </w:tc>
        <w:tc>
          <w:tcPr>
            <w:tcW w:w="100" w:type="dxa"/>
            <w:vAlign w:val="bottom"/>
            <w:shd w:val="clear" w:color="auto" w:fill="E5E5E5"/>
          </w:tcPr>
          <w:p>
            <w:pPr>
              <w:spacing w:after="0"/>
              <w:rPr>
                <w:sz w:val="14"/>
                <w:szCs w:val="14"/>
                <w:color w:val="auto"/>
              </w:rPr>
            </w:pPr>
          </w:p>
        </w:tc>
      </w:tr>
      <w:tr>
        <w:trPr>
          <w:trHeight w:val="358"/>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SPONSOR STOCK</w:t>
            </w:r>
          </w:p>
        </w:tc>
        <w:tc>
          <w:tcPr>
            <w:tcW w:w="2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
        </w:trPr>
        <w:tc>
          <w:tcPr>
            <w:tcW w:w="39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62"/>
        </w:trPr>
        <w:tc>
          <w:tcPr>
            <w:tcW w:w="3920" w:type="dxa"/>
            <w:vAlign w:val="bottom"/>
            <w:shd w:val="clear" w:color="auto" w:fill="E5E5E5"/>
          </w:tcPr>
          <w:p>
            <w:pPr>
              <w:spacing w:after="0"/>
              <w:rPr>
                <w:sz w:val="20"/>
                <w:szCs w:val="20"/>
                <w:color w:val="auto"/>
              </w:rPr>
            </w:pPr>
            <w:r>
              <w:rPr>
                <w:rFonts w:ascii="Arial" w:cs="Arial" w:eastAsia="Arial" w:hAnsi="Arial"/>
                <w:sz w:val="14"/>
                <w:szCs w:val="14"/>
                <w:color w:val="auto"/>
              </w:rPr>
              <w:t>Microsoft Corporation **</w:t>
            </w:r>
          </w:p>
        </w:tc>
        <w:tc>
          <w:tcPr>
            <w:tcW w:w="2780" w:type="dxa"/>
            <w:vAlign w:val="bottom"/>
            <w:shd w:val="clear" w:color="auto" w:fill="E5E5E5"/>
          </w:tcPr>
          <w:p>
            <w:pPr>
              <w:ind w:left="140"/>
              <w:spacing w:after="0"/>
              <w:rPr>
                <w:sz w:val="20"/>
                <w:szCs w:val="20"/>
                <w:color w:val="auto"/>
              </w:rPr>
            </w:pPr>
            <w:r>
              <w:rPr>
                <w:rFonts w:ascii="Arial" w:cs="Arial" w:eastAsia="Arial" w:hAnsi="Arial"/>
                <w:sz w:val="14"/>
                <w:szCs w:val="14"/>
                <w:color w:val="auto"/>
              </w:rPr>
              <w:t>Common Stock</w:t>
            </w:r>
          </w:p>
        </w:tc>
        <w:tc>
          <w:tcPr>
            <w:tcW w:w="10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5,749,758</w:t>
            </w:r>
          </w:p>
        </w:tc>
        <w:tc>
          <w:tcPr>
            <w:tcW w:w="100" w:type="dxa"/>
            <w:vAlign w:val="bottom"/>
            <w:shd w:val="clear" w:color="auto" w:fill="E5E5E5"/>
          </w:tcPr>
          <w:p>
            <w:pPr>
              <w:spacing w:after="0"/>
              <w:rPr>
                <w:sz w:val="14"/>
                <w:szCs w:val="14"/>
                <w:color w:val="auto"/>
              </w:rPr>
            </w:pPr>
          </w:p>
        </w:tc>
      </w:tr>
      <w:tr>
        <w:trPr>
          <w:trHeight w:val="358"/>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MONEY MARKET FUNDS</w:t>
            </w:r>
          </w:p>
        </w:tc>
        <w:tc>
          <w:tcPr>
            <w:tcW w:w="2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
        </w:trPr>
        <w:tc>
          <w:tcPr>
            <w:tcW w:w="39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53"/>
        </w:trPr>
        <w:tc>
          <w:tcPr>
            <w:tcW w:w="3920" w:type="dxa"/>
            <w:vAlign w:val="bottom"/>
            <w:shd w:val="clear" w:color="auto" w:fill="E5E5E5"/>
          </w:tcPr>
          <w:p>
            <w:pPr>
              <w:spacing w:after="0" w:line="153" w:lineRule="exact"/>
              <w:rPr>
                <w:sz w:val="20"/>
                <w:szCs w:val="20"/>
                <w:color w:val="auto"/>
              </w:rPr>
            </w:pPr>
            <w:r>
              <w:rPr>
                <w:rFonts w:ascii="Arial" w:cs="Arial" w:eastAsia="Arial" w:hAnsi="Arial"/>
                <w:sz w:val="14"/>
                <w:szCs w:val="14"/>
                <w:color w:val="auto"/>
              </w:rPr>
              <w:t>Federated Trust for U.S. Treasury Obligations Fund -</w:t>
            </w:r>
          </w:p>
        </w:tc>
        <w:tc>
          <w:tcPr>
            <w:tcW w:w="2780" w:type="dxa"/>
            <w:vAlign w:val="bottom"/>
            <w:shd w:val="clear" w:color="auto" w:fill="E5E5E5"/>
          </w:tcPr>
          <w:p>
            <w:pPr>
              <w:ind w:left="140"/>
              <w:spacing w:after="0" w:line="153" w:lineRule="exact"/>
              <w:rPr>
                <w:sz w:val="20"/>
                <w:szCs w:val="20"/>
                <w:color w:val="auto"/>
              </w:rPr>
            </w:pPr>
            <w:r>
              <w:rPr>
                <w:rFonts w:ascii="Arial" w:cs="Arial" w:eastAsia="Arial" w:hAnsi="Arial"/>
                <w:sz w:val="14"/>
                <w:szCs w:val="14"/>
                <w:color w:val="auto"/>
              </w:rPr>
              <w:t>Registered Investment Company</w:t>
            </w:r>
          </w:p>
        </w:tc>
        <w:tc>
          <w:tcPr>
            <w:tcW w:w="102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r>
      <w:tr>
        <w:trPr>
          <w:trHeight w:val="171"/>
        </w:trPr>
        <w:tc>
          <w:tcPr>
            <w:tcW w:w="3920" w:type="dxa"/>
            <w:vAlign w:val="bottom"/>
            <w:shd w:val="clear" w:color="auto" w:fill="E5E5E5"/>
          </w:tcPr>
          <w:p>
            <w:pPr>
              <w:spacing w:after="0"/>
              <w:rPr>
                <w:sz w:val="20"/>
                <w:szCs w:val="20"/>
                <w:color w:val="auto"/>
              </w:rPr>
            </w:pPr>
            <w:r>
              <w:rPr>
                <w:rFonts w:ascii="Arial" w:cs="Arial" w:eastAsia="Arial" w:hAnsi="Arial"/>
                <w:sz w:val="14"/>
                <w:szCs w:val="14"/>
                <w:color w:val="auto"/>
              </w:rPr>
              <w:t>Institutional Shares</w:t>
            </w:r>
          </w:p>
        </w:tc>
        <w:tc>
          <w:tcPr>
            <w:tcW w:w="2780" w:type="dxa"/>
            <w:vAlign w:val="bottom"/>
            <w:shd w:val="clear" w:color="auto" w:fill="E5E5E5"/>
          </w:tcPr>
          <w:p>
            <w:pPr>
              <w:spacing w:after="0"/>
              <w:rPr>
                <w:sz w:val="14"/>
                <w:szCs w:val="14"/>
                <w:color w:val="auto"/>
              </w:rPr>
            </w:pPr>
          </w:p>
        </w:tc>
        <w:tc>
          <w:tcPr>
            <w:tcW w:w="10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708,003</w:t>
            </w:r>
          </w:p>
        </w:tc>
        <w:tc>
          <w:tcPr>
            <w:tcW w:w="100" w:type="dxa"/>
            <w:vAlign w:val="bottom"/>
            <w:shd w:val="clear" w:color="auto" w:fill="E5E5E5"/>
          </w:tcPr>
          <w:p>
            <w:pPr>
              <w:spacing w:after="0"/>
              <w:rPr>
                <w:sz w:val="14"/>
                <w:szCs w:val="14"/>
                <w:color w:val="auto"/>
              </w:rPr>
            </w:pPr>
          </w:p>
        </w:tc>
      </w:tr>
      <w:tr>
        <w:trPr>
          <w:trHeight w:val="358"/>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TIME DEPOSITS</w:t>
            </w:r>
          </w:p>
        </w:tc>
        <w:tc>
          <w:tcPr>
            <w:tcW w:w="2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
        </w:trPr>
        <w:tc>
          <w:tcPr>
            <w:tcW w:w="39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62"/>
        </w:trPr>
        <w:tc>
          <w:tcPr>
            <w:tcW w:w="670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Banco Popular de Puerto Rico ** Interest 2.938% and 3.188% as of December 31, 2025</w:t>
            </w:r>
          </w:p>
        </w:tc>
        <w:tc>
          <w:tcPr>
            <w:tcW w:w="102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31,736</w:t>
            </w:r>
          </w:p>
        </w:tc>
        <w:tc>
          <w:tcPr>
            <w:tcW w:w="100" w:type="dxa"/>
            <w:vAlign w:val="bottom"/>
            <w:shd w:val="clear" w:color="auto" w:fill="E5E5E5"/>
          </w:tcPr>
          <w:p>
            <w:pPr>
              <w:spacing w:after="0"/>
              <w:rPr>
                <w:sz w:val="14"/>
                <w:szCs w:val="14"/>
                <w:color w:val="auto"/>
              </w:rPr>
            </w:pPr>
          </w:p>
        </w:tc>
      </w:tr>
      <w:tr>
        <w:trPr>
          <w:trHeight w:val="349"/>
        </w:trPr>
        <w:tc>
          <w:tcPr>
            <w:tcW w:w="67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Participant Loans </w:t>
            </w:r>
            <w:r>
              <w:rPr>
                <w:rFonts w:ascii="Arial" w:cs="Arial" w:eastAsia="Arial" w:hAnsi="Arial"/>
                <w:sz w:val="14"/>
                <w:szCs w:val="14"/>
                <w:color w:val="auto"/>
              </w:rPr>
              <w:t>** Interest 4.25% - 9.50%, maturing through September 2038</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181,787</w:t>
            </w:r>
          </w:p>
        </w:tc>
        <w:tc>
          <w:tcPr>
            <w:tcW w:w="100" w:type="dxa"/>
            <w:vAlign w:val="bottom"/>
          </w:tcPr>
          <w:p>
            <w:pPr>
              <w:spacing w:after="0"/>
              <w:rPr>
                <w:sz w:val="24"/>
                <w:szCs w:val="24"/>
                <w:color w:val="auto"/>
              </w:rPr>
            </w:pPr>
          </w:p>
        </w:tc>
      </w:tr>
      <w:tr>
        <w:trPr>
          <w:trHeight w:val="178"/>
        </w:trPr>
        <w:tc>
          <w:tcPr>
            <w:tcW w:w="39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39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92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Total</w:t>
            </w:r>
          </w:p>
        </w:tc>
        <w:tc>
          <w:tcPr>
            <w:tcW w:w="2780" w:type="dxa"/>
            <w:vAlign w:val="bottom"/>
            <w:shd w:val="clear" w:color="auto" w:fill="E5E5E5"/>
          </w:tcPr>
          <w:p>
            <w:pPr>
              <w:spacing w:after="0"/>
              <w:rPr>
                <w:sz w:val="14"/>
                <w:szCs w:val="14"/>
                <w:color w:val="auto"/>
              </w:rPr>
            </w:pPr>
          </w:p>
        </w:tc>
        <w:tc>
          <w:tcPr>
            <w:tcW w:w="1240" w:type="dxa"/>
            <w:vAlign w:val="bottom"/>
            <w:gridSpan w:val="2"/>
            <w:shd w:val="clear" w:color="auto" w:fill="E5E5E5"/>
          </w:tcPr>
          <w:p>
            <w:pPr>
              <w:jc w:val="right"/>
              <w:ind w:right="12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38,738,606</w:t>
            </w:r>
          </w:p>
        </w:tc>
        <w:tc>
          <w:tcPr>
            <w:tcW w:w="100" w:type="dxa"/>
            <w:vAlign w:val="bottom"/>
            <w:shd w:val="clear" w:color="auto" w:fill="E5E5E5"/>
          </w:tcPr>
          <w:p>
            <w:pPr>
              <w:spacing w:after="0"/>
              <w:rPr>
                <w:sz w:val="14"/>
                <w:szCs w:val="14"/>
                <w:color w:val="auto"/>
              </w:rPr>
            </w:pPr>
          </w:p>
        </w:tc>
      </w:tr>
      <w:tr>
        <w:trPr>
          <w:trHeight w:val="61"/>
        </w:trPr>
        <w:tc>
          <w:tcPr>
            <w:tcW w:w="39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26" w:lineRule="exact"/>
        <w:rPr>
          <w:sz w:val="20"/>
          <w:szCs w:val="20"/>
          <w:color w:val="auto"/>
        </w:rPr>
      </w:pPr>
    </w:p>
    <w:p>
      <w:pPr>
        <w:ind w:right="3120" w:firstLine="8"/>
        <w:spacing w:after="0" w:line="363" w:lineRule="auto"/>
        <w:tabs>
          <w:tab w:leader="none" w:pos="283"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Information not presented because investments are participant directed ** Party-in-interest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476250</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07" w:right="141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consent to the incorporation by reference in Registration Statement No. 333-109185 on Form S-8 of our report dated June 25, 2026, relating to the financial statements and supplemental schedule of One Microsoft Puerto Rico Retirement Plan appearing in this Annual Report on Form 11-K of One Microsoft Puerto Rico Retirement Plan for the year ended December 31, 2025.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876300</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17" w:right="141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2026-06-25T15:49:06Z</dcterms:created>
  <dcterms:modified xsi:type="dcterms:W3CDTF">2026-06-25T15:49:06Z</dcterms:modified>
</cp:coreProperties>
</file>